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Национальный исследовательский университет ИТМО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Дисциплина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Тестирование программного обеспечения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»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Отчёт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По лабораторной работе №2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Вариант: 5157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637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Студент:</w:t>
      </w:r>
    </w:p>
    <w:p w:rsidR="00000000" w:rsidDel="00000000" w:rsidP="00000000" w:rsidRDefault="00000000" w:rsidRPr="00000000" w14:paraId="00000011">
      <w:pPr>
        <w:ind w:left="6372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Барсуков М. А.</w:t>
      </w:r>
    </w:p>
    <w:p w:rsidR="00000000" w:rsidDel="00000000" w:rsidP="00000000" w:rsidRDefault="00000000" w:rsidRPr="00000000" w14:paraId="00000012">
      <w:pPr>
        <w:ind w:left="6372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P3315</w:t>
      </w:r>
    </w:p>
    <w:p w:rsidR="00000000" w:rsidDel="00000000" w:rsidP="00000000" w:rsidRDefault="00000000" w:rsidRPr="00000000" w14:paraId="00000013">
      <w:pPr>
        <w:ind w:left="637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637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</w:t>
      </w:r>
    </w:p>
    <w:p w:rsidR="00000000" w:rsidDel="00000000" w:rsidP="00000000" w:rsidRDefault="00000000" w:rsidRPr="00000000" w14:paraId="00000015">
      <w:pPr>
        <w:ind w:left="6372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Цопа Е. А.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Санкт-Петербург, 2025 г.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Описание задания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15494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x &lt;= 0 : (((((tan(x) - sec(x)) - csc(x)) ^ 2) - tan(x)) * ((sin(x) / tan(x)) - (tan(x) / cos(x))))</w:t>
      </w:r>
    </w:p>
    <w:p w:rsidR="00000000" w:rsidDel="00000000" w:rsidP="00000000" w:rsidRDefault="00000000" w:rsidRPr="00000000" w14:paraId="00000021">
      <w:pPr>
        <w:rPr>
          <w:rFonts w:ascii="IBM Plex Mono" w:cs="IBM Plex Mono" w:eastAsia="IBM Plex Mono" w:hAnsi="IBM Plex Mono"/>
          <w:sz w:val="24"/>
          <w:szCs w:val="24"/>
        </w:rPr>
      </w:pP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x &gt; 0 : (((((log_2(x) ^ 2) / ln(x)) / log_3(x)) ^ 3) * (ln(x) / (log_3(x) / (log_10(x) / log_2(x)))))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39480" cy="38227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Выполнение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1879734" cy="187973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734" cy="1879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https://github.com/maxbarsukov-itmo/tpo-2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UML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39480" cy="2819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Описание тестового покрытия с обоснованием его выбора</w:t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Тригонометрические функции</w:t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тестировании тригонометрических функций необходимо учитывать их свойства, периодичность, симметрию и особенности поведения в особых точках. Выделим основные классы входных значений: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line="276" w:lineRule="auto"/>
        <w:ind w:left="72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Обычные значения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проверка произвольных точек внутри периода, например:</w:t>
      </w:r>
    </w:p>
    <w:p w:rsidR="00000000" w:rsidDel="00000000" w:rsidP="00000000" w:rsidRDefault="00000000" w:rsidRPr="00000000" w14:paraId="00000031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π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6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π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4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π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3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,0, π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line="276" w:lineRule="auto"/>
        <w:ind w:left="72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Переодичнось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3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cos x, sin x, csc x, sec x — период 2π;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Особые точки (сингулярности):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 x не определён при x=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m:t>π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kπ;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csc x не определён при x= kπ;</w:t>
      </w:r>
    </w:p>
    <w:p w:rsidR="00000000" w:rsidDel="00000000" w:rsidP="00000000" w:rsidRDefault="00000000" w:rsidRPr="00000000" w14:paraId="00000037">
      <w:pPr>
        <w:spacing w:before="2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Логарифмические функции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тестировании логарифмических функций необходимо учитывать их свойства, область определения, особенности поведения в предельных точках числовую шкалу логарифмирования. Выделим основные классы входных значений: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Обычные значения: проверка произвольных точек внутри области определения.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Границы области определения: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Логарифмические функции определены для x &gt; 0;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Проверяем отрицательные значения или 0.</w:t>
      </w:r>
    </w:p>
    <w:p w:rsidR="00000000" w:rsidDel="00000000" w:rsidP="00000000" w:rsidRDefault="00000000" w:rsidRPr="00000000" w14:paraId="0000003D">
      <w:pPr>
        <w:spacing w:before="20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Система</w:t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тестирования функциональности класса </w:t>
      </w:r>
      <w:r w:rsidDel="00000000" w:rsidR="00000000" w:rsidRPr="00000000">
        <w:rPr>
          <w:rFonts w:ascii="IBM Plex Mono" w:cs="IBM Plex Mono" w:eastAsia="IBM Plex Mono" w:hAnsi="IBM Plex Mono"/>
          <w:sz w:val="24"/>
          <w:szCs w:val="24"/>
          <w:rtl w:val="0"/>
        </w:rPr>
        <w:t xml:space="preserve">EquationSystem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были разработаны следующие тестовые сценарии: 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Обычные значения: проверка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произвольных точек внутри области определения, как позитивные, так и негативные.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Особые точки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функция не определена, например, x = -π, x = 1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анализ функции показал, что часть системы для x &gt; 0 постоянна (упрощается до константного значения), и поэтому может целиком представляться одной областью.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Общее покрытие</w:t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были добавлены тесты, проверяющие, некорректные аргументы, точность, и использование модулей (cos использует sin, согласно заданию).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Тестовое покрытие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мы можем видеть, все работает корректно: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3784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i w:val="1"/>
          <w:color w:val="6666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8"/>
          <w:szCs w:val="28"/>
          <w:rtl w:val="0"/>
        </w:rPr>
        <w:t xml:space="preserve">Тесты успешно проходятся.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1422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i w:val="1"/>
          <w:color w:val="66666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8"/>
          <w:szCs w:val="28"/>
          <w:rtl w:val="0"/>
        </w:rPr>
        <w:t xml:space="preserve">Итоговое тестовое покрытие.</w:t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i w:val="1"/>
          <w:color w:val="666666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Графики</w:t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290513</wp:posOffset>
            </wp:positionV>
            <wp:extent cx="3221793" cy="2519607"/>
            <wp:effectExtent b="0" l="0" r="0" t="0"/>
            <wp:wrapSquare wrapText="bothSides" distB="114300" distT="114300" distL="114300" distR="1143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1793" cy="2519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2960663</wp:posOffset>
            </wp:positionV>
            <wp:extent cx="3219450" cy="2515798"/>
            <wp:effectExtent b="0" l="0" r="0" t="0"/>
            <wp:wrapSquare wrapText="bothSides" distB="114300" distT="114300" distL="114300" distR="1143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157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5619750</wp:posOffset>
            </wp:positionV>
            <wp:extent cx="3241582" cy="2533650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582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5619750</wp:posOffset>
            </wp:positionV>
            <wp:extent cx="3238500" cy="2529479"/>
            <wp:effectExtent b="0" l="0" r="0" t="0"/>
            <wp:wrapSquare wrapText="bothSides" distB="114300" distT="114300" distL="114300" distR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29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2962275</wp:posOffset>
            </wp:positionV>
            <wp:extent cx="3219450" cy="2514600"/>
            <wp:effectExtent b="0" l="0" r="0" t="0"/>
            <wp:wrapSquare wrapText="bothSides" distB="114300" distT="114300" distL="114300" distR="1143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1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280988</wp:posOffset>
            </wp:positionV>
            <wp:extent cx="3238890" cy="2532978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890" cy="25329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114300</wp:posOffset>
            </wp:positionV>
            <wp:extent cx="3238500" cy="2532673"/>
            <wp:effectExtent b="0" l="0" r="0" t="0"/>
            <wp:wrapSquare wrapText="bothSides" distB="114300" distT="114300" distL="114300" distR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32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114300</wp:posOffset>
            </wp:positionV>
            <wp:extent cx="3238500" cy="2529479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29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2838450</wp:posOffset>
            </wp:positionV>
            <wp:extent cx="3238500" cy="2532673"/>
            <wp:effectExtent b="0" l="0" r="0" t="0"/>
            <wp:wrapSquare wrapText="bothSides" distB="114300" distT="114300" distL="114300" distR="11430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32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5457825</wp:posOffset>
            </wp:positionV>
            <wp:extent cx="5239703" cy="4094468"/>
            <wp:effectExtent b="0" l="0" r="0" t="0"/>
            <wp:wrapSquare wrapText="bothSides" distB="114300" distT="114300" distL="114300" distR="11430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9703" cy="40944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2838450</wp:posOffset>
            </wp:positionV>
            <wp:extent cx="3238500" cy="2531061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310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Выводы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была реализована система функций,основанная на разложении в ряд. Проведено модульное и интеграционное тестирование с использованием JUnit 5 и Mockito, включая анализ граничных значений классов эквивалентности. Кроме того я научился тестировать приложения, работающие с дисплеем, получил базовые навыки CI. Выгрузка данных в CSV построенные графики подтвердили корректность вычислений. Работа позволила закрепить навыки интеграционного тестирования, работы с численными методами и проектирования модульных приложений.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6838" w:w="11906" w:orient="portrait"/>
      <w:pgMar w:bottom="567" w:top="1134" w:left="170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IBM Plex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3.png"/><Relationship Id="rId22" Type="http://schemas.openxmlformats.org/officeDocument/2006/relationships/image" Target="media/image15.png"/><Relationship Id="rId10" Type="http://schemas.openxmlformats.org/officeDocument/2006/relationships/image" Target="media/image2.png"/><Relationship Id="rId21" Type="http://schemas.openxmlformats.org/officeDocument/2006/relationships/image" Target="media/image14.png"/><Relationship Id="rId13" Type="http://schemas.openxmlformats.org/officeDocument/2006/relationships/image" Target="media/image16.png"/><Relationship Id="rId24" Type="http://schemas.openxmlformats.org/officeDocument/2006/relationships/header" Target="header1.xml"/><Relationship Id="rId12" Type="http://schemas.openxmlformats.org/officeDocument/2006/relationships/image" Target="media/image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axbarsukov-itmo/tpo-2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9.png"/><Relationship Id="rId18" Type="http://schemas.openxmlformats.org/officeDocument/2006/relationships/image" Target="media/image10.png"/><Relationship Id="rId7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Mono-regular.ttf"/><Relationship Id="rId2" Type="http://schemas.openxmlformats.org/officeDocument/2006/relationships/font" Target="fonts/IBMPlexMono-bold.ttf"/><Relationship Id="rId3" Type="http://schemas.openxmlformats.org/officeDocument/2006/relationships/font" Target="fonts/IBMPlexMono-italic.ttf"/><Relationship Id="rId4" Type="http://schemas.openxmlformats.org/officeDocument/2006/relationships/font" Target="fonts/IBMPlex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