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ДИПЛОМ-Заголовок"/>
        <w:outlineLvl w:val="9"/>
      </w:pPr>
      <w:r>
        <w:t>СОДЕРЖАНИЕ</w:t>
      </w:r>
    </w:p>
    <w:p>
      <w:pPr>
        <w:pStyle w:val="toc1"/>
        <w:tabs>
          <w:tab w:pos="9354" w:val="right" w:leader="dot"/>
        </w:tabs>
        <w:ind w:firstLine="0" w:left="0"/>
      </w:pPr>
      <w:hyperlink w:anchor="_СПИСОК_СОКРАЩЕНИЙ_И_УСЛОВНЫХ_ОБОЗНАЧЕНИ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СПИСОК СОКРАЩЕНИЙ И УСЛОВНЫХ ОБОЗНАЧЕНИЙ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7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ТЕРМИНЫ_И_ОПРЕДЕЛЕНИЯ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ТЕРМИНЫ И ОПРЕДЕЛЕНИЯ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8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ВВЕДЕНИЕ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ВВЕДЕНИЕ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9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1_Анализ_предметной_области_и_постановк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 Анализ предметной области и постановка задачи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11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1.1_Требования_к_оформлению_работы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1.1 Требования к оформлению работы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11</w:t>
        </w:r>
      </w:hyperlink>
    </w:p>
    <w:p>
      <w:pPr>
        <w:pStyle w:val="toc3"/>
        <w:tabs>
          <w:tab w:pos="9354" w:val="right" w:leader="dot"/>
        </w:tabs>
        <w:ind w:firstLine="0" w:left="567"/>
      </w:pPr>
      <w:hyperlink w:anchor="_1.1.1_Нумерация_и_перекрёстные_ссылки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1.1.1 Нумерация и перекрёстные ссылки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11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1.2_Сравнение_существующих_конвертеров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1.2 Сравнение существующих конвертеров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12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1.3_Требования_к_разработанному_инструм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1.3 Требования к разработанному инструменту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12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2_Проектирование_и_реализация_инструмен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 Проектирование и реализация инструмента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14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2.1_Конвейер_обработки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2.1 Конвейер обработки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14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2.2_Разбор_разметки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2.2 Разбор разметки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14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2.3_Оформление_формул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2.3 Оформление формул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15</w:t>
        </w:r>
      </w:hyperlink>
    </w:p>
    <w:p>
      <w:pPr>
        <w:pStyle w:val="toc3"/>
        <w:tabs>
          <w:tab w:pos="9354" w:val="right" w:leader="dot"/>
        </w:tabs>
        <w:ind w:firstLine="0" w:left="567"/>
      </w:pPr>
      <w:hyperlink w:anchor="_2.3.1_Сложные_формулы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2.3.1 Сложные формулы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16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2.4_Автонумерация_и_перекрёстные_ссылки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2.4 Автонумерация и перекрёстные ссылки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17</w:t>
        </w:r>
      </w:hyperlink>
    </w:p>
    <w:p>
      <w:pPr>
        <w:pStyle w:val="toc2"/>
        <w:tabs>
          <w:tab w:pos="9354" w:val="right" w:leader="dot"/>
        </w:tabs>
        <w:ind w:firstLine="0" w:left="283"/>
      </w:pPr>
      <w:hyperlink w:anchor="_2.5_Сборка_оглавления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2.5 Сборка оглавления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18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ЗАКЛЮЧЕНИЕ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ЗАКЛЮЧЕНИЕ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19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СПИСОК_ИСПОЛЬЗОВАННЫХ_ИСТОЧНИКОВ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СПИСОК ИСПОЛЬЗОВАННЫХ ИСТОЧНИКОВ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20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ПРИЛОЖЕНИЕ_А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ПРИЛОЖЕНИЕ А Фрагменты исходного кода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21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ПРИЛОЖЕНИЕ_Б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ПРИЛОЖЕНИЕ Б Экранные формы инструмента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23</w:t>
        </w:r>
      </w:hyperlink>
    </w:p>
    <w:p>
      <w:pPr>
        <w:pStyle w:val="toc1"/>
        <w:tabs>
          <w:tab w:pos="9354" w:val="right" w:leader="dot"/>
        </w:tabs>
        <w:ind w:firstLine="0" w:left="0"/>
      </w:pPr>
      <w:hyperlink w:anchor="_ПРИЛОЖЕНИЕ_В" w:history="1"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ПРИЛОЖЕНИЕ В Справочник конструкций разметки и команд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 xml:space="preserve">	</w:t>
        </w:r>
        <w:r>
          <w:rPr>
            <w:rFonts w:ascii="Times New Roman" w:hAnsi="Times New Roman" w:cs="Times New Roman" w:eastAsia="Times New Roman"/>
            <w:sz w:val="28"/>
            <w:szCs w:val="28"/>
            <w:b w:val="0"/>
            <w:bCs w:val="0"/>
            <w:i w:val="0"/>
            <w:iCs w:val="0"/>
            <w:u w:val="none"/>
          </w:rPr>
          <w:t>25</w:t>
        </w:r>
      </w:hyperlink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01" w:name="_СПИСОК_СОКРАЩЕНИЙ_И_УСЛОВНЫХ_ОБОЗНАЧЕНИ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СПИСОК СОКРАЩЕНИЙ И УСЛОВНЫХ ОБОЗНАЧЕНИЙ</w:t>
      </w:r>
      <w:bookmarkEnd w:id="101"/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AST – Abstract Syntax Tree, абстрактное синтаксическое дерево документа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CLI – Command Line Interface, интерфейс командной строки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COM – Component Object Model, технология вызова Microsoft Word из программы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DOCX – формат документов на основе стандарта Office Open XML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LO – LibreOffice, свободный офисный пакет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MD – Markdown, облегчённый язык разметки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OMML – Office Math Markup Language, формат записи формул в DOCX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TOC – Table of Contents, оглавление документа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UNO – Universal Network Objects, программный интерфейс LibreOffice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ВКР – выпускная квалификационная работа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ГОСТ – государственный стандарт (ГОСТ 7.32–2017 как ориентир структуры отчёта)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СУБД – система управления базами данных</w:t>
      </w:r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02" w:name="_ТЕРМИНЫ_И_ОПРЕДЕЛЕНИЯ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ТЕРМИНЫ И ОПРЕДЕЛЕНИЯ</w:t>
      </w:r>
      <w:bookmarkEnd w:id="102"/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Бандл – единый промежуточный файл, получаемый склейкой исходных markdown-файлов в порядке из конфигурации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Движок разбивки на страницы – внешний компонент (Microsoft Word или LibreOffice), вычисляющий номера страниц заголовков для оглавления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Ключ перекрёстной ссылки – устойчивое имя нумеруемого объекта, заменяемое на реальный номер при сборке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Профиль сборки – именованный набор параметров одной работы: список файлов, каталог изображений, имя итогового документа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Разработанный инструмент – программа, созданная в рамках настоящей выпускной квалификационной работы для генерации DOCX из Markdown</w:t>
      </w:r>
    </w:p>
    <w:p>
      <w:pPr>
        <w:pStyle w:val="ДИПЛОМ-Обычныйтекст"/>
        <w:spacing w:after="12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Элемент документа – единица разобранного содержимого: заголовок, абзац, таблица, рисунок, листинг или формула</w:t>
      </w:r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03" w:name="_ВВЕДЕНИЕ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ВВЕДЕНИЕ</w:t>
      </w:r>
      <w:bookmarkEnd w:id="103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Оформление выпускной квалификационной работы по требованиям ГОСТ 7.32–2017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1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и локальным методическим указаниям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2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2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отнимает у студента значительное время. Текстовые процессоры требуют ручной настройки стилей, нумерации рисунков и таблиц, сборки оглавления и контроля сквозной нумерации источников. При каждой правке структуры эти действия приходится повторять.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Распространённый подход к решению этой проблемы – генерация документов из размеченного текста. Язык Markdown компактен и читаем, а формат DOCX остаётся обязательным для сдачи работ на большинстве кафедр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3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3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; </w:t>
      </w:r>
      <w:hyperlink w:anchor="src_4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4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. Существующие конвертеры общего назначения не учитывают специфические требования к ВКР: центрированные подписи рисунков, особый стиль заголовков приложений, сквозную нумерацию и оформление формул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5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5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Настоящая работа описывает разработанный инструмент, который превращает набор markdown-файлов в готовый к сдаче документ DOCX, беря на себя нумерацию, оглавление и оформление по требованиям.</w:t>
      </w:r>
    </w:p>
    <w:p>
      <w:pPr>
        <w:pStyle w:val="ДИПЛОМ-Обычныйтекст"/>
        <w:spacing w:before="240" w:after="12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Цель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Снижение трудозатрат на оформление выпускной квалификационной работы за счёт автоматической генерации DOCX из исходного текста на Markdown с соблюдением требований к оформлению.</w:t>
      </w:r>
    </w:p>
    <w:p>
      <w:pPr>
        <w:pStyle w:val="ДИПЛОМ-Обычныйтекст"/>
        <w:spacing w:before="240" w:after="12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Задачи работы</w:t>
      </w:r>
    </w:p>
    <w:p>
      <w:pPr>
        <w:pStyle w:val="ДИПЛОМ-Обычныйтекст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Проанализировать требования к оформлению ВКР и существующие конвертеры Markdown.</w:t>
      </w:r>
    </w:p>
    <w:p>
      <w:pPr>
        <w:pStyle w:val="ДИПЛОМ-Обычныйтекст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Спроектировать конвейер обработки: склейка файлов, разбор разметки, построение DOCX.</w:t>
      </w:r>
    </w:p>
    <w:p>
      <w:pPr>
        <w:pStyle w:val="ДИПЛОМ-Обычныйтекст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Реализовать разбор Markdown в структуру элементов документа, включая формулы.</w:t>
      </w:r>
    </w:p>
    <w:p>
      <w:pPr>
        <w:pStyle w:val="ДИПЛОМ-Обычныйтекст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Реализовать автоматическую нумерацию рисунков, таблиц, листингов и формул с перекрёстными ссылками.</w:t>
      </w:r>
    </w:p>
    <w:p>
      <w:pPr>
        <w:pStyle w:val="ДИПЛОМ-Обычныйтекст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Реализовать сборку оглавления с реальными номерами страниц через внешний движок разбивки.</w:t>
      </w:r>
    </w:p>
    <w:p>
      <w:pPr>
        <w:pStyle w:val="ДИПЛОМ-Обычныйтекст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Проверить работоспособность инструмента на демонстрационном комплекте исходных файлов.</w:t>
      </w:r>
    </w:p>
    <w:p>
      <w:pPr>
        <w:pStyle w:val="ДИПЛОМ-Обычныйтекст"/>
        <w:spacing w:before="240" w:after="12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Объект исследования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Процесс подготовки и оформления текстовых документов по нормативным требованиям.</w:t>
      </w:r>
    </w:p>
    <w:p>
      <w:pPr>
        <w:pStyle w:val="ДИПЛОМ-Обычныйтекст"/>
        <w:spacing w:before="240" w:after="12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Предмет исследования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Методы и программные средства автоматической генерации DOCX из размеченного текста.</w:t>
      </w:r>
    </w:p>
    <w:p>
      <w:pPr>
        <w:pStyle w:val="ДИПЛОМ-Обычныйтекст"/>
        <w:spacing w:before="240" w:after="12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Практическая значимость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Разработанный инструмент сокращает время на оформление и повторную пересборку работы, а также уменьшает число ошибок ручной нумерации и оформления.</w:t>
      </w:r>
    </w:p>
    <w:p>
      <w:pPr>
        <w:pStyle w:val="Heading1"/>
        <w:keepNext/>
        <w:pageBreakBefore/>
        <w:spacing w:before="0" w:after="240" w:line="240" w:lineRule="auto"/>
        <w:ind w:firstLine="709"/>
        <w:jc w:val="left"/>
        <w:outlineLvl w:val="0"/>
      </w:pPr>
      <w:bookmarkStart w:id="104" w:name="_1_Анализ_предметной_области_и_постановк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1 Анализ предметной области и постановка задачи</w:t>
      </w:r>
      <w:bookmarkEnd w:id="104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 главе рассматриваются требования к оформлению выпускной квалификационной работы, сравниваются существующие конвертеры Markdown и формулируются требования к разработанному инструменту.</w:t>
      </w: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05" w:name="_1.1_Требования_к_оформлению_работы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1.1 Требования к оформлению работы</w:t>
      </w:r>
      <w:bookmarkEnd w:id="105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Нормативные требования к отчёту задают параметры страницы, стили заголовков, оформление подписей и сквозную нумерацию объектов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1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. Ключевые требования, влияющие на архитектуру инструмента, сведены в таблице </w:t>
      </w:r>
      <w:hyperlink w:anchor="_xr_table_req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06" w:name="_xr_table_req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Таблица 1 – Требования к оформлению и их влияние на инструмент</w:t>
      </w:r>
      <w:bookmarkEnd w:id="106"/>
    </w:p>
    <w:tbl>
      <w:tblPr>
        <w:tblStyle w:val="TableGrid"/>
        <w:tblLook w:firstColumn="1" w:firstRow="1" w:lastColumn="0" w:lastRow="0" w:noHBand="0" w:noVBand="1" w:val="04A0"/>
        <w:tblLayout w:type="autofit"/>
        <w:tblW w:type="dxa" w:w="9356"/>
        <w:tblCellMar>
          <w:top w:w="0" w:type="dxa"/>
          <w:left w:w="60" w:type="dxa"/>
          <w:bottom w:w="0" w:type="dxa"/>
          <w:right w:w="60" w:type="dxa"/>
        </w:tblCellMar>
      </w:tblPr>
      <w:tblGrid>
        <w:gridCol w:w="2510"/>
        <w:gridCol w:w="3297"/>
        <w:gridCol w:w="3549"/>
      </w:tblGrid>
      <w:tr>
        <w:trPr>
          <w:cantSplit/>
          <w:tblHeader w:val="true"/>
        </w:trPr>
        <w:tc>
          <w:tcPr>
            <w:tcW w:type="dxa" w:w="25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Требование</w:t>
            </w:r>
          </w:p>
        </w:tc>
        <w:tc>
          <w:tcPr>
            <w:tcW w:type="dxa" w:w="329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Содержание</w:t>
            </w:r>
          </w:p>
        </w:tc>
        <w:tc>
          <w:tcPr>
            <w:tcW w:type="dxa" w:w="354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Реализация в инструменте</w:t>
            </w:r>
          </w:p>
        </w:tc>
      </w:tr>
      <w:tr>
        <w:trPr>
          <w:cantSplit/>
        </w:trPr>
        <w:tc>
          <w:tcPr>
            <w:tcW w:type="dxa" w:w="25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Стили текста</w:t>
            </w:r>
          </w:p>
        </w:tc>
        <w:tc>
          <w:tcPr>
            <w:tcW w:type="dxa" w:w="329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Times New Roman 14 pt, полуторный интервал</w:t>
            </w:r>
          </w:p>
        </w:tc>
        <w:tc>
          <w:tcPr>
            <w:tcW w:type="dxa" w:w="354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Программная настройка стилей DOCX</w:t>
            </w:r>
          </w:p>
        </w:tc>
      </w:tr>
      <w:tr>
        <w:trPr>
          <w:cantSplit/>
        </w:trPr>
        <w:tc>
          <w:tcPr>
            <w:tcW w:type="dxa" w:w="25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Подписи рисунков</w:t>
            </w:r>
          </w:p>
        </w:tc>
        <w:tc>
          <w:tcPr>
            <w:tcW w:type="dxa" w:w="329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По центру строки под рисунком</w:t>
            </w:r>
          </w:p>
        </w:tc>
        <w:tc>
          <w:tcPr>
            <w:tcW w:type="dxa" w:w="354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Отдельный стиль и выравнивание</w:t>
            </w:r>
          </w:p>
        </w:tc>
      </w:tr>
      <w:tr>
        <w:trPr>
          <w:cantSplit/>
        </w:trPr>
        <w:tc>
          <w:tcPr>
            <w:tcW w:type="dxa" w:w="25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Нумерация объектов</w:t>
            </w:r>
          </w:p>
        </w:tc>
        <w:tc>
          <w:tcPr>
            <w:tcW w:type="dxa" w:w="329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Сквозная, без пропусков</w:t>
            </w:r>
          </w:p>
        </w:tc>
        <w:tc>
          <w:tcPr>
            <w:tcW w:type="dxa" w:w="354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Автонумерация по порядку появления</w:t>
            </w:r>
          </w:p>
        </w:tc>
      </w:tr>
      <w:tr>
        <w:trPr>
          <w:cantSplit/>
        </w:trPr>
        <w:tc>
          <w:tcPr>
            <w:tcW w:type="dxa" w:w="25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Оглавление</w:t>
            </w:r>
          </w:p>
        </w:tc>
        <w:tc>
          <w:tcPr>
            <w:tcW w:type="dxa" w:w="329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Реальные номера страниц</w:t>
            </w:r>
          </w:p>
        </w:tc>
        <w:tc>
          <w:tcPr>
            <w:tcW w:type="dxa" w:w="354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Внешний движок разбивки на страницы</w:t>
            </w:r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Перечисленные требования делятся на три группы:</w:t>
      </w:r>
    </w:p>
    <w:p>
      <w:pPr>
        <w:pStyle w:val="ДИПЛОМ-Обычныйтекст"/>
        <w:numPr>
          <w:ilvl w:val="0"/>
          <w:numId w:val="11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параметры страницы и стилей текста;</w:t>
      </w:r>
    </w:p>
    <w:p>
      <w:pPr>
        <w:pStyle w:val="ДИПЛОМ-Обычныйтекст"/>
        <w:numPr>
          <w:ilvl w:val="0"/>
          <w:numId w:val="11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правила оформления рисунков, таблиц и формул;</w:t>
      </w:r>
    </w:p>
    <w:p>
      <w:pPr>
        <w:pStyle w:val="ДИПЛОМ-Обычныйтекст"/>
        <w:numPr>
          <w:ilvl w:val="0"/>
          <w:numId w:val="11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правила построения оглавления и списка источников.</w:t>
      </w:r>
    </w:p>
    <w:p>
      <w:pPr>
        <w:pStyle w:val="Heading3"/>
        <w:keepNext/>
        <w:spacing w:before="240" w:after="120" w:line="240" w:lineRule="auto"/>
        <w:ind w:firstLine="709"/>
        <w:jc w:val="left"/>
        <w:outlineLvl w:val="2"/>
      </w:pPr>
      <w:bookmarkStart w:id="107" w:name="_1.1.1_Нумерация_и_перекрёстные_ссылки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1.1.1 Нумерация и перекрёстные ссылки</w:t>
      </w:r>
      <w:bookmarkEnd w:id="107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При ручном оформлении номер объекта дублируется в подписи и в тексте ссылки. Если работа считает рисунки от единицы, то номер k-го рисунка равен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t>=</m:t>
        </m:r>
        <m:r>
          <m:t>k</m:t>
        </m:r>
      </m:oMath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, и вставка нового рисунка сдвигает все последующие номера. Поэтому ссылки должны вычисляться автоматически, а не записываться числом.</w:t>
      </w: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08" w:name="_1.2_Сравнение_существующих_конвертеров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1.2 Сравнение существующих конвертеров</w:t>
      </w:r>
      <w:bookmarkEnd w:id="108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Сравнение проводится в одной постановке: получить из размеченного текста документ DOCX, удовлетворяющий требованиям к ВКР, без ручной доводки. Учитываются следующие критерии:</w:t>
      </w:r>
    </w:p>
    <w:p>
      <w:pPr>
        <w:pStyle w:val="ДИПЛОМ-Обычныйтекст"/>
        <w:numPr>
          <w:ilvl w:val="0"/>
          <w:numId w:val="12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поддержка формул в формате, совместимом с DOCX:</w:t>
      </w:r>
    </w:p>
    <w:p>
      <w:pPr>
        <w:pStyle w:val="ДИПЛОМ-Обычныйтекст"/>
        <w:numPr>
          <w:ilvl w:val="1"/>
          <w:numId w:val="12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запись выносной формулы в одну строку;</w:t>
      </w:r>
    </w:p>
    <w:p>
      <w:pPr>
        <w:pStyle w:val="ДИПЛОМ-Обычныйтекст"/>
        <w:numPr>
          <w:ilvl w:val="1"/>
          <w:numId w:val="12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многострочная запись с выравниванием;</w:t>
      </w:r>
    </w:p>
    <w:p>
      <w:pPr>
        <w:pStyle w:val="ДИПЛОМ-Обычныйтекст"/>
        <w:numPr>
          <w:ilvl w:val="0"/>
          <w:numId w:val="12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автоматическая нумерация рисунков, таблиц и формул;</w:t>
      </w:r>
    </w:p>
    <w:p>
      <w:pPr>
        <w:pStyle w:val="ДИПЛОМ-Обычныйтекст"/>
        <w:numPr>
          <w:ilvl w:val="0"/>
          <w:numId w:val="12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сборка оглавления с реальными номерами страниц.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Результаты сравнения приведены в таблице </w:t>
      </w:r>
      <w:hyperlink w:anchor="_xr_table_compare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2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09" w:name="_xr_table_compare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Таблица 2 – Сравнение конвертеров по ключевым критериям</w:t>
      </w:r>
      <w:bookmarkEnd w:id="109"/>
    </w:p>
    <w:tbl>
      <w:tblPr>
        <w:tblStyle w:val="TableGrid"/>
        <w:tblLook w:firstColumn="1" w:firstRow="1" w:lastColumn="0" w:lastRow="0" w:noHBand="0" w:noVBand="1" w:val="04A0"/>
        <w:tblLayout w:type="autofit"/>
        <w:tblW w:type="dxa" w:w="9356"/>
        <w:tblCellMar>
          <w:top w:w="0" w:type="dxa"/>
          <w:left w:w="60" w:type="dxa"/>
          <w:bottom w:w="0" w:type="dxa"/>
          <w:right w:w="60" w:type="dxa"/>
        </w:tblCellMar>
      </w:tblPr>
      <w:tblGrid>
        <w:gridCol w:w="2772"/>
        <w:gridCol w:w="1793"/>
        <w:gridCol w:w="2579"/>
        <w:gridCol w:w="2212"/>
      </w:tblGrid>
      <w:tr>
        <w:trPr>
          <w:cantSplit/>
          <w:tblHeader w:val="true"/>
        </w:trPr>
        <w:tc>
          <w:tcPr>
            <w:tcW w:type="dxa" w:w="277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Решение</w:t>
            </w:r>
          </w:p>
        </w:tc>
        <w:tc>
          <w:tcPr>
            <w:tcW w:type="dxa" w:w="1793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Формулы в DOCX</w:t>
            </w:r>
          </w:p>
        </w:tc>
        <w:tc>
          <w:tcPr>
            <w:tcW w:type="dxa" w:w="257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Автонумерация</w:t>
            </w:r>
          </w:p>
        </w:tc>
        <w:tc>
          <w:tcPr>
            <w:tcW w:type="dxa" w:w="221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Оглавление с номерами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Универсальный конвертер [5]</w:t>
            </w:r>
          </w:p>
        </w:tc>
        <w:tc>
          <w:tcPr>
            <w:tcW w:type="dxa" w:w="1793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Частично</w:t>
            </w:r>
          </w:p>
        </w:tc>
        <w:tc>
          <w:tcPr>
            <w:tcW w:type="dxa" w:w="257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Нет</w:t>
            </w:r>
          </w:p>
        </w:tc>
        <w:tc>
          <w:tcPr>
            <w:tcW w:type="dxa" w:w="221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Частично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Ручное оформление в Word</w:t>
            </w:r>
          </w:p>
        </w:tc>
        <w:tc>
          <w:tcPr>
            <w:tcW w:type="dxa" w:w="1793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Да</w:t>
            </w:r>
          </w:p>
        </w:tc>
        <w:tc>
          <w:tcPr>
            <w:tcW w:type="dxa" w:w="257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Вручную</w:t>
            </w:r>
          </w:p>
        </w:tc>
        <w:tc>
          <w:tcPr>
            <w:tcW w:type="dxa" w:w="221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Вручную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Разработанный инструмент</w:t>
            </w:r>
          </w:p>
        </w:tc>
        <w:tc>
          <w:tcPr>
            <w:tcW w:type="dxa" w:w="1793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Да</w:t>
            </w:r>
          </w:p>
        </w:tc>
        <w:tc>
          <w:tcPr>
            <w:tcW w:type="dxa" w:w="2579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Да</w:t>
            </w:r>
          </w:p>
        </w:tc>
        <w:tc>
          <w:tcPr>
            <w:tcW w:type="dxa" w:w="2212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Да</w:t>
            </w:r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Из сравнения следует, что ниша разработанного инструмента – оформление работ по требованиям ВКР без ручной доводки.</w:t>
      </w: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10" w:name="_1.3_Требования_к_разработанному_инструм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1.3 Требования к разработанному инструменту</w:t>
      </w:r>
      <w:bookmarkEnd w:id="110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Разработанный инструмент должен:</w:t>
      </w:r>
    </w:p>
    <w:p>
      <w:pPr>
        <w:pStyle w:val="ДИПЛОМ-Обычныйтекст"/>
        <w:numPr>
          <w:ilvl w:val="0"/>
          <w:numId w:val="13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собирать исходные markdown-файлы в единый документ по конфигурации;</w:t>
      </w:r>
    </w:p>
    <w:p>
      <w:pPr>
        <w:pStyle w:val="ДИПЛОМ-Обычныйтекст"/>
        <w:numPr>
          <w:ilvl w:val="0"/>
          <w:numId w:val="13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разбирать разметку в структуру элементов, включая формулы;</w:t>
      </w:r>
    </w:p>
    <w:p>
      <w:pPr>
        <w:pStyle w:val="ДИПЛОМ-Обычныйтекст"/>
        <w:numPr>
          <w:ilvl w:val="0"/>
          <w:numId w:val="13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автоматически нумеровать рисунки, таблицы, листинги и формулы;</w:t>
      </w:r>
    </w:p>
    <w:p>
      <w:pPr>
        <w:pStyle w:val="ДИПЛОМ-Обычныйтекст"/>
        <w:numPr>
          <w:ilvl w:val="0"/>
          <w:numId w:val="13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поддерживать перекрёстные ссылки по именам объектов;</w:t>
      </w:r>
    </w:p>
    <w:p>
      <w:pPr>
        <w:pStyle w:val="ДИПЛОМ-Обычныйтекст"/>
        <w:numPr>
          <w:ilvl w:val="0"/>
          <w:numId w:val="13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формировать оглавление с реальными номерами страниц.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Общая схема обработки данных разработанным инструментом приведена на рисунке </w:t>
      </w:r>
      <w:hyperlink w:anchor="_xr_figure_pipeline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и подробно рассматривается во второй главе.</w:t>
      </w:r>
    </w:p>
    <w:p>
      <w:pPr>
        <w:pStyle w:val="Heading1"/>
        <w:keepNext/>
        <w:pageBreakBefore/>
        <w:spacing w:before="0" w:after="240" w:line="240" w:lineRule="auto"/>
        <w:ind w:firstLine="709"/>
        <w:jc w:val="left"/>
        <w:outlineLvl w:val="0"/>
      </w:pPr>
      <w:bookmarkStart w:id="111" w:name="_2_Проектирование_и_реализация_инструмен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2 Проектирование и реализация инструмента</w:t>
      </w:r>
      <w:bookmarkEnd w:id="111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 главе описаны конвейер обработки данных, разбор разметки, автонумерация объектов и сборка оглавления разработанного инструмента.</w:t>
      </w: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12" w:name="_2.1_Конвейер_обработки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2.1 Конвейер обработки</w:t>
      </w:r>
      <w:bookmarkEnd w:id="112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Обработка построена как последовательность шагов: склейка исходных файлов в бандл, разбор разметки в элементы документа, построение DOCX и определение номеров страниц для оглавления. Общая схема приведена на рисунке </w:t>
      </w:r>
      <w:hyperlink w:anchor="_xr_figure_pipeline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Рисунки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ДИПЛОМ-Рисунки"/>
        <w:keepNext w:val="0"/>
        <w:keepLines/>
        <w:spacing w:line="240" w:lineRule="auto" w:after="120"/>
        <w:ind w:firstLine="0"/>
        <w:jc w:val="center"/>
      </w:pPr>
      <w:bookmarkStart w:id="113" w:name="_xr_figure_pipeline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Рисунок 1 – Схема конвейера обработки данных</w:t>
      </w:r>
      <w:bookmarkEnd w:id="113"/>
    </w:p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Инструмент реализован на языке Python с использованием стандартной библиотеки и пакета для работы с DOCX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6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6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; </w:t>
      </w:r>
      <w:hyperlink w:anchor="src_7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7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. Разделение на шаги позволяет запускать их по отдельности: только склейку, только сборку DOCX из готового бандла или полную сборку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4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4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14" w:name="_2.2_Разбор_разметки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2.2 Разбор разметки</w:t>
      </w:r>
      <w:bookmarkEnd w:id="114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Исходный текст разбирается в плоский список элементов: заголовки, абзацы, списки, таблицы, рисунки, листинги и формулы. Дерево разбора схематично показано на рисунке </w:t>
      </w:r>
      <w:hyperlink w:anchor="_xr_figure_ast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2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Рисунки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ДИПЛОМ-Рисунки"/>
        <w:keepNext w:val="0"/>
        <w:keepLines/>
        <w:spacing w:line="240" w:lineRule="auto" w:after="120"/>
        <w:ind w:firstLine="0"/>
        <w:jc w:val="center"/>
      </w:pPr>
      <w:bookmarkStart w:id="115" w:name="_xr_figure_ast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Рисунок 2 – Преобразование Markdown в элементы документа</w:t>
      </w:r>
      <w:bookmarkEnd w:id="115"/>
    </w:p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Разметка делится на блоки по пустым строкам, после чего каждый блок классифицируется. Упрощённый алгоритм разбиения приведён в листинге </w:t>
      </w:r>
      <w:hyperlink w:anchor="_xr_listing_block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16" w:name="_xr_listing_block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Листинг 1 – Разбиение исходного текста на блоки</w:t>
      </w:r>
      <w:bookmarkEnd w:id="116"/>
    </w:p>
    <w:tbl>
      <w:tblPr>
        <w:tblStyle w:val="TableGrid"/>
        <w:tblW w:w="9356" w:type="dxa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w="9356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def split_blocks(lines):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block = []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for line in lines: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if line.strip() == "":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if block: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    yield block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    block = []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else: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block.append(line)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if block: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yield block</w:t>
            </w:r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17" w:name="_2.3_Оформление_формул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2.3 Оформление формул</w:t>
      </w:r>
      <w:bookmarkEnd w:id="117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Формулы записываются в подмножестве LaTeX и преобразуются в OMML – формат формул внутри DOCX. Поддерживаются как выносные формулы в несколько строк, так и запись формулы в одну строку.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Число объектов одного вида подсчитывается как сумма единиц по их появлениям: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r>
                  <m:t>N</m:t>
                </m:r>
                <m:r>
                  <m:t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>i</m:t>
                    </m:r>
                    <m: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t>1</m:t>
                    </m:r>
                  </m:e>
                </m:nary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18" w:name="_xr_formula_count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(1)</w:t>
            </w:r>
            <w:bookmarkEnd w:id="118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Формула </w:t>
      </w:r>
      <w:hyperlink w:anchor="_xr_formula_count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(1)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показывает запись выносной формулы в одну строку. </w:t>
      </w:r>
      <w:hyperlink w:anchor="_xr_formula_count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Формула (1)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– тот же номер, но записанный словом, тоже становится ссылкой. Эквивалентная многострочная запись приведена ниже: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r>
                  <m:t>p</m:t>
                </m:r>
                <m: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>
                      <m:t>S</m:t>
                    </m:r>
                  </m:den>
                </m:f>
                <m:r>
                  <m:t>×</m:t>
                </m:r>
                <m:r>
                  <m:t>1</m:t>
                </m:r>
                <m:r>
                  <m:t>0</m:t>
                </m:r>
                <m:r>
                  <m:t>0</m:t>
                </m:r>
                <m:r>
                  <m:t>%</m:t>
                </m:r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19" w:name="_xr_formula_ratio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(2)</w:t>
            </w:r>
            <w:bookmarkEnd w:id="119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В формуле </w:t>
      </w:r>
      <w:hyperlink w:anchor="_xr_formula_ratio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(2)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величина </w:t>
      </w:r>
      <m:oMath>
        <m:r>
          <m:t>s</m:t>
        </m:r>
      </m:oMath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– число обработанных элементов, </w:t>
      </w:r>
      <m:oMath>
        <m:r>
          <m:t>S</m:t>
        </m:r>
      </m:oMath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– общее число элементов; отношение задаёт долю готовности документа.</w:t>
      </w:r>
    </w:p>
    <w:p>
      <w:pPr>
        <w:pStyle w:val="Heading3"/>
        <w:keepNext/>
        <w:spacing w:before="240" w:after="120" w:line="240" w:lineRule="auto"/>
        <w:ind w:firstLine="709"/>
        <w:jc w:val="left"/>
        <w:outlineLvl w:val="2"/>
      </w:pPr>
      <w:bookmarkStart w:id="120" w:name="_2.3.1_Сложные_формулы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2.3.1 Сложные формулы</w:t>
      </w:r>
      <w:bookmarkEnd w:id="120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Конвертер формул рассчитан не только на простые выражения. Каждая формула ниже отрендерена самим инструментом из записи в подмножестве LaTeX: если пределы, индексы и дроби стоят на своих местах, значит преобразование в OMML выполнено верно.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Выборочная дисперсия объединяет дробь, сумму с пределами и возведение группы в степень: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</m:naryPr>
                  <m:sub>
                    <m:r>
                      <m:t>i</m:t>
                    </m:r>
                    <m: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-</m:t>
                    </m:r>
                    <m:r>
                      <m:t>μ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21" w:name="_xr_formula_variance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(3)</w:t>
            </w:r>
            <w:bookmarkEnd w:id="121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В формуле </w:t>
      </w:r>
      <w:hyperlink w:anchor="_xr_formula_variance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(3)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величина </w:t>
      </w:r>
      <m:oMath>
        <m:r>
          <m:t>μ</m:t>
        </m:r>
      </m:oMath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– выборочное среднее, а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– дисперсия. Частичная сумма гармонического ряда показывает, что после оператора суммы можно поставить дополнительные члены, если ограничить операнд фигурными скобками: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n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>k</m:t>
                    </m:r>
                    <m: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nary>
                <m:r>
                  <m:t>≈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n</m:t>
                </m:r>
                <m:r>
                  <m:t>(</m:t>
                </m:r>
                <m:r>
                  <m:t>n</m:t>
                </m:r>
                <m:r>
                  <m:t>)</m:t>
                </m:r>
                <m:r>
                  <m:t>+</m:t>
                </m:r>
                <m:r>
                  <m:t>γ</m:t>
                </m:r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22" w:name="_xr_formula_harmonic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(4)</w:t>
            </w:r>
            <w:bookmarkEnd w:id="122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Оценка </w:t>
      </w:r>
      <w:hyperlink w:anchor="_xr_formula_harmonic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(4)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сочетает сумму, дробь и приближённое равенство. Вложенные операторы суммирования также поддерживаются: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r>
                  <m:t>C</m:t>
                </m:r>
                <m:r>
                  <m:t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>i</m:t>
                    </m:r>
                    <m: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t>j</m:t>
                        </m:r>
                        <m: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·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23" w:name="_xr_formula_complexity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(5)</w:t>
            </w:r>
            <w:bookmarkEnd w:id="123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Двойная сумма </w:t>
      </w:r>
      <w:hyperlink w:anchor="_xr_formula_complexity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(5)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демонстрирует корректную вложенность пределов. Несобственный интеграл записывается через оператор с верхним и нижним пределами: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undOvr"/>
                  </m:naryPr>
                  <m:sub>
                    <m:r>
                      <m:t>0</m:t>
                    </m:r>
                  </m:sub>
                  <m:sup>
                    <m:r>
                      <m:t>∞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-</m:t>
                        </m:r>
                        <m:r>
                          <m:t>x</m:t>
                        </m:r>
                      </m:sup>
                    </m:sSup>
                    <m:r>
                      <m:t>d</m:t>
                    </m:r>
                    <m:r>
                      <m:t>x</m:t>
                    </m:r>
                  </m:e>
                </m:nary>
                <m:r>
                  <m:t>=</m:t>
                </m:r>
                <m:r>
                  <m:t>1</m:t>
                </m:r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24" w:name="_xr_formula_gauss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(6)</w:t>
            </w:r>
            <w:bookmarkEnd w:id="124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Интеграл </w:t>
      </w:r>
      <w:hyperlink w:anchor="_xr_formula_gauss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(6)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и факториал в виде произведения </w:t>
      </w:r>
      <w:hyperlink w:anchor="_xr_formula_product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(7)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используют один и тот же механизм отображения пределов: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r>
                  <m:t>n</m:t>
                </m:r>
                <m:r>
                  <m:t>!</m:t>
                </m:r>
                <m:r>
                  <m:t>=</m:t>
                </m:r>
                <m:nary>
                  <m:naryPr>
                    <m:chr m:val="∏"/>
                    <m:limLoc m:val="undOvr"/>
                  </m:naryPr>
                  <m:sub>
                    <m:r>
                      <m:t>i</m:t>
                    </m:r>
                    <m: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25" w:name="_xr_formula_product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(7)</w:t>
            </w:r>
            <w:bookmarkEnd w:id="125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Наконец, цепная дробь проверяет рекурсивный разбор выражения с вложенными дробями:</w:t>
      </w:r>
    </w:p>
    <w:p>
      <w:pPr>
        <w:spacing w:before="0" w:after="0" w:lineRule="exact" w:line="280"/>
        <w:ind w:firstLine="0" w:left="0"/>
      </w:pPr>
    </w:p>
    <w:tbl>
      <w:tblPr>
        <w:tblW w:type="dxa" w:w="9356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356"/>
        <w:gridCol w:w="1000"/>
      </w:tblGrid>
      <w:tr>
        <w:tc>
          <w:tcPr>
            <w:tcW w:type="dxa" w:w="8356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center"/>
            </w:pP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r>
                  <m:t>q</m:t>
                </m:r>
                <m: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t>+</m:t>
                        </m:r>
                        <m:r>
                          <m:t>x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type="dxa" w:w="1000"/>
            <w:vAlign w:val="center"/>
          </w:tcPr>
          <w:p>
            <w:pPr>
              <w:pStyle w:val="ДИПЛОМ-Обычныйтекст"/>
              <w:spacing w:before="0" w:after="0"/>
              <w:ind w:firstLine="0" w:left="0"/>
              <w:jc w:val="right"/>
            </w:pPr>
            <w:bookmarkStart w:id="126" w:name="_xr_formula_nested"/>
            <w:r>
              <w:rPr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8"/>
                <w:b w:val="0"/>
                <w:bCs w:val="0"/>
              </w:rPr>
              <w:t>(8)</w:t>
            </w:r>
            <w:bookmarkEnd w:id="126"/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Формула </w:t>
      </w:r>
      <w:hyperlink w:anchor="_xr_formula_nested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(8)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раскрывается без потери структуры. Тем самым подмножество LaTeX покрывает типовые формулы выпускной квалификационной работы.</w:t>
      </w: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27" w:name="_2.4_Автонумерация_и_перекрёстные_ссылки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2.4 Автонумерация и перекрёстные ссылки</w:t>
      </w:r>
      <w:bookmarkEnd w:id="127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Нумеруемые объекты помечаются устойчивыми ключами, а в тексте используются ссылки по этим ключам. При сборке ключи заменяются на номера по порядку появления, что исключает ручную правку номеров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[</w:t>
      </w:r>
      <w:hyperlink w:anchor="src_3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3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]</w:t>
      </w: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. Так, рисунок </w:t>
      </w:r>
      <w:hyperlink w:anchor="_xr_figure_pipeline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и рисунок </w:t>
      </w:r>
      <w:hyperlink w:anchor="_xr_figure_ast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2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получают номера автоматически, а формула </w:t>
      </w:r>
      <w:hyperlink w:anchor="_xr_formula_count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(1)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 сохраняет ссылку при вставке новых формул.</w:t>
      </w:r>
    </w:p>
    <w:p>
      <w:pPr>
        <w:pStyle w:val="Heading2"/>
        <w:keepNext/>
        <w:spacing w:before="240" w:after="120" w:line="240" w:lineRule="auto"/>
        <w:ind w:firstLine="709"/>
        <w:jc w:val="left"/>
        <w:outlineLvl w:val="1"/>
      </w:pPr>
      <w:bookmarkStart w:id="128" w:name="_2.5_Сборка_оглавления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2.5 Сборка оглавления</w:t>
      </w:r>
      <w:bookmarkEnd w:id="128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Реальные номера страниц заголовков нельзя узнать без разбивки документа на страницы. Поэтому инструмент строит DOCX, передаёт его внешнему движку (Microsoft Word через COM или LibreOffice через UNO), считывает номера страниц и повторяет сборку до стабилизации нумерации. Процесс показан на рисунке </w:t>
      </w:r>
      <w:hyperlink w:anchor="_xr_figure_toc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3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Рисунки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t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ДИПЛОМ-Рисунки"/>
        <w:keepNext w:val="0"/>
        <w:keepLines/>
        <w:spacing w:line="240" w:lineRule="auto" w:after="120"/>
        <w:ind w:firstLine="0"/>
        <w:jc w:val="center"/>
      </w:pPr>
      <w:bookmarkStart w:id="129" w:name="_xr_figure_toc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Рисунок 3 – Итеративное определение номеров страниц оглавления</w:t>
      </w:r>
      <w:bookmarkEnd w:id="129"/>
    </w:p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Обычно нумерация стабилизируется за два прохода: первый формирует структуру, второй проверяет, что номера страниц не изменились.</w:t>
      </w:r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30" w:name="_ЗАКЛЮЧЕНИЕ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ЗАКЛЮЧЕНИЕ</w:t>
      </w:r>
      <w:bookmarkEnd w:id="130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 ходе выполнения выпускной квалификационной работы разработан инструмент автоматической генерации DOCX из Markdown, учитывающий требования к оформлению выпускных квалификационных работ.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 рамках работы получены следующие результаты:</w:t>
      </w:r>
    </w:p>
    <w:p>
      <w:pPr>
        <w:pStyle w:val="ДИПЛОМ-Обычныйтекст"/>
        <w:numPr>
          <w:ilvl w:val="0"/>
          <w:numId w:val="14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проанализированы требования к оформлению ВКР и существующие конвертеры Markdown;</w:t>
      </w:r>
    </w:p>
    <w:p>
      <w:pPr>
        <w:pStyle w:val="ДИПЛОМ-Обычныйтекст"/>
        <w:numPr>
          <w:ilvl w:val="0"/>
          <w:numId w:val="14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спроектирован конвейер обработки: склейка файлов, разбор разметки, построение DOCX;</w:t>
      </w:r>
    </w:p>
    <w:p>
      <w:pPr>
        <w:pStyle w:val="ДИПЛОМ-Обычныйтекст"/>
        <w:numPr>
          <w:ilvl w:val="0"/>
          <w:numId w:val="14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реализован разбор Markdown в структуру элементов документа, включая формулы;</w:t>
      </w:r>
    </w:p>
    <w:p>
      <w:pPr>
        <w:pStyle w:val="ДИПЛОМ-Обычныйтекст"/>
        <w:numPr>
          <w:ilvl w:val="0"/>
          <w:numId w:val="14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реализованы автонумерация рисунков, таблиц, листингов и формул и перекрёстные ссылки по именам;</w:t>
      </w:r>
    </w:p>
    <w:p>
      <w:pPr>
        <w:pStyle w:val="ДИПЛОМ-Обычныйтекст"/>
        <w:numPr>
          <w:ilvl w:val="0"/>
          <w:numId w:val="14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реализована сборка оглавления с реальными номерами страниц через внешний движок разбивки;</w:t>
      </w:r>
    </w:p>
    <w:p>
      <w:pPr>
        <w:pStyle w:val="ДИПЛОМ-Обычныйтекст"/>
        <w:numPr>
          <w:ilvl w:val="0"/>
          <w:numId w:val="14"/>
        </w:numPr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работоспособность инструмента подтверждена на демонстрационном комплекте исходных файлов.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Цель работы достигнута: оформление документа автоматизировано, а повторная пересборка после правок не требует ручной настройки нумерации и оглавления. Направления дальнейшего развития – экспорт в PDF, режим автоматической пересборки при изменении файлов и встроенная проверка разметки.</w:t>
      </w:r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31" w:name="_СПИСОК_ИСПОЛЬЗОВАННЫХ_ИСТОЧНИКОВ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СПИСОК ИСПОЛЬЗОВАННЫХ ИСТОЧНИКОВ</w:t>
      </w:r>
      <w:bookmarkEnd w:id="131"/>
    </w:p>
    <w:p>
      <w:pPr>
        <w:pStyle w:val="ДИПЛОМ-Обычныйтекст"/>
        <w:ind w:firstLine="709"/>
        <w:jc w:val="left"/>
      </w:pPr>
      <w:bookmarkStart w:id="132" w:name="src_1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1. ГОСТ 7.32–2017. Отчёт о научно-исследовательской работе. Структура и правила оформления. – М.: Стандартинформ, 2017. – 27 с.</w:t>
      </w:r>
      <w:bookmarkEnd w:id="132"/>
    </w:p>
    <w:p>
      <w:pPr>
        <w:pStyle w:val="ДИПЛОМ-Обычныйтекст"/>
        <w:ind w:firstLine="709"/>
        <w:jc w:val="left"/>
      </w:pPr>
      <w:bookmarkStart w:id="133" w:name="src_2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2. Методические указания по выполнению выпускной квалификационной работы [Электронный ресурс]. – URL: https://itmo.ru (дата обращения: 15.03.2026).</w:t>
      </w:r>
      <w:bookmarkEnd w:id="133"/>
    </w:p>
    <w:p>
      <w:pPr>
        <w:pStyle w:val="ДИПЛОМ-Обычныйтекст"/>
        <w:ind w:firstLine="709"/>
        <w:jc w:val="left"/>
      </w:pPr>
      <w:bookmarkStart w:id="134" w:name="src_3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3. Gruber J. Markdown: Syntax [Электронный ресурс]. – URL: https://daringfireball.net/projects/markdown (дата обращения: 15.03.2026).</w:t>
      </w:r>
      <w:bookmarkEnd w:id="134"/>
    </w:p>
    <w:p>
      <w:pPr>
        <w:pStyle w:val="ДИПЛОМ-Обычныйтекст"/>
        <w:ind w:firstLine="709"/>
        <w:jc w:val="left"/>
      </w:pPr>
      <w:bookmarkStart w:id="135" w:name="src_4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4. Standard ECMA-376. Office Open XML File Formats [Электронный ресурс]. – URL: https://www.ecma-international.org/publications-and-standards/standards/ecma-376 (дата обращения: 15.03.2026).</w:t>
      </w:r>
      <w:bookmarkEnd w:id="135"/>
    </w:p>
    <w:p>
      <w:pPr>
        <w:pStyle w:val="ДИПЛОМ-Обычныйтекст"/>
        <w:ind w:firstLine="709"/>
        <w:jc w:val="left"/>
      </w:pPr>
      <w:bookmarkStart w:id="136" w:name="src_5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5. MacFarlane J. Pandoc: a universal document converter [Электронный ресурс]. – URL: https://pandoc.org (дата обращения: 15.03.2026).</w:t>
      </w:r>
      <w:bookmarkEnd w:id="136"/>
    </w:p>
    <w:p>
      <w:pPr>
        <w:pStyle w:val="ДИПЛОМ-Обычныйтекст"/>
        <w:ind w:firstLine="709"/>
        <w:jc w:val="left"/>
      </w:pPr>
      <w:bookmarkStart w:id="137" w:name="src_6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6. Лутц М. Изучаем Python. – М.: Вильямс, 2020. – 1280 с.</w:t>
      </w:r>
      <w:bookmarkEnd w:id="137"/>
    </w:p>
    <w:p>
      <w:pPr>
        <w:pStyle w:val="ДИПЛОМ-Обычныйтекст"/>
        <w:ind w:firstLine="709"/>
        <w:jc w:val="left"/>
      </w:pPr>
      <w:bookmarkStart w:id="138" w:name="src_7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7. Рамальо Л. Python. К вершинам мастерства. – М.: ДМК Пресс, 2022. – 880 с.</w:t>
      </w:r>
      <w:bookmarkEnd w:id="138"/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39" w:name="_ПРИЛОЖЕНИЕ_А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ПРИЛОЖЕНИЕ А</w:t>
      </w:r>
      <w:bookmarkEnd w:id="139"/>
    </w:p>
    <w:p>
      <w:pPr>
        <w:pStyle w:val="Heading2"/>
        <w:keepNext/>
        <w:spacing w:before="240" w:after="120" w:line="240" w:lineRule="auto"/>
        <w:ind w:firstLine="0"/>
        <w:jc w:val="center"/>
        <w:outlineLvl w:val="1"/>
      </w:pPr>
      <w:bookmarkStart w:id="140" w:name="_Фрагменты_исходного_кода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Фрагменты исходного кода</w:t>
      </w:r>
      <w:bookmarkEnd w:id="140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 приложении приведены фрагменты исходного кода разработанного инструмента, поясняющие разбор формул и автонумерацию объектов.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Распознавание выносной формулы, записанной в одну строку, приведено в листинге </w:t>
      </w:r>
      <w:hyperlink w:anchor="_xr_listing_single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А.1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41" w:name="_xr_listing_single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Листинг А.1 – Распознавание однострочной выносной формулы</w:t>
      </w:r>
      <w:bookmarkEnd w:id="141"/>
    </w:p>
    <w:tbl>
      <w:tblPr>
        <w:tblStyle w:val="TableGrid"/>
        <w:tblW w:w="9356" w:type="dxa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w="9356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import re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_SINGLE_LINE_DISPLAY_RE = re.compile(r"^\\\[(?P&lt;body&gt;.*?)\\\]$")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def parse_single_line_formula(line):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m = _SINGLE_LINE_DISPLAY_RE.match(line.strip())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return m.group("body").strip() if m else None</w:t>
            </w:r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Назначение последовательных номеров объектам по порядку их появления показано в листинге </w:t>
      </w:r>
      <w:hyperlink w:anchor="_xr_listing_numbering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А.2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42" w:name="_xr_listing_numbering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Листинг А.2 – Назначение номеров объектам по порядку появления</w:t>
      </w:r>
      <w:bookmarkEnd w:id="142"/>
    </w:p>
    <w:tbl>
      <w:tblPr>
        <w:tblStyle w:val="TableGrid"/>
        <w:tblW w:w="9356" w:type="dxa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w="9356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def assign_numbers(captions):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numbers = {}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counter = 0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for key in captions: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counter += 1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numbers[key] = counter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return numbers</w:t>
            </w:r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Полный цикл итеративной сборки оглавления с реальными номерами страниц приведён в листинге </w:t>
      </w:r>
      <w:hyperlink w:anchor="_xr_listing_loop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А.3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 Листинг намеренно длинный: на нём проверяется перенос исходного кода на следующую страницу. По иронии, именно эта функция и собрала документ, который вы читаете.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43" w:name="_xr_listing_loop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Листинг А.3 – Итеративная сборка документа со стабильными номерами страниц</w:t>
      </w:r>
      <w:bookmarkEnd w:id="143"/>
    </w:p>
    <w:tbl>
      <w:tblPr>
        <w:tblStyle w:val="TableGrid"/>
        <w:tblW w:w="9356" w:type="dxa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w="9356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def build_with_stable_toc(elements, render, paginate, max_passes=5):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"""Build a DOCX until the table-of-contents page numbers settle.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The page number of a heading depends on the layout, and the layout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depends on the table of contents, so the only reliable way to fill in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real page numbers is to render, measure, and repeat until nothing moves.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"""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page_numbers = {}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previous = None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for attempt in range(1, max_passes + 1):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document = render(elements, page_numbers)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document.save("_draft.docx")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measured = paginate("_draft.docx")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if measured == previous: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# Page numbers are stable: the current draft is final.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document.save("final.docx")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return attempt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# Feed the freshly measured numbers into the next pass so the table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# of contents reflects the real layout instead of placeholders.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previous = measured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page_numbers = dict(measured)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# Numbers never settled; keep the last draft but report the problem so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# the caller can decide whether the result is good enough.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document.save("final.docx")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raise RuntimeError(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f"table of contents did not stabilize after {max_passes} passes"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def collect_headings(elements):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"""Pull the headings out of the parsed elements in document order."""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headings = []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for index, element in enumerate(elements):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if element["type"] != "heading":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continue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headings.append(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{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    "level": element["level"],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    "text": element["text"].strip(),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    "order": index,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    }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    )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0"/>
                <w:b w:val="0"/>
                <w:bCs w:val="0"/>
                <w:i w:val="0"/>
                <w:iCs w:val="0"/>
              </w:rPr>
              <w:t xml:space="preserve">    return headings</w:t>
            </w:r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44" w:name="_ПРИЛОЖЕНИЕ_Б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ПРИЛОЖЕНИЕ Б</w:t>
      </w:r>
      <w:bookmarkEnd w:id="144"/>
    </w:p>
    <w:p>
      <w:pPr>
        <w:pStyle w:val="Heading2"/>
        <w:keepNext/>
        <w:spacing w:before="240" w:after="120" w:line="240" w:lineRule="auto"/>
        <w:ind w:firstLine="0"/>
        <w:jc w:val="center"/>
        <w:outlineLvl w:val="1"/>
      </w:pPr>
      <w:bookmarkStart w:id="145" w:name="_Экранные_формы_инструмента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Экранные формы инструмента</w:t>
      </w:r>
      <w:bookmarkEnd w:id="145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В приложении приведены экранные формы разработанного инструмента, демонстрирующие набор команд и структуру итогового документа.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Набор команд интерфейса командной строки показан на рисунке </w:t>
      </w:r>
      <w:hyperlink w:anchor="_xr_figure_cli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Б.1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Рисунки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01-c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ДИПЛОМ-Рисунки"/>
        <w:keepNext w:val="0"/>
        <w:keepLines/>
        <w:spacing w:line="240" w:lineRule="auto" w:after="120"/>
        <w:ind w:firstLine="0"/>
        <w:jc w:val="center"/>
      </w:pPr>
      <w:bookmarkStart w:id="146" w:name="_xr_figure_cli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Рисунок Б.1 – Набор команд интерфейса командной строки</w:t>
      </w:r>
      <w:bookmarkEnd w:id="146"/>
    </w:p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Внутренняя структура пакета DOCX показана на рисунке </w:t>
      </w:r>
      <w:hyperlink w:anchor="_xr_figure_pkg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Б.2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</w:t>
      </w:r>
    </w:p>
    <w:p>
      <w:pPr>
        <w:spacing w:before="0" w:after="0" w:lineRule="exact" w:line="280"/>
        <w:ind w:firstLine="0" w:left="0"/>
      </w:pPr>
    </w:p>
    <w:p>
      <w:pPr>
        <w:pStyle w:val="ДИПЛОМ-Рисунки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02-doc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ДИПЛОМ-Рисунки"/>
        <w:keepNext w:val="0"/>
        <w:keepLines/>
        <w:spacing w:line="240" w:lineRule="auto" w:after="120"/>
        <w:ind w:firstLine="0"/>
        <w:jc w:val="center"/>
      </w:pPr>
      <w:bookmarkStart w:id="147" w:name="_xr_figure_pkg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Рисунок Б.2 – Внутренняя структура пакета DOCX</w:t>
      </w:r>
      <w:bookmarkEnd w:id="147"/>
    </w:p>
    <w:p>
      <w:pPr>
        <w:spacing w:before="0" w:after="0" w:lineRule="exact" w:line="280"/>
        <w:ind w:firstLine="0" w:left="0"/>
      </w:pPr>
    </w:p>
    <w:p>
      <w:pPr>
        <w:pStyle w:val="Heading1"/>
        <w:keepNext/>
        <w:pageBreakBefore/>
        <w:spacing w:before="0" w:after="240" w:line="240" w:lineRule="auto"/>
        <w:ind w:firstLine="0"/>
        <w:jc w:val="center"/>
        <w:outlineLvl w:val="0"/>
      </w:pPr>
      <w:bookmarkStart w:id="148" w:name="_ПРИЛОЖЕНИЕ_В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ПРИЛОЖЕНИЕ В</w:t>
      </w:r>
      <w:bookmarkEnd w:id="148"/>
    </w:p>
    <w:p>
      <w:pPr>
        <w:pStyle w:val="Heading2"/>
        <w:keepNext/>
        <w:spacing w:before="240" w:after="120" w:line="240" w:lineRule="auto"/>
        <w:ind w:firstLine="0"/>
        <w:jc w:val="center"/>
        <w:outlineLvl w:val="1"/>
      </w:pPr>
      <w:bookmarkStart w:id="149" w:name="_Справочник_конструкций_разметки_и_коман"/>
      <w:r>
        <w:rPr>
          <w:rFonts w:ascii="Times New Roman" w:hAnsi="Times New Roman" w:cs="Times New Roman" w:eastAsia="Times New Roman"/>
          <w:i w:val="0"/>
          <w:color w:val="000000"/>
          <w:sz w:val="28"/>
          <w:b w:val="1"/>
          <w:bCs w:val="1"/>
        </w:rPr>
        <w:t>Справочник конструкций разметки и команд</w:t>
      </w:r>
      <w:bookmarkEnd w:id="149"/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Приложение собрано в виде нарочито длинных таблиц. На них проверяется требование ГОСТ к переносу таблиц: шапка таблицы должна повторяться на каждой странице. Если вы видите строку заголовка в начале второй страницы таблицы – значит, повтор шапки работает, что эта работа сама же и демонстрирует.</w:t>
      </w: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Полный перечень поддерживаемых конструкций разметки приведён в таблице </w:t>
      </w:r>
      <w:hyperlink w:anchor="_xr_table_elements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В.1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 В первом столбце записан буквальный синтаксис, во втором – элемент разобранного документа, в третьем – способ оформления в DOCX.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50" w:name="_xr_table_elements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Таблица В.1 – Конструкции разметки и их обработка инструментом</w:t>
      </w:r>
      <w:bookmarkEnd w:id="150"/>
    </w:p>
    <w:tbl>
      <w:tblPr>
        <w:tblStyle w:val="TableGrid"/>
        <w:tblLook w:firstColumn="1" w:firstRow="1" w:lastColumn="0" w:lastRow="0" w:noHBand="0" w:noVBand="1" w:val="04A0"/>
        <w:tblLayout w:type="autofit"/>
        <w:tblW w:type="dxa" w:w="9356"/>
        <w:tblCellMar>
          <w:top w:w="0" w:type="dxa"/>
          <w:left w:w="60" w:type="dxa"/>
          <w:bottom w:w="0" w:type="dxa"/>
          <w:right w:w="60" w:type="dxa"/>
        </w:tblCellMar>
      </w:tblPr>
      <w:tblGrid>
        <w:gridCol w:w="3078"/>
        <w:gridCol w:w="2831"/>
        <w:gridCol w:w="3447"/>
      </w:tblGrid>
      <w:tr>
        <w:trPr>
          <w:cantSplit/>
          <w:tblHeader w:val="true"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Конструкция разметки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Элемент документа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Оформление в DOCX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# Заголовок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заголовок первого уровня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стиль Heading 1, с новой страницы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## Заголовок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заголовок второго уровня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стиль Heading 2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### Заголовок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заголовок третьего уровня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стиль Heading 3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ВВЕДЕНИЕ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структурный раздел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заголовок по центру, в оглавлении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ЗАКЛЮЧЕНИЕ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структурный раздел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заголовок по центру, в оглавлении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ПРИЛОЖЕНИЕ А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заголовок приложения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особый стиль приложения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Текст абзаца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абзац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Times New Roman 14 pt, полуторный интервал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Список с дефиса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элемент списка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маркер-дефис по ГОСТ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Пункт со скобкой 1)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нумерованный пункт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арабская цифра со скобкой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Пункт с точкой 1.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нумерованный пункт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приводится к виду со скобкой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Буквенный пункт а)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буквенный пункт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строчная буква со скобкой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Список с отступом в два пробела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многоуровневый список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свой уровень нумерации и отступ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Строка из вертикальных черт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таблица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сетка, повтор шапки при переносе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Восклицательный знак, alt и путь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рисунок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вставка по центру с масштабом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Рисунок в фигурных скобках с ключом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подпись рисунка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по центру под рисунком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Таблица в фигурных скобках с ключом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подпись таблицы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над таблицей, слева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Листинг в фигурных скобках с ключом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подпись листинга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над листингом, слева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Тройные обратные кавычки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листинг кода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моноширинный шрифт в рамке</w:t>
            </w:r>
          </w:p>
        </w:tc>
      </w:tr>
    </w:tbl>
    <w:p>
      <w:pPr>
        <w:pStyle w:val="ДИПЛОМ-Таблицы"/>
        <w:keepNext/>
        <w:pageBreakBefore/>
        <w:spacing w:line="240" w:lineRule="auto" w:before="0" w:after="120"/>
        <w:ind w:firstLine="0"/>
        <w:jc w:val="right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Продолжение таблицы В.1</w:t>
      </w:r>
    </w:p>
    <w:tbl>
      <w:tblPr>
        <w:tblStyle w:val="TableGrid"/>
        <w:tblLook w:firstColumn="1" w:firstRow="1" w:lastColumn="0" w:lastRow="0" w:noHBand="0" w:noVBand="1" w:val="04A0"/>
        <w:tblLayout w:type="autofit"/>
        <w:tblW w:type="dxa" w:w="9356"/>
        <w:tblCellMar>
          <w:top w:w="0" w:type="dxa"/>
          <w:left w:w="60" w:type="dxa"/>
          <w:bottom w:w="0" w:type="dxa"/>
          <w:right w:w="60" w:type="dxa"/>
        </w:tblCellMar>
      </w:tblPr>
      <w:tblGrid>
        <w:gridCol w:w="3078"/>
        <w:gridCol w:w="2831"/>
        <w:gridCol w:w="3447"/>
      </w:tblGrid>
      <w:tr>
        <w:trPr>
          <w:cantSplit/>
          <w:tblHeader w:val="true"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Конструкция разметки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Элемент документа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Оформление в DOCX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Директива @listing с путём к файлу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листинг кода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содержимое файла в такой же рамке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Та же директива с диапазоном строк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листинг кода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 рамку попадают только указанные строки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Круглые скобки с косой чертой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строчная формула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OMML внутри строки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\[ ... \]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выносная формула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OMML в отдельном абзаце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Ключ в фигурных скобках после формулы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 формулы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 справа, ссылка по ключу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\frac{a}{b}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дробь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горизонтальная дробь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x_i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нижний индекс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подстрочный знак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x^2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верхний индекс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надстрочный знак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\sum, \prod, \int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большой оператор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пределы сверху и снизу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\alpha, \beta, \gamma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греческая буква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соответствующий символ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\times, \cdot, \leq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математический знак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соответствующий символ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[рис:k]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ссылка на рисунок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номер-гиперссылка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[табл:k]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ссылка на таблицу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номер-гиперссылка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[лист:k]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ссылка на листинг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номер-гиперссылка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[форм:k]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ссылка на формулу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 в скобках, гиперссылка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[{ключ}]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ссылка на источник по ключу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 по порядку первого упоминания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[{ключ-один}; {ключ-два}]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несколько источников сразу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номера через точку с запятой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{ключ} Автор. Заглавие...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запись в списке источников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пункт с автоматическим номером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[1], [1; 2], [1–3]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ссылка на источник по номеру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номер в квадратных скобках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Маркер file в комментарии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привязка к исходному файлу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 документ не попадает</w:t>
            </w:r>
          </w:p>
        </w:tc>
      </w:tr>
      <w:tr>
        <w:trPr>
          <w:cantSplit/>
        </w:trPr>
        <w:tc>
          <w:tcPr>
            <w:tcW w:type="dxa" w:w="3078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Обычный комментарий разметки</w:t>
            </w:r>
          </w:p>
        </w:tc>
        <w:tc>
          <w:tcPr>
            <w:tcW w:type="dxa" w:w="2831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комментарий</w:t>
            </w:r>
          </w:p>
        </w:tc>
        <w:tc>
          <w:tcPr>
            <w:tcW w:type="dxa" w:w="3447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пропускается при разборе</w:t>
            </w:r>
          </w:p>
        </w:tc>
      </w:tr>
    </w:tbl>
    <w:p>
      <w:pPr>
        <w:spacing w:before="0" w:after="0" w:lineRule="exact" w:line="280"/>
        <w:ind w:firstLine="0" w:left="0"/>
      </w:pPr>
    </w:p>
    <w:p>
      <w:pPr>
        <w:pStyle w:val="ДИПЛОМ-Обычныйтекст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 xml:space="preserve">Команды интерфейса командной строки и основные флаги сведены в таблице </w:t>
      </w:r>
      <w:hyperlink w:anchor="_xr_table_commands" w:history="1">
        <w:r>
          <w:rPr>
            <w:rFonts w:ascii="Times New Roman" w:hAnsi="Times New Roman" w:cs="Times New Roman" w:eastAsia="Times New Roman"/>
            <w:sz w:val="28"/>
            <w:szCs w:val="28"/>
            <w:i w:val="0"/>
            <w:iCs w:val="0"/>
            <w:u w:val="none"/>
            <w:b w:val="0"/>
            <w:bCs w:val="0"/>
          </w:rPr>
          <w:t>В.2</w:t>
        </w:r>
      </w:hyperlink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. Таблица также рассчитана на проверку переноса и повтора шапки.</w:t>
      </w:r>
    </w:p>
    <w:p>
      <w:pPr>
        <w:spacing w:before="0" w:after="0" w:lineRule="exact" w:line="280"/>
        <w:ind w:firstLine="0" w:left="0"/>
      </w:pPr>
    </w:p>
    <w:p>
      <w:pPr>
        <w:pStyle w:val="ДИПЛОМ-Таблицы"/>
        <w:keepNext/>
        <w:spacing w:line="240" w:lineRule="auto" w:after="120"/>
      </w:pPr>
      <w:bookmarkStart w:id="151" w:name="_xr_table_commands"/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Таблица В.2 – Команды и флаги интерфейса командной строки</w:t>
      </w:r>
      <w:bookmarkEnd w:id="151"/>
    </w:p>
    <w:tbl>
      <w:tblPr>
        <w:tblStyle w:val="TableGrid"/>
        <w:tblLook w:firstColumn="1" w:firstRow="1" w:lastColumn="0" w:lastRow="0" w:noHBand="0" w:noVBand="1" w:val="04A0"/>
        <w:tblLayout w:type="autofit"/>
        <w:tblW w:type="dxa" w:w="9356"/>
        <w:tblCellMar>
          <w:top w:w="0" w:type="dxa"/>
          <w:left w:w="60" w:type="dxa"/>
          <w:bottom w:w="0" w:type="dxa"/>
          <w:right w:w="60" w:type="dxa"/>
        </w:tblCellMar>
      </w:tblPr>
      <w:tblGrid>
        <w:gridCol w:w="4010"/>
        <w:gridCol w:w="5346"/>
      </w:tblGrid>
      <w:tr>
        <w:trPr>
          <w:cantSplit/>
          <w:tblHeader w:val="true"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Команда или флаг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build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склейка исходных файлов и сборка DOCX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merge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только склейка файлов в бандл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docx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сборка DOCX из готового бандла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validate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проверка конфигурации и наличия файлов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lint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проверка разметки на ошибки и замечания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stats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сбор статистики по документу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doctor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проверка зависимостей и движков сборки</w:t>
            </w:r>
          </w:p>
        </w:tc>
      </w:tr>
    </w:tbl>
    <w:p>
      <w:pPr>
        <w:pStyle w:val="ДИПЛОМ-Таблицы"/>
        <w:keepNext/>
        <w:pageBreakBefore/>
        <w:spacing w:line="240" w:lineRule="auto" w:before="0" w:after="120"/>
        <w:ind w:firstLine="0"/>
        <w:jc w:val="right"/>
      </w:pPr>
      <w:r>
        <w:rPr>
          <w:rFonts w:ascii="Times New Roman" w:hAnsi="Times New Roman" w:cs="Times New Roman" w:eastAsia="Times New Roman"/>
          <w:i w:val="0"/>
          <w:color w:val="000000"/>
          <w:sz w:val="28"/>
          <w:b w:val="0"/>
          <w:bCs w:val="0"/>
        </w:rPr>
        <w:t>Продолжение таблицы В.2</w:t>
      </w:r>
    </w:p>
    <w:tbl>
      <w:tblPr>
        <w:tblStyle w:val="TableGrid"/>
        <w:tblLook w:firstColumn="1" w:firstRow="1" w:lastColumn="0" w:lastRow="0" w:noHBand="0" w:noVBand="1" w:val="04A0"/>
        <w:tblLayout w:type="autofit"/>
        <w:tblW w:type="dxa" w:w="9356"/>
        <w:tblCellMar>
          <w:top w:w="0" w:type="dxa"/>
          <w:left w:w="60" w:type="dxa"/>
          <w:bottom w:w="0" w:type="dxa"/>
          <w:right w:w="60" w:type="dxa"/>
        </w:tblCellMar>
      </w:tblPr>
      <w:tblGrid>
        <w:gridCol w:w="4010"/>
        <w:gridCol w:w="5346"/>
      </w:tblGrid>
      <w:tr>
        <w:trPr>
          <w:cantSplit/>
          <w:tblHeader w:val="true"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Команда или флаг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init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создание шаблона конфигурации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profiles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список профилей из конфигурации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Флаг выбора движка разбивки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переключение между Word и LibreOffice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Флаг экспорта в PDF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запись PDF рядом с DOCX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Флаг выбора движка PDF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выбор Word или LibreOffice для PDF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Флаг выбора профиля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сборка по указанному профилю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Флаг пропуска сборки DOCX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только бандл без построения документа</w:t>
            </w:r>
          </w:p>
        </w:tc>
      </w:tr>
      <w:tr>
        <w:trPr>
          <w:cantSplit/>
        </w:trPr>
        <w:tc>
          <w:tcPr>
            <w:tcW w:type="dxa" w:w="4010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Флаг отключения предпроверки</w:t>
            </w:r>
          </w:p>
        </w:tc>
        <w:tc>
          <w:tcPr>
            <w:tcW w:type="dxa" w:w="5346"/>
          </w:tcPr>
          <w:p>
            <w:pPr>
              <w:spacing w:line="240" w:lineRule="auto" w:after="0"/>
              <w:ind w:firstLine="0"/>
              <w:jc w:val="left"/>
              <w:suppressAutoHyphens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b w:val="0"/>
                <w:bCs w:val="0"/>
              </w:rPr>
              <w:t>сборка без предварительного контроля</w:t>
            </w:r>
          </w:p>
        </w:tc>
      </w:tr>
    </w:tbl>
    <w:p>
      <w:pPr>
        <w:spacing w:before="0" w:after="0" w:lineRule="exact" w:line="280"/>
        <w:ind w:firstLine="0" w:left="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pgNumType w:start="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>
  <w:p>
    <w:pPr>
      <w:pStyle w:val="Footer"/>
      <w:jc w:val="center"/>
      <w:rPr>
        <w:rFonts w:ascii="Times New Roman" w:hAnsi="Times New Roman" w:cs="Times New Roman" w:eastAsia="Times New Roman"/>
        <w:color w:val="000000"/>
        <w:sz w:val="28"/>
        <w:szCs w:val="28"/>
        <w:b w:val="0"/>
        <w:bCs w:val="0"/>
      </w:rPr>
    </w:pPr>
    <w:r>
      <w:rPr>
        <w:rFonts w:ascii="Times New Roman" w:hAnsi="Times New Roman" w:cs="Times New Roman" w:eastAsia="Times New Roman"/>
        <w:color w:val="000000"/>
        <w:sz w:val="28"/>
        <w:szCs w:val="28"/>
        <w:b w:val="0"/>
        <w:bCs w:val="0"/>
      </w:rPr>
      <w:fldChar w:fldCharType="begin"/>
    </w:r>
    <w:r>
      <w:rPr>
        <w:rFonts w:ascii="Times New Roman" w:hAnsi="Times New Roman" w:cs="Times New Roman" w:eastAsia="Times New Roman"/>
        <w:color w:val="000000"/>
        <w:sz w:val="28"/>
        <w:szCs w:val="28"/>
        <w:b w:val="0"/>
        <w:bCs w:val="0"/>
      </w:rPr>
      <w:instrText xml:space="preserve"> PAGE   \* MERGEFORMAT </w:instrText>
    </w:r>
    <w:r>
      <w:rPr>
        <w:rFonts w:ascii="Times New Roman" w:hAnsi="Times New Roman" w:cs="Times New Roman" w:eastAsia="Times New Roman"/>
        <w:color w:val="000000"/>
        <w:sz w:val="28"/>
        <w:szCs w:val="28"/>
        <w:b w:val="0"/>
        <w:bCs w:val="0"/>
      </w:rPr>
      <w:fldChar w:fldCharType="separate"/>
    </w:r>
    <w:r>
      <w:rPr>
        <w:rFonts w:ascii="Times New Roman" w:hAnsi="Times New Roman" w:cs="Times New Roman" w:eastAsia="Times New Roman"/>
        <w:color w:val="000000"/>
        <w:sz w:val="28"/>
        <w:szCs w:val="28"/>
        <w:b w:val="0"/>
        <w:bCs w:val="0"/>
      </w:rPr>
      <w:t>3</w:t>
    </w:r>
    <w:r>
      <w:rPr>
        <w:rFonts w:ascii="Times New Roman" w:hAnsi="Times New Roman" w:cs="Times New Roman" w:eastAsia="Times New Roman"/>
        <w:color w:val="000000"/>
        <w:sz w:val="28"/>
        <w:szCs w:val="28"/>
        <w:b w:val="0"/>
        <w:bCs w:val="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 w:hint="default"/>
        <w:sz w:val="28"/>
        <w:szCs w:val="28"/>
      </w:rPr>
    </w:lvl>
  </w:abstractNum>
  <w:abstractNum w:abstractNumId="10">
    <w:multiLevelType w:val="singleLevel"/>
    <w:lvl w:ilvl="0">
      <w:start w:val="1"/>
      <w:numFmt w:val="russianLower"/>
      <w:lvlText w:val="%1)"/>
      <w:lvlJc w:val="left"/>
      <w:pPr>
        <w:ind w:left="992" w:hanging="283"/>
      </w:pPr>
      <w:rPr>
        <w:rFonts w:ascii="Times New Roman" w:hAnsi="Times New Roman" w:cs="Times New Roman" w:eastAsia="Times New Roman" w:hint="default"/>
        <w:sz w:val="28"/>
        <w:szCs w:val="28"/>
      </w:rPr>
    </w:lvl>
  </w:abstractNum>
  <w:abstractNum w:abstractNumId="11">
    <w:multiLevelType w:val="multiLevel"/>
    <w:lvl w:ilvl="0">
      <w:start w:val="1"/>
      <w:numFmt w:val="bullet"/>
      <w:lvlText w:val="–"/>
      <w:lvlJc w:val="left"/>
      <w:pPr>
        <w:ind w:left="992" w:hanging="283"/>
      </w:pPr>
      <w:rPr>
        <w:rFonts w:ascii="Times New Roman" w:hAnsi="Times New Roman" w:cs="Times New Roman" w:eastAsia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701" w:hanging="283"/>
      </w:pPr>
      <w:rPr>
        <w:rFonts w:ascii="Times New Roman" w:hAnsi="Times New Roman" w:cs="Times New Roman" w:eastAsia="Times New Roman" w:hint="default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 w:ascii="Times New Roman" w:hAnsi="Times New Roman" w:cs="Times New Roman" w:eastAsia="Times New Roman"/>
        <w:sz w:val="22"/>
        <w:szCs w:val="22"/>
        <w:lang w:val="ru-RU" w:eastAsia="en-US" w:bidi="ar-SA"/>
        <w:kern w:val="2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b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b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b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b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240"/>
      <w:ind w:firstLine="709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240"/>
      <w:ind w:firstLine="709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Rule="auto" w:line="240"/>
      <w:ind w:firstLine="709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b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/>
      <w:ind w:left="720" w:firstLine="709"/>
      <w:contextualSpacing/>
      <w:jc w:val="both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b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b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b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b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b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b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b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b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b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b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b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b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b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b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b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b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b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b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b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b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b w:val="0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b w:val="0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 w:val="0"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b w:val="0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 w:val="0"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 w:val="0"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b w:val="0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 w:val="0"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b w:val="0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 w:val="0"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 w:val="0"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b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ДИПЛОМ-Обычныйтекст">
    <w:name w:val="ДИПЛОМ - Обычный текст"/>
    <w:basedOn w:val="Normal"/>
    <w:pPr>
      <w:spacing w:lineRule="auto" w:line="360"/>
      <w:ind w:firstLine="709"/>
      <w:jc w:val="both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  <w:qFormat/>
  </w:style>
  <w:style w:type="paragraph" w:customStyle="1" w:styleId="ДИПЛОМ-Заголовок">
    <w:name w:val="ДИПЛОМ - Заголовок"/>
    <w:basedOn w:val="Heading1"/>
    <w:pPr>
      <w:spacing w:lineRule="auto" w:line="240" w:after="160"/>
      <w:ind w:firstLine="0"/>
      <w:jc w:val="center"/>
    </w:pPr>
    <w:rPr>
      <w:rFonts w:ascii="Times New Roman" w:hAnsi="Times New Roman" w:cs="Times New Roman" w:eastAsia="Times New Roman"/>
      <w:b/>
      <w:i w:val="0"/>
      <w:caps w:val="0"/>
      <w:color w:val="000000"/>
      <w:sz w:val="28"/>
      <w:spacing w:val="-10"/>
      <w:kern w:val="28"/>
    </w:rPr>
    <w:qFormat/>
    <w:autoRedefine/>
  </w:style>
  <w:style w:type="paragraph" w:customStyle="1" w:styleId="ДИПЛОМ-Рисунки">
    <w:name w:val="ДИПЛОМ - Рисунки"/>
    <w:basedOn w:val="Normal"/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  <w:qFormat/>
  </w:style>
  <w:style w:type="paragraph" w:customStyle="1" w:styleId="ДИПЛОМ-Таблицы">
    <w:name w:val="ДИПЛОМ - Таблицы"/>
    <w:basedOn w:val="Normal"/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  <w:qFormat/>
  </w:style>
  <w:style w:type="paragraph" w:customStyle="1" w:styleId="ДИПЛОМ-Код">
    <w:name w:val="ДИПЛОМ - Код"/>
    <w:basedOn w:val="Normal"/>
    <w:rPr>
      <w:rFonts w:ascii="Times New Roman" w:hAnsi="Times New Roman" w:cs="Times New Roman" w:eastAsia="Times New Roman"/>
      <w:b w:val="0"/>
      <w:i w:val="0"/>
      <w:caps w:val="0"/>
      <w:color w:val="000000"/>
      <w:sz w:val="20"/>
    </w:rPr>
    <w:qFormat/>
  </w:style>
  <w:style w:type="paragraph" w:customStyle="1" w:styleId="toc1">
    <w:name w:val="toc 1"/>
    <w:basedOn w:val="Normal"/>
    <w:pPr>
      <w:spacing w:lineRule="auto" w:line="360" w:after="100"/>
      <w:ind w:firstLine="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paragraph" w:customStyle="1" w:styleId="toc2">
    <w:name w:val="toc 2"/>
    <w:basedOn w:val="Normal"/>
    <w:pPr>
      <w:spacing w:lineRule="auto" w:line="360" w:after="100"/>
      <w:ind w:firstLine="0" w:left="22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paragraph" w:customStyle="1" w:styleId="toc3">
    <w:name w:val="toc 3"/>
    <w:basedOn w:val="Normal"/>
    <w:pPr>
      <w:spacing w:lineRule="auto" w:line="360" w:after="100"/>
      <w:ind w:firstLine="0" w:left="44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character" w:customStyle="1" w:styleId="Hyperlink">
    <w:name w:val="Hyperlink"/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character" w:customStyle="1" w:styleId="FollowedHyperlink">
    <w:name w:val="FollowedHyperlink"/>
    <w:rPr>
      <w:rFonts w:ascii="Times New Roman" w:hAnsi="Times New Roman" w:cs="Times New Roman" w:eastAsia="Times New Roman"/>
      <w:b w:val="0"/>
      <w:i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0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  <cp:contentStatus/>
  <dc:identifier/>
  <dc:language/>
  <cp:version/>
  <cp:lastPrinted>2026-01-01T00:00:00Z</cp:lastPrinted>
</cp:coreProperties>
</file>