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A68A7" w14:textId="513E0EBA" w:rsidR="008D7EB5" w:rsidRDefault="001C4DB4" w:rsidP="0056415B">
      <w:r>
        <w:t xml:space="preserve">We can </w:t>
      </w:r>
      <w:r w:rsidR="00A46D81">
        <w:t xml:space="preserve">clearly see all three </w:t>
      </w:r>
      <w:r w:rsidR="00F71B26">
        <w:t xml:space="preserve">sales </w:t>
      </w:r>
      <w:r w:rsidR="00E37EDD">
        <w:t>categories</w:t>
      </w:r>
      <w:r w:rsidR="00F71B26">
        <w:t xml:space="preserve"> have positive correlation with each other</w:t>
      </w:r>
      <w:r w:rsidR="00A0602A">
        <w:t xml:space="preserve"> during the last six months</w:t>
      </w:r>
      <w:r w:rsidR="00F71B26">
        <w:t xml:space="preserve">. </w:t>
      </w:r>
      <w:r w:rsidR="00D53BF9">
        <w:t xml:space="preserve">Food </w:t>
      </w:r>
      <w:r w:rsidR="00D437AF">
        <w:t>S</w:t>
      </w:r>
      <w:r w:rsidR="00D53BF9">
        <w:t xml:space="preserve">ales and </w:t>
      </w:r>
      <w:r w:rsidR="00D437AF">
        <w:t>H</w:t>
      </w:r>
      <w:r w:rsidR="00D53BF9">
        <w:t xml:space="preserve">ome </w:t>
      </w:r>
      <w:r w:rsidR="00D437AF">
        <w:t>F</w:t>
      </w:r>
      <w:r w:rsidR="00D53BF9">
        <w:t>urniture ha</w:t>
      </w:r>
      <w:r w:rsidR="0003740B">
        <w:t>ve strong</w:t>
      </w:r>
      <w:r w:rsidR="00CF1614">
        <w:t xml:space="preserve"> positive</w:t>
      </w:r>
      <w:r w:rsidR="0003740B">
        <w:t xml:space="preserve"> correlation of 0.86</w:t>
      </w:r>
      <w:r w:rsidR="00064CE5">
        <w:t>44922 or 86</w:t>
      </w:r>
      <w:r w:rsidR="007A797B">
        <w:t>.4</w:t>
      </w:r>
      <w:r w:rsidR="00064CE5">
        <w:t>%</w:t>
      </w:r>
      <w:r w:rsidR="00CF1614">
        <w:t>.</w:t>
      </w:r>
      <w:r w:rsidR="00426DCD">
        <w:t xml:space="preserve"> </w:t>
      </w:r>
      <w:r w:rsidR="00426DCD">
        <w:rPr>
          <w:rFonts w:ascii="Calibri" w:eastAsia="Times New Roman" w:hAnsi="Calibri" w:cs="Calibri"/>
          <w:color w:val="000000"/>
          <w:kern w:val="0"/>
          <w14:ligatures w14:val="none"/>
        </w:rPr>
        <w:t>It is</w:t>
      </w:r>
      <w:r w:rsidR="00B55F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426DCD">
        <w:rPr>
          <w:rFonts w:ascii="Calibri" w:eastAsia="Times New Roman" w:hAnsi="Calibri" w:cs="Calibri"/>
          <w:color w:val="000000"/>
          <w:kern w:val="0"/>
          <w14:ligatures w14:val="none"/>
        </w:rPr>
        <w:t>surprising to see how two completely different categories have such a high positive pattern. Both segments are unrelated and yet the real numbers prove the opposite.</w:t>
      </w:r>
      <w:r w:rsidR="00E50FF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D854D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Although </w:t>
      </w:r>
      <w:r w:rsidR="00DD4D50">
        <w:rPr>
          <w:rFonts w:ascii="Calibri" w:eastAsia="Times New Roman" w:hAnsi="Calibri" w:cs="Calibri"/>
          <w:color w:val="000000"/>
          <w:kern w:val="0"/>
          <w14:ligatures w14:val="none"/>
        </w:rPr>
        <w:t>it is</w:t>
      </w:r>
      <w:r w:rsidR="00D854D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hard to see in the graph but we can not</w:t>
      </w:r>
      <w:r w:rsidR="00D771B2">
        <w:rPr>
          <w:rFonts w:ascii="Calibri" w:eastAsia="Times New Roman" w:hAnsi="Calibri" w:cs="Calibri"/>
          <w:color w:val="000000"/>
          <w:kern w:val="0"/>
          <w14:ligatures w14:val="none"/>
        </w:rPr>
        <w:t>ice both lines are almost identical for two categories.</w:t>
      </w:r>
      <w:r w:rsidR="00CF1614">
        <w:t xml:space="preserve"> </w:t>
      </w:r>
      <w:r w:rsidR="00D437AF">
        <w:t>On the other hand,</w:t>
      </w:r>
      <w:r w:rsidR="00D556F6">
        <w:t xml:space="preserve"> Food and</w:t>
      </w:r>
      <w:r w:rsidR="00D437AF">
        <w:t xml:space="preserve"> </w:t>
      </w:r>
      <w:r w:rsidR="00D556F6">
        <w:t>Electronics &amp; Appliance</w:t>
      </w:r>
      <w:r w:rsidR="00B80A49">
        <w:t xml:space="preserve"> categories have the smallest correlation of </w:t>
      </w:r>
      <w:r w:rsidR="00B80A49" w:rsidRPr="00DA562F">
        <w:rPr>
          <w:rFonts w:ascii="Calibri" w:eastAsia="Times New Roman" w:hAnsi="Calibri" w:cs="Calibri"/>
          <w:color w:val="000000"/>
          <w:kern w:val="0"/>
          <w14:ligatures w14:val="none"/>
        </w:rPr>
        <w:t>0.1950026</w:t>
      </w:r>
      <w:r w:rsidR="007A797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or 19.5%.</w:t>
      </w:r>
      <w:r w:rsidR="003C548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Perhaps </w:t>
      </w:r>
      <w:r w:rsidR="009724C4">
        <w:rPr>
          <w:rFonts w:ascii="Calibri" w:eastAsia="Times New Roman" w:hAnsi="Calibri" w:cs="Calibri"/>
          <w:color w:val="000000"/>
          <w:kern w:val="0"/>
          <w14:ligatures w14:val="none"/>
        </w:rPr>
        <w:t>its not surprising that food and electronics have</w:t>
      </w:r>
      <w:r w:rsidR="001A075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</w:t>
      </w:r>
      <w:r w:rsidR="009724C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low correlation. </w:t>
      </w:r>
      <w:r w:rsidR="00FD62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Since </w:t>
      </w:r>
      <w:r w:rsidR="001A5B80">
        <w:rPr>
          <w:rFonts w:ascii="Calibri" w:eastAsia="Times New Roman" w:hAnsi="Calibri" w:cs="Calibri"/>
          <w:color w:val="000000"/>
          <w:kern w:val="0"/>
          <w14:ligatures w14:val="none"/>
        </w:rPr>
        <w:t>two</w:t>
      </w:r>
      <w:r w:rsidR="00FD62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seems to be unrelated in any</w:t>
      </w:r>
      <w:r w:rsidR="00403E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FD6255">
        <w:rPr>
          <w:rFonts w:ascii="Calibri" w:eastAsia="Times New Roman" w:hAnsi="Calibri" w:cs="Calibri"/>
          <w:color w:val="000000"/>
          <w:kern w:val="0"/>
          <w14:ligatures w14:val="none"/>
        </w:rPr>
        <w:t>way. However, it is very surprising</w:t>
      </w:r>
      <w:r w:rsidR="00D6777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that the correlation of </w:t>
      </w:r>
      <w:r w:rsidR="00635FA7">
        <w:rPr>
          <w:rFonts w:ascii="Calibri" w:eastAsia="Times New Roman" w:hAnsi="Calibri" w:cs="Calibri"/>
          <w:color w:val="000000"/>
          <w:kern w:val="0"/>
          <w14:ligatures w14:val="none"/>
        </w:rPr>
        <w:t>Home Furniture and Electronic &amp; Appliance</w:t>
      </w:r>
      <w:r w:rsidR="00FB2FF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stands at just </w:t>
      </w:r>
      <w:r w:rsidR="00FB2FF6" w:rsidRPr="00DA562F">
        <w:rPr>
          <w:rFonts w:ascii="Calibri" w:eastAsia="Times New Roman" w:hAnsi="Calibri" w:cs="Calibri"/>
          <w:color w:val="000000"/>
          <w:kern w:val="0"/>
          <w14:ligatures w14:val="none"/>
        </w:rPr>
        <w:t>0.220205781</w:t>
      </w:r>
      <w:r w:rsidR="00FB2FF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or 22%. </w:t>
      </w:r>
      <w:r w:rsidR="007000E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common sense would probably suggest when people buy home </w:t>
      </w:r>
      <w:r w:rsidR="00387CA2">
        <w:rPr>
          <w:rFonts w:ascii="Calibri" w:eastAsia="Times New Roman" w:hAnsi="Calibri" w:cs="Calibri"/>
          <w:color w:val="000000"/>
          <w:kern w:val="0"/>
          <w14:ligatures w14:val="none"/>
        </w:rPr>
        <w:t>furniture,</w:t>
      </w:r>
      <w:r w:rsidR="007000E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they would probably </w:t>
      </w:r>
      <w:r w:rsidR="00A67AB8">
        <w:rPr>
          <w:rFonts w:ascii="Calibri" w:eastAsia="Times New Roman" w:hAnsi="Calibri" w:cs="Calibri"/>
          <w:color w:val="000000"/>
          <w:kern w:val="0"/>
          <w14:ligatures w14:val="none"/>
        </w:rPr>
        <w:t>buy some electronics and appliances for their houses</w:t>
      </w:r>
      <w:r w:rsidR="006E5A8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Thus, the both segments should have strong </w:t>
      </w:r>
      <w:r w:rsidR="00387CA2">
        <w:rPr>
          <w:rFonts w:ascii="Calibri" w:eastAsia="Times New Roman" w:hAnsi="Calibri" w:cs="Calibri"/>
          <w:color w:val="000000"/>
          <w:kern w:val="0"/>
          <w14:ligatures w14:val="none"/>
        </w:rPr>
        <w:t>correlation</w:t>
      </w:r>
      <w:r w:rsidR="006E5A8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but the numbers</w:t>
      </w:r>
      <w:r w:rsidR="00387CA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showing the opposite.</w:t>
      </w:r>
      <w:r w:rsidR="009015B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2440"/>
        <w:gridCol w:w="1335"/>
        <w:gridCol w:w="1800"/>
        <w:gridCol w:w="2700"/>
      </w:tblGrid>
      <w:tr w:rsidR="00AC19B5" w:rsidRPr="00DA562F" w14:paraId="14F95B26" w14:textId="77777777" w:rsidTr="00AC19B5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AEFED9" w14:textId="77777777" w:rsidR="00DA562F" w:rsidRPr="00DA562F" w:rsidRDefault="00DA562F" w:rsidP="00DA5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Month 2004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73BF59" w14:textId="77777777" w:rsidR="00DA562F" w:rsidRPr="00DA562F" w:rsidRDefault="00DA562F" w:rsidP="00DA5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807E1D" w14:textId="77777777" w:rsidR="00DA562F" w:rsidRPr="00DA562F" w:rsidRDefault="00DA562F" w:rsidP="00DA5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Home Furniture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7314FE" w14:textId="77777777" w:rsidR="00DA562F" w:rsidRPr="00DA562F" w:rsidRDefault="00DA562F" w:rsidP="00DA5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Electronics &amp; Appliance </w:t>
            </w:r>
          </w:p>
        </w:tc>
      </w:tr>
      <w:tr w:rsidR="00DA562F" w:rsidRPr="00DA562F" w14:paraId="72B2049F" w14:textId="77777777" w:rsidTr="00AC19B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727C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C2EF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710,773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1408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11,217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C24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                    7,819 </w:t>
            </w:r>
          </w:p>
        </w:tc>
      </w:tr>
      <w:tr w:rsidR="00DA562F" w:rsidRPr="00DA562F" w14:paraId="27F950D4" w14:textId="77777777" w:rsidTr="00AC19B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35E8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DFB8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710,409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78E7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11,298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EE56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                    7,908 </w:t>
            </w:r>
          </w:p>
        </w:tc>
      </w:tr>
      <w:tr w:rsidR="00DA562F" w:rsidRPr="00DA562F" w14:paraId="346F6D4E" w14:textId="77777777" w:rsidTr="00AC19B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AAF6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5FF5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702,350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0383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11,104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7356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                    7,821 </w:t>
            </w:r>
          </w:p>
        </w:tc>
      </w:tr>
      <w:tr w:rsidR="00DA562F" w:rsidRPr="00DA562F" w14:paraId="68DEE817" w14:textId="77777777" w:rsidTr="00AC19B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1E1E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May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3FBF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704,309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7897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11,034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EDC2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                    7,938 </w:t>
            </w:r>
          </w:p>
        </w:tc>
      </w:tr>
      <w:tr w:rsidR="00DA562F" w:rsidRPr="00DA562F" w14:paraId="1DFF6F7C" w14:textId="77777777" w:rsidTr="00AC19B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B889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351C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702,681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6F1A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10,941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22EB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                    7,810 </w:t>
            </w:r>
          </w:p>
        </w:tc>
      </w:tr>
      <w:tr w:rsidR="00DA562F" w:rsidRPr="00DA562F" w14:paraId="45939772" w14:textId="77777777" w:rsidTr="00AC19B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A0EA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2C0B" w14:textId="77777777" w:rsidR="00DA562F" w:rsidRPr="00DA562F" w:rsidRDefault="00DA562F" w:rsidP="00DA56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5F5D" w14:textId="77777777" w:rsidR="00DA562F" w:rsidRPr="00DA562F" w:rsidRDefault="00DA562F" w:rsidP="00DA56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438E" w14:textId="77777777" w:rsidR="00DA562F" w:rsidRPr="00DA562F" w:rsidRDefault="00DA562F" w:rsidP="00DA56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562F" w:rsidRPr="00DA562F" w14:paraId="3669888D" w14:textId="77777777" w:rsidTr="00AC19B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C9CE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Source: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B210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DB92" w14:textId="77777777" w:rsidR="00DA562F" w:rsidRPr="00DA562F" w:rsidRDefault="00DA562F" w:rsidP="00DA56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15A6" w14:textId="77777777" w:rsidR="00DA562F" w:rsidRPr="00DA562F" w:rsidRDefault="00DA562F" w:rsidP="00DA56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562F" w:rsidRPr="00DA562F" w14:paraId="1B23F78A" w14:textId="77777777" w:rsidTr="00AC19B5">
        <w:trPr>
          <w:trHeight w:val="300"/>
        </w:trPr>
        <w:tc>
          <w:tcPr>
            <w:tcW w:w="82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5DD2" w14:textId="77777777" w:rsidR="00DA562F" w:rsidRPr="00DA562F" w:rsidRDefault="00DD4D50" w:rsidP="00DA562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hyperlink r:id="rId4" w:history="1">
              <w:r w:rsidR="00DA562F" w:rsidRPr="00DA562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Business and Industry: Time Series / Trend Charts (census.gov)</w:t>
              </w:r>
            </w:hyperlink>
          </w:p>
        </w:tc>
      </w:tr>
      <w:tr w:rsidR="00DA562F" w:rsidRPr="00DA562F" w14:paraId="7D6529FE" w14:textId="77777777" w:rsidTr="00AC19B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3017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BCB9" w14:textId="77777777" w:rsidR="00DA562F" w:rsidRPr="00DA562F" w:rsidRDefault="00DA562F" w:rsidP="00DA56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BAEE" w14:textId="77777777" w:rsidR="00DA562F" w:rsidRPr="00DA562F" w:rsidRDefault="00DA562F" w:rsidP="00DA56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1F5F" w14:textId="77777777" w:rsidR="00DA562F" w:rsidRPr="00DA562F" w:rsidRDefault="00DA562F" w:rsidP="00DA56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562F" w:rsidRPr="00DA562F" w14:paraId="411D38DC" w14:textId="77777777" w:rsidTr="00AC19B5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F51A" w14:textId="77777777" w:rsidR="00DA562F" w:rsidRPr="00DA562F" w:rsidRDefault="00DA562F" w:rsidP="00DA5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BBCA" w14:textId="55A129BB" w:rsidR="00DA562F" w:rsidRPr="00DA562F" w:rsidRDefault="00DA562F" w:rsidP="00DA5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Food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09F4" w14:textId="77777777" w:rsidR="00DA562F" w:rsidRPr="00DA562F" w:rsidRDefault="00DA562F" w:rsidP="00DA5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Home Furniture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99C1" w14:textId="77777777" w:rsidR="00DA562F" w:rsidRPr="00DA562F" w:rsidRDefault="00DA562F" w:rsidP="00DA5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Electronics &amp; Appliance </w:t>
            </w:r>
          </w:p>
        </w:tc>
      </w:tr>
      <w:tr w:rsidR="00DA562F" w:rsidRPr="00DA562F" w14:paraId="4C6B6E77" w14:textId="77777777" w:rsidTr="00AC19B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2F29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 Sales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E633" w14:textId="77777777" w:rsidR="00DA562F" w:rsidRPr="00DA562F" w:rsidRDefault="00DA562F" w:rsidP="00DA5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161C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F303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A562F" w:rsidRPr="00DA562F" w14:paraId="2FA0031F" w14:textId="77777777" w:rsidTr="00AC19B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A3CC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Furniture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9768" w14:textId="77777777" w:rsidR="00DA562F" w:rsidRPr="00DA562F" w:rsidRDefault="00DA562F" w:rsidP="00DA5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0.8644922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69DF" w14:textId="77777777" w:rsidR="00DA562F" w:rsidRPr="00DA562F" w:rsidRDefault="00DA562F" w:rsidP="00DA5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3182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A562F" w:rsidRPr="00DA562F" w14:paraId="39340A89" w14:textId="77777777" w:rsidTr="00AC19B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8D43" w14:textId="77777777" w:rsidR="00DA562F" w:rsidRPr="00DA562F" w:rsidRDefault="00DA562F" w:rsidP="00DA5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Electronics &amp; Appliance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0461" w14:textId="77777777" w:rsidR="00DA562F" w:rsidRPr="00DA562F" w:rsidRDefault="00DA562F" w:rsidP="00DA5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0.1950026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CA30" w14:textId="77777777" w:rsidR="00DA562F" w:rsidRPr="00DA562F" w:rsidRDefault="00DA562F" w:rsidP="00DA5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0.220205781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822F" w14:textId="77777777" w:rsidR="00DA562F" w:rsidRPr="00DA562F" w:rsidRDefault="00DA562F" w:rsidP="00DA5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56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37BBF2CB" w14:textId="77777777" w:rsidR="0056415B" w:rsidRDefault="0056415B" w:rsidP="0056415B"/>
    <w:p w14:paraId="4F193184" w14:textId="78C59CCC" w:rsidR="00AC19B5" w:rsidRDefault="00AC19B5" w:rsidP="0056415B">
      <w:r>
        <w:rPr>
          <w:noProof/>
        </w:rPr>
        <w:drawing>
          <wp:inline distT="0" distB="0" distL="0" distR="0" wp14:anchorId="501D3518" wp14:editId="6B2C6170">
            <wp:extent cx="5372100" cy="2924175"/>
            <wp:effectExtent l="0" t="0" r="0" b="9525"/>
            <wp:docPr id="13823368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A3444C-DADA-81FB-CC1E-1B6A6678F5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2D5BEF" w14:textId="57590CFA" w:rsidR="00EA44A7" w:rsidRDefault="001E065D" w:rsidP="0056415B">
      <w:r>
        <w:lastRenderedPageBreak/>
        <w:t xml:space="preserve">Similar situation </w:t>
      </w:r>
      <w:r w:rsidR="00FF11AF">
        <w:t>with</w:t>
      </w:r>
      <w:r w:rsidR="00182941">
        <w:t xml:space="preserve"> </w:t>
      </w:r>
      <w:r w:rsidR="008E0F29">
        <w:t>“</w:t>
      </w:r>
      <w:r w:rsidR="008E0F29" w:rsidRPr="00F20B75">
        <w:rPr>
          <w:rFonts w:ascii="Calibri" w:eastAsia="Times New Roman" w:hAnsi="Calibri" w:cs="Calibri"/>
          <w:color w:val="000000"/>
          <w:kern w:val="0"/>
          <w14:ligatures w14:val="none"/>
        </w:rPr>
        <w:t>Health and Personal Care</w:t>
      </w:r>
      <w:r w:rsidR="008E0F29">
        <w:rPr>
          <w:rFonts w:ascii="Calibri" w:eastAsia="Times New Roman" w:hAnsi="Calibri" w:cs="Calibri"/>
          <w:color w:val="000000"/>
          <w:kern w:val="0"/>
          <w14:ligatures w14:val="none"/>
        </w:rPr>
        <w:t>” and “</w:t>
      </w:r>
      <w:r w:rsidR="008E0F29" w:rsidRPr="00F20B75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Building Mat. &amp;</w:t>
      </w:r>
      <w:r w:rsidR="008E0F29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 xml:space="preserve"> </w:t>
      </w:r>
      <w:r w:rsidR="008E0F29" w:rsidRPr="00F20B75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Garden Equip</w:t>
      </w:r>
      <w:proofErr w:type="gramStart"/>
      <w:r w:rsidR="008E0F29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”</w:t>
      </w:r>
      <w:r w:rsidR="00FF11AF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.</w:t>
      </w:r>
      <w:proofErr w:type="gramEnd"/>
      <w:r w:rsidR="00705DC4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 xml:space="preserve"> </w:t>
      </w:r>
      <w:r w:rsidR="00705DC4">
        <w:rPr>
          <w:rFonts w:ascii="Calibri" w:eastAsia="Times New Roman" w:hAnsi="Calibri" w:cs="Calibri"/>
          <w:color w:val="000000"/>
          <w:kern w:val="0"/>
          <w14:ligatures w14:val="none"/>
        </w:rPr>
        <w:t>Both,</w:t>
      </w:r>
      <w:r w:rsidR="008E0F29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 xml:space="preserve"> </w:t>
      </w:r>
      <w:r w:rsidR="008E0C81">
        <w:rPr>
          <w:rFonts w:ascii="Calibri" w:eastAsia="Times New Roman" w:hAnsi="Calibri" w:cs="Calibri"/>
          <w:color w:val="000000"/>
          <w:kern w:val="0"/>
          <w14:ligatures w14:val="none"/>
        </w:rPr>
        <w:t>hav</w:t>
      </w:r>
      <w:r w:rsidR="00CF1C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 no connection to each other </w:t>
      </w:r>
      <w:r w:rsidR="00925080">
        <w:rPr>
          <w:rFonts w:ascii="Calibri" w:eastAsia="Times New Roman" w:hAnsi="Calibri" w:cs="Calibri"/>
          <w:color w:val="000000"/>
          <w:kern w:val="0"/>
          <w14:ligatures w14:val="none"/>
        </w:rPr>
        <w:t>and</w:t>
      </w:r>
      <w:r w:rsidR="00CF1C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yet having </w:t>
      </w:r>
      <w:r w:rsidR="004C63A0">
        <w:rPr>
          <w:rFonts w:ascii="Calibri" w:eastAsia="Times New Roman" w:hAnsi="Calibri" w:cs="Calibri"/>
          <w:color w:val="000000"/>
          <w:kern w:val="0"/>
          <w14:ligatures w14:val="none"/>
        </w:rPr>
        <w:t>high</w:t>
      </w:r>
      <w:r w:rsidR="00CF1C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correlation of</w:t>
      </w:r>
      <w:r w:rsidR="004C63A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4C63A0" w:rsidRPr="00F20B75">
        <w:rPr>
          <w:rFonts w:ascii="Calibri" w:eastAsia="Times New Roman" w:hAnsi="Calibri" w:cs="Calibri"/>
          <w:color w:val="000000"/>
          <w:kern w:val="0"/>
          <w14:ligatures w14:val="none"/>
        </w:rPr>
        <w:t>0.87457653</w:t>
      </w:r>
      <w:r w:rsidR="004C63A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or 87.5%.</w:t>
      </w:r>
      <w:r w:rsidR="0073431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From the line graph we can see how two representative lines are almost identical.</w:t>
      </w:r>
      <w:r w:rsidR="00D4349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 smallest relation we can observe between</w:t>
      </w:r>
      <w:r w:rsidR="00063BE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“</w:t>
      </w:r>
      <w:r w:rsidR="00063BE8" w:rsidRPr="00F20B75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Auto &amp; Motor Vehicles</w:t>
      </w:r>
      <w:r w:rsidR="00063BE8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 xml:space="preserve">” </w:t>
      </w:r>
      <w:r w:rsidR="00063BE8" w:rsidRPr="00063BE8">
        <w:rPr>
          <w:rFonts w:ascii="Calibri" w:eastAsia="Times New Roman" w:hAnsi="Calibri" w:cs="Calibri"/>
          <w:color w:val="000000"/>
          <w:kern w:val="0"/>
          <w14:ligatures w14:val="none"/>
        </w:rPr>
        <w:t>and</w:t>
      </w:r>
      <w:r w:rsidR="00063BE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“</w:t>
      </w:r>
      <w:r w:rsidR="00B943BF" w:rsidRPr="00F20B75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Building Mat. &amp;</w:t>
      </w:r>
      <w:r w:rsidR="00B943BF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 xml:space="preserve"> </w:t>
      </w:r>
      <w:r w:rsidR="00B943BF" w:rsidRPr="00F20B75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Garden Equip</w:t>
      </w:r>
      <w:r w:rsidR="00B943BF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”</w:t>
      </w:r>
      <w:r w:rsidR="00BD316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resulting in</w:t>
      </w:r>
      <w:r w:rsidR="00A672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A672ED" w:rsidRPr="00F20B75">
        <w:rPr>
          <w:rFonts w:ascii="Calibri" w:eastAsia="Times New Roman" w:hAnsi="Calibri" w:cs="Calibri"/>
          <w:color w:val="000000"/>
          <w:kern w:val="0"/>
          <w14:ligatures w14:val="none"/>
        </w:rPr>
        <w:t>0.184021866</w:t>
      </w:r>
      <w:r w:rsidR="00A672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or 18.4%.</w:t>
      </w:r>
      <w:r w:rsidR="00A3134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Visually, we can observe how the two lines are having different shape.</w:t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3340"/>
        <w:gridCol w:w="1785"/>
        <w:gridCol w:w="1800"/>
        <w:gridCol w:w="1710"/>
      </w:tblGrid>
      <w:tr w:rsidR="006A7B6E" w:rsidRPr="00F20B75" w14:paraId="1AC20570" w14:textId="77777777" w:rsidTr="00766B2C">
        <w:trPr>
          <w:trHeight w:val="6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BAC7C1" w14:textId="77777777" w:rsidR="00F20B75" w:rsidRPr="00F20B75" w:rsidRDefault="00F20B75" w:rsidP="00F20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Month 2004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58E12D4" w14:textId="77777777" w:rsidR="00F20B75" w:rsidRPr="00F20B75" w:rsidRDefault="00F20B75" w:rsidP="00F20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Auto &amp; </w:t>
            </w:r>
            <w:r w:rsidRPr="00F20B7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  <w:t>Motor Vehicles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6750F15" w14:textId="77777777" w:rsidR="00F20B75" w:rsidRPr="00F20B75" w:rsidRDefault="00F20B75" w:rsidP="00F20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Building Mat. &amp;</w:t>
            </w:r>
            <w:r w:rsidRPr="00F20B7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  <w:t xml:space="preserve"> Garden Equip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3D057B7" w14:textId="77777777" w:rsidR="00F20B75" w:rsidRPr="00F20B75" w:rsidRDefault="00F20B75" w:rsidP="00F20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Health &amp; </w:t>
            </w:r>
            <w:r w:rsidRPr="00F20B7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  <w:t>Personal Care</w:t>
            </w:r>
          </w:p>
        </w:tc>
      </w:tr>
      <w:tr w:rsidR="00F20B75" w:rsidRPr="00F20B75" w14:paraId="53389631" w14:textId="77777777" w:rsidTr="00766B2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5A34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3F6D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122,680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1DD4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41,170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10B3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37,797 </w:t>
            </w:r>
          </w:p>
        </w:tc>
      </w:tr>
      <w:tr w:rsidR="00F20B75" w:rsidRPr="00F20B75" w14:paraId="3EE6A425" w14:textId="77777777" w:rsidTr="00766B2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B6AF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2C17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122,830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6A5D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41,144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3CF0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37,543 </w:t>
            </w:r>
          </w:p>
        </w:tc>
      </w:tr>
      <w:tr w:rsidR="00F20B75" w:rsidRPr="00F20B75" w14:paraId="53E14C99" w14:textId="77777777" w:rsidTr="00766B2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FAEE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Jun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4DFC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117,124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8800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40,803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3E79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36,911 </w:t>
            </w:r>
          </w:p>
        </w:tc>
      </w:tr>
      <w:tr w:rsidR="00F20B75" w:rsidRPr="00F20B75" w14:paraId="597D5F4A" w14:textId="77777777" w:rsidTr="00766B2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5C9B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May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63AD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122,039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B4A0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40,189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0A42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36,669 </w:t>
            </w:r>
          </w:p>
        </w:tc>
      </w:tr>
      <w:tr w:rsidR="00F20B75" w:rsidRPr="00F20B75" w14:paraId="7F0D5125" w14:textId="77777777" w:rsidTr="00766B2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8781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2FBD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120,647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3144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40,402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BBBE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36,117 </w:t>
            </w:r>
          </w:p>
        </w:tc>
      </w:tr>
      <w:tr w:rsidR="00F20B75" w:rsidRPr="00F20B75" w14:paraId="55A0B316" w14:textId="77777777" w:rsidTr="00766B2C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F2A6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AE09" w14:textId="77777777" w:rsidR="00F20B75" w:rsidRPr="00F20B75" w:rsidRDefault="00F20B75" w:rsidP="00F20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600A" w14:textId="77777777" w:rsidR="00F20B75" w:rsidRPr="00F20B75" w:rsidRDefault="00F20B75" w:rsidP="00F20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587E" w14:textId="77777777" w:rsidR="00F20B75" w:rsidRPr="00F20B75" w:rsidRDefault="00F20B75" w:rsidP="00F20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0B75" w:rsidRPr="00F20B75" w14:paraId="1DF3B502" w14:textId="77777777" w:rsidTr="00766B2C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409E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Source: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96E9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343F" w14:textId="77777777" w:rsidR="00F20B75" w:rsidRPr="00F20B75" w:rsidRDefault="00F20B75" w:rsidP="00F20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394A" w14:textId="77777777" w:rsidR="00F20B75" w:rsidRPr="00F20B75" w:rsidRDefault="00F20B75" w:rsidP="00F20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0B75" w:rsidRPr="00F20B75" w14:paraId="17F95379" w14:textId="77777777" w:rsidTr="00766B2C">
        <w:trPr>
          <w:trHeight w:val="300"/>
        </w:trPr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E193" w14:textId="77777777" w:rsidR="00F20B75" w:rsidRPr="00F20B75" w:rsidRDefault="00DD4D50" w:rsidP="00F20B7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hyperlink r:id="rId6" w:history="1">
              <w:r w:rsidR="00F20B75" w:rsidRPr="00F20B7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Business and Industry: Time Series / Trend Charts (census.gov)</w:t>
              </w:r>
            </w:hyperlink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81B1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</w:p>
        </w:tc>
      </w:tr>
      <w:tr w:rsidR="00F20B75" w:rsidRPr="00F20B75" w14:paraId="1181E188" w14:textId="77777777" w:rsidTr="00766B2C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F936" w14:textId="77777777" w:rsidR="00F20B75" w:rsidRPr="00F20B75" w:rsidRDefault="00F20B75" w:rsidP="00F20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658E" w14:textId="77777777" w:rsidR="00F20B75" w:rsidRPr="00F20B75" w:rsidRDefault="00F20B75" w:rsidP="00F20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E9BA" w14:textId="77777777" w:rsidR="00F20B75" w:rsidRPr="00F20B75" w:rsidRDefault="00F20B75" w:rsidP="00F20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690D" w14:textId="77777777" w:rsidR="00F20B75" w:rsidRPr="00F20B75" w:rsidRDefault="00F20B75" w:rsidP="00F20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6B2C" w:rsidRPr="00F20B75" w14:paraId="3A726957" w14:textId="77777777" w:rsidTr="00766B2C">
        <w:trPr>
          <w:trHeight w:val="6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CEA9" w14:textId="77777777" w:rsidR="00F20B75" w:rsidRPr="00F20B75" w:rsidRDefault="00F20B75" w:rsidP="00F20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60255" w14:textId="77777777" w:rsidR="00F20B75" w:rsidRPr="00F20B75" w:rsidRDefault="00F20B75" w:rsidP="00F20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Auto &amp; </w:t>
            </w:r>
            <w:r w:rsidRPr="00F20B7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br/>
              <w:t>Motor Vehicles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46805" w14:textId="77777777" w:rsidR="00F20B75" w:rsidRPr="00F20B75" w:rsidRDefault="00F20B75" w:rsidP="00F20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Building Mat. &amp; </w:t>
            </w:r>
            <w:r w:rsidRPr="00F20B7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br/>
              <w:t>Garden Equip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76C4C" w14:textId="77777777" w:rsidR="00F20B75" w:rsidRPr="00F20B75" w:rsidRDefault="00F20B75" w:rsidP="00F20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Health &amp; </w:t>
            </w:r>
            <w:r w:rsidRPr="00F20B7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br/>
              <w:t>Personal Care</w:t>
            </w:r>
          </w:p>
        </w:tc>
      </w:tr>
      <w:tr w:rsidR="00F20B75" w:rsidRPr="00F20B75" w14:paraId="7BD18774" w14:textId="77777777" w:rsidTr="00766B2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FE41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&amp; Motor Vehicles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E0AC" w14:textId="77777777" w:rsidR="00F20B75" w:rsidRPr="00F20B75" w:rsidRDefault="00F20B75" w:rsidP="00F20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1741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DA54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20B75" w:rsidRPr="00F20B75" w14:paraId="6268941D" w14:textId="77777777" w:rsidTr="00766B2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5D29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Building Mat. &amp; Garden Equip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B6A7" w14:textId="77777777" w:rsidR="00F20B75" w:rsidRPr="00F20B75" w:rsidRDefault="00F20B75" w:rsidP="00F20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0.184021866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E674" w14:textId="77777777" w:rsidR="00F20B75" w:rsidRPr="00F20B75" w:rsidRDefault="00F20B75" w:rsidP="00F20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DC6A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20B75" w:rsidRPr="00F20B75" w14:paraId="7D849ABB" w14:textId="77777777" w:rsidTr="00766B2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12EC" w14:textId="77777777" w:rsidR="00F20B75" w:rsidRPr="00F20B75" w:rsidRDefault="00F20B75" w:rsidP="00F20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Health and Personal Care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C146" w14:textId="77777777" w:rsidR="00F20B75" w:rsidRPr="00F20B75" w:rsidRDefault="00F20B75" w:rsidP="00F20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0.413357033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7697" w14:textId="77777777" w:rsidR="00F20B75" w:rsidRPr="00F20B75" w:rsidRDefault="00F20B75" w:rsidP="00F20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0.87457653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68BB" w14:textId="77777777" w:rsidR="00F20B75" w:rsidRPr="00F20B75" w:rsidRDefault="00F20B75" w:rsidP="00F20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0B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6B404769" w14:textId="77777777" w:rsidR="00EA44A7" w:rsidRDefault="00EA44A7" w:rsidP="0056415B"/>
    <w:p w14:paraId="56FC956F" w14:textId="6B685CB1" w:rsidR="006A7B6E" w:rsidRDefault="006A7B6E" w:rsidP="0056415B">
      <w:r>
        <w:rPr>
          <w:noProof/>
        </w:rPr>
        <w:drawing>
          <wp:inline distT="0" distB="0" distL="0" distR="0" wp14:anchorId="1DB8EAB7" wp14:editId="5A111E0F">
            <wp:extent cx="4991100" cy="2743200"/>
            <wp:effectExtent l="0" t="0" r="0" b="0"/>
            <wp:docPr id="15192071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E35956-9242-3BEF-AC01-5C17A8A6B0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DB9D29" w14:textId="77777777" w:rsidR="00230352" w:rsidRDefault="00230352" w:rsidP="0056415B"/>
    <w:p w14:paraId="39345396" w14:textId="77777777" w:rsidR="00766512" w:rsidRDefault="00766512" w:rsidP="0056415B"/>
    <w:p w14:paraId="74139CD3" w14:textId="77777777" w:rsidR="00337375" w:rsidRDefault="00337375" w:rsidP="0056415B"/>
    <w:p w14:paraId="5611E1FD" w14:textId="684F3A43" w:rsidR="00AF6456" w:rsidRDefault="00AF6456" w:rsidP="0056415B">
      <w:r>
        <w:lastRenderedPageBreak/>
        <w:t xml:space="preserve">Finally, </w:t>
      </w:r>
      <w:r w:rsidR="007B6EF5">
        <w:t xml:space="preserve">the third scenario provides different outcome. Both, previous scenarios had </w:t>
      </w:r>
      <w:r w:rsidR="002822D0">
        <w:t>positive correlation between segments.</w:t>
      </w:r>
      <w:r w:rsidR="00D85EDB">
        <w:t xml:space="preserve"> But i</w:t>
      </w:r>
      <w:r w:rsidR="002822D0">
        <w:t xml:space="preserve">n this scenario, </w:t>
      </w:r>
      <w:r w:rsidR="0028098B">
        <w:t>we</w:t>
      </w:r>
      <w:r w:rsidR="00AA04DF">
        <w:t xml:space="preserve"> can</w:t>
      </w:r>
      <w:r w:rsidR="0028098B">
        <w:t xml:space="preserve"> clearly see </w:t>
      </w:r>
      <w:r w:rsidR="001F13AF">
        <w:t xml:space="preserve">two segments have negative correlation. For </w:t>
      </w:r>
      <w:r w:rsidR="00AC18AC">
        <w:t>“Gasoline” and “Clothing”</w:t>
      </w:r>
      <w:r w:rsidR="004E7946">
        <w:t xml:space="preserve"> the</w:t>
      </w:r>
      <w:r w:rsidR="00AC18AC">
        <w:t xml:space="preserve"> cor</w:t>
      </w:r>
      <w:r w:rsidR="00666A12">
        <w:t xml:space="preserve">relation </w:t>
      </w:r>
      <w:r w:rsidR="009C10A8">
        <w:t>standing</w:t>
      </w:r>
      <w:r w:rsidR="00666A12">
        <w:t xml:space="preserve"> at</w:t>
      </w:r>
      <w:r w:rsidR="009C10A8">
        <w:t xml:space="preserve"> </w:t>
      </w:r>
      <w:r w:rsidR="00666A12" w:rsidRPr="006C7761">
        <w:rPr>
          <w:rFonts w:ascii="Calibri" w:eastAsia="Times New Roman" w:hAnsi="Calibri" w:cs="Calibri"/>
          <w:color w:val="000000"/>
          <w:kern w:val="0"/>
          <w14:ligatures w14:val="none"/>
        </w:rPr>
        <w:t>-0.66978535</w:t>
      </w:r>
      <w:r w:rsidR="00666A1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or -66.9%. </w:t>
      </w:r>
      <w:r w:rsidR="007C3D40">
        <w:rPr>
          <w:rFonts w:ascii="Calibri" w:eastAsia="Times New Roman" w:hAnsi="Calibri" w:cs="Calibri"/>
          <w:color w:val="000000"/>
          <w:kern w:val="0"/>
          <w14:ligatures w14:val="none"/>
        </w:rPr>
        <w:t>We can interpret</w:t>
      </w:r>
      <w:r w:rsidR="00387D0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it</w:t>
      </w:r>
      <w:r w:rsidR="007C3D4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as when prices for gasoline rise the sales for clothing decrea</w:t>
      </w:r>
      <w:r w:rsidR="008D134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se. Perhaps, may be because people </w:t>
      </w:r>
      <w:r w:rsidR="00434ABA">
        <w:rPr>
          <w:rFonts w:ascii="Calibri" w:eastAsia="Times New Roman" w:hAnsi="Calibri" w:cs="Calibri"/>
          <w:color w:val="000000"/>
          <w:kern w:val="0"/>
          <w14:ligatures w14:val="none"/>
        </w:rPr>
        <w:t>must</w:t>
      </w:r>
      <w:r w:rsidR="008D134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spend more on gasoline and</w:t>
      </w:r>
      <w:r w:rsidR="00E600F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D67946">
        <w:rPr>
          <w:rFonts w:ascii="Calibri" w:eastAsia="Times New Roman" w:hAnsi="Calibri" w:cs="Calibri"/>
          <w:color w:val="000000"/>
          <w:kern w:val="0"/>
          <w14:ligatures w14:val="none"/>
        </w:rPr>
        <w:t>keep</w:t>
      </w:r>
      <w:r w:rsidR="00E600F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less m</w:t>
      </w:r>
      <w:r w:rsidR="008D1344">
        <w:rPr>
          <w:rFonts w:ascii="Calibri" w:eastAsia="Times New Roman" w:hAnsi="Calibri" w:cs="Calibri"/>
          <w:color w:val="000000"/>
          <w:kern w:val="0"/>
          <w14:ligatures w14:val="none"/>
        </w:rPr>
        <w:t>oney</w:t>
      </w:r>
      <w:r w:rsidR="00E600F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 their pocket</w:t>
      </w:r>
      <w:r w:rsidR="00D67946"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  <w:r w:rsidR="008D134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to spend on clothing. </w:t>
      </w:r>
      <w:r w:rsidR="00B03F82">
        <w:rPr>
          <w:rFonts w:ascii="Calibri" w:eastAsia="Times New Roman" w:hAnsi="Calibri" w:cs="Calibri"/>
          <w:color w:val="000000"/>
          <w:kern w:val="0"/>
          <w14:ligatures w14:val="none"/>
        </w:rPr>
        <w:t>Similar situation between “Gasoline” and “</w:t>
      </w:r>
      <w:r w:rsidR="00B03F82" w:rsidRPr="006C7761">
        <w:rPr>
          <w:rFonts w:ascii="Calibri" w:eastAsia="Times New Roman" w:hAnsi="Calibri" w:cs="Calibri"/>
          <w:color w:val="000000"/>
          <w:kern w:val="0"/>
          <w14:ligatures w14:val="none"/>
        </w:rPr>
        <w:t>Sporting Goods, Hobby, Musical Instrument &amp; Book Stores</w:t>
      </w:r>
      <w:r w:rsidR="00B63608">
        <w:rPr>
          <w:rFonts w:ascii="Calibri" w:eastAsia="Times New Roman" w:hAnsi="Calibri" w:cs="Calibri"/>
          <w:color w:val="000000"/>
          <w:kern w:val="0"/>
          <w14:ligatures w14:val="none"/>
        </w:rPr>
        <w:t>.”</w:t>
      </w:r>
      <w:r w:rsidR="00E9788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Their correlation stands at </w:t>
      </w:r>
      <w:r w:rsidR="00E97884" w:rsidRPr="006C7761">
        <w:rPr>
          <w:rFonts w:ascii="Calibri" w:eastAsia="Times New Roman" w:hAnsi="Calibri" w:cs="Calibri"/>
          <w:color w:val="000000"/>
          <w:kern w:val="0"/>
          <w14:ligatures w14:val="none"/>
        </w:rPr>
        <w:t>-0.35225503</w:t>
      </w:r>
      <w:r w:rsidR="00E9788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or </w:t>
      </w:r>
      <w:r w:rsidR="00B63608">
        <w:rPr>
          <w:rFonts w:ascii="Calibri" w:eastAsia="Times New Roman" w:hAnsi="Calibri" w:cs="Calibri"/>
          <w:color w:val="000000"/>
          <w:kern w:val="0"/>
          <w14:ligatures w14:val="none"/>
        </w:rPr>
        <w:t>-35.2%</w:t>
      </w:r>
      <w:r w:rsidR="009A08C6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 w:rsidR="00472CF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It would make sense to think in a similar way as before.</w:t>
      </w:r>
      <w:r w:rsidR="00CD741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As soon as prices on gasoline rise people feel the pinch and spend less on </w:t>
      </w:r>
      <w:r w:rsidR="002C6E01">
        <w:rPr>
          <w:rFonts w:ascii="Calibri" w:eastAsia="Times New Roman" w:hAnsi="Calibri" w:cs="Calibri"/>
          <w:color w:val="000000"/>
          <w:kern w:val="0"/>
          <w14:ligatures w14:val="none"/>
        </w:rPr>
        <w:t>discretionary</w:t>
      </w:r>
      <w:r w:rsidR="005C3E0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non-essential</w:t>
      </w:r>
      <w:r w:rsidR="002C6E0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goods that are less important</w:t>
      </w:r>
      <w:r w:rsidR="00763DE5">
        <w:rPr>
          <w:rFonts w:ascii="Calibri" w:eastAsia="Times New Roman" w:hAnsi="Calibri" w:cs="Calibri"/>
          <w:color w:val="000000"/>
          <w:kern w:val="0"/>
          <w14:ligatures w14:val="none"/>
        </w:rPr>
        <w:t>. Thus</w:t>
      </w:r>
      <w:r w:rsidR="00023CC4">
        <w:rPr>
          <w:rFonts w:ascii="Calibri" w:eastAsia="Times New Roman" w:hAnsi="Calibri" w:cs="Calibri"/>
          <w:color w:val="000000"/>
          <w:kern w:val="0"/>
          <w14:ligatures w14:val="none"/>
        </w:rPr>
        <w:t>,</w:t>
      </w:r>
      <w:r w:rsidR="00763DE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 both cases we observe negative pattern in people’s spending when fuel cost rise.</w:t>
      </w:r>
      <w:r w:rsidR="00E45D6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From the graph we ca</w:t>
      </w:r>
      <w:r w:rsidR="00023CC4">
        <w:rPr>
          <w:rFonts w:ascii="Calibri" w:eastAsia="Times New Roman" w:hAnsi="Calibri" w:cs="Calibri"/>
          <w:color w:val="000000"/>
          <w:kern w:val="0"/>
          <w14:ligatures w14:val="none"/>
        </w:rPr>
        <w:t>n see</w:t>
      </w:r>
      <w:r w:rsidR="00982B6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as</w:t>
      </w:r>
      <w:r w:rsidR="007826A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</w:t>
      </w:r>
      <w:r w:rsidR="00023CC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gasoline line </w:t>
      </w:r>
      <w:r w:rsidR="00322FA0">
        <w:rPr>
          <w:rFonts w:ascii="Calibri" w:eastAsia="Times New Roman" w:hAnsi="Calibri" w:cs="Calibri"/>
          <w:color w:val="000000"/>
          <w:kern w:val="0"/>
          <w14:ligatures w14:val="none"/>
        </w:rPr>
        <w:t>upward sloping</w:t>
      </w:r>
      <w:r w:rsidR="007826A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at the same time</w:t>
      </w:r>
      <w:r w:rsidR="00023CC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both </w:t>
      </w:r>
      <w:r w:rsidR="00322FA0">
        <w:rPr>
          <w:rFonts w:ascii="Calibri" w:eastAsia="Times New Roman" w:hAnsi="Calibri" w:cs="Calibri"/>
          <w:color w:val="000000"/>
          <w:kern w:val="0"/>
          <w14:ligatures w14:val="none"/>
        </w:rPr>
        <w:t>clothing and sporting good lines are downward sloping.</w:t>
      </w:r>
    </w:p>
    <w:tbl>
      <w:tblPr>
        <w:tblW w:w="10615" w:type="dxa"/>
        <w:tblLook w:val="04A0" w:firstRow="1" w:lastRow="0" w:firstColumn="1" w:lastColumn="0" w:noHBand="0" w:noVBand="1"/>
      </w:tblPr>
      <w:tblGrid>
        <w:gridCol w:w="5400"/>
        <w:gridCol w:w="1525"/>
        <w:gridCol w:w="1530"/>
        <w:gridCol w:w="2160"/>
      </w:tblGrid>
      <w:tr w:rsidR="006C7761" w:rsidRPr="006C7761" w14:paraId="39649D41" w14:textId="77777777" w:rsidTr="00D134BF">
        <w:trPr>
          <w:trHeight w:val="120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A4FA7F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Month 2004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2AB327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Gasoline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427B0EA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Clothing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1BAE15E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Sporting Goods Hobby </w:t>
            </w:r>
            <w:r w:rsidRPr="006C7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  <w:t xml:space="preserve">Musical Instrument </w:t>
            </w:r>
            <w:r w:rsidRPr="006C7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  <w:t>&amp; Book Stores</w:t>
            </w:r>
          </w:p>
        </w:tc>
      </w:tr>
      <w:tr w:rsidR="006C7761" w:rsidRPr="006C7761" w14:paraId="5BAD04E0" w14:textId="77777777" w:rsidTr="00B12B59">
        <w:trPr>
          <w:trHeight w:val="197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92BD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4B7B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51,983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79F6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26,097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A8C2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         8,169 </w:t>
            </w:r>
          </w:p>
        </w:tc>
      </w:tr>
      <w:tr w:rsidR="006C7761" w:rsidRPr="006C7761" w14:paraId="603B6251" w14:textId="77777777" w:rsidTr="00B12B59">
        <w:trPr>
          <w:trHeight w:val="251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DC85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9750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52,604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85FE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26,276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4861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         8,146 </w:t>
            </w:r>
          </w:p>
        </w:tc>
      </w:tr>
      <w:tr w:rsidR="006C7761" w:rsidRPr="006C7761" w14:paraId="70E8396A" w14:textId="77777777" w:rsidTr="00B12B59">
        <w:trPr>
          <w:trHeight w:val="206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964A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7F0F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52,340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24AF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26,248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3D4A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         8,218 </w:t>
            </w:r>
          </w:p>
        </w:tc>
      </w:tr>
      <w:tr w:rsidR="006C7761" w:rsidRPr="006C7761" w14:paraId="70227EE6" w14:textId="77777777" w:rsidTr="00B12B59">
        <w:trPr>
          <w:trHeight w:val="26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892D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May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4BF4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53,440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A9DB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26,227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04B5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         8,226 </w:t>
            </w:r>
          </w:p>
        </w:tc>
      </w:tr>
      <w:tr w:rsidR="006C7761" w:rsidRPr="006C7761" w14:paraId="5E21D2F1" w14:textId="77777777" w:rsidTr="00B12B59">
        <w:trPr>
          <w:trHeight w:val="21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342A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1DC8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54,663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3223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25,893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3033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                         8,129 </w:t>
            </w:r>
          </w:p>
        </w:tc>
      </w:tr>
      <w:tr w:rsidR="006C7761" w:rsidRPr="006C7761" w14:paraId="4D830245" w14:textId="77777777" w:rsidTr="00D134B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4D27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B6B2" w14:textId="77777777" w:rsidR="006C7761" w:rsidRPr="006C7761" w:rsidRDefault="006C7761" w:rsidP="006C7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A939" w14:textId="77777777" w:rsidR="006C7761" w:rsidRPr="006C7761" w:rsidRDefault="006C7761" w:rsidP="006C7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D263" w14:textId="77777777" w:rsidR="006C7761" w:rsidRPr="006C7761" w:rsidRDefault="006C7761" w:rsidP="006C7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7761" w:rsidRPr="006C7761" w14:paraId="5C3AE903" w14:textId="77777777" w:rsidTr="00D134B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F6E5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Source: 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8342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738A" w14:textId="77777777" w:rsidR="006C7761" w:rsidRPr="006C7761" w:rsidRDefault="006C7761" w:rsidP="006C7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32A5" w14:textId="77777777" w:rsidR="006C7761" w:rsidRPr="006C7761" w:rsidRDefault="006C7761" w:rsidP="006C7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7761" w:rsidRPr="006C7761" w14:paraId="5C2A22E3" w14:textId="77777777" w:rsidTr="00D134BF">
        <w:trPr>
          <w:trHeight w:val="300"/>
        </w:trPr>
        <w:tc>
          <w:tcPr>
            <w:tcW w:w="6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08B5" w14:textId="77777777" w:rsidR="006C7761" w:rsidRPr="006C7761" w:rsidRDefault="00DD4D50" w:rsidP="006C776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hyperlink r:id="rId8" w:history="1">
              <w:r w:rsidR="006C7761" w:rsidRPr="006C776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Business and Industry: Time Series / Trend Charts (census.gov)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E1D2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F581" w14:textId="77777777" w:rsidR="006C7761" w:rsidRPr="006C7761" w:rsidRDefault="006C7761" w:rsidP="006C7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7761" w:rsidRPr="006C7761" w14:paraId="6F7B9DA4" w14:textId="77777777" w:rsidTr="00D134B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542D" w14:textId="77777777" w:rsidR="006C7761" w:rsidRPr="006C7761" w:rsidRDefault="006C7761" w:rsidP="006C7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29E6" w14:textId="77777777" w:rsidR="006C7761" w:rsidRPr="006C7761" w:rsidRDefault="006C7761" w:rsidP="006C7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3772" w14:textId="77777777" w:rsidR="006C7761" w:rsidRPr="006C7761" w:rsidRDefault="006C7761" w:rsidP="006C7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D08E" w14:textId="77777777" w:rsidR="006C7761" w:rsidRPr="006C7761" w:rsidRDefault="006C7761" w:rsidP="006C7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7761" w:rsidRPr="006C7761" w14:paraId="79AE2DC7" w14:textId="77777777" w:rsidTr="00D134BF">
        <w:trPr>
          <w:trHeight w:val="120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9669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2178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Gasoline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EE505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Clothing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49E00" w14:textId="77777777" w:rsidR="006C7761" w:rsidRPr="006C7761" w:rsidRDefault="006C7761" w:rsidP="006C7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Sporting Goods </w:t>
            </w:r>
            <w:r w:rsidRPr="006C776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br/>
              <w:t>Hobby</w:t>
            </w:r>
            <w:r w:rsidRPr="006C776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br/>
              <w:t xml:space="preserve">Musical Instrument </w:t>
            </w:r>
            <w:r w:rsidRPr="006C776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br/>
              <w:t>&amp; Book Stores</w:t>
            </w:r>
          </w:p>
        </w:tc>
      </w:tr>
      <w:tr w:rsidR="006C7761" w:rsidRPr="006C7761" w14:paraId="50B846DF" w14:textId="77777777" w:rsidTr="00E21FA1">
        <w:trPr>
          <w:trHeight w:val="17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2BF2" w14:textId="73AA1144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Gasoline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B81C" w14:textId="77777777" w:rsidR="006C7761" w:rsidRPr="006C7761" w:rsidRDefault="006C7761" w:rsidP="006C7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D1CD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9830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C7761" w:rsidRPr="006C7761" w14:paraId="3DC9043F" w14:textId="77777777" w:rsidTr="00D134BF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C642" w14:textId="70AFE25C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Clothing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A560" w14:textId="77777777" w:rsidR="006C7761" w:rsidRPr="006C7761" w:rsidRDefault="006C7761" w:rsidP="006C7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-0.66978535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0DB8" w14:textId="77777777" w:rsidR="006C7761" w:rsidRPr="006C7761" w:rsidRDefault="006C7761" w:rsidP="006C7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2E61" w14:textId="77777777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C7761" w:rsidRPr="006C7761" w14:paraId="3F7E3488" w14:textId="77777777" w:rsidTr="00E21FA1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C9E3" w14:textId="665B49B0" w:rsidR="006C7761" w:rsidRPr="006C7761" w:rsidRDefault="006C776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Sporting Goods, Hobby, Musical Instrument &amp; Book Stores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03F9" w14:textId="77777777" w:rsidR="006C7761" w:rsidRPr="006C7761" w:rsidRDefault="006C7761" w:rsidP="006C7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-0.35225503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40A0" w14:textId="77777777" w:rsidR="006C7761" w:rsidRPr="006C7761" w:rsidRDefault="006C7761" w:rsidP="006C7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0.610935116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F372" w14:textId="3E410DD3" w:rsidR="006C7761" w:rsidRPr="006C7761" w:rsidRDefault="006C7761" w:rsidP="00E21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E21FA1" w:rsidRPr="006C7761" w14:paraId="03A55299" w14:textId="77777777" w:rsidTr="00E21FA1">
        <w:trPr>
          <w:trHeight w:val="53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E4694" w14:textId="77777777" w:rsidR="00E21FA1" w:rsidRPr="006C7761" w:rsidRDefault="00E21FA1" w:rsidP="006C7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65F0D" w14:textId="77777777" w:rsidR="00E21FA1" w:rsidRPr="006C7761" w:rsidRDefault="00E21FA1" w:rsidP="006C7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953E8" w14:textId="77777777" w:rsidR="00E21FA1" w:rsidRPr="006C7761" w:rsidRDefault="00E21FA1" w:rsidP="006C7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4D17B" w14:textId="60BC28B9" w:rsidR="00E21FA1" w:rsidRPr="006C7761" w:rsidRDefault="00E21FA1" w:rsidP="006C7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7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1FDE34E6" w14:textId="22D95D34" w:rsidR="00A80C12" w:rsidRPr="0056415B" w:rsidRDefault="00B12B59" w:rsidP="0056415B">
      <w:r>
        <w:rPr>
          <w:noProof/>
        </w:rPr>
        <w:drawing>
          <wp:inline distT="0" distB="0" distL="0" distR="0" wp14:anchorId="07D95468" wp14:editId="5C173D52">
            <wp:extent cx="5943600" cy="1968285"/>
            <wp:effectExtent l="0" t="0" r="0" b="13335"/>
            <wp:docPr id="9329476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6AFD57-E7D9-98E9-3992-B6EAE6AE4B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80C12" w:rsidRPr="0056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BE"/>
    <w:rsid w:val="00000437"/>
    <w:rsid w:val="00023CC4"/>
    <w:rsid w:val="0003740B"/>
    <w:rsid w:val="00063BE8"/>
    <w:rsid w:val="00064CE5"/>
    <w:rsid w:val="0007555D"/>
    <w:rsid w:val="00083C4D"/>
    <w:rsid w:val="000B18A7"/>
    <w:rsid w:val="000C78FC"/>
    <w:rsid w:val="000C7E20"/>
    <w:rsid w:val="000F1FA8"/>
    <w:rsid w:val="00117FB3"/>
    <w:rsid w:val="00170709"/>
    <w:rsid w:val="001769C3"/>
    <w:rsid w:val="00182941"/>
    <w:rsid w:val="001959DD"/>
    <w:rsid w:val="001A0758"/>
    <w:rsid w:val="001A1C9F"/>
    <w:rsid w:val="001A5B80"/>
    <w:rsid w:val="001C4DB4"/>
    <w:rsid w:val="001E065D"/>
    <w:rsid w:val="001F13AF"/>
    <w:rsid w:val="001F7E31"/>
    <w:rsid w:val="00214BA8"/>
    <w:rsid w:val="00230352"/>
    <w:rsid w:val="0028098B"/>
    <w:rsid w:val="002822D0"/>
    <w:rsid w:val="002C6E01"/>
    <w:rsid w:val="002F0604"/>
    <w:rsid w:val="002F1CBA"/>
    <w:rsid w:val="00322FA0"/>
    <w:rsid w:val="003338F2"/>
    <w:rsid w:val="00337375"/>
    <w:rsid w:val="0036692A"/>
    <w:rsid w:val="00387CA2"/>
    <w:rsid w:val="00387D05"/>
    <w:rsid w:val="003C548C"/>
    <w:rsid w:val="00403E20"/>
    <w:rsid w:val="00426DCD"/>
    <w:rsid w:val="00434ABA"/>
    <w:rsid w:val="004445F0"/>
    <w:rsid w:val="00457CBC"/>
    <w:rsid w:val="00472CF6"/>
    <w:rsid w:val="004739B7"/>
    <w:rsid w:val="0048707C"/>
    <w:rsid w:val="00490D65"/>
    <w:rsid w:val="004C63A0"/>
    <w:rsid w:val="004E7946"/>
    <w:rsid w:val="00530DA2"/>
    <w:rsid w:val="0056415B"/>
    <w:rsid w:val="00572FBE"/>
    <w:rsid w:val="00574838"/>
    <w:rsid w:val="005C3E06"/>
    <w:rsid w:val="005F2D5F"/>
    <w:rsid w:val="00635FA7"/>
    <w:rsid w:val="00666A12"/>
    <w:rsid w:val="00685333"/>
    <w:rsid w:val="006A7B6E"/>
    <w:rsid w:val="006C7332"/>
    <w:rsid w:val="006C7761"/>
    <w:rsid w:val="006E5A8D"/>
    <w:rsid w:val="007000EE"/>
    <w:rsid w:val="00704B5E"/>
    <w:rsid w:val="00705DC4"/>
    <w:rsid w:val="0071040C"/>
    <w:rsid w:val="00734319"/>
    <w:rsid w:val="00763DE5"/>
    <w:rsid w:val="00766512"/>
    <w:rsid w:val="00766B2C"/>
    <w:rsid w:val="00775822"/>
    <w:rsid w:val="007826AF"/>
    <w:rsid w:val="007A797B"/>
    <w:rsid w:val="007B6EF5"/>
    <w:rsid w:val="007C3D40"/>
    <w:rsid w:val="007D5FD5"/>
    <w:rsid w:val="007F09A5"/>
    <w:rsid w:val="008664A3"/>
    <w:rsid w:val="00892556"/>
    <w:rsid w:val="008D1344"/>
    <w:rsid w:val="008D7EB5"/>
    <w:rsid w:val="008E0C81"/>
    <w:rsid w:val="008E0F29"/>
    <w:rsid w:val="008F4F76"/>
    <w:rsid w:val="009015BB"/>
    <w:rsid w:val="00923215"/>
    <w:rsid w:val="00925080"/>
    <w:rsid w:val="009724C4"/>
    <w:rsid w:val="00982B60"/>
    <w:rsid w:val="009A08C6"/>
    <w:rsid w:val="009C10A8"/>
    <w:rsid w:val="00A0602A"/>
    <w:rsid w:val="00A3134E"/>
    <w:rsid w:val="00A33CED"/>
    <w:rsid w:val="00A46D81"/>
    <w:rsid w:val="00A672ED"/>
    <w:rsid w:val="00A67AB8"/>
    <w:rsid w:val="00A7427B"/>
    <w:rsid w:val="00A80C12"/>
    <w:rsid w:val="00AA04DF"/>
    <w:rsid w:val="00AA4DBE"/>
    <w:rsid w:val="00AB6B10"/>
    <w:rsid w:val="00AC18AC"/>
    <w:rsid w:val="00AC19B5"/>
    <w:rsid w:val="00AF3DFD"/>
    <w:rsid w:val="00AF6456"/>
    <w:rsid w:val="00B03F82"/>
    <w:rsid w:val="00B12B59"/>
    <w:rsid w:val="00B55F3C"/>
    <w:rsid w:val="00B63608"/>
    <w:rsid w:val="00B80A49"/>
    <w:rsid w:val="00B830AA"/>
    <w:rsid w:val="00B84344"/>
    <w:rsid w:val="00B943BF"/>
    <w:rsid w:val="00BC2F88"/>
    <w:rsid w:val="00BD316B"/>
    <w:rsid w:val="00C52CAA"/>
    <w:rsid w:val="00C61DB2"/>
    <w:rsid w:val="00C67E01"/>
    <w:rsid w:val="00CD63BE"/>
    <w:rsid w:val="00CD7417"/>
    <w:rsid w:val="00CE621C"/>
    <w:rsid w:val="00CF1614"/>
    <w:rsid w:val="00CF1C6E"/>
    <w:rsid w:val="00D134BF"/>
    <w:rsid w:val="00D4349C"/>
    <w:rsid w:val="00D437AF"/>
    <w:rsid w:val="00D53BF9"/>
    <w:rsid w:val="00D556F6"/>
    <w:rsid w:val="00D55A7C"/>
    <w:rsid w:val="00D67771"/>
    <w:rsid w:val="00D67946"/>
    <w:rsid w:val="00D771B2"/>
    <w:rsid w:val="00D854D5"/>
    <w:rsid w:val="00D85EDB"/>
    <w:rsid w:val="00DA562F"/>
    <w:rsid w:val="00DB6C9B"/>
    <w:rsid w:val="00DC4330"/>
    <w:rsid w:val="00DD4D50"/>
    <w:rsid w:val="00DD5F42"/>
    <w:rsid w:val="00E21FA1"/>
    <w:rsid w:val="00E37EDD"/>
    <w:rsid w:val="00E45D64"/>
    <w:rsid w:val="00E50FF1"/>
    <w:rsid w:val="00E53F40"/>
    <w:rsid w:val="00E600F4"/>
    <w:rsid w:val="00E60744"/>
    <w:rsid w:val="00E97884"/>
    <w:rsid w:val="00EA44A7"/>
    <w:rsid w:val="00F20B75"/>
    <w:rsid w:val="00F71B26"/>
    <w:rsid w:val="00FB2FF6"/>
    <w:rsid w:val="00FD6255"/>
    <w:rsid w:val="00F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94FC"/>
  <w15:chartTrackingRefBased/>
  <w15:docId w15:val="{8422E70D-C463-4592-8CF5-E651E305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E31"/>
    <w:rPr>
      <w:color w:val="0563C1"/>
      <w:u w:val="single"/>
    </w:rPr>
  </w:style>
  <w:style w:type="table" w:styleId="TableGrid">
    <w:name w:val="Table Grid"/>
    <w:basedOn w:val="TableNormal"/>
    <w:uiPriority w:val="39"/>
    <w:rsid w:val="00892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92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econ/currentdata/?programCode=MARTS&amp;startYear=1992&amp;endYear=2024&amp;categories%5b%5d=44X72&amp;dataType=SM&amp;geoLevel=US&amp;adjusted=1&amp;notAdjusted=1&amp;errorData=0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econ/currentdata/?programCode=MARTS&amp;startYear=1992&amp;endYear=2024&amp;categories%5b%5d=44X72&amp;dataType=SM&amp;geoLevel=US&amp;adjusted=1&amp;notAdjusted=1&amp;errorData=0" TargetMode="Externa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hyperlink" Target="https://www.census.gov/econ/currentdata/?programCode=MARTS&amp;startYear=1992&amp;endYear=2024&amp;categories%5b%5d=44X72&amp;dataType=SM&amp;geoLevel=US&amp;adjusted=1&amp;notAdjusted=1&amp;errorData=0" TargetMode="Externa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411733d2631d10c/Desktop/Bilenkin_DSC500_Week5_5.2_Exercis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411733d2631d10c/Desktop/Bilenkin_DSC500_Week5_5.2_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411733d2631d10c/Desktop/Bilenkin_DSC500_Week5_5.2_Exercis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Food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Sheet1!$B$2:$B$6</c:f>
              <c:numCache>
                <c:formatCode>_("$"* #,##0_);_("$"* \(#,##0\);_("$"* "-"??_);_(@_)</c:formatCode>
                <c:ptCount val="5"/>
                <c:pt idx="0">
                  <c:v>710773</c:v>
                </c:pt>
                <c:pt idx="1">
                  <c:v>710409</c:v>
                </c:pt>
                <c:pt idx="2">
                  <c:v>702350</c:v>
                </c:pt>
                <c:pt idx="3">
                  <c:v>704309</c:v>
                </c:pt>
                <c:pt idx="4">
                  <c:v>702681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64-47BA-B1D7-BAE4CF4A5B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Home Furniture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Sheet1!$C$2:$C$6</c:f>
              <c:numCache>
                <c:formatCode>_("$"* #,##0_);_("$"* \(#,##0\);_("$"* "-"??_);_(@_)</c:formatCode>
                <c:ptCount val="5"/>
                <c:pt idx="0">
                  <c:v>11217</c:v>
                </c:pt>
                <c:pt idx="1">
                  <c:v>11298</c:v>
                </c:pt>
                <c:pt idx="2">
                  <c:v>11104</c:v>
                </c:pt>
                <c:pt idx="3">
                  <c:v>11034</c:v>
                </c:pt>
                <c:pt idx="4">
                  <c:v>10941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64-47BA-B1D7-BAE4CF4A5B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Electronics &amp; Appliance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Sheet1!$D$2:$D$6</c:f>
              <c:numCache>
                <c:formatCode>_("$"* #,##0_);_("$"* \(#,##0\);_("$"* "-"??_);_(@_)</c:formatCode>
                <c:ptCount val="5"/>
                <c:pt idx="0">
                  <c:v>7819</c:v>
                </c:pt>
                <c:pt idx="1">
                  <c:v>7908</c:v>
                </c:pt>
                <c:pt idx="2">
                  <c:v>7821</c:v>
                </c:pt>
                <c:pt idx="3">
                  <c:v>7938</c:v>
                </c:pt>
                <c:pt idx="4">
                  <c:v>7810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64-47BA-B1D7-BAE4CF4A5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5223024"/>
        <c:axId val="965223984"/>
      </c:lineChart>
      <c:catAx>
        <c:axId val="9652230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5223984"/>
        <c:crosses val="autoZero"/>
        <c:auto val="1"/>
        <c:lblAlgn val="ctr"/>
        <c:lblOffset val="100"/>
        <c:noMultiLvlLbl val="0"/>
      </c:catAx>
      <c:valAx>
        <c:axId val="96522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522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Auto &amp; 
Motor Vehicles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Sheet2!$B$2:$B$6</c:f>
              <c:numCache>
                <c:formatCode>_("$"* #,##0_);_("$"* \(#,##0\);_("$"* "-"??_);_(@_)</c:formatCode>
                <c:ptCount val="5"/>
                <c:pt idx="0">
                  <c:v>122680</c:v>
                </c:pt>
                <c:pt idx="1">
                  <c:v>122830</c:v>
                </c:pt>
                <c:pt idx="2">
                  <c:v>117124</c:v>
                </c:pt>
                <c:pt idx="3">
                  <c:v>122039</c:v>
                </c:pt>
                <c:pt idx="4">
                  <c:v>120647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B4-410B-902A-27D0732A0B9D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Building Mat. &amp;
 Garden Equip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Sheet2!$C$2:$C$6</c:f>
              <c:numCache>
                <c:formatCode>_("$"* #,##0_);_("$"* \(#,##0\);_("$"* "-"??_);_(@_)</c:formatCode>
                <c:ptCount val="5"/>
                <c:pt idx="0">
                  <c:v>41170</c:v>
                </c:pt>
                <c:pt idx="1">
                  <c:v>41144</c:v>
                </c:pt>
                <c:pt idx="2">
                  <c:v>40803</c:v>
                </c:pt>
                <c:pt idx="3">
                  <c:v>40189</c:v>
                </c:pt>
                <c:pt idx="4">
                  <c:v>40402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B4-410B-902A-27D0732A0B9D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Health &amp; 
Personal Care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Sheet2!$D$2:$D$6</c:f>
              <c:numCache>
                <c:formatCode>_("$"* #,##0_);_("$"* \(#,##0\);_("$"* "-"??_);_(@_)</c:formatCode>
                <c:ptCount val="5"/>
                <c:pt idx="0">
                  <c:v>37797</c:v>
                </c:pt>
                <c:pt idx="1">
                  <c:v>37543</c:v>
                </c:pt>
                <c:pt idx="2">
                  <c:v>36911</c:v>
                </c:pt>
                <c:pt idx="3">
                  <c:v>36669</c:v>
                </c:pt>
                <c:pt idx="4">
                  <c:v>36117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B4-410B-902A-27D0732A0B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9617536"/>
        <c:axId val="979616096"/>
      </c:lineChart>
      <c:catAx>
        <c:axId val="979617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616096"/>
        <c:crosses val="autoZero"/>
        <c:auto val="1"/>
        <c:lblAlgn val="ctr"/>
        <c:lblOffset val="100"/>
        <c:noMultiLvlLbl val="0"/>
      </c:catAx>
      <c:valAx>
        <c:axId val="97961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617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Gasoline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Sheet3!$B$2:$B$6</c:f>
              <c:numCache>
                <c:formatCode>_("$"* #,##0_);_("$"* \(#,##0\);_("$"* "-"??_);_(@_)</c:formatCode>
                <c:ptCount val="5"/>
                <c:pt idx="0">
                  <c:v>51983</c:v>
                </c:pt>
                <c:pt idx="1">
                  <c:v>52604</c:v>
                </c:pt>
                <c:pt idx="2">
                  <c:v>52340</c:v>
                </c:pt>
                <c:pt idx="3">
                  <c:v>53440</c:v>
                </c:pt>
                <c:pt idx="4">
                  <c:v>54663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BB-4724-BE30-055A84245D96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Clothing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Sheet3!$C$2:$C$6</c:f>
              <c:numCache>
                <c:formatCode>_("$"* #,##0_);_("$"* \(#,##0\);_("$"* "-"??_);_(@_)</c:formatCode>
                <c:ptCount val="5"/>
                <c:pt idx="0">
                  <c:v>26097</c:v>
                </c:pt>
                <c:pt idx="1">
                  <c:v>26276</c:v>
                </c:pt>
                <c:pt idx="2">
                  <c:v>26248</c:v>
                </c:pt>
                <c:pt idx="3">
                  <c:v>26227</c:v>
                </c:pt>
                <c:pt idx="4">
                  <c:v>25893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BB-4724-BE30-055A84245D96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Sporting Goods Hobby 
Musical Instrument 
&amp; Book Stores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Sheet3!$D$2:$D$6</c:f>
              <c:numCache>
                <c:formatCode>_("$"* #,##0_);_("$"* \(#,##0\);_("$"* "-"??_);_(@_)</c:formatCode>
                <c:ptCount val="5"/>
                <c:pt idx="0">
                  <c:v>8169</c:v>
                </c:pt>
                <c:pt idx="1">
                  <c:v>8146</c:v>
                </c:pt>
                <c:pt idx="2">
                  <c:v>8218</c:v>
                </c:pt>
                <c:pt idx="3">
                  <c:v>8226</c:v>
                </c:pt>
                <c:pt idx="4">
                  <c:v>8129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BB-4724-BE30-055A84245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0317360"/>
        <c:axId val="980317840"/>
      </c:lineChart>
      <c:catAx>
        <c:axId val="9803173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317840"/>
        <c:crosses val="autoZero"/>
        <c:auto val="1"/>
        <c:lblAlgn val="ctr"/>
        <c:lblOffset val="100"/>
        <c:noMultiLvlLbl val="0"/>
      </c:catAx>
      <c:valAx>
        <c:axId val="98031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317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193</cp:revision>
  <dcterms:created xsi:type="dcterms:W3CDTF">2024-09-28T02:56:00Z</dcterms:created>
  <dcterms:modified xsi:type="dcterms:W3CDTF">2024-09-29T22:24:00Z</dcterms:modified>
</cp:coreProperties>
</file>