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SANDBOX URBANO DE VALÈNCIA</w:t>
      </w:r>
    </w:p>
    <w:p>
      <w:pPr>
        <w:pStyle w:val="Heading2"/>
      </w:pPr>
      <w:r>
        <w:t>Cuestionario Inicial</w:t>
      </w:r>
    </w:p>
    <w:p>
      <w:pPr>
        <w:pStyle w:val="Heading3"/>
      </w:pPr>
      <w:r>
        <w:t>Información Exhaustiva del Proyecto</w:t>
      </w:r>
    </w:p>
    <w:p>
      <w:pPr>
        <w:pStyle w:val="Heading2"/>
      </w:pPr>
      <w:r>
        <w:t>A. Identificación del proyecto</w:t>
      </w:r>
    </w:p>
    <w:p>
      <w:r>
        <w:rPr>
          <w:b/>
        </w:rPr>
        <w:t>Código proyecto</w:t>
      </w:r>
    </w:p>
    <w:p>
      <w:r>
        <w:t xml:space="preserve">Pendiente de asignación por el Ayuntamiento / sede electrónica. Referencia interna del promotor: </w:t>
      </w:r>
      <w:r>
        <w:rPr>
          <w:rFonts w:ascii="Consolas" w:hAnsi="Consolas"/>
          <w:sz w:val="19"/>
        </w:rPr>
        <w:t>PULSEPATH-VLC-2026</w:t>
      </w:r>
      <w:r>
        <w:t>.</w:t>
      </w:r>
    </w:p>
    <w:p>
      <w:r>
        <w:rPr>
          <w:b/>
        </w:rPr>
        <w:t>Entidad promotora</w:t>
      </w:r>
    </w:p>
    <w:p>
      <w:r>
        <w:t>Max Borra Palau (persona física). Proyecto: PulsePath. Sin sociedad mercantil constituida. Elegible conforme al artículo 8 de la Ordenanza Municipal reguladora del Sandbox Urbano de Valencia.</w:t>
      </w:r>
    </w:p>
    <w:p>
      <w:r>
        <w:rPr>
          <w:b/>
        </w:rPr>
        <w:t>Recurso urbano</w:t>
      </w:r>
    </w:p>
    <w:p>
      <w:r>
        <w:t>Recurso urbano compuesto solicitado al amparo del artículo 6.1 (no localizado como unidad en el catálogo vigente):</w:t>
      </w:r>
    </w:p>
    <w:p>
      <w:pPr>
        <w:ind w:left="360"/>
      </w:pPr>
      <w:r>
        <w:t>1. Centros de trabajo municipales de los servicios participantes.</w:t>
      </w:r>
    </w:p>
    <w:p>
      <w:pPr>
        <w:ind w:left="360"/>
      </w:pPr>
      <w:r>
        <w:t>2. Canales internos de comunicación municipal para la convocatoria voluntaria.</w:t>
      </w:r>
    </w:p>
    <w:p>
      <w:pPr>
        <w:ind w:left="360"/>
      </w:pPr>
      <w:r>
        <w:t>3. Ventana temporal de las Fallas como evento urbano de carga laboral real (art. 2.c).</w:t>
      </w:r>
    </w:p>
    <w:p>
      <w:r>
        <w:rPr>
          <w:b/>
        </w:rPr>
        <w:t>Si no está en catálogo, tipo de espacio/infraestructura necesario</w:t>
      </w:r>
    </w:p>
    <w:p>
      <w:r>
        <w:t>Entorno laboral municipal real + calendario del evento Fallas. Sin ocupación de vía pública, sin obra civil y sin instalación de hardware en el espacio urbano. Detalle del encaje en la Entrevista Informativa (documento 1) y en el Protocolo de pruebas (documento 3). Precedente sectorial: VITALWISE (IBV) en el Sandbox Urbano de València — detección de fatiga y estrés en salud digital ([ficha Valencia Innovation Capital](https://valenciainnovationcapital.com/proyecto/vitalwise/)).</w:t>
      </w:r>
    </w:p>
    <w:p>
      <w:pPr>
        <w:pStyle w:val="Heading2"/>
      </w:pPr>
      <w:r>
        <w:t>B. Identificación de personas</w:t>
      </w:r>
    </w:p>
    <w:p>
      <w:r>
        <w:rPr>
          <w:b/>
        </w:rPr>
        <w:t>Personas empresa promotora</w:t>
      </w:r>
    </w:p>
    <w:p>
      <w:pPr>
        <w:ind w:left="360"/>
      </w:pPr>
      <w:r>
        <w:t xml:space="preserve">• </w:t>
      </w:r>
      <w:r>
        <w:t>Max Borra Palau — promotor, dirección del proyecto e interlocución con el Ayuntamiento (art. 13.4.A).</w:t>
      </w:r>
    </w:p>
    <w:p>
      <w:r>
        <w:t>No hay equipo societario ni asesoría jurídica externa contratada en la fecha de esta solicitud. El promotor asume personalmente las obligaciones del Protocolo de pruebas.</w:t>
      </w:r>
    </w:p>
    <w:p>
      <w:r>
        <w:rPr>
          <w:b/>
        </w:rPr>
        <w:t>Email referencia</w:t>
      </w:r>
    </w:p>
    <w:p>
      <w:r>
        <w:t>max@getpulsepath.com</w:t>
      </w:r>
    </w:p>
    <w:p>
      <w:pPr>
        <w:pStyle w:val="Heading2"/>
      </w:pPr>
      <w:r>
        <w:t>C. Propósito y objetivo</w:t>
      </w:r>
    </w:p>
    <w:p>
      <w:r>
        <w:rPr>
          <w:b/>
        </w:rPr>
        <w:t>Producto/servicio en desarrollo</w:t>
      </w:r>
    </w:p>
    <w:p>
      <w:r>
        <w:t>PulsePath es una PWA B2B de bienestar laboral (no clínica). Mide fatiga y malestar emocional mediante:</w:t>
      </w:r>
    </w:p>
    <w:p>
      <w:pPr>
        <w:ind w:left="360"/>
      </w:pPr>
      <w:r>
        <w:t xml:space="preserve">• </w:t>
      </w:r>
      <w:r>
        <w:rPr>
          <w:b/>
        </w:rPr>
        <w:t>PVT / PVT-BA</w:t>
      </w:r>
      <w:r>
        <w:t xml:space="preserve"> (Psychomotor Vigilance Task / variante breve adaptativa): tiempo de reacción psicomotor, señal objetiva de vigilancia.</w:t>
      </w:r>
    </w:p>
    <w:p>
      <w:pPr>
        <w:ind w:left="360"/>
      </w:pPr>
      <w:r>
        <w:t xml:space="preserve">• </w:t>
      </w:r>
      <w:r>
        <w:rPr>
          <w:b/>
        </w:rPr>
        <w:t>KSS</w:t>
      </w:r>
      <w:r>
        <w:t xml:space="preserve"> (Karolinska Sleepiness Scale): somnolencia percibida.</w:t>
      </w:r>
    </w:p>
    <w:p>
      <w:pPr>
        <w:ind w:left="360"/>
      </w:pPr>
      <w:r>
        <w:t xml:space="preserve">• </w:t>
      </w:r>
      <w:r>
        <w:rPr>
          <w:b/>
        </w:rPr>
        <w:t>DASS-21</w:t>
      </w:r>
      <w:r>
        <w:t xml:space="preserve">, </w:t>
      </w:r>
      <w:r>
        <w:rPr>
          <w:b/>
        </w:rPr>
        <w:t>GAD-7</w:t>
      </w:r>
      <w:r>
        <w:t xml:space="preserve"> y </w:t>
      </w:r>
      <w:r>
        <w:rPr>
          <w:b/>
        </w:rPr>
        <w:t>Copenhagen Burnout Inventory (CBI)</w:t>
      </w:r>
      <w:r>
        <w:t>: cuestionarios validados en momentos definidos del estudio.</w:t>
      </w:r>
    </w:p>
    <w:p>
      <w:r>
        <w:t>Principios de diseño:</w:t>
      </w:r>
    </w:p>
    <w:p>
      <w:pPr>
        <w:ind w:left="360"/>
      </w:pPr>
      <w:r>
        <w:t xml:space="preserve">• </w:t>
      </w:r>
      <w:r>
        <w:t>Sin cámaras, sin biometría, sin datos pasivos del dispositivo, sin geolocalización.</w:t>
      </w:r>
    </w:p>
    <w:p>
      <w:pPr>
        <w:ind w:left="360"/>
      </w:pPr>
      <w:r>
        <w:t xml:space="preserve">• </w:t>
      </w:r>
      <w:r>
        <w:t xml:space="preserve">El resultado individual lo ve </w:t>
      </w:r>
      <w:r>
        <w:rPr>
          <w:b/>
        </w:rPr>
        <w:t>solo la persona participante</w:t>
      </w:r>
      <w:r>
        <w:t>.</w:t>
      </w:r>
    </w:p>
    <w:p>
      <w:pPr>
        <w:ind w:left="360"/>
      </w:pPr>
      <w:r>
        <w:t xml:space="preserve">• </w:t>
      </w:r>
      <w:r>
        <w:t xml:space="preserve">La organización solo ve </w:t>
      </w:r>
      <w:r>
        <w:rPr>
          <w:b/>
        </w:rPr>
        <w:t>agregados con K≥5</w:t>
      </w:r>
      <w:r>
        <w:t xml:space="preserve"> por segmento.</w:t>
      </w:r>
    </w:p>
    <w:p>
      <w:pPr>
        <w:ind w:left="360"/>
      </w:pPr>
      <w:r>
        <w:t xml:space="preserve">• </w:t>
      </w:r>
      <w:r>
        <w:t>No evalúa desempeño ni aptitud laboral.</w:t>
      </w:r>
    </w:p>
    <w:p>
      <w:pPr>
        <w:ind w:left="360"/>
      </w:pPr>
      <w:r>
        <w:t xml:space="preserve">• </w:t>
      </w:r>
      <w:r>
        <w:t>No envía alertas individuales a mandos o RR. HH.</w:t>
      </w:r>
    </w:p>
    <w:p>
      <w:r>
        <w:rPr>
          <w:b/>
        </w:rPr>
        <w:t>Innovación del producto</w:t>
      </w:r>
    </w:p>
    <w:p>
      <w:pPr>
        <w:ind w:left="360"/>
      </w:pPr>
      <w:r>
        <w:t>1. Combina una medida conductual breve y repetible (PVT) con escalas clínicas validadas de cribado no diagnóstico, en un flujo móvil compatible con la jornada laboral.</w:t>
      </w:r>
    </w:p>
    <w:p>
      <w:pPr>
        <w:ind w:left="360"/>
      </w:pPr>
      <w:r>
        <w:t>2. Separa de forma estricta el feedback individual del cuadro de mando organizacional (K-anonimidad ≥5).</w:t>
      </w:r>
    </w:p>
    <w:p>
      <w:pPr>
        <w:ind w:left="360"/>
      </w:pPr>
      <w:r>
        <w:t xml:space="preserve">3. Diseña el piloto municipal como </w:t>
      </w:r>
      <w:r>
        <w:rPr>
          <w:b/>
        </w:rPr>
        <w:t>experimento natural en dos fases</w:t>
      </w:r>
      <w:r>
        <w:t xml:space="preserve"> aprovechando las Fallas, con comparación </w:t>
      </w:r>
      <w:r>
        <w:rPr>
          <w:b/>
        </w:rPr>
        <w:t>intrasujeto</w:t>
      </w:r>
      <w:r>
        <w:t xml:space="preserve"> (mismas personas en carga ordinaria y en pico), superior metodológicamente a una comparación entre grupos independientes.</w:t>
      </w:r>
    </w:p>
    <w:p>
      <w:pPr>
        <w:ind w:left="360"/>
      </w:pPr>
      <w:r>
        <w:t>4. Orientación preventiva y agregada: no produce “apto / no apto” ni ranking individual.</w:t>
      </w:r>
    </w:p>
    <w:p>
      <w:r>
        <w:rPr>
          <w:b/>
        </w:rPr>
        <w:t>¿Se ha comercializado?</w:t>
      </w:r>
    </w:p>
    <w:p>
      <w:r>
        <w:t>No</w:t>
      </w:r>
    </w:p>
    <w:p>
      <w:r>
        <w:rPr>
          <w:b/>
        </w:rPr>
        <w:t>Características técnicas diferentes a las ya comercializadas</w:t>
      </w:r>
    </w:p>
    <w:p>
      <w:r>
        <w:t>No hay producto comercializado. Respecto a soluciones de mercado cercanas (apps de bienestar, encuestas anuales de riesgos psicosociales, sistemas de “fitness for duty”): PulsePath no usa sensores biométricos ni cámaras; no entrega datos individuales a la organización; y estructura la evidencia alrededor de un pico urbano real (Fallas) medido contra línea base.</w:t>
      </w:r>
    </w:p>
    <w:p>
      <w:r>
        <w:rPr>
          <w:b/>
        </w:rPr>
        <w:t>¿Ha sido probado ya en laboratorio u otro entorno de pruebas?</w:t>
      </w:r>
    </w:p>
    <w:p>
      <w:r>
        <w:t xml:space="preserve">Sí, en entorno técnico controlado: prototipo integrado (app participante, API, base de datos, cuadro de mando), pruebas end-to-end y ejercicios con datos sintéticos. </w:t>
      </w:r>
      <w:r>
        <w:rPr>
          <w:b/>
        </w:rPr>
        <w:t>Pendiente / en curso antes de la presentación formal:</w:t>
      </w:r>
      <w:r>
        <w:t xml:space="preserve"> preflight real con {{N_PARTICIPANTES_PREFLIGHT}} voluntarios externos durante 7–14 días (usabilidad, sincronización, ejercicio del derecho de supresión, verificación K≥5). Resultados previstos a incorporar: adherencia {{ADHERENCIA_DIARIA}}, abandono {{TASA_ABANDONO}}. Demo pública: {{URL_DEMO}}.</w:t>
      </w:r>
    </w:p>
    <w:p>
      <w:r>
        <w:t xml:space="preserve">Existe además una solicitud en curso ante el Ajuntament de Barcelona (Espais d’Experimentació), expediente </w:t>
      </w:r>
      <w:r>
        <w:rPr>
          <w:b/>
        </w:rPr>
        <w:t>20260001771</w:t>
      </w:r>
      <w:r>
        <w:t>, de carácter independiente. No se presenta como autorización previa ni como aval del presente piloto.</w:t>
      </w:r>
    </w:p>
    <w:p>
      <w:r>
        <w:rPr>
          <w:b/>
        </w:rPr>
        <w:t>Objetivo principal prueba</w:t>
      </w:r>
    </w:p>
    <w:p>
      <w:r>
        <w:t>Demostrar, con personal municipal voluntario de València, que PulsePath puede:</w:t>
      </w:r>
    </w:p>
    <w:p>
      <w:pPr>
        <w:ind w:left="360"/>
      </w:pPr>
      <w:r>
        <w:t>1. sostener una adherencia suficiente en condiciones laborales reales;</w:t>
      </w:r>
    </w:p>
    <w:p>
      <w:pPr>
        <w:ind w:left="360"/>
      </w:pPr>
      <w:r>
        <w:t>2. producir señales agregadas interpretables para la organización sin reidentificar personas;</w:t>
      </w:r>
    </w:p>
    <w:p>
      <w:pPr>
        <w:ind w:left="360"/>
      </w:pPr>
      <w:r>
        <w:t>3. cuantificar el efecto del pico Fallas frente a la carga ordinaria mediante comparación intrasujeto.</w:t>
      </w:r>
    </w:p>
    <w:p>
      <w:r>
        <w:rPr>
          <w:b/>
        </w:rPr>
        <w:t>Aspectos a validar</w:t>
      </w:r>
    </w:p>
    <w:p>
      <w:pPr>
        <w:ind w:left="360"/>
      </w:pPr>
      <w:r>
        <w:t xml:space="preserve">• </w:t>
      </w:r>
      <w:r>
        <w:t>Viabilidad operativa del check-in breve en jornada laboral.</w:t>
      </w:r>
    </w:p>
    <w:p>
      <w:pPr>
        <w:ind w:left="360"/>
      </w:pPr>
      <w:r>
        <w:t xml:space="preserve">• </w:t>
      </w:r>
      <w:r>
        <w:t>Adherencia, abandono, aceptabilidad y utilidad percibida.</w:t>
      </w:r>
    </w:p>
    <w:p>
      <w:pPr>
        <w:ind w:left="360"/>
      </w:pPr>
      <w:r>
        <w:t xml:space="preserve">• </w:t>
      </w:r>
      <w:r>
        <w:t>Asociación exploratoria entre PVT/KSS (frecuentes) y DASS-21 / GAD-7 / CBI (en oleadas).</w:t>
      </w:r>
    </w:p>
    <w:p>
      <w:pPr>
        <w:ind w:left="360"/>
      </w:pPr>
      <w:r>
        <w:t xml:space="preserve">• </w:t>
      </w:r>
      <w:r>
        <w:t>Diferencia agregada fase 1 vs fase 2 en las mismas personas.</w:t>
      </w:r>
    </w:p>
    <w:p>
      <w:pPr>
        <w:ind w:left="360"/>
      </w:pPr>
      <w:r>
        <w:t xml:space="preserve">• </w:t>
      </w:r>
      <w:r>
        <w:t>Cumplimiento del modelo de privacidad (consentimiento, minimización, K≥5, no transferencia al Ayuntamiento, art. 25).</w:t>
      </w:r>
    </w:p>
    <w:p>
      <w:pPr>
        <w:ind w:left="360"/>
      </w:pPr>
      <w:r>
        <w:t xml:space="preserve">• </w:t>
      </w:r>
      <w:r>
        <w:t>Utilidad del cuadro de mando y de informes agregados para conversaciones preventivas (no disciplinarias).</w:t>
      </w:r>
    </w:p>
    <w:p>
      <w:r>
        <w:rPr>
          <w:b/>
        </w:rPr>
        <w:t>Duración estimada de las pruebas</w:t>
      </w:r>
    </w:p>
    <w:p>
      <w:r>
        <w:t xml:space="preserve">Duración total orientativa: </w:t>
      </w:r>
      <w:r>
        <w:rPr>
          <w:b/>
        </w:rPr>
        <w:t>≈ 4–5 meses de medición activa</w:t>
      </w:r>
      <w:r>
        <w:t>, más 2–4 semanas de preparación tras la firma del Protocolo, condicionada a la fecha de autorización municipal.</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fill="D9EAF7"/>
          </w:tcPr>
          <w:p>
            <w:r>
              <w:rPr>
                <w:b/>
              </w:rPr>
            </w:r>
            <w:r>
              <w:rPr>
                <w:b/>
              </w:rPr>
              <w:t>Fase</w:t>
            </w:r>
          </w:p>
        </w:tc>
        <w:tc>
          <w:tcPr>
            <w:tcW w:type="dxa" w:w="2160"/>
            <w:shd w:fill="D9EAF7"/>
          </w:tcPr>
          <w:p>
            <w:r>
              <w:rPr>
                <w:b/>
              </w:rPr>
            </w:r>
            <w:r>
              <w:rPr>
                <w:b/>
              </w:rPr>
              <w:t>Ventana orientativa</w:t>
            </w:r>
          </w:p>
        </w:tc>
        <w:tc>
          <w:tcPr>
            <w:tcW w:type="dxa" w:w="2160"/>
            <w:shd w:fill="D9EAF7"/>
          </w:tcPr>
          <w:p>
            <w:r>
              <w:rPr>
                <w:b/>
              </w:rPr>
            </w:r>
            <w:r>
              <w:rPr>
                <w:b/>
              </w:rPr>
              <w:t>N participantes</w:t>
            </w:r>
          </w:p>
        </w:tc>
        <w:tc>
          <w:tcPr>
            <w:tcW w:type="dxa" w:w="2160"/>
            <w:shd w:fill="D9EAF7"/>
          </w:tcPr>
          <w:p>
            <w:r>
              <w:rPr>
                <w:b/>
              </w:rPr>
            </w:r>
            <w:r>
              <w:rPr>
                <w:b/>
              </w:rPr>
              <w:t>Contenido</w:t>
            </w:r>
          </w:p>
        </w:tc>
      </w:tr>
      <w:tr>
        <w:tc>
          <w:tcPr>
            <w:tcW w:type="dxa" w:w="2160"/>
          </w:tcPr>
          <w:p>
            <w:r/>
            <w:r>
              <w:t>Preparación</w:t>
            </w:r>
          </w:p>
        </w:tc>
        <w:tc>
          <w:tcPr>
            <w:tcW w:type="dxa" w:w="2160"/>
          </w:tcPr>
          <w:p>
            <w:r/>
            <w:r>
              <w:t>Tras autorización + preflight completado</w:t>
            </w:r>
          </w:p>
        </w:tc>
        <w:tc>
          <w:tcPr>
            <w:tcW w:type="dxa" w:w="2160"/>
          </w:tcPr>
          <w:p>
            <w:r/>
            <w:r>
              <w:t>—</w:t>
            </w:r>
          </w:p>
        </w:tc>
        <w:tc>
          <w:tcPr>
            <w:tcW w:type="dxa" w:w="2160"/>
          </w:tcPr>
          <w:p>
            <w:r/>
            <w:r>
              <w:t>Consentimientos, códigos, formación breve, gate técnico</w:t>
            </w:r>
          </w:p>
        </w:tc>
      </w:tr>
      <w:tr>
        <w:tc>
          <w:tcPr>
            <w:tcW w:type="dxa" w:w="2160"/>
          </w:tcPr>
          <w:p>
            <w:r/>
            <w:r>
              <w:rPr>
                <w:b/>
              </w:rPr>
              <w:t>Fase 1 — carga ordinaria</w:t>
            </w:r>
          </w:p>
        </w:tc>
        <w:tc>
          <w:tcPr>
            <w:tcW w:type="dxa" w:w="2160"/>
          </w:tcPr>
          <w:p>
            <w:r/>
            <w:r>
              <w:t xml:space="preserve">Invierno (p. ej. enero–febrero posteriores a la autorización; horizonte típico </w:t>
            </w:r>
            <w:r>
              <w:rPr>
                <w:b/>
              </w:rPr>
              <w:t>2027</w:t>
            </w:r>
            <w:r>
              <w:t>)</w:t>
            </w:r>
          </w:p>
        </w:tc>
        <w:tc>
          <w:tcPr>
            <w:tcW w:type="dxa" w:w="2160"/>
          </w:tcPr>
          <w:p>
            <w:r/>
            <w:r>
              <w:rPr>
                <w:b/>
              </w:rPr>
              <w:t>30</w:t>
            </w:r>
            <w:r>
              <w:t xml:space="preserve"> personas trabajadoras municipales voluntarias</w:t>
            </w:r>
          </w:p>
        </w:tc>
        <w:tc>
          <w:tcPr>
            <w:tcW w:type="dxa" w:w="2160"/>
          </w:tcPr>
          <w:p>
            <w:r/>
            <w:r>
              <w:t>Línea base de fatiga en condiciones normales</w:t>
            </w:r>
          </w:p>
        </w:tc>
      </w:tr>
      <w:tr>
        <w:tc>
          <w:tcPr>
            <w:tcW w:type="dxa" w:w="2160"/>
          </w:tcPr>
          <w:p>
            <w:r/>
            <w:r>
              <w:rPr>
                <w:b/>
              </w:rPr>
              <w:t>Fase 2 — ventana Fallas</w:t>
            </w:r>
          </w:p>
        </w:tc>
        <w:tc>
          <w:tcPr>
            <w:tcW w:type="dxa" w:w="2160"/>
          </w:tcPr>
          <w:p>
            <w:r/>
            <w:r>
              <w:t xml:space="preserve">Marzo (Fallas; horizonte típico </w:t>
            </w:r>
            <w:r>
              <w:rPr>
                <w:b/>
              </w:rPr>
              <w:t>2027</w:t>
            </w:r>
            <w:r>
              <w:t>)</w:t>
            </w:r>
          </w:p>
        </w:tc>
        <w:tc>
          <w:tcPr>
            <w:tcW w:type="dxa" w:w="2160"/>
          </w:tcPr>
          <w:p>
            <w:r/>
            <w:r>
              <w:t xml:space="preserve">Ampliación a </w:t>
            </w:r>
            <w:r>
              <w:rPr>
                <w:b/>
              </w:rPr>
              <w:t>50</w:t>
            </w:r>
            <w:r>
              <w:t xml:space="preserve"> (se mantiene la cohorte de fase 1 + nuevas altas voluntarias en servicios más expuestos)</w:t>
            </w:r>
          </w:p>
        </w:tc>
        <w:tc>
          <w:tcPr>
            <w:tcW w:type="dxa" w:w="2160"/>
          </w:tcPr>
          <w:p>
            <w:r/>
            <w:r>
              <w:t>Captura del pico de carga</w:t>
            </w:r>
          </w:p>
        </w:tc>
      </w:tr>
      <w:tr>
        <w:tc>
          <w:tcPr>
            <w:tcW w:type="dxa" w:w="2160"/>
          </w:tcPr>
          <w:p>
            <w:r/>
            <w:r>
              <w:t>Cierre</w:t>
            </w:r>
          </w:p>
        </w:tc>
        <w:tc>
          <w:tcPr>
            <w:tcW w:type="dxa" w:w="2160"/>
          </w:tcPr>
          <w:p>
            <w:r/>
            <w:r>
              <w:t>+2–4 semanas tras fase 2</w:t>
            </w:r>
          </w:p>
        </w:tc>
        <w:tc>
          <w:tcPr>
            <w:tcW w:type="dxa" w:w="2160"/>
          </w:tcPr>
          <w:p>
            <w:r/>
            <w:r>
              <w:t>—</w:t>
            </w:r>
          </w:p>
        </w:tc>
        <w:tc>
          <w:tcPr>
            <w:tcW w:type="dxa" w:w="2160"/>
          </w:tcPr>
          <w:p>
            <w:r/>
            <w:r>
              <w:t>Informe final (art. 19), taller de retorno, eliminación de datos</w:t>
            </w:r>
          </w:p>
        </w:tc>
      </w:tr>
    </w:tbl>
    <w:p>
      <w:r>
        <w:t>Las fechas exactas se fijarán en el Protocolo de pruebas una vez conocida la resolución, respetando el plazo máximo de un mes para el inicio tras la documentación del art. 15 (art. 17), con posibilidad de ampliación justificada si el diseño experimental exige alinear el inicio con el invierno / Fallas.</w:t>
      </w:r>
    </w:p>
    <w:p>
      <w:r>
        <w:rPr>
          <w:b/>
        </w:rPr>
        <w:t>Hipótesis a contrastar</w:t>
      </w:r>
    </w:p>
    <w:p>
      <w:r>
        <w:rPr>
          <w:b/>
        </w:rPr>
        <w:t>H1 (principal).</w:t>
      </w:r>
      <w:r>
        <w:t xml:space="preserve"> En las personas que participan en ambas fases, los indicadores agregados de fatiga (PVT: latencia media / lapse rate; KSS) serán más desfavorables en la ventana Fallas que en la carga ordinaria.</w:t>
      </w:r>
    </w:p>
    <w:p>
      <w:r>
        <w:rPr>
          <w:b/>
        </w:rPr>
        <w:t>H2.</w:t>
      </w:r>
      <w:r>
        <w:t xml:space="preserve"> La adherencia diaria se mantendrá por encima del umbral operativo fijado tras el preflight (referencia a completar: {{ADHERENCIA_DIARIA}}).</w:t>
      </w:r>
    </w:p>
    <w:p>
      <w:r>
        <w:rPr>
          <w:b/>
        </w:rPr>
        <w:t>H3.</w:t>
      </w:r>
      <w:r>
        <w:t xml:space="preserve"> El cuadro de mando no expondrá ningún segmento con menos de 5 personas; la tasa de segmentos ocultos por K&lt;5 será documentada.</w:t>
      </w:r>
    </w:p>
    <w:p>
      <w:r>
        <w:rPr>
          <w:b/>
        </w:rPr>
        <w:t>H4 (exploratoria).</w:t>
      </w:r>
      <w:r>
        <w:t xml:space="preserve"> Los cambios en PVT/KSS entre fases se asociarán, a nivel agregado, con la evolución de DASS-21, GAD-7 y/o CBI.</w:t>
      </w:r>
    </w:p>
    <w:p>
      <w:r>
        <w:t>No se hipotetiza reducción clínica del burnout ni mejora de desempeño.</w:t>
      </w:r>
    </w:p>
    <w:p>
      <w:r>
        <w:rPr>
          <w:b/>
        </w:rPr>
        <w:t>Métricas de éxito</w:t>
      </w:r>
    </w:p>
    <w:p>
      <w:r>
        <w:t>Criterios de éxito del piloto (orientativos; se confirman tras preflight):</w:t>
      </w:r>
    </w:p>
    <w:tbl>
      <w:tblPr>
        <w:tblStyle w:val="TableGrid"/>
        <w:tblW w:type="auto" w:w="0"/>
        <w:tblLayout w:type="autofit"/>
        <w:tblLook w:firstColumn="1" w:firstRow="1" w:lastColumn="0" w:lastRow="0" w:noHBand="0" w:noVBand="1" w:val="04A0"/>
      </w:tblPr>
      <w:tblGrid>
        <w:gridCol w:w="4320"/>
        <w:gridCol w:w="4320"/>
      </w:tblGrid>
      <w:tr>
        <w:tc>
          <w:tcPr>
            <w:tcW w:type="dxa" w:w="4320"/>
            <w:shd w:fill="D9EAF7"/>
          </w:tcPr>
          <w:p>
            <w:r>
              <w:rPr>
                <w:b/>
              </w:rPr>
            </w:r>
            <w:r>
              <w:rPr>
                <w:b/>
              </w:rPr>
              <w:t>Criterio</w:t>
            </w:r>
          </w:p>
        </w:tc>
        <w:tc>
          <w:tcPr>
            <w:tcW w:type="dxa" w:w="4320"/>
            <w:shd w:fill="D9EAF7"/>
          </w:tcPr>
          <w:p>
            <w:r>
              <w:rPr>
                <w:b/>
              </w:rPr>
            </w:r>
            <w:r>
              <w:rPr>
                <w:b/>
              </w:rPr>
              <w:t>Umbral</w:t>
            </w:r>
          </w:p>
        </w:tc>
      </w:tr>
      <w:tr>
        <w:tc>
          <w:tcPr>
            <w:tcW w:type="dxa" w:w="4320"/>
          </w:tcPr>
          <w:p>
            <w:r/>
            <w:r>
              <w:t>Adherencia media diaria (fase 1 y fase 2)</w:t>
            </w:r>
          </w:p>
        </w:tc>
        <w:tc>
          <w:tcPr>
            <w:tcW w:type="dxa" w:w="4320"/>
          </w:tcPr>
          <w:p>
            <w:r/>
            <w:r>
              <w:t>≥ umbral derivado del preflight (marcador {{ADHERENCIA_DIARIA}}) y, en todo caso, suficiente para análisis agregados estables</w:t>
            </w:r>
          </w:p>
        </w:tc>
      </w:tr>
      <w:tr>
        <w:tc>
          <w:tcPr>
            <w:tcW w:type="dxa" w:w="4320"/>
          </w:tcPr>
          <w:p>
            <w:r/>
            <w:r>
              <w:t>Tasa de abandono</w:t>
            </w:r>
          </w:p>
        </w:tc>
        <w:tc>
          <w:tcPr>
            <w:tcW w:type="dxa" w:w="4320"/>
          </w:tcPr>
          <w:p>
            <w:r/>
            <w:r>
              <w:t>≤ referencia del preflight ({{TASA_ABANDONO}}) o justificada</w:t>
            </w:r>
          </w:p>
        </w:tc>
      </w:tr>
      <w:tr>
        <w:tc>
          <w:tcPr>
            <w:tcW w:type="dxa" w:w="4320"/>
          </w:tcPr>
          <w:p>
            <w:r/>
            <w:r>
              <w:t>Tamaño muestral fase 1</w:t>
            </w:r>
          </w:p>
        </w:tc>
        <w:tc>
          <w:tcPr>
            <w:tcW w:type="dxa" w:w="4320"/>
          </w:tcPr>
          <w:p>
            <w:r/>
            <w:r>
              <w:t>≥ 30 voluntarios activos al cierre de la ventana ordinaria</w:t>
            </w:r>
          </w:p>
        </w:tc>
      </w:tr>
      <w:tr>
        <w:tc>
          <w:tcPr>
            <w:tcW w:type="dxa" w:w="4320"/>
          </w:tcPr>
          <w:p>
            <w:r/>
            <w:r>
              <w:t>Tamaño muestral fase 2</w:t>
            </w:r>
          </w:p>
        </w:tc>
        <w:tc>
          <w:tcPr>
            <w:tcW w:type="dxa" w:w="4320"/>
          </w:tcPr>
          <w:p>
            <w:r/>
            <w:r>
              <w:t>≥ 50 voluntarios activos en la ventana Fallas, con solapamiento máximo posible respecto a fase 1</w:t>
            </w:r>
          </w:p>
        </w:tc>
      </w:tr>
      <w:tr>
        <w:tc>
          <w:tcPr>
            <w:tcW w:type="dxa" w:w="4320"/>
          </w:tcPr>
          <w:p>
            <w:r/>
            <w:r>
              <w:t>Comparación intrasujeto</w:t>
            </w:r>
          </w:p>
        </w:tc>
        <w:tc>
          <w:tcPr>
            <w:tcW w:type="dxa" w:w="4320"/>
          </w:tcPr>
          <w:p>
            <w:r/>
            <w:r>
              <w:t>≥ 70 % de la cohorte de fase 1 con datos utilizables también en fase 2</w:t>
            </w:r>
          </w:p>
        </w:tc>
      </w:tr>
      <w:tr>
        <w:tc>
          <w:tcPr>
            <w:tcW w:type="dxa" w:w="4320"/>
          </w:tcPr>
          <w:p>
            <w:r/>
            <w:r>
              <w:t>Privacidad</w:t>
            </w:r>
          </w:p>
        </w:tc>
        <w:tc>
          <w:tcPr>
            <w:tcW w:type="dxa" w:w="4320"/>
          </w:tcPr>
          <w:p>
            <w:r/>
            <w:r>
              <w:t>0 incidentes de reidentificación; 0 transferencias de datos personales al Ayuntamiento</w:t>
            </w:r>
          </w:p>
        </w:tc>
      </w:tr>
      <w:tr>
        <w:tc>
          <w:tcPr>
            <w:tcW w:type="dxa" w:w="4320"/>
          </w:tcPr>
          <w:p>
            <w:r/>
            <w:r>
              <w:t>Utilidad percibida</w:t>
            </w:r>
          </w:p>
        </w:tc>
        <w:tc>
          <w:tcPr>
            <w:tcW w:type="dxa" w:w="4320"/>
          </w:tcPr>
          <w:p>
            <w:r/>
            <w:r>
              <w:t>Media ≥ 3,5 / 5 en encuesta breve a participantes y a contacto municipal</w:t>
            </w:r>
          </w:p>
        </w:tc>
      </w:tr>
      <w:tr>
        <w:tc>
          <w:tcPr>
            <w:tcW w:type="dxa" w:w="4320"/>
          </w:tcPr>
          <w:p>
            <w:r/>
            <w:r>
              <w:t>Entregables</w:t>
            </w:r>
          </w:p>
        </w:tc>
        <w:tc>
          <w:tcPr>
            <w:tcW w:type="dxa" w:w="4320"/>
          </w:tcPr>
          <w:p>
            <w:r/>
            <w:r>
              <w:t>Informe final en plazo (art. 19) + propuesta de retorno ejecutada (art. 22)</w:t>
            </w:r>
          </w:p>
        </w:tc>
      </w:tr>
    </w:tbl>
    <w:p>
      <w:pPr>
        <w:pStyle w:val="Heading2"/>
      </w:pPr>
      <w:r>
        <w:t>D. Niveles de madurez tecnológica (TRL)</w:t>
      </w:r>
    </w:p>
    <w:p>
      <w:r>
        <w:rPr>
          <w:b/>
        </w:rPr>
        <w:t>TRL actual</w:t>
      </w:r>
    </w:p>
    <w:p>
      <w:r>
        <w:rPr>
          <w:b/>
        </w:rPr>
        <w:t>TRL 6</w:t>
      </w:r>
      <w:r>
        <w:t xml:space="preserve"> (declaración a formalizar con datos del preflight real). El sistema se habrá demostrado en un entorno relevante controlado (voluntarios externos, 7–14 días) antes de la presentación o, como máximo, como condición suspensiva documentada al inicio del piloto municipal.</w:t>
      </w:r>
    </w:p>
    <w:p>
      <w:r>
        <w:t>Evidencias de base ya existentes (TRL 5→6):</w:t>
      </w:r>
    </w:p>
    <w:p>
      <w:pPr>
        <w:ind w:left="360"/>
      </w:pPr>
      <w:r>
        <w:t xml:space="preserve">• </w:t>
      </w:r>
      <w:r>
        <w:t>prototipo integrado desplegable;</w:t>
      </w:r>
    </w:p>
    <w:p>
      <w:pPr>
        <w:ind w:left="360"/>
      </w:pPr>
      <w:r>
        <w:t xml:space="preserve">• </w:t>
      </w:r>
      <w:r>
        <w:t>PVT-BA, KSS, DASS-21, GAD-7 y CBI en flujo de estudio;</w:t>
      </w:r>
    </w:p>
    <w:p>
      <w:pPr>
        <w:ind w:left="360"/>
      </w:pPr>
      <w:r>
        <w:t xml:space="preserve">• </w:t>
      </w:r>
      <w:r>
        <w:t>activación por código pseudónimo;</w:t>
      </w:r>
    </w:p>
    <w:p>
      <w:pPr>
        <w:ind w:left="360"/>
      </w:pPr>
      <w:r>
        <w:t xml:space="preserve">• </w:t>
      </w:r>
      <w:r>
        <w:t>cifrado en tránsito; derecho de supresión;</w:t>
      </w:r>
    </w:p>
    <w:p>
      <w:pPr>
        <w:ind w:left="360"/>
      </w:pPr>
      <w:r>
        <w:t xml:space="preserve">• </w:t>
      </w:r>
      <w:r>
        <w:t>supresión de agregados con K&amp;lt;5;</w:t>
      </w:r>
    </w:p>
    <w:p>
      <w:pPr>
        <w:ind w:left="360"/>
      </w:pPr>
      <w:r>
        <w:t xml:space="preserve">• </w:t>
      </w:r>
      <w:r>
        <w:t>demo pública: {{URL_DEMO}}.</w:t>
      </w:r>
    </w:p>
    <w:p>
      <w:r>
        <w:rPr>
          <w:b/>
        </w:rPr>
        <w:t>TRL objetivo</w:t>
      </w:r>
    </w:p>
    <w:p>
      <w:r>
        <w:rPr>
          <w:b/>
        </w:rPr>
        <w:t>TRL 7</w:t>
      </w:r>
      <w:r>
        <w:t>: demostración del sistema en entorno operacional municipal real (personal del Ayuntamiento de València, dos ventanas de carga).</w:t>
      </w:r>
    </w:p>
    <w:p>
      <w:r>
        <w:rPr>
          <w:b/>
        </w:rPr>
        <w:t>Aspectos adicionales TRL</w:t>
      </w:r>
    </w:p>
    <w:p>
      <w:r>
        <w:t xml:space="preserve">El preflight </w:t>
      </w:r>
      <w:r>
        <w:rPr>
          <w:b/>
        </w:rPr>
        <w:t>no</w:t>
      </w:r>
      <w:r>
        <w:t xml:space="preserve"> sustituye la validación municipal. No se usarán datos del preflight para entrenar modelos comerciales ni para afirmar eficacia clínica. Cualquier modelo estadístico o de ML exploratorio será resultado secundario, no objetivo primario del Sandbox.</w:t>
      </w:r>
    </w:p>
    <w:p>
      <w:pPr>
        <w:pStyle w:val="Heading2"/>
      </w:pPr>
      <w:r>
        <w:t>E. Sobre la innovación</w:t>
      </w:r>
    </w:p>
    <w:p>
      <w:r>
        <w:rPr>
          <w:b/>
        </w:rPr>
        <w:t>Avances de la innovación</w:t>
      </w:r>
    </w:p>
    <w:p>
      <w:pPr>
        <w:ind w:left="360"/>
      </w:pPr>
      <w:r>
        <w:t xml:space="preserve">• </w:t>
      </w:r>
      <w:r>
        <w:t>Medición objetiva breve (PVT) + escalas validadas, en PWA sin instalación nativa obligatoria.</w:t>
      </w:r>
    </w:p>
    <w:p>
      <w:pPr>
        <w:ind w:left="360"/>
      </w:pPr>
      <w:r>
        <w:t xml:space="preserve">• </w:t>
      </w:r>
      <w:r>
        <w:t>Gobernanza de datos alineada con RGPD y con el art. 25 de la Ordenanza (responsabilidad del promotor; sin cesión al Ayuntamiento).</w:t>
      </w:r>
    </w:p>
    <w:p>
      <w:pPr>
        <w:ind w:left="360"/>
      </w:pPr>
      <w:r>
        <w:t xml:space="preserve">• </w:t>
      </w:r>
      <w:r>
        <w:t>Diseño experimental que convierte un evento urbano (Fallas) en factor de contraste controlado por el propio sujeto.</w:t>
      </w:r>
    </w:p>
    <w:p>
      <w:pPr>
        <w:ind w:left="360"/>
      </w:pPr>
      <w:r>
        <w:t xml:space="preserve">• </w:t>
      </w:r>
      <w:r>
        <w:t>Separación ética: prevención poblacional agregada ≠ vigilancia individual.</w:t>
      </w:r>
    </w:p>
    <w:p>
      <w:r>
        <w:rPr>
          <w:b/>
        </w:rPr>
        <w:t>Problema o necesidad pública</w:t>
      </w:r>
    </w:p>
    <w:p>
      <w:r>
        <w:t>Los servicios municipales afrontan picos de demanda predecibles (Fallas, campaña turística, emergencias) que elevan la fatiga del personal. Las herramientas habituales (encuestas anuales, baja laboral a posteriori) llegan tarde y no distinguen bien el efecto del pico. València dispone además de un Sandbox Urbano que ya ha acogido salud digital orientada a fatiga/estrés (VITALWISE). PulsePath propone complementar —nunca sustituir— la prevención de riesgos laborales y las políticas de bienestar con una capa voluntaria, frecuente y agregada, de interés público (art. 4 y art. 10).</w:t>
      </w:r>
    </w:p>
    <w:p>
      <w:pPr>
        <w:pStyle w:val="Heading2"/>
      </w:pPr>
      <w:r>
        <w:t>F. Aspectos técnicos</w:t>
      </w:r>
    </w:p>
    <w:p>
      <w:r>
        <w:rPr>
          <w:b/>
        </w:rPr>
        <w:t>Superficie, dimensiones y condiciones del espacio</w:t>
      </w:r>
    </w:p>
    <w:p>
      <w:r>
        <w:t>No aplica superficie de instalación. Condiciones: acceso a Internet en el centro de trabajo o en el dispositivo personal; espacio tranquilo de 3–5 minutos por check-in; participación voluntaria dentro de franja pactada de la jornada.</w:t>
      </w:r>
    </w:p>
    <w:p>
      <w:r>
        <w:rPr>
          <w:b/>
        </w:rPr>
        <w:t>Conectividad</w:t>
      </w:r>
    </w:p>
    <w:p>
      <w:r>
        <w:t>HTTPS / acceso web. Sin requisitos de red dedicada, VPN municipal ni IoT. Compatible con redes Wi-Fi corporativas habituales y con datos móviles del participante.</w:t>
      </w:r>
    </w:p>
    <w:p>
      <w:r>
        <w:rPr>
          <w:b/>
        </w:rPr>
        <w:t>Dimensiones producto físico</w:t>
      </w:r>
    </w:p>
    <w:p>
      <w:r>
        <w:t>No hay producto físico. Soft ware: PWA + backend + cuadro de mando web.</w:t>
      </w:r>
    </w:p>
    <w:p>
      <w:r>
        <w:rPr>
          <w:b/>
        </w:rPr>
        <w:t>Información adicional instalación</w:t>
      </w:r>
    </w:p>
    <w:p>
      <w:pPr>
        <w:ind w:left="360"/>
      </w:pPr>
      <w:r>
        <w:t>1. Alta de organización piloto y generación de códigos pseudónimos.</w:t>
      </w:r>
    </w:p>
    <w:p>
      <w:pPr>
        <w:ind w:left="360"/>
      </w:pPr>
      <w:r>
        <w:t>2. Difusión voluntaria vía canales internos.</w:t>
      </w:r>
    </w:p>
    <w:p>
      <w:pPr>
        <w:ind w:left="360"/>
      </w:pPr>
      <w:r>
        <w:t>3. Consentimiento informado versionado en la propia app.</w:t>
      </w:r>
    </w:p>
    <w:p>
      <w:pPr>
        <w:ind w:left="360"/>
      </w:pPr>
      <w:r>
        <w:t>4. Sesión informativa breve (virtual o presencial, 20–30 min).</w:t>
      </w:r>
    </w:p>
    <w:p>
      <w:pPr>
        <w:ind w:left="360"/>
      </w:pPr>
      <w:r>
        <w:t>5. Activación y periodo de habituación (primera semana de fase 1).</w:t>
      </w:r>
    </w:p>
    <w:p>
      <w:r>
        <w:rPr>
          <w:b/>
        </w:rPr>
        <w:t>Información adicional electricidad</w:t>
      </w:r>
    </w:p>
    <w:p>
      <w:r>
        <w:t>No requiere toma de corriente adicional ni consumo eléctrico relevante más allá del de los dispositivos ya existentes.</w:t>
      </w:r>
    </w:p>
    <w:p>
      <w:r>
        <w:rPr>
          <w:b/>
        </w:rPr>
        <w:t>Plan de desinstalación</w:t>
      </w:r>
    </w:p>
    <w:p>
      <w:pPr>
        <w:ind w:left="360"/>
      </w:pPr>
      <w:r>
        <w:t>1. Desactivación de códigos y cierre de accesos.</w:t>
      </w:r>
    </w:p>
    <w:p>
      <w:pPr>
        <w:ind w:left="360"/>
      </w:pPr>
      <w:r>
        <w:t>2. Exportación agregada para el informe final.</w:t>
      </w:r>
    </w:p>
    <w:p>
      <w:pPr>
        <w:ind w:left="360"/>
      </w:pPr>
      <w:r>
        <w:t>3. Eliminación o anonimización irreversible de datos personales al término, salvo obligación legal de conservación (art. 25.3).</w:t>
      </w:r>
    </w:p>
    <w:p>
      <w:pPr>
        <w:ind w:left="360"/>
      </w:pPr>
      <w:r>
        <w:t>4. Confirmación escrita al Ayuntamiento de que no permanece ningún elemento en el recurso urbano (estado idéntico al de entrada, art. 19).</w:t>
      </w:r>
    </w:p>
    <w:p>
      <w:pPr>
        <w:ind w:left="360"/>
      </w:pPr>
      <w:r>
        <w:t>5. Retirada de cualquier material comunicativo físico, si lo hubiera.</w:t>
      </w:r>
    </w:p>
    <w:p>
      <w:pPr>
        <w:pStyle w:val="Heading2"/>
      </w:pPr>
      <w:r>
        <w:t>G. Valor añadido y riesgos</w:t>
      </w:r>
    </w:p>
    <w:p>
      <w:r>
        <w:rPr>
          <w:b/>
        </w:rPr>
        <w:t>Valor añadido para la ciudadanía</w:t>
      </w:r>
    </w:p>
    <w:p>
      <w:pPr>
        <w:ind w:left="360"/>
      </w:pPr>
      <w:r>
        <w:t xml:space="preserve">• </w:t>
      </w:r>
      <w:r>
        <w:t>Mejora potencial de la calidad de los servicios públicos al cuidar preventivamente al personal que los presta.</w:t>
      </w:r>
    </w:p>
    <w:p>
      <w:pPr>
        <w:ind w:left="360"/>
      </w:pPr>
      <w:r>
        <w:t xml:space="preserve">• </w:t>
      </w:r>
      <w:r>
        <w:t>Evidencia transferible a otros municipios y a la Memoria bienal del Sandbox (art. 21).</w:t>
      </w:r>
    </w:p>
    <w:p>
      <w:pPr>
        <w:ind w:left="360"/>
      </w:pPr>
      <w:r>
        <w:t xml:space="preserve">• </w:t>
      </w:r>
      <w:r>
        <w:t>Modelo de gobernanza de datos reproducible (K≥5, sin biometría, sin alertas individuales a mandos).</w:t>
      </w:r>
    </w:p>
    <w:p>
      <w:pPr>
        <w:ind w:left="360"/>
      </w:pPr>
      <w:r>
        <w:t xml:space="preserve">• </w:t>
      </w:r>
      <w:r>
        <w:t>Retorno concreto a la Administración conforme al art. 22 (véase Protocolo de pruebas): informe de aplicabilidad, sesión de transferencia de conocimiento y demo operativa temporal sin coste.</w:t>
      </w:r>
    </w:p>
    <w:p>
      <w:r>
        <w:rPr>
          <w:b/>
        </w:rPr>
        <w:t>Riesgos potenciales</w:t>
      </w:r>
    </w:p>
    <w:tbl>
      <w:tblPr>
        <w:tblStyle w:val="TableGrid"/>
        <w:tblW w:type="auto" w:w="0"/>
        <w:tblLayout w:type="autofit"/>
        <w:tblLook w:firstColumn="1" w:firstRow="1" w:lastColumn="0" w:lastRow="0" w:noHBand="0" w:noVBand="1" w:val="04A0"/>
      </w:tblPr>
      <w:tblGrid>
        <w:gridCol w:w="4320"/>
        <w:gridCol w:w="4320"/>
      </w:tblGrid>
      <w:tr>
        <w:tc>
          <w:tcPr>
            <w:tcW w:type="dxa" w:w="4320"/>
            <w:shd w:fill="D9EAF7"/>
          </w:tcPr>
          <w:p>
            <w:r>
              <w:rPr>
                <w:b/>
              </w:rPr>
            </w:r>
            <w:r>
              <w:rPr>
                <w:b/>
              </w:rPr>
              <w:t>Riesgo</w:t>
            </w:r>
          </w:p>
        </w:tc>
        <w:tc>
          <w:tcPr>
            <w:tcW w:type="dxa" w:w="4320"/>
            <w:shd w:fill="D9EAF7"/>
          </w:tcPr>
          <w:p>
            <w:r>
              <w:rPr>
                <w:b/>
              </w:rPr>
            </w:r>
            <w:r>
              <w:rPr>
                <w:b/>
              </w:rPr>
              <w:t>Mitigación</w:t>
            </w:r>
          </w:p>
        </w:tc>
      </w:tr>
      <w:tr>
        <w:tc>
          <w:tcPr>
            <w:tcW w:type="dxa" w:w="4320"/>
          </w:tcPr>
          <w:p>
            <w:r/>
            <w:r>
              <w:t>Baja adherencia</w:t>
            </w:r>
          </w:p>
        </w:tc>
        <w:tc>
          <w:tcPr>
            <w:tcW w:type="dxa" w:w="4320"/>
          </w:tcPr>
          <w:p>
            <w:r/>
            <w:r>
              <w:t>Check-in breve; recordatorios opcionales; gate de continuidad tras 2 semanas</w:t>
            </w:r>
          </w:p>
        </w:tc>
      </w:tr>
      <w:tr>
        <w:tc>
          <w:tcPr>
            <w:tcW w:type="dxa" w:w="4320"/>
          </w:tcPr>
          <w:p>
            <w:r/>
            <w:r>
              <w:t>Estigmatización o miedo a evaluación de desempeño</w:t>
            </w:r>
          </w:p>
        </w:tc>
        <w:tc>
          <w:tcPr>
            <w:tcW w:type="dxa" w:w="4320"/>
          </w:tcPr>
          <w:p>
            <w:r/>
            <w:r>
              <w:t>Comunicación clara: no aptitud, no alertas individuales, solo agregados K≥5; participación voluntaria</w:t>
            </w:r>
          </w:p>
        </w:tc>
      </w:tr>
      <w:tr>
        <w:tc>
          <w:tcPr>
            <w:tcW w:type="dxa" w:w="4320"/>
          </w:tcPr>
          <w:p>
            <w:r/>
            <w:r>
              <w:t>Sesgo de autoselección</w:t>
            </w:r>
          </w:p>
        </w:tc>
        <w:tc>
          <w:tcPr>
            <w:tcW w:type="dxa" w:w="4320"/>
          </w:tcPr>
          <w:p>
            <w:r/>
            <w:r>
              <w:t>Documentar perfiles agregados; no extrapolar sin cautela</w:t>
            </w:r>
          </w:p>
        </w:tc>
      </w:tr>
      <w:tr>
        <w:tc>
          <w:tcPr>
            <w:tcW w:type="dxa" w:w="4320"/>
          </w:tcPr>
          <w:p>
            <w:r/>
            <w:r>
              <w:t>Incidentes de privacidad</w:t>
            </w:r>
          </w:p>
        </w:tc>
        <w:tc>
          <w:tcPr>
            <w:tcW w:type="dxa" w:w="4320"/>
          </w:tcPr>
          <w:p>
            <w:r/>
            <w:r>
              <w:t>Minimización, cifrado, derechos ARCO/RGPD, sin cesión al Ayuntamiento</w:t>
            </w:r>
          </w:p>
        </w:tc>
      </w:tr>
      <w:tr>
        <w:tc>
          <w:tcPr>
            <w:tcW w:type="dxa" w:w="4320"/>
          </w:tcPr>
          <w:p>
            <w:r/>
            <w:r>
              <w:t>Desalineación con calendario Fallas</w:t>
            </w:r>
          </w:p>
        </w:tc>
        <w:tc>
          <w:tcPr>
            <w:tcW w:type="dxa" w:w="4320"/>
          </w:tcPr>
          <w:p>
            <w:r/>
            <w:r>
              <w:t>Diseño bifásico con margen; art. 17 permite ampliación justificada del inicio</w:t>
            </w:r>
          </w:p>
        </w:tc>
      </w:tr>
      <w:tr>
        <w:tc>
          <w:tcPr>
            <w:tcW w:type="dxa" w:w="4320"/>
          </w:tcPr>
          <w:p>
            <w:r/>
            <w:r>
              <w:t>Daños a bienes públicos</w:t>
            </w:r>
          </w:p>
        </w:tc>
        <w:tc>
          <w:tcPr>
            <w:tcW w:type="dxa" w:w="4320"/>
          </w:tcPr>
          <w:p>
            <w:r/>
            <w:r>
              <w:t>Riesgo nulo por tipología digital; seguro RC aportado post-aprobación (arts. 15.3 y 16)</w:t>
            </w:r>
          </w:p>
        </w:tc>
      </w:tr>
    </w:tbl>
    <w:p>
      <w:r>
        <w:rPr>
          <w:b/>
        </w:rPr>
        <w:t>Seguro y garantías (posición expresa)</w:t>
      </w:r>
    </w:p>
    <w:p>
      <w:pPr>
        <w:ind w:left="360"/>
      </w:pPr>
      <w:r>
        <w:t xml:space="preserve">• </w:t>
      </w:r>
      <w:r>
        <w:rPr>
          <w:b/>
        </w:rPr>
        <w:t>Art. 16.1:</w:t>
      </w:r>
      <w:r>
        <w:t xml:space="preserve"> seguro de responsabilidad civil — </w:t>
      </w:r>
      <w:r>
        <w:rPr>
          <w:b/>
        </w:rPr>
        <w:t>compromiso de aportarlo</w:t>
      </w:r>
      <w:r>
        <w:t xml:space="preserve"> en los 15 días hábiles posteriores a la aprobación (</w:t>
      </w:r>
      <w:r>
        <w:rPr>
          <w:b/>
        </w:rPr>
        <w:t>art. 15.3</w:t>
      </w:r>
      <w:r>
        <w:t>). No se aporta ahora.</w:t>
      </w:r>
    </w:p>
    <w:p>
      <w:pPr>
        <w:ind w:left="360"/>
      </w:pPr>
      <w:r>
        <w:t xml:space="preserve">• </w:t>
      </w:r>
      <w:r>
        <w:rPr>
          <w:b/>
        </w:rPr>
        <w:t>Art. 16.2:</w:t>
      </w:r>
      <w:r>
        <w:t xml:space="preserve"> garantía por daños a bienes públicos — se solicita dimensionamiento mínimo / no exigencia, por tipología de actividad sin intervención física.</w:t>
      </w:r>
    </w:p>
    <w:p>
      <w:pPr>
        <w:pStyle w:val="Heading2"/>
      </w:pPr>
      <w:r>
        <w:t>Marcadores pendientes de cumplimentar con datos reales</w:t>
      </w:r>
    </w:p>
    <w:tbl>
      <w:tblPr>
        <w:tblStyle w:val="TableGrid"/>
        <w:tblW w:type="auto" w:w="0"/>
        <w:tblLayout w:type="autofit"/>
        <w:tblLook w:firstColumn="1" w:firstRow="1" w:lastColumn="0" w:lastRow="0" w:noHBand="0" w:noVBand="1" w:val="04A0"/>
      </w:tblPr>
      <w:tblGrid>
        <w:gridCol w:w="4320"/>
        <w:gridCol w:w="4320"/>
      </w:tblGrid>
      <w:tr>
        <w:tc>
          <w:tcPr>
            <w:tcW w:type="dxa" w:w="4320"/>
            <w:shd w:fill="D9EAF7"/>
          </w:tcPr>
          <w:p>
            <w:r>
              <w:rPr>
                <w:b/>
              </w:rPr>
            </w:r>
            <w:r>
              <w:rPr>
                <w:b/>
              </w:rPr>
              <w:t>Marcador</w:t>
            </w:r>
          </w:p>
        </w:tc>
        <w:tc>
          <w:tcPr>
            <w:tcW w:type="dxa" w:w="4320"/>
            <w:shd w:fill="D9EAF7"/>
          </w:tcPr>
          <w:p>
            <w:r>
              <w:rPr>
                <w:b/>
              </w:rPr>
            </w:r>
            <w:r>
              <w:rPr>
                <w:b/>
              </w:rPr>
              <w:t>Significado</w:t>
            </w:r>
          </w:p>
        </w:tc>
      </w:tr>
      <w:tr>
        <w:tc>
          <w:tcPr>
            <w:tcW w:type="dxa" w:w="4320"/>
          </w:tcPr>
          <w:p>
            <w:r/>
            <w:r>
              <w:rPr>
                <w:rFonts w:ascii="Consolas" w:hAnsi="Consolas"/>
                <w:b/>
                <w:color w:val="B14B00"/>
                <w:sz w:val="19"/>
              </w:rPr>
              <w:t>{{N_PARTICIPANTES_PREFLIGHT}}</w:t>
            </w:r>
          </w:p>
        </w:tc>
        <w:tc>
          <w:tcPr>
            <w:tcW w:type="dxa" w:w="4320"/>
          </w:tcPr>
          <w:p>
            <w:r/>
            <w:r>
              <w:t>Número de voluntarios del preflight</w:t>
            </w:r>
          </w:p>
        </w:tc>
      </w:tr>
      <w:tr>
        <w:tc>
          <w:tcPr>
            <w:tcW w:type="dxa" w:w="4320"/>
          </w:tcPr>
          <w:p>
            <w:r/>
            <w:r>
              <w:rPr>
                <w:rFonts w:ascii="Consolas" w:hAnsi="Consolas"/>
                <w:b/>
                <w:color w:val="B14B00"/>
                <w:sz w:val="19"/>
              </w:rPr>
              <w:t>{{ADHERENCIA_DIARIA}}</w:t>
            </w:r>
          </w:p>
        </w:tc>
        <w:tc>
          <w:tcPr>
            <w:tcW w:type="dxa" w:w="4320"/>
          </w:tcPr>
          <w:p>
            <w:r/>
            <w:r>
              <w:t>Adherencia diaria del preflight</w:t>
            </w:r>
          </w:p>
        </w:tc>
      </w:tr>
      <w:tr>
        <w:tc>
          <w:tcPr>
            <w:tcW w:type="dxa" w:w="4320"/>
          </w:tcPr>
          <w:p>
            <w:r/>
            <w:r>
              <w:rPr>
                <w:rFonts w:ascii="Consolas" w:hAnsi="Consolas"/>
                <w:b/>
                <w:color w:val="B14B00"/>
                <w:sz w:val="19"/>
              </w:rPr>
              <w:t>{{TASA_ABANDONO}}</w:t>
            </w:r>
          </w:p>
        </w:tc>
        <w:tc>
          <w:tcPr>
            <w:tcW w:type="dxa" w:w="4320"/>
          </w:tcPr>
          <w:p>
            <w:r/>
            <w:r>
              <w:t>Tasa de abandono del preflight</w:t>
            </w:r>
          </w:p>
        </w:tc>
      </w:tr>
      <w:tr>
        <w:tc>
          <w:tcPr>
            <w:tcW w:type="dxa" w:w="4320"/>
          </w:tcPr>
          <w:p>
            <w:r/>
            <w:r>
              <w:rPr>
                <w:rFonts w:ascii="Consolas" w:hAnsi="Consolas"/>
                <w:b/>
                <w:color w:val="B14B00"/>
                <w:sz w:val="19"/>
              </w:rPr>
              <w:t>{{URL_DEMO}}</w:t>
            </w:r>
          </w:p>
        </w:tc>
        <w:tc>
          <w:tcPr>
            <w:tcW w:type="dxa" w:w="4320"/>
          </w:tcPr>
          <w:p>
            <w:r/>
            <w:r>
              <w:t>URL de la demo pública funcional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Source Sans Pro" w:hAnsi="Source Sans Pr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Pro" w:hAnsi="Source Sans Pro"/>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SANDBOX URBANO DE VALÈNCIA — PulsePath</dc:title>
  <dc:subject>Sandbox Urbano de València · Cuestionario inicial</dc:subject>
  <dc:creator>Max Borra Palau · PulsePath</dc:creator>
  <cp:keywords>PulsePath, València, Sandbox Urbano, fatiga, bienestar laboral</cp:keywords>
  <dc:description>generated by python-docx</dc:description>
  <cp:lastModifiedBy/>
  <cp:revision>1</cp:revision>
  <dcterms:created xsi:type="dcterms:W3CDTF">2013-12-23T23:15:00Z</dcterms:created>
  <dcterms:modified xsi:type="dcterms:W3CDTF">2013-12-23T23:15:00Z</dcterms:modified>
  <cp:category/>
</cp:coreProperties>
</file>