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Protocolo de pruebas — PulsePath</w:t>
      </w:r>
    </w:p>
    <w:p>
      <w:pPr>
        <w:pStyle w:val="Heading2"/>
      </w:pPr>
      <w:r>
        <w:t>Propuesta para el Sandbox Urbano de València</w:t>
      </w:r>
    </w:p>
    <w:p>
      <w:pPr>
        <w:pStyle w:val="Heading3"/>
      </w:pPr>
      <w:r>
        <w:t>Borrador para sede electrónica (art. 13.4.C de la Ordenanza)</w:t>
      </w:r>
    </w:p>
    <w:p>
      <w:r>
        <w:t xml:space="preserve">&gt; Documento director de la actuación. Modelo orientado a los contenidos mínimos exigidos por el </w:t>
      </w:r>
      <w:r>
        <w:rPr>
          <w:b/>
        </w:rPr>
        <w:t>artículo 13.4.C</w:t>
      </w:r>
      <w:r>
        <w:t xml:space="preserve"> de la Ordenanza Municipal reguladora del Sandbox Urbano de Valencia y a las recomendaciones del </w:t>
      </w:r>
      <w:r>
        <w:rPr>
          <w:i/>
        </w:rPr>
        <w:t>Participant Handbook</w:t>
      </w:r>
      <w:r>
        <w:t xml:space="preserve"> (apartado 2.2 — “How do I write my testing protocol proposal?”). &gt; El Manual del participante indica que en la sede electrónica municipal se facilita un </w:t>
      </w:r>
      <w:r>
        <w:rPr>
          <w:b/>
        </w:rPr>
        <w:t>modelo o guía</w:t>
      </w:r>
      <w:r>
        <w:t xml:space="preserve"> descargable para redactar el protocolo; este borrador se ajusta a ese esquema normativo y podrá volcarse al formulario oficial cuando se formalice el trámite electrónico.</w:t>
      </w:r>
    </w:p>
    <w:p>
      <w:r>
        <w:rPr>
          <w:b/>
        </w:rPr>
        <w:t>Versión:</w:t>
      </w:r>
      <w:r>
        <w:t xml:space="preserve"> borrador 0.1 </w:t>
      </w:r>
      <w:r>
        <w:rPr>
          <w:b/>
        </w:rPr>
        <w:t>Fecha:</w:t>
      </w:r>
      <w:r>
        <w:t xml:space="preserve"> agosto 2026 </w:t>
      </w:r>
      <w:r>
        <w:rPr>
          <w:b/>
        </w:rPr>
        <w:t>Promotor / entidad promotora:</w:t>
      </w:r>
      <w:r>
        <w:t xml:space="preserve"> Max Borra Palau (persona física) </w:t>
      </w:r>
      <w:r>
        <w:rPr>
          <w:b/>
        </w:rPr>
        <w:t>Interlocución:</w:t>
      </w:r>
      <w:r>
        <w:t xml:space="preserve"> Max Borra Palau — max@getpulsepath.com </w:t>
      </w:r>
      <w:r>
        <w:rPr>
          <w:b/>
        </w:rPr>
        <w:t>Proyecto:</w:t>
      </w:r>
      <w:r>
        <w:t xml:space="preserve"> PulsePath — medición agregada de fatiga y bienestar laboral en personal municipal (dos fases; ventana Fallas)</w:t>
      </w:r>
    </w:p>
    <w:p>
      <w:pPr>
        <w:pStyle w:val="Heading2"/>
      </w:pPr>
      <w:r>
        <w:t>1. Datos generales del proyecto de innovación</w:t>
      </w:r>
    </w:p>
    <w:p>
      <w:pPr>
        <w:pStyle w:val="Heading3"/>
      </w:pPr>
      <w:r>
        <w:t>1.1. Objeto</w:t>
      </w:r>
    </w:p>
    <w:p>
      <w:r>
        <w:t>Realizar un piloto de investigación e innovación, sin fines lucrativos durante la ejecución (art. 10.2), para validar PulsePath —PWA de bienestar laboral— en personal municipal voluntario del Ayuntamiento de València / su Sector Público Local, con diseño experimental en dos fases y comparación intrasujeto entre carga ordinaria y pico de las Fallas.</w:t>
      </w:r>
    </w:p>
    <w:p>
      <w:pPr>
        <w:pStyle w:val="Heading3"/>
      </w:pPr>
      <w:r>
        <w:t>1.2. Descripción técnica resumida</w:t>
      </w:r>
    </w:p>
    <w:p>
      <w:r>
        <w:t>PulsePath combina:</w:t>
      </w:r>
    </w:p>
    <w:p>
      <w:pPr>
        <w:ind w:left="360"/>
      </w:pPr>
      <w:r>
        <w:t xml:space="preserve">• </w:t>
      </w:r>
      <w:r>
        <w:t>prueba de vigilancia psicomotora breve (PVT / PVT-BA);</w:t>
      </w:r>
    </w:p>
    <w:p>
      <w:pPr>
        <w:ind w:left="360"/>
      </w:pPr>
      <w:r>
        <w:t xml:space="preserve">• </w:t>
      </w:r>
      <w:r>
        <w:t>escala KSS;</w:t>
      </w:r>
    </w:p>
    <w:p>
      <w:pPr>
        <w:ind w:left="360"/>
      </w:pPr>
      <w:r>
        <w:t xml:space="preserve">• </w:t>
      </w:r>
      <w:r>
        <w:t>cuestionarios validados DASS-21, GAD-7 y Copenhagen Burnout Inventory en oleadas.</w:t>
      </w:r>
    </w:p>
    <w:p>
      <w:r>
        <w:t xml:space="preserve">Sin cámaras, sin biometría, sin datos pasivos, sin geolocalización. Feedback individual solo para la persona participante. Cuadro de mando organizacional únicamente con agregados </w:t>
      </w:r>
      <w:r>
        <w:rPr>
          <w:b/>
        </w:rPr>
        <w:t>K≥5</w:t>
      </w:r>
      <w:r>
        <w:t>. No evalúa desempeño ni aptitud; no envía alertas individuales a mandos.</w:t>
      </w:r>
    </w:p>
    <w:p>
      <w:pPr>
        <w:pStyle w:val="Heading3"/>
      </w:pPr>
      <w:r>
        <w:t>1.3. Madurez tecnológica</w:t>
      </w:r>
    </w:p>
    <w:p>
      <w:r>
        <w:t>TRL 6 tras preflight con {{N_PARTICIPANTES_PREFLIGHT}} voluntarios externos (7–14 días); métricas: adherencia {{ADHERENCIA_DIARIA}}, abandono {{TASA_ABANDONO}}. Demo: {{URL_DEMO}}. Objetivo del Sandbox: TRL 7 en entorno operacional municipal.</w:t>
      </w:r>
    </w:p>
    <w:p>
      <w:pPr>
        <w:pStyle w:val="Heading3"/>
      </w:pPr>
      <w:r>
        <w:t>1.4. Interés público (arts. 4 y 10)</w:t>
      </w:r>
    </w:p>
    <w:p>
      <w:r>
        <w:t xml:space="preserve">Impacto positivo potencial en salud y cuidado de las personas trabajadoras, digitalización y modernización del sector público. Retorno a la ciudad conforme al </w:t>
      </w:r>
      <w:r>
        <w:rPr>
          <w:b/>
        </w:rPr>
        <w:t>artículo 22</w:t>
      </w:r>
      <w:r>
        <w:t xml:space="preserve"> (sección 8 de este protocolo).</w:t>
      </w:r>
    </w:p>
    <w:p>
      <w:pPr>
        <w:pStyle w:val="Heading3"/>
      </w:pPr>
      <w:r>
        <w:t>1.5. Precedente de encaje</w:t>
      </w:r>
    </w:p>
    <w:p>
      <w:r>
        <w:rPr>
          <w:b/>
        </w:rPr>
        <w:t>VITALWISE</w:t>
      </w:r>
      <w:r>
        <w:t xml:space="preserve"> (Instituto de Biomecánica de València), proyecto ejecutado en el Sandbox Urbano de València para detección de fatiga y estrés (constantes vitales de conductores). Ensayos: </w:t>
      </w:r>
      <w:r>
        <w:rPr>
          <w:b/>
        </w:rPr>
        <w:t>1 de abril – 31 de julio de 2025</w:t>
      </w:r>
      <w:r>
        <w:t xml:space="preserve"> (fuente IBV).[^vitalwise-ibv] La comunicación institucional del </w:t>
      </w:r>
      <w:r>
        <w:rPr>
          <w:b/>
        </w:rPr>
        <w:t>6 de julio de 2026</w:t>
      </w:r>
      <w:r>
        <w:t xml:space="preserve"> es la noticia posterior sobre el piloto ya realizado, no la fecha de admisión ni de ensayos.[^vitalwise-noticia] Ficha: [Valencia Innovation Capital — VITALWISE](https://valenciainnovationcapital.com/proyecto/vitalwise/). Sirve de referencia de que la salud digital orientada a fatiga encaja en el instrumento.</w:t>
      </w:r>
    </w:p>
    <w:p>
      <w:r>
        <w:t>[^vitalwise-ibv]: https://www.ibv.org/actualidad/ibv-presenta-su-tecnologia-vitalwise-en-el-sandbox-urbano-de-valencia/ [^vitalwise-noticia]: https://www.europapress.es/comunitat-valenciana/innova-00214/noticia-valencia-prueba-sandbox-urbano-sistema-registrar-constantes-vitales-conductores-20260706184246.html ; https://valenciainnovationcapital.com/valencia-prueba-en-el-sandbox-urbano-un-sistema-para-registrar-las-constantes-vitales-de-los-conductores/</w:t>
      </w:r>
    </w:p>
    <w:p>
      <w:pPr>
        <w:pStyle w:val="Heading3"/>
      </w:pPr>
      <w:r>
        <w:t>1.6. Procedimiento simplificado</w:t>
      </w:r>
    </w:p>
    <w:p>
      <w:r>
        <w:t xml:space="preserve">Se solicita valorar el procedimiento simplificado del </w:t>
      </w:r>
      <w:r>
        <w:rPr>
          <w:b/>
        </w:rPr>
        <w:t>artículo 14.6</w:t>
      </w:r>
      <w:r>
        <w:t xml:space="preserve"> (madurez tecnológica, similitud con proyecto aprobado —VITALWISE—, ausencia de complejidad de obra/ocupación).</w:t>
      </w:r>
    </w:p>
    <w:p>
      <w:pPr>
        <w:pStyle w:val="Heading2"/>
      </w:pPr>
      <w:r>
        <w:t>2. Plan de pruebas del proyecto de innovación</w:t>
      </w:r>
    </w:p>
    <w:p>
      <w:pPr>
        <w:pStyle w:val="Heading3"/>
      </w:pPr>
      <w:r>
        <w:t>2.1. Diseño experimental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D9EAF7"/>
          </w:tcPr>
          <w:p>
            <w:r>
              <w:rPr>
                <w:b/>
              </w:rPr>
            </w:r>
            <w:r>
              <w:rPr>
                <w:b/>
              </w:rPr>
              <w:t>Elemento</w:t>
            </w:r>
          </w:p>
        </w:tc>
        <w:tc>
          <w:tcPr>
            <w:tcW w:type="dxa" w:w="4320"/>
            <w:shd w:fill="D9EAF7"/>
          </w:tcPr>
          <w:p>
            <w:r>
              <w:rPr>
                <w:b/>
              </w:rPr>
            </w:r>
            <w:r>
              <w:rPr>
                <w:b/>
              </w:rPr>
              <w:t>Definición</w:t>
            </w:r>
          </w:p>
        </w:tc>
      </w:tr>
      <w:tr>
        <w:tc>
          <w:tcPr>
            <w:tcW w:type="dxa" w:w="4320"/>
          </w:tcPr>
          <w:p>
            <w:r/>
            <w:r>
              <w:t>Diseño</w:t>
            </w:r>
          </w:p>
        </w:tc>
        <w:tc>
          <w:tcPr>
            <w:tcW w:type="dxa" w:w="4320"/>
          </w:tcPr>
          <w:p>
            <w:r/>
            <w:r>
              <w:t xml:space="preserve">Dos fases secuenciales; comparación </w:t>
            </w:r>
            <w:r>
              <w:rPr>
                <w:b/>
              </w:rPr>
              <w:t>intrasujeto</w:t>
            </w:r>
            <w:r>
              <w:t xml:space="preserve"> (prioridad) + ampliación de cohorte en fase 2</w:t>
            </w:r>
          </w:p>
        </w:tc>
      </w:tr>
      <w:tr>
        <w:tc>
          <w:tcPr>
            <w:tcW w:type="dxa" w:w="4320"/>
          </w:tcPr>
          <w:p>
            <w:r/>
            <w:r>
              <w:t>Fase 1</w:t>
            </w:r>
          </w:p>
        </w:tc>
        <w:tc>
          <w:tcPr>
            <w:tcW w:type="dxa" w:w="4320"/>
          </w:tcPr>
          <w:p>
            <w:r/>
            <w:r>
              <w:t xml:space="preserve">Carga ordinaria (invierno): </w:t>
            </w:r>
            <w:r>
              <w:rPr>
                <w:b/>
              </w:rPr>
              <w:t>30</w:t>
            </w:r>
            <w:r>
              <w:t xml:space="preserve"> personas voluntarias</w:t>
            </w:r>
          </w:p>
        </w:tc>
      </w:tr>
      <w:tr>
        <w:tc>
          <w:tcPr>
            <w:tcW w:type="dxa" w:w="4320"/>
          </w:tcPr>
          <w:p>
            <w:r/>
            <w:r>
              <w:t>Fase 2</w:t>
            </w:r>
          </w:p>
        </w:tc>
        <w:tc>
          <w:tcPr>
            <w:tcW w:type="dxa" w:w="4320"/>
          </w:tcPr>
          <w:p>
            <w:r/>
            <w:r>
              <w:t xml:space="preserve">Ventana Fallas (marzo): ampliación a </w:t>
            </w:r>
            <w:r>
              <w:rPr>
                <w:b/>
              </w:rPr>
              <w:t>50</w:t>
            </w:r>
            <w:r>
              <w:t xml:space="preserve"> personas; máxima retención de la cohorte de fase 1</w:t>
            </w:r>
          </w:p>
        </w:tc>
      </w:tr>
      <w:tr>
        <w:tc>
          <w:tcPr>
            <w:tcW w:type="dxa" w:w="4320"/>
          </w:tcPr>
          <w:p>
            <w:r/>
            <w:r>
              <w:t>Unidad de análisis primaria</w:t>
            </w:r>
          </w:p>
        </w:tc>
        <w:tc>
          <w:tcPr>
            <w:tcW w:type="dxa" w:w="4320"/>
          </w:tcPr>
          <w:p>
            <w:r/>
            <w:r>
              <w:t>Agregados por segmento con K≥5; contraste fase 1 vs fase 2 en participantes comunes</w:t>
            </w:r>
          </w:p>
        </w:tc>
      </w:tr>
      <w:tr>
        <w:tc>
          <w:tcPr>
            <w:tcW w:type="dxa" w:w="4320"/>
          </w:tcPr>
          <w:p>
            <w:r/>
            <w:r>
              <w:t>Controles</w:t>
            </w:r>
          </w:p>
        </w:tc>
        <w:tc>
          <w:tcPr>
            <w:tcW w:type="dxa" w:w="4320"/>
          </w:tcPr>
          <w:p>
            <w:r/>
            <w:r>
              <w:t>No hay grupo placebo; el control es la línea base del mismo sujeto</w:t>
            </w:r>
          </w:p>
        </w:tc>
      </w:tr>
    </w:tbl>
    <w:p>
      <w:pPr>
        <w:pStyle w:val="Heading3"/>
      </w:pPr>
      <w:r>
        <w:t>2.2. Participantes</w:t>
      </w:r>
    </w:p>
    <w:p>
      <w:pPr>
        <w:ind w:left="360"/>
      </w:pPr>
      <w:r>
        <w:t xml:space="preserve">• </w:t>
      </w:r>
      <w:r>
        <w:t>Personal laboral o funcionario municipal / Sector Público Local, adulto, voluntario.</w:t>
      </w:r>
    </w:p>
    <w:p>
      <w:pPr>
        <w:ind w:left="360"/>
      </w:pPr>
      <w:r>
        <w:t xml:space="preserve">• </w:t>
      </w:r>
      <w:r>
        <w:t>Criterios de inclusión: consentimiento informado; acceso a dispositivo compatible; pertenencia a servicios acordados con la persona facilitadora.</w:t>
      </w:r>
    </w:p>
    <w:p>
      <w:pPr>
        <w:ind w:left="360"/>
      </w:pPr>
      <w:r>
        <w:t xml:space="preserve">• </w:t>
      </w:r>
      <w:r>
        <w:t>Criterios de exclusión: negativa al consentimiento; imposibilidad técnica no solventable; cualquier indicación de Salud Laboral que desaconseje la participación.</w:t>
      </w:r>
    </w:p>
    <w:p>
      <w:pPr>
        <w:ind w:left="360"/>
      </w:pPr>
      <w:r>
        <w:t xml:space="preserve">• </w:t>
      </w:r>
      <w:r>
        <w:t>Reclutamiento: canales internos municipales (sin publicidad comercial).</w:t>
      </w:r>
    </w:p>
    <w:p>
      <w:pPr>
        <w:ind w:left="360"/>
      </w:pPr>
      <w:r>
        <w:t xml:space="preserve">• </w:t>
      </w:r>
      <w:r>
        <w:t>Compensación: ninguna obligatoria; en su caso, reconocimiento simbólico no retributivo acordado con el Ayuntamiento.</w:t>
      </w:r>
    </w:p>
    <w:p>
      <w:pPr>
        <w:pStyle w:val="Heading3"/>
      </w:pPr>
      <w:r>
        <w:t>2.3. Actividades por fase</w:t>
      </w:r>
    </w:p>
    <w:p>
      <w:r>
        <w:rPr>
          <w:b/>
        </w:rPr>
        <w:t>Preparación (2–4 semanas tras Protocolo firmado y seguros/garantías del art. 15.3)</w:t>
      </w:r>
    </w:p>
    <w:p>
      <w:pPr>
        <w:ind w:left="360"/>
      </w:pPr>
      <w:r>
        <w:t xml:space="preserve">• </w:t>
      </w:r>
      <w:r>
        <w:t>Designación de persona facilitadora del recurso.</w:t>
      </w:r>
    </w:p>
    <w:p>
      <w:pPr>
        <w:ind w:left="360"/>
      </w:pPr>
      <w:r>
        <w:t xml:space="preserve">• </w:t>
      </w:r>
      <w:r>
        <w:t>Selección de servicios / centros.</w:t>
      </w:r>
    </w:p>
    <w:p>
      <w:pPr>
        <w:ind w:left="360"/>
      </w:pPr>
      <w:r>
        <w:t xml:space="preserve">• </w:t>
      </w:r>
      <w:r>
        <w:t>Materiales de consentimiento y sesión informativa.</w:t>
      </w:r>
    </w:p>
    <w:p>
      <w:pPr>
        <w:ind w:left="360"/>
      </w:pPr>
      <w:r>
        <w:t xml:space="preserve">• </w:t>
      </w:r>
      <w:r>
        <w:t>Alta técnica, códigos pseudónimos, prueba de conectividad.</w:t>
      </w:r>
    </w:p>
    <w:p>
      <w:pPr>
        <w:ind w:left="360"/>
      </w:pPr>
      <w:r>
        <w:t xml:space="preserve">• </w:t>
      </w:r>
      <w:r>
        <w:t>Gate: no se activa ningún participante municipal sin preflight externo completado.</w:t>
      </w:r>
    </w:p>
    <w:p>
      <w:r>
        <w:rPr>
          <w:b/>
        </w:rPr>
        <w:t>Fase 1 — carga ordinaria</w:t>
      </w:r>
    </w:p>
    <w:p>
      <w:pPr>
        <w:ind w:left="360"/>
      </w:pPr>
      <w:r>
        <w:t xml:space="preserve">• </w:t>
      </w:r>
      <w:r>
        <w:t>Check-in breve por jornada laboral pactada (PVT + KSS).</w:t>
      </w:r>
    </w:p>
    <w:p>
      <w:pPr>
        <w:ind w:left="360"/>
      </w:pPr>
      <w:r>
        <w:t xml:space="preserve">• </w:t>
      </w:r>
      <w:r>
        <w:t>Oleada basal de DASS-21, GAD-7 y CBI.</w:t>
      </w:r>
    </w:p>
    <w:p>
      <w:pPr>
        <w:ind w:left="360"/>
      </w:pPr>
      <w:r>
        <w:t xml:space="preserve">• </w:t>
      </w:r>
      <w:r>
        <w:t>Seguimiento semanal de adherencia; informe agregado interno a las 2 semanas (gate de continuidad).</w:t>
      </w:r>
    </w:p>
    <w:p>
      <w:pPr>
        <w:ind w:left="360"/>
      </w:pPr>
      <w:r>
        <w:t xml:space="preserve">• </w:t>
      </w:r>
      <w:r>
        <w:t>Sin intervención clínica; recomendaciones generales de bienestar solo a la persona participante.</w:t>
      </w:r>
    </w:p>
    <w:p>
      <w:r>
        <w:rPr>
          <w:b/>
        </w:rPr>
        <w:t>Fase 2 — ventana Fallas</w:t>
      </w:r>
    </w:p>
    <w:p>
      <w:pPr>
        <w:ind w:left="360"/>
      </w:pPr>
      <w:r>
        <w:t xml:space="preserve">• </w:t>
      </w:r>
      <w:r>
        <w:t>Ampliación a 50 participantes en servicios más expuestos al pico.</w:t>
      </w:r>
    </w:p>
    <w:p>
      <w:pPr>
        <w:ind w:left="360"/>
      </w:pPr>
      <w:r>
        <w:t xml:space="preserve">• </w:t>
      </w:r>
      <w:r>
        <w:t>Misma batería de check-in; oleada de cuestionarios en torno al pico.</w:t>
      </w:r>
    </w:p>
    <w:p>
      <w:pPr>
        <w:ind w:left="360"/>
      </w:pPr>
      <w:r>
        <w:t xml:space="preserve">• </w:t>
      </w:r>
      <w:r>
        <w:t>Registro del calendario urbano de Fallas como covariable temporal (fechas de máxima afluencia / actos relevantes acordados con la facilitación).</w:t>
      </w:r>
    </w:p>
    <w:p>
      <w:r>
        <w:rPr>
          <w:b/>
        </w:rPr>
        <w:t>Cierre</w:t>
      </w:r>
    </w:p>
    <w:p>
      <w:pPr>
        <w:ind w:left="360"/>
      </w:pPr>
      <w:r>
        <w:t xml:space="preserve">• </w:t>
      </w:r>
      <w:r>
        <w:t>Oleada final de cuestionarios (si procede).</w:t>
      </w:r>
    </w:p>
    <w:p>
      <w:pPr>
        <w:ind w:left="360"/>
      </w:pPr>
      <w:r>
        <w:t xml:space="preserve">• </w:t>
      </w:r>
      <w:r>
        <w:t>Encuesta de utilidad percibida.</w:t>
      </w:r>
    </w:p>
    <w:p>
      <w:pPr>
        <w:ind w:left="360"/>
      </w:pPr>
      <w:r>
        <w:t xml:space="preserve">• </w:t>
      </w:r>
      <w:r>
        <w:t xml:space="preserve">Informe final al ente instrumental de innovación en el plazo de </w:t>
      </w:r>
      <w:r>
        <w:rPr>
          <w:b/>
        </w:rPr>
        <w:t>un mes</w:t>
      </w:r>
      <w:r>
        <w:t xml:space="preserve"> (art. 19).</w:t>
      </w:r>
    </w:p>
    <w:p>
      <w:pPr>
        <w:ind w:left="360"/>
      </w:pPr>
      <w:r>
        <w:t xml:space="preserve">• </w:t>
      </w:r>
      <w:r>
        <w:t>Ejecución del retorno (sección 8) y plan de desinstalación / borrado.</w:t>
      </w:r>
    </w:p>
    <w:p>
      <w:pPr>
        <w:pStyle w:val="Heading3"/>
      </w:pPr>
      <w:r>
        <w:t>2.4. Calendario orientativo</w:t>
      </w:r>
    </w:p>
    <w:p>
      <w:r>
        <w:t>Condicionado a la fecha de resolución (plazo máximo de resolución: 3 meses, art. 15.2) y al alineamiento con invierno / Fallas:</w:t>
      </w:r>
    </w:p>
    <w:p>
      <w:pPr>
        <w:ind w:left="360"/>
      </w:pPr>
      <w:r>
        <w:t>1. Autorización → 15 días hábiles para seguros/garantías y ajustes (art. 15.3).</w:t>
      </w:r>
    </w:p>
    <w:p>
      <w:pPr>
        <w:ind w:left="360"/>
      </w:pPr>
      <w:r>
        <w:t>2. Inicio de pruebas: dentro del mes siguiente (art. 17), o ampliación justificada para coincidir con la fase 1 invernal.</w:t>
      </w:r>
    </w:p>
    <w:p>
      <w:pPr>
        <w:ind w:left="360"/>
      </w:pPr>
      <w:r>
        <w:t>3. Fase 1: ≈ 6–8 semanas en periodo de carga ordinaria.</w:t>
      </w:r>
    </w:p>
    <w:p>
      <w:pPr>
        <w:ind w:left="360"/>
      </w:pPr>
      <w:r>
        <w:t>4. Fase 2: ventana Fallas (marzo del año de ejecución; horizonte típico 2027).</w:t>
      </w:r>
    </w:p>
    <w:p>
      <w:pPr>
        <w:ind w:left="360"/>
      </w:pPr>
      <w:r>
        <w:t>5. Informe final: ≤ 1 mes tras el fin de pruebas (art. 19).</w:t>
      </w:r>
    </w:p>
    <w:p>
      <w:r>
        <w:t>Duración total del Protocolo: inferior al máximo legal de cinco años (art. 7); estimación de medición activa ≈ 4–5 meses.</w:t>
      </w:r>
    </w:p>
    <w:p>
      <w:pPr>
        <w:pStyle w:val="Heading3"/>
      </w:pPr>
      <w:r>
        <w:t>2.5. Indicadores y criterios de éxito</w:t>
      </w:r>
    </w:p>
    <w:p>
      <w:r>
        <w:t>Véase Cuestionario Inicial (documento 2). Resumen: adherencia ({{ADHERENCIA_DIARIA}}), abandono ({{TASA_ABANDONO}}), n fase 1 ≥30, n fase 2 ≥50, solapamiento intrasujeto ≥70 %, 0 incidentes de reidentificación, utilidad percibida ≥3,5/5, entrega del informe art. 19.</w:t>
      </w:r>
    </w:p>
    <w:p>
      <w:pPr>
        <w:pStyle w:val="Heading3"/>
      </w:pPr>
      <w:r>
        <w:t>2.6. Seguimiento municipal (art. 18)</w:t>
      </w:r>
    </w:p>
    <w:p>
      <w:r>
        <w:t>El promotor facilitará al personal técnico designado por Valencia Innovation Capital / Ayuntamiento:</w:t>
      </w:r>
    </w:p>
    <w:p>
      <w:pPr>
        <w:ind w:left="360"/>
      </w:pPr>
      <w:r>
        <w:t xml:space="preserve">• </w:t>
      </w:r>
      <w:r>
        <w:t>acceso a la demo y al cuadro de mando agregado (sin datos personales);</w:t>
      </w:r>
    </w:p>
    <w:p>
      <w:pPr>
        <w:ind w:left="360"/>
      </w:pPr>
      <w:r>
        <w:t xml:space="preserve">• </w:t>
      </w:r>
      <w:r>
        <w:t>reuniones de seguimiento mensuales (o la periodicidad que fije el Ayuntamiento);</w:t>
      </w:r>
    </w:p>
    <w:p>
      <w:pPr>
        <w:ind w:left="360"/>
      </w:pPr>
      <w:r>
        <w:t xml:space="preserve">• </w:t>
      </w:r>
      <w:r>
        <w:t>notificación inmediata de incidentes de seguridad o de privacidad;</w:t>
      </w:r>
    </w:p>
    <w:p>
      <w:pPr>
        <w:ind w:left="360"/>
      </w:pPr>
      <w:r>
        <w:t xml:space="preserve">• </w:t>
      </w:r>
      <w:r>
        <w:t>colaboración con la persona facilitadora del recurso.</w:t>
      </w:r>
    </w:p>
    <w:p>
      <w:pPr>
        <w:pStyle w:val="Heading2"/>
      </w:pPr>
      <w:r>
        <w:t>3. Recurso Urbano de Sandbox solicitado</w:t>
      </w:r>
    </w:p>
    <w:p>
      <w:pPr>
        <w:pStyle w:val="Heading3"/>
      </w:pPr>
      <w:r>
        <w:t>3.1. Identificación</w:t>
      </w:r>
    </w:p>
    <w:p>
      <w:r>
        <w:rPr>
          <w:b/>
        </w:rPr>
        <w:t>Recurso no incluido como unidad en la Relación vigente</w:t>
      </w:r>
      <w:r>
        <w:t xml:space="preserve"> → solicitud de habilitación conforme al </w:t>
      </w:r>
      <w:r>
        <w:rPr>
          <w:b/>
        </w:rPr>
        <w:t>artículo 6.1</w:t>
      </w:r>
      <w:r>
        <w:t>, con tres componentes: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D9EAF7"/>
          </w:tcPr>
          <w:p>
            <w:r>
              <w:rPr>
                <w:b/>
              </w:rPr>
            </w:r>
            <w:r>
              <w:rPr>
                <w:b/>
              </w:rPr>
              <w:t>Componente</w:t>
            </w:r>
          </w:p>
        </w:tc>
        <w:tc>
          <w:tcPr>
            <w:tcW w:type="dxa" w:w="2880"/>
            <w:shd w:fill="D9EAF7"/>
          </w:tcPr>
          <w:p>
            <w:r>
              <w:rPr>
                <w:b/>
              </w:rPr>
            </w:r>
            <w:r>
              <w:rPr>
                <w:b/>
              </w:rPr>
              <w:t>Tipología (art. 2.c)</w:t>
            </w:r>
          </w:p>
        </w:tc>
        <w:tc>
          <w:tcPr>
            <w:tcW w:type="dxa" w:w="2880"/>
            <w:shd w:fill="D9EAF7"/>
          </w:tcPr>
          <w:p>
            <w:r>
              <w:rPr>
                <w:b/>
              </w:rPr>
            </w:r>
            <w:r>
              <w:rPr>
                <w:b/>
              </w:rPr>
              <w:t>Uso en la prueba</w:t>
            </w:r>
          </w:p>
        </w:tc>
      </w:tr>
      <w:tr>
        <w:tc>
          <w:tcPr>
            <w:tcW w:type="dxa" w:w="2880"/>
          </w:tcPr>
          <w:p>
            <w:r/>
            <w:r>
              <w:t>Centros de trabajo municipales de los servicios participantes</w:t>
            </w:r>
          </w:p>
        </w:tc>
        <w:tc>
          <w:tcPr>
            <w:tcW w:type="dxa" w:w="2880"/>
          </w:tcPr>
          <w:p>
            <w:r/>
            <w:r>
              <w:t>Espacio</w:t>
            </w:r>
          </w:p>
        </w:tc>
        <w:tc>
          <w:tcPr>
            <w:tcW w:type="dxa" w:w="2880"/>
          </w:tcPr>
          <w:p>
            <w:r/>
            <w:r>
              <w:t>Contexto laboral real del personal voluntario</w:t>
            </w:r>
          </w:p>
        </w:tc>
      </w:tr>
      <w:tr>
        <w:tc>
          <w:tcPr>
            <w:tcW w:type="dxa" w:w="2880"/>
          </w:tcPr>
          <w:p>
            <w:r/>
            <w:r>
              <w:t>Canales internos de comunicación</w:t>
            </w:r>
          </w:p>
        </w:tc>
        <w:tc>
          <w:tcPr>
            <w:tcW w:type="dxa" w:w="2880"/>
          </w:tcPr>
          <w:p>
            <w:r/>
            <w:r>
              <w:t>Infraestructura organizativa / medio habilitante</w:t>
            </w:r>
          </w:p>
        </w:tc>
        <w:tc>
          <w:tcPr>
            <w:tcW w:type="dxa" w:w="2880"/>
          </w:tcPr>
          <w:p>
            <w:r/>
            <w:r>
              <w:t>Convocatoria voluntaria e información del estudio</w:t>
            </w:r>
          </w:p>
        </w:tc>
      </w:tr>
      <w:tr>
        <w:tc>
          <w:tcPr>
            <w:tcW w:type="dxa" w:w="2880"/>
          </w:tcPr>
          <w:p>
            <w:r/>
            <w:r>
              <w:t>Ventana temporal de las Fallas</w:t>
            </w:r>
          </w:p>
        </w:tc>
        <w:tc>
          <w:tcPr>
            <w:tcW w:type="dxa" w:w="2880"/>
          </w:tcPr>
          <w:p>
            <w:r/>
            <w:r>
              <w:t>Evento</w:t>
            </w:r>
          </w:p>
        </w:tc>
        <w:tc>
          <w:tcPr>
            <w:tcW w:type="dxa" w:w="2880"/>
          </w:tcPr>
          <w:p>
            <w:r/>
            <w:r>
              <w:t>Pico de carga previsible y acotado</w:t>
            </w:r>
          </w:p>
        </w:tc>
      </w:tr>
    </w:tbl>
    <w:p>
      <w:pPr>
        <w:pStyle w:val="Heading3"/>
      </w:pPr>
      <w:r>
        <w:t>3.2. Argumento de encaje (sin forzar el concepto)</w:t>
      </w:r>
    </w:p>
    <w:p>
      <w:r>
        <w:t xml:space="preserve">El Sandbox está pensado para recursos urbanos en sentido amplio. PulsePath no “urbaniza” una plaza ni instrumenta una calle: necesita </w:t>
      </w:r>
      <w:r>
        <w:rPr>
          <w:b/>
        </w:rPr>
        <w:t>el lugar de trabajo municipal</w:t>
      </w:r>
      <w:r>
        <w:t xml:space="preserve"> y </w:t>
      </w:r>
      <w:r>
        <w:rPr>
          <w:b/>
        </w:rPr>
        <w:t>el tiempo urbano de las Fallas</w:t>
      </w:r>
      <w:r>
        <w:t xml:space="preserve"> porque ahí se produce el fenómeno a medir (fatiga laboral bajo carga ordinaria vs pico). El artículo 2.c incluye expresamente los </w:t>
      </w:r>
      <w:r>
        <w:rPr>
          <w:b/>
        </w:rPr>
        <w:t>eventos</w:t>
      </w:r>
      <w:r>
        <w:t xml:space="preserve">. El artículo 6 permite estudiar y aceptar recursos no listados. El artículo 4 ampara salud, digitalización y modernización del sector público. El precedente </w:t>
      </w:r>
      <w:r>
        <w:rPr>
          <w:b/>
        </w:rPr>
        <w:t>VITALWISE</w:t>
      </w:r>
      <w:r>
        <w:t xml:space="preserve"> muestra que un demostrador de salud digital sobre fatiga/estrés ya ha operado en este Sandbox aunque su lógica no sea la de una instalación permanente en el espacio público.</w:t>
      </w:r>
    </w:p>
    <w:p>
      <w:r>
        <w:t>Condiciones del art. 5.2: no se pone en riesgo la salud por instalación física; no hay incremento ambiental; no hay perjuicio comercial; no se afecta patrimonio histórico-artístico; se requiere conformidad de la delegación adscrita y persona facilitadora.</w:t>
      </w:r>
    </w:p>
    <w:p>
      <w:pPr>
        <w:pStyle w:val="Heading3"/>
      </w:pPr>
      <w:r>
        <w:t>3.3. Reversibilidad</w:t>
      </w:r>
    </w:p>
    <w:p>
      <w:r>
        <w:t>Total. Sin obra, sin mobiliario, sin toma de corriente adicional.</w:t>
      </w:r>
    </w:p>
    <w:p>
      <w:pPr>
        <w:pStyle w:val="Heading2"/>
      </w:pPr>
      <w:r>
        <w:t>4. Evaluación de riesgos y medidas de prevención / protección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D9EAF7"/>
          </w:tcPr>
          <w:p>
            <w:r>
              <w:rPr>
                <w:b/>
              </w:rPr>
            </w:r>
            <w:r>
              <w:rPr>
                <w:b/>
              </w:rPr>
              <w:t>Riesgo</w:t>
            </w:r>
          </w:p>
        </w:tc>
        <w:tc>
          <w:tcPr>
            <w:tcW w:type="dxa" w:w="2160"/>
            <w:shd w:fill="D9EAF7"/>
          </w:tcPr>
          <w:p>
            <w:r>
              <w:rPr>
                <w:b/>
              </w:rPr>
            </w:r>
            <w:r>
              <w:rPr>
                <w:b/>
              </w:rPr>
              <w:t>Probabilidad</w:t>
            </w:r>
          </w:p>
        </w:tc>
        <w:tc>
          <w:tcPr>
            <w:tcW w:type="dxa" w:w="2160"/>
            <w:shd w:fill="D9EAF7"/>
          </w:tcPr>
          <w:p>
            <w:r>
              <w:rPr>
                <w:b/>
              </w:rPr>
            </w:r>
            <w:r>
              <w:rPr>
                <w:b/>
              </w:rPr>
              <w:t>Impacto</w:t>
            </w:r>
          </w:p>
        </w:tc>
        <w:tc>
          <w:tcPr>
            <w:tcW w:type="dxa" w:w="2160"/>
            <w:shd w:fill="D9EAF7"/>
          </w:tcPr>
          <w:p>
            <w:r>
              <w:rPr>
                <w:b/>
              </w:rPr>
            </w:r>
            <w:r>
              <w:rPr>
                <w:b/>
              </w:rPr>
              <w:t>Medida</w:t>
            </w:r>
          </w:p>
        </w:tc>
      </w:tr>
      <w:tr>
        <w:tc>
          <w:tcPr>
            <w:tcW w:type="dxa" w:w="2160"/>
          </w:tcPr>
          <w:p>
            <w:r/>
            <w:r>
              <w:t>Interpretación errónea como evaluación de desempeño</w:t>
            </w:r>
          </w:p>
        </w:tc>
        <w:tc>
          <w:tcPr>
            <w:tcW w:type="dxa" w:w="2160"/>
          </w:tcPr>
          <w:p>
            <w:r/>
            <w:r>
              <w:t>Media</w:t>
            </w:r>
          </w:p>
        </w:tc>
        <w:tc>
          <w:tcPr>
            <w:tcW w:type="dxa" w:w="2160"/>
          </w:tcPr>
          <w:p>
            <w:r/>
            <w:r>
              <w:t>Alto</w:t>
            </w:r>
          </w:p>
        </w:tc>
        <w:tc>
          <w:tcPr>
            <w:tcW w:type="dxa" w:w="2160"/>
          </w:tcPr>
          <w:p>
            <w:r/>
            <w:r>
              <w:t>Comunicación institucional clara; cláusulas en consentimiento; ausencia de alertas a mandos</w:t>
            </w:r>
          </w:p>
        </w:tc>
      </w:tr>
      <w:tr>
        <w:tc>
          <w:tcPr>
            <w:tcW w:type="dxa" w:w="2160"/>
          </w:tcPr>
          <w:p>
            <w:r/>
            <w:r>
              <w:t>Baja adherencia</w:t>
            </w:r>
          </w:p>
        </w:tc>
        <w:tc>
          <w:tcPr>
            <w:tcW w:type="dxa" w:w="2160"/>
          </w:tcPr>
          <w:p>
            <w:r/>
            <w:r>
              <w:t>Media</w:t>
            </w:r>
          </w:p>
        </w:tc>
        <w:tc>
          <w:tcPr>
            <w:tcW w:type="dxa" w:w="2160"/>
          </w:tcPr>
          <w:p>
            <w:r/>
            <w:r>
              <w:t>Medio</w:t>
            </w:r>
          </w:p>
        </w:tc>
        <w:tc>
          <w:tcPr>
            <w:tcW w:type="dxa" w:w="2160"/>
          </w:tcPr>
          <w:p>
            <w:r/>
            <w:r>
              <w:t>UX breve; gates; soporte del promotor</w:t>
            </w:r>
          </w:p>
        </w:tc>
      </w:tr>
      <w:tr>
        <w:tc>
          <w:tcPr>
            <w:tcW w:type="dxa" w:w="2160"/>
          </w:tcPr>
          <w:p>
            <w:r/>
            <w:r>
              <w:t>Fatiga adicional por el propio check-in</w:t>
            </w:r>
          </w:p>
        </w:tc>
        <w:tc>
          <w:tcPr>
            <w:tcW w:type="dxa" w:w="2160"/>
          </w:tcPr>
          <w:p>
            <w:r/>
            <w:r>
              <w:t>Baja</w:t>
            </w:r>
          </w:p>
        </w:tc>
        <w:tc>
          <w:tcPr>
            <w:tcW w:type="dxa" w:w="2160"/>
          </w:tcPr>
          <w:p>
            <w:r/>
            <w:r>
              <w:t>Bajo</w:t>
            </w:r>
          </w:p>
        </w:tc>
        <w:tc>
          <w:tcPr>
            <w:tcW w:type="dxa" w:w="2160"/>
          </w:tcPr>
          <w:p>
            <w:r/>
            <w:r>
              <w:t>Duración corta; voluntariedad; derecho a abandonar</w:t>
            </w:r>
          </w:p>
        </w:tc>
      </w:tr>
      <w:tr>
        <w:tc>
          <w:tcPr>
            <w:tcW w:type="dxa" w:w="2160"/>
          </w:tcPr>
          <w:p>
            <w:r/>
            <w:r>
              <w:t>Incidente de datos personales</w:t>
            </w:r>
          </w:p>
        </w:tc>
        <w:tc>
          <w:tcPr>
            <w:tcW w:type="dxa" w:w="2160"/>
          </w:tcPr>
          <w:p>
            <w:r/>
            <w:r>
              <w:t>Baja</w:t>
            </w:r>
          </w:p>
        </w:tc>
        <w:tc>
          <w:tcPr>
            <w:tcW w:type="dxa" w:w="2160"/>
          </w:tcPr>
          <w:p>
            <w:r/>
            <w:r>
              <w:t>Alto</w:t>
            </w:r>
          </w:p>
        </w:tc>
        <w:tc>
          <w:tcPr>
            <w:tcW w:type="dxa" w:w="2160"/>
          </w:tcPr>
          <w:p>
            <w:r/>
            <w:r>
              <w:t>Minimización, cifrado, K≥5, sin cesión al Ayuntamiento (art. 25.4), borrado final (art. 25.3)</w:t>
            </w:r>
          </w:p>
        </w:tc>
      </w:tr>
      <w:tr>
        <w:tc>
          <w:tcPr>
            <w:tcW w:type="dxa" w:w="2160"/>
          </w:tcPr>
          <w:p>
            <w:r/>
            <w:r>
              <w:t>Daño a bienes públicos</w:t>
            </w:r>
          </w:p>
        </w:tc>
        <w:tc>
          <w:tcPr>
            <w:tcW w:type="dxa" w:w="2160"/>
          </w:tcPr>
          <w:p>
            <w:r/>
            <w:r>
              <w:t>Nula</w:t>
            </w:r>
          </w:p>
        </w:tc>
        <w:tc>
          <w:tcPr>
            <w:tcW w:type="dxa" w:w="2160"/>
          </w:tcPr>
          <w:p>
            <w:r/>
            <w:r>
              <w:t>—</w:t>
            </w:r>
          </w:p>
        </w:tc>
        <w:tc>
          <w:tcPr>
            <w:tcW w:type="dxa" w:w="2160"/>
          </w:tcPr>
          <w:p>
            <w:r/>
            <w:r>
              <w:t>Sin intervención física</w:t>
            </w:r>
          </w:p>
        </w:tc>
      </w:tr>
      <w:tr>
        <w:tc>
          <w:tcPr>
            <w:tcW w:type="dxa" w:w="2160"/>
          </w:tcPr>
          <w:p>
            <w:r/>
            <w:r>
              <w:t>Daño a terceros por la actividad</w:t>
            </w:r>
          </w:p>
        </w:tc>
        <w:tc>
          <w:tcPr>
            <w:tcW w:type="dxa" w:w="2160"/>
          </w:tcPr>
          <w:p>
            <w:r/>
            <w:r>
              <w:t>Muy baja</w:t>
            </w:r>
          </w:p>
        </w:tc>
        <w:tc>
          <w:tcPr>
            <w:tcW w:type="dxa" w:w="2160"/>
          </w:tcPr>
          <w:p>
            <w:r/>
            <w:r>
              <w:t>Medio</w:t>
            </w:r>
          </w:p>
        </w:tc>
        <w:tc>
          <w:tcPr>
            <w:tcW w:type="dxa" w:w="2160"/>
          </w:tcPr>
          <w:p>
            <w:r/>
            <w:r>
              <w:t>Seguro RC post-aprobación (arts. 16.1 y 15.3)</w:t>
            </w:r>
          </w:p>
        </w:tc>
      </w:tr>
    </w:tbl>
    <w:p>
      <w:r>
        <w:rPr>
          <w:b/>
        </w:rPr>
        <w:t>Declaración sobre seguros y garantías</w:t>
      </w:r>
    </w:p>
    <w:p>
      <w:pPr>
        <w:ind w:left="360"/>
      </w:pPr>
      <w:r>
        <w:t xml:space="preserve">1. El promotor </w:t>
      </w:r>
      <w:r>
        <w:rPr>
          <w:b/>
        </w:rPr>
        <w:t>se compromete</w:t>
      </w:r>
      <w:r>
        <w:t xml:space="preserve"> a disponer de un </w:t>
      </w:r>
      <w:r>
        <w:rPr>
          <w:b/>
        </w:rPr>
        <w:t>seguro de responsabilidad civil</w:t>
      </w:r>
      <w:r>
        <w:t xml:space="preserve"> que cubra daños a miembros de la entidad promotora y a terceros durante las pruebas (</w:t>
      </w:r>
      <w:r>
        <w:rPr>
          <w:b/>
        </w:rPr>
        <w:t>art. 16.1</w:t>
      </w:r>
      <w:r>
        <w:t xml:space="preserve">), aportando la póliza en el plazo de </w:t>
      </w:r>
      <w:r>
        <w:rPr>
          <w:b/>
        </w:rPr>
        <w:t>quince días hábiles</w:t>
      </w:r>
      <w:r>
        <w:t xml:space="preserve"> desde la notificación de la aprobación (</w:t>
      </w:r>
      <w:r>
        <w:rPr>
          <w:b/>
        </w:rPr>
        <w:t>art. 15.3</w:t>
      </w:r>
      <w:r>
        <w:t xml:space="preserve">). </w:t>
      </w:r>
      <w:r>
        <w:rPr>
          <w:b/>
        </w:rPr>
        <w:t>No se aporta en la solicitud inicial.</w:t>
      </w:r>
    </w:p>
    <w:p>
      <w:pPr>
        <w:ind w:left="360"/>
      </w:pPr>
      <w:r>
        <w:t>2. Respecto al régimen de garantías por daños a bienes y derechos públicos (</w:t>
      </w:r>
      <w:r>
        <w:rPr>
          <w:b/>
        </w:rPr>
        <w:t>art. 16.2</w:t>
      </w:r>
      <w:r>
        <w:t xml:space="preserve">), se solicita que, “atendiendo a la tipología de la actividad” (actividad software sin ocupación ni manipulación de infraestructura), la garantía se fije en cuantía </w:t>
      </w:r>
      <w:r>
        <w:rPr>
          <w:b/>
        </w:rPr>
        <w:t>mínima o se dispense</w:t>
      </w:r>
      <w:r>
        <w:t>, al ser el riesgo de daño a bienes públicos nulo.</w:t>
      </w:r>
    </w:p>
    <w:p>
      <w:pPr>
        <w:pStyle w:val="Heading2"/>
      </w:pPr>
      <w:r>
        <w:t>5. Análisis normativo</w:t>
      </w:r>
    </w:p>
    <w:p>
      <w:pPr>
        <w:pStyle w:val="Heading3"/>
      </w:pPr>
      <w:r>
        <w:t>5.1. Marco específico del Sandbox</w:t>
      </w:r>
    </w:p>
    <w:p>
      <w:r>
        <w:t>Ordenanza Municipal reguladora del Sandbox Urbano de Valencia (arts. aplicables: 2, 4, 5, 6, 7, 8, 10, 12, 13, 14.6, 15, 16, 17, 18, 19, 20, 21, 22, 23, 24, 25, 26).</w:t>
      </w:r>
    </w:p>
    <w:p>
      <w:pPr>
        <w:pStyle w:val="Heading3"/>
      </w:pPr>
      <w:r>
        <w:t>5.2. Normativa potencialmente afectada / de aplicación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D9EAF7"/>
          </w:tcPr>
          <w:p>
            <w:r>
              <w:rPr>
                <w:b/>
              </w:rPr>
            </w:r>
            <w:r>
              <w:rPr>
                <w:b/>
              </w:rPr>
              <w:t>Ámbito</w:t>
            </w:r>
          </w:p>
        </w:tc>
        <w:tc>
          <w:tcPr>
            <w:tcW w:type="dxa" w:w="2880"/>
            <w:shd w:fill="D9EAF7"/>
          </w:tcPr>
          <w:p>
            <w:r>
              <w:rPr>
                <w:b/>
              </w:rPr>
            </w:r>
            <w:r>
              <w:rPr>
                <w:b/>
              </w:rPr>
              <w:t>Norma</w:t>
            </w:r>
          </w:p>
        </w:tc>
        <w:tc>
          <w:tcPr>
            <w:tcW w:type="dxa" w:w="2880"/>
            <w:shd w:fill="D9EAF7"/>
          </w:tcPr>
          <w:p>
            <w:r>
              <w:rPr>
                <w:b/>
              </w:rPr>
            </w:r>
            <w:r>
              <w:rPr>
                <w:b/>
              </w:rPr>
              <w:t>Observación</w:t>
            </w:r>
          </w:p>
        </w:tc>
      </w:tr>
      <w:tr>
        <w:tc>
          <w:tcPr>
            <w:tcW w:type="dxa" w:w="2880"/>
          </w:tcPr>
          <w:p>
            <w:r/>
            <w:r>
              <w:t>Protección de datos</w:t>
            </w:r>
          </w:p>
        </w:tc>
        <w:tc>
          <w:tcPr>
            <w:tcW w:type="dxa" w:w="2880"/>
          </w:tcPr>
          <w:p>
            <w:r/>
            <w:r>
              <w:t>RGPD (UE) 2016/679; LOPDGDD 3/2018</w:t>
            </w:r>
          </w:p>
        </w:tc>
        <w:tc>
          <w:tcPr>
            <w:tcW w:type="dxa" w:w="2880"/>
          </w:tcPr>
          <w:p>
            <w:r/>
            <w:r>
              <w:t>Promotor = responsable del tratamiento (art. 25 Ordenanza)</w:t>
            </w:r>
          </w:p>
        </w:tc>
      </w:tr>
      <w:tr>
        <w:tc>
          <w:tcPr>
            <w:tcW w:type="dxa" w:w="2880"/>
          </w:tcPr>
          <w:p>
            <w:r/>
            <w:r>
              <w:t>Empleo público / prevención</w:t>
            </w:r>
          </w:p>
        </w:tc>
        <w:tc>
          <w:tcPr>
            <w:tcW w:type="dxa" w:w="2880"/>
          </w:tcPr>
          <w:p>
            <w:r/>
            <w:r>
              <w:t>Marco de PRL y políticas internas de bienestar</w:t>
            </w:r>
          </w:p>
        </w:tc>
        <w:tc>
          <w:tcPr>
            <w:tcW w:type="dxa" w:w="2880"/>
          </w:tcPr>
          <w:p>
            <w:r/>
            <w:r>
              <w:t xml:space="preserve">La prueba </w:t>
            </w:r>
            <w:r>
              <w:rPr>
                <w:b/>
              </w:rPr>
              <w:t>no sustituye</w:t>
            </w:r>
            <w:r>
              <w:t xml:space="preserve"> la evaluación de riesgos psicosociales reglamentaria</w:t>
            </w:r>
          </w:p>
        </w:tc>
      </w:tr>
      <w:tr>
        <w:tc>
          <w:tcPr>
            <w:tcW w:type="dxa" w:w="2880"/>
          </w:tcPr>
          <w:p>
            <w:r/>
            <w:r>
              <w:t>Productos sanitarios</w:t>
            </w:r>
          </w:p>
        </w:tc>
        <w:tc>
          <w:tcPr>
            <w:tcW w:type="dxa" w:w="2880"/>
          </w:tcPr>
          <w:p>
            <w:r/>
            <w:r>
              <w:t>—</w:t>
            </w:r>
          </w:p>
        </w:tc>
        <w:tc>
          <w:tcPr>
            <w:tcW w:type="dxa" w:w="2880"/>
          </w:tcPr>
          <w:p>
            <w:r/>
            <w:r>
              <w:t xml:space="preserve">PulsePath </w:t>
            </w:r>
            <w:r>
              <w:rPr>
                <w:b/>
              </w:rPr>
              <w:t>no</w:t>
            </w:r>
            <w:r>
              <w:t xml:space="preserve"> se presenta como producto sanitario ni como dispositivo de diagnóstico; es herramienta de bienestar laboral no clínico</w:t>
            </w:r>
          </w:p>
        </w:tc>
      </w:tr>
      <w:tr>
        <w:tc>
          <w:tcPr>
            <w:tcW w:type="dxa" w:w="2880"/>
          </w:tcPr>
          <w:p>
            <w:r/>
            <w:r>
              <w:t>Ocupación de dominio público</w:t>
            </w:r>
          </w:p>
        </w:tc>
        <w:tc>
          <w:tcPr>
            <w:tcW w:type="dxa" w:w="2880"/>
          </w:tcPr>
          <w:p>
            <w:r/>
            <w:r>
              <w:t>Ordenanza de ocupación del DP municipal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No aplica</w:t>
            </w:r>
            <w:r>
              <w:t xml:space="preserve"> ocupación; el título habilitante, en su caso, es el del Sandbox (art. 11.2)</w:t>
            </w:r>
          </w:p>
        </w:tc>
      </w:tr>
      <w:tr>
        <w:tc>
          <w:tcPr>
            <w:tcW w:type="dxa" w:w="2880"/>
          </w:tcPr>
          <w:p>
            <w:r/>
            <w:r>
              <w:t>Propiedad intelectual</w:t>
            </w:r>
          </w:p>
        </w:tc>
        <w:tc>
          <w:tcPr>
            <w:tcW w:type="dxa" w:w="2880"/>
          </w:tcPr>
          <w:p>
            <w:r/>
            <w:r>
              <w:t>TRLPI / normativa de PI</w:t>
            </w:r>
          </w:p>
        </w:tc>
        <w:tc>
          <w:tcPr>
            <w:tcW w:type="dxa" w:w="2880"/>
          </w:tcPr>
          <w:p>
            <w:r/>
            <w:r>
              <w:t>Sección 7</w:t>
            </w:r>
          </w:p>
        </w:tc>
      </w:tr>
    </w:tbl>
    <w:p>
      <w:pPr>
        <w:pStyle w:val="Heading3"/>
      </w:pPr>
      <w:r>
        <w:t>5.3. Excepciones normativas</w:t>
      </w:r>
    </w:p>
    <w:p>
      <w:r>
        <w:t>No se solicita excepción de normativa estatal o autonómica. No hay ocupación de vía pública ni obra.</w:t>
      </w:r>
    </w:p>
    <w:p>
      <w:pPr>
        <w:pStyle w:val="Heading2"/>
      </w:pPr>
      <w:r>
        <w:t>6. Cláusulas de confidencialidad (art. 24)</w:t>
      </w:r>
    </w:p>
    <w:p>
      <w:r>
        <w:t xml:space="preserve">6.1. Tendrán carácter </w:t>
      </w:r>
      <w:r>
        <w:rPr>
          <w:b/>
        </w:rPr>
        <w:t>confidencial</w:t>
      </w:r>
      <w:r>
        <w:t>, durante y después de las pruebas, salvo autorización escrita del promotor o deber legal:</w:t>
      </w:r>
    </w:p>
    <w:p>
      <w:pPr>
        <w:ind w:left="360"/>
      </w:pPr>
      <w:r>
        <w:t xml:space="preserve">• </w:t>
      </w:r>
      <w:r>
        <w:t>arquitectura detallada, código fuente y secretos comerciales de PulsePath;</w:t>
      </w:r>
    </w:p>
    <w:p>
      <w:pPr>
        <w:ind w:left="360"/>
      </w:pPr>
      <w:r>
        <w:t xml:space="preserve">• </w:t>
      </w:r>
      <w:r>
        <w:t>parámetros internos del motor de riesgo / heurísticas no publicados;</w:t>
      </w:r>
    </w:p>
    <w:p>
      <w:pPr>
        <w:ind w:left="360"/>
      </w:pPr>
      <w:r>
        <w:t xml:space="preserve">• </w:t>
      </w:r>
      <w:r>
        <w:t>datos personales de participantes (además del régimen del art. 25);</w:t>
      </w:r>
    </w:p>
    <w:p>
      <w:pPr>
        <w:ind w:left="360"/>
      </w:pPr>
      <w:r>
        <w:t xml:space="preserve">• </w:t>
      </w:r>
      <w:r>
        <w:t>cualquier información marcada como confidencial en entregables.</w:t>
      </w:r>
    </w:p>
    <w:p>
      <w:r>
        <w:t xml:space="preserve">6.2. No serán confidenciales, a efectos de rendición de cuentas ciudadana (art. 21) y de comunicación social (art. 26), los </w:t>
      </w:r>
      <w:r>
        <w:rPr>
          <w:b/>
        </w:rPr>
        <w:t>resultados agregados y anonimizados</w:t>
      </w:r>
      <w:r>
        <w:t xml:space="preserve"> y la descripción general del proyecto, sin perjuicio del deber de secreto del personal público (art. 24.2–24.3).</w:t>
      </w:r>
    </w:p>
    <w:p>
      <w:r>
        <w:t>6.3. El derecho de acceso a información pública podrá limitarse conforme al art. 14.1.j) de la Ley 19/2013, en los términos del art. 24.4 de la Ordenanza.</w:t>
      </w:r>
    </w:p>
    <w:p>
      <w:r>
        <w:t>6.4. El incumplimiento de las obligaciones del art. 22 podrá dejar sin efecto cláusulas de confidencialidad en los términos del art. 22.7, si así se acepta en la versión firmada del Protocolo.</w:t>
      </w:r>
    </w:p>
    <w:p>
      <w:pPr>
        <w:pStyle w:val="Heading2"/>
      </w:pPr>
      <w:r>
        <w:t>7. Derechos de Propiedad Intelectual e Industrial (art. 22)</w:t>
      </w:r>
    </w:p>
    <w:p>
      <w:r>
        <w:t xml:space="preserve">7.1. La titularidad de la propiedad intelectual e industrial preexistente y de la generada por el promotor sobre PulsePath (software, marcas, documentación, know-how) permanece en </w:t>
      </w:r>
      <w:r>
        <w:rPr>
          <w:b/>
        </w:rPr>
        <w:t>Max Borra Palau</w:t>
      </w:r>
      <w:r>
        <w:t>, sin cesión de titularidad al Ayuntamiento por el solo hecho de participar en el Sandbox.</w:t>
      </w:r>
    </w:p>
    <w:p>
      <w:r>
        <w:t>7.2. El Ayuntamiento podrá utilizar, para fines no comerciales de evaluación y transferencia de conocimiento público, los entregables de retorno descritos en la sección 8, con licencia de uso limitada, no exclusiva y gratuita, sin derechos de sublicencia comercial.</w:t>
      </w:r>
    </w:p>
    <w:p>
      <w:r>
        <w:t xml:space="preserve">7.3. </w:t>
      </w:r>
      <w:r>
        <w:rPr>
          <w:b/>
        </w:rPr>
        <w:t>Exención de participación en beneficios comerciales futuros:</w:t>
      </w:r>
      <w:r>
        <w:t xml:space="preserve"> al ser el promotor una </w:t>
      </w:r>
      <w:r>
        <w:rPr>
          <w:b/>
        </w:rPr>
        <w:t>persona física</w:t>
      </w:r>
      <w:r>
        <w:t xml:space="preserve">, resulta de aplicación la exención del </w:t>
      </w:r>
      <w:r>
        <w:rPr>
          <w:b/>
        </w:rPr>
        <w:t>artículo 22.3.a)</w:t>
      </w:r>
      <w:r>
        <w:t xml:space="preserve"> respecto al retorno económico sobre comercialización futura. Ello no exime del retorno de </w:t>
      </w:r>
      <w:r>
        <w:rPr>
          <w:b/>
        </w:rPr>
        <w:t>conocimiento</w:t>
      </w:r>
      <w:r>
        <w:t xml:space="preserve"> del art. 22.1.</w:t>
      </w:r>
    </w:p>
    <w:p>
      <w:r>
        <w:t>7.4. Si en el futuro el resultado se explotara a través de una persona jurídica, se estará a lo que disponga el Protocolo vigente y el art. 22 en ese momento.</w:t>
      </w:r>
    </w:p>
    <w:p>
      <w:pPr>
        <w:pStyle w:val="Heading2"/>
      </w:pPr>
      <w:r>
        <w:t>8. Propuesta de retorno a la Administración (art. 22.1)</w:t>
      </w:r>
    </w:p>
    <w:p>
      <w:r>
        <w:t>Conforme al principio de proporcionalidad (recursos públicos puestos a disposición, periodo habilitado e impacto potencial), se propone el siguiente paquete de retorno —</w:t>
      </w:r>
      <w:r>
        <w:rPr>
          <w:b/>
        </w:rPr>
        <w:t>sin coste</w:t>
      </w:r>
      <w:r>
        <w:t xml:space="preserve"> para el Ayuntamiento—:</w:t>
      </w:r>
    </w:p>
    <w:p>
      <w:pPr>
        <w:ind w:left="360"/>
      </w:pPr>
      <w:r>
        <w:t xml:space="preserve">1. </w:t>
      </w:r>
      <w:r>
        <w:rPr>
          <w:b/>
        </w:rPr>
        <w:t>Acciones divulgativas de la experiencia obtenida</w:t>
      </w:r>
    </w:p>
    <w:p>
      <w:pPr>
        <w:ind w:left="720"/>
      </w:pPr>
      <w:r>
        <w:t xml:space="preserve">◦ </w:t>
      </w:r>
      <w:r>
        <w:t>Participación en una sesión pública o interna de Valencia Innovation Capital / Sandbox.</w:t>
      </w:r>
    </w:p>
    <w:p>
      <w:pPr>
        <w:ind w:left="720"/>
      </w:pPr>
      <w:r>
        <w:t xml:space="preserve">◦ </w:t>
      </w:r>
      <w:r>
        <w:t>Autorización para incluir el caso (agregado) en la Memoria bienal (art. 21), respetando confidencialidad.</w:t>
      </w:r>
    </w:p>
    <w:p>
      <w:pPr>
        <w:ind w:left="720"/>
      </w:pPr>
      <w:r>
        <w:t xml:space="preserve">◦ </w:t>
      </w:r>
      <w:r>
        <w:t>Uso de la identidad de marca del Sandbox y de la imagen corporativa municipal en los elementos de difusión del piloto (art. 26.2).</w:t>
      </w:r>
    </w:p>
    <w:p>
      <w:pPr>
        <w:ind w:left="360"/>
      </w:pPr>
      <w:r>
        <w:t xml:space="preserve">2. </w:t>
      </w:r>
      <w:r>
        <w:rPr>
          <w:b/>
        </w:rPr>
        <w:t>Dictamen / informe de aplicabilidad</w:t>
      </w:r>
      <w:r>
        <w:t xml:space="preserve"> a servicios públicos</w:t>
      </w:r>
    </w:p>
    <w:p>
      <w:pPr>
        <w:ind w:left="720"/>
      </w:pPr>
      <w:r>
        <w:t xml:space="preserve">◦ </w:t>
      </w:r>
      <w:r>
        <w:t>Informe final (art. 19) ampliado con recomendaciones prácticas para prevención de riesgos laborales / bienestar: qué funcionó, límites, lectura responsable de agregados K≥5, lecciones del contraste Fallas vs carga ordinaria.</w:t>
      </w:r>
    </w:p>
    <w:p>
      <w:pPr>
        <w:ind w:left="720"/>
      </w:pPr>
      <w:r>
        <w:t xml:space="preserve">◦ </w:t>
      </w:r>
      <w:r>
        <w:t>Entrega en formato reutilizable (PDF + resumen ejecutivo).</w:t>
      </w:r>
    </w:p>
    <w:p>
      <w:pPr>
        <w:ind w:left="360"/>
      </w:pPr>
      <w:r>
        <w:t xml:space="preserve">3. </w:t>
      </w:r>
      <w:r>
        <w:rPr>
          <w:b/>
        </w:rPr>
        <w:t>Entrega / acceso gratuito de ejemplares del prototipo testeado</w:t>
      </w:r>
    </w:p>
    <w:p>
      <w:pPr>
        <w:ind w:left="720"/>
      </w:pPr>
      <w:r>
        <w:t xml:space="preserve">◦ </w:t>
      </w:r>
      <w:r>
        <w:t>Acceso temporal (p. ej. 90 días tras el cierre) a una instancia demo operativa del cuadro de mando agregado y de la app, sin coste, para personal designado por el Ayuntamiento.</w:t>
      </w:r>
    </w:p>
    <w:p>
      <w:pPr>
        <w:ind w:left="720"/>
      </w:pPr>
      <w:r>
        <w:t xml:space="preserve">◦ </w:t>
      </w:r>
      <w:r>
        <w:t>URL de referencia pública durante el piloto: {{URL_DEMO}}.</w:t>
      </w:r>
    </w:p>
    <w:p>
      <w:r>
        <w:t>Esta propuesta podrá ser validada o modificada por la Comisión de Valoración (art. 14.4.k) en el marco del art. 22.</w:t>
      </w:r>
    </w:p>
    <w:p>
      <w:pPr>
        <w:pStyle w:val="Heading2"/>
      </w:pPr>
      <w:r>
        <w:t>9. Cláusulas de protección de datos personales (art. 25)</w:t>
      </w:r>
    </w:p>
    <w:p>
      <w:r>
        <w:t xml:space="preserve">9.1. El promotor actúa como </w:t>
      </w:r>
      <w:r>
        <w:rPr>
          <w:b/>
        </w:rPr>
        <w:t>responsable del tratamiento</w:t>
      </w:r>
      <w:r>
        <w:t xml:space="preserve"> de los datos personales necesarios para las pruebas y cumple RGPD y LOPDGDD (art. 25.1).</w:t>
      </w:r>
    </w:p>
    <w:p>
      <w:r>
        <w:t xml:space="preserve">9.2. </w:t>
      </w:r>
      <w:r>
        <w:rPr>
          <w:b/>
        </w:rPr>
        <w:t>Base jurídica:</w:t>
      </w:r>
      <w:r>
        <w:t xml:space="preserve"> consentimiento informado, libre, específico, informado e inequívoco de cada persona participante; revocable en cualquier momento sin perjuicio laboral.</w:t>
      </w:r>
    </w:p>
    <w:p>
      <w:r>
        <w:t xml:space="preserve">9.3. </w:t>
      </w:r>
      <w:r>
        <w:rPr>
          <w:b/>
        </w:rPr>
        <w:t>Finalidad:</w:t>
      </w:r>
      <w:r>
        <w:t xml:space="preserve"> ejecución del piloto de innovación descrito; generación de feedback individual a la propia persona; generación de estadísticas agregadas K≥5; elaboración del informe final anonimizado.</w:t>
      </w:r>
    </w:p>
    <w:p>
      <w:r>
        <w:t xml:space="preserve">9.4. </w:t>
      </w:r>
      <w:r>
        <w:rPr>
          <w:b/>
        </w:rPr>
        <w:t>Minimización:</w:t>
      </w:r>
      <w:r>
        <w:t xml:space="preserve"> no se recogen nombre ni correo como identificador de estudio (código pseudónimo); no cámaras; no biometría; no geolocalización; no datos pasivos de sensores.</w:t>
      </w:r>
    </w:p>
    <w:p>
      <w:r>
        <w:t xml:space="preserve">9.5. </w:t>
      </w:r>
      <w:r>
        <w:rPr>
          <w:b/>
        </w:rPr>
        <w:t>Destinatarios:</w:t>
      </w:r>
      <w:r>
        <w:t xml:space="preserve"> no se cederán datos personales al Ayuntamiento ni a su Sector Público Local, ni a la inversa (</w:t>
      </w:r>
      <w:r>
        <w:rPr>
          <w:b/>
        </w:rPr>
        <w:t>art. 25.4</w:t>
      </w:r>
      <w:r>
        <w:t>). Encargados de tratamiento (hosting, etc.) solo con contrato art. 28 RGPD y ubicación / garantías adecuadas.</w:t>
      </w:r>
    </w:p>
    <w:p>
      <w:r>
        <w:t xml:space="preserve">9.6. </w:t>
      </w:r>
      <w:r>
        <w:rPr>
          <w:b/>
        </w:rPr>
        <w:t>Seguridad:</w:t>
      </w:r>
      <w:r>
        <w:t xml:space="preserve"> medidas técnicas y organizativas apropiadas (art. 25.2): cifrado en tránsito, control de acceso, registro de consentimientos versionados, pruebas del derecho de supresión.</w:t>
      </w:r>
    </w:p>
    <w:p>
      <w:r>
        <w:t xml:space="preserve">9.7. </w:t>
      </w:r>
      <w:r>
        <w:rPr>
          <w:b/>
        </w:rPr>
        <w:t>Conservación y destrucción:</w:t>
      </w:r>
      <w:r>
        <w:t xml:space="preserve"> al finalizar las pruebas, destrucción o anonimización irreversible de datos personales, salvo obligación legal de conservación (art. 25.3).</w:t>
      </w:r>
    </w:p>
    <w:p>
      <w:r>
        <w:t xml:space="preserve">9.8. </w:t>
      </w:r>
      <w:r>
        <w:rPr>
          <w:b/>
        </w:rPr>
        <w:t>Derechos:</w:t>
      </w:r>
      <w:r>
        <w:t xml:space="preserve"> el promotor habilitará canal para ejercer acceso, rectificación, supresión, limitación, oposición y portabilidad, según proceda.</w:t>
      </w:r>
    </w:p>
    <w:p>
      <w:r>
        <w:t xml:space="preserve">9.9. </w:t>
      </w:r>
      <w:r>
        <w:rPr>
          <w:b/>
        </w:rPr>
        <w:t>Evaluación de impacto:</w:t>
      </w:r>
      <w:r>
        <w:t xml:space="preserve"> si la naturaleza del tratamiento lo exige, el promotor realizará EIPD antes del inicio con participantes municipales.</w:t>
      </w:r>
    </w:p>
    <w:p>
      <w:pPr>
        <w:pStyle w:val="Heading2"/>
      </w:pPr>
      <w:r>
        <w:t>10. Régimen de responsabilidad (art. 23) y salida (art. 20)</w:t>
      </w:r>
    </w:p>
    <w:p>
      <w:r>
        <w:t>10.1. El Ayuntamiento no será responsable de daños durante las pruebas salvo causa imputable en los términos de la legislación de responsabilidad patrimonial (art. 23.1).</w:t>
      </w:r>
    </w:p>
    <w:p>
      <w:r>
        <w:t>10.2. El promotor responderá frente a participantes por daños imputables a su actividad, conforme al Protocolo y al seguro del art. 16.1.</w:t>
      </w:r>
    </w:p>
    <w:p>
      <w:r>
        <w:t>10.3. Interrupción / finalización: conforme al art. 20 (incumplimiento, riesgos, o decisión justificada del promotor comunicada al Ayuntamiento).</w:t>
      </w:r>
    </w:p>
    <w:p>
      <w:r>
        <w:t>10.4. A solicitud, el Ayuntamiento podrá expedir acreditación de participación (art. 20.5), sin que ello valide científicamente los resultados.</w:t>
      </w:r>
    </w:p>
    <w:p>
      <w:pPr>
        <w:pStyle w:val="Heading2"/>
      </w:pPr>
      <w:r>
        <w:t>11. Comunicación social (art. 26)</w:t>
      </w:r>
    </w:p>
    <w:p>
      <w:r>
        <w:t>El promotor incluirá la imagen corporativa del Ayuntamiento y la identidad de marca del Sandbox Urbano en elementos de difusión del piloto, y colaborará con el Kit de Recursos Comunicativos cuando esté disponible. La demo pública {{URL_DEMO}} podrá enlazarse desde materiales informativos del Sandbox, previo acuerdo.</w:t>
      </w:r>
    </w:p>
    <w:p>
      <w:pPr>
        <w:pStyle w:val="Heading2"/>
      </w:pPr>
      <w:r>
        <w:t>12. Adhesión a alianzas (art. 9)</w:t>
      </w:r>
    </w:p>
    <w:p>
      <w:r>
        <w:t>Una vez obtenida la condición de entidad promotora, el firmante formalizará la adhesión a las alianzas estratégicas de colaboración público-privada en innovación vigentes, mediante los instrumentos que el Ayuntamiento ponga a disposición.</w:t>
      </w:r>
    </w:p>
    <w:p>
      <w:pPr>
        <w:pStyle w:val="Heading2"/>
      </w:pPr>
      <w:r>
        <w:t>13. Declaraciones del promotor</w:t>
      </w:r>
    </w:p>
    <w:p>
      <w:r>
        <w:t>El abajo firmante declara:</w:t>
      </w:r>
    </w:p>
    <w:p>
      <w:pPr>
        <w:ind w:left="360"/>
      </w:pPr>
      <w:r>
        <w:t>1. Hallarse al corriente de obligaciones tributarias y de Seguridad Social, y de la normativa de prevención de riesgos laborales (declaración responsable, art. 13.4.B) — a aportar en el trámite electrónico.</w:t>
      </w:r>
    </w:p>
    <w:p>
      <w:pPr>
        <w:ind w:left="360"/>
      </w:pPr>
      <w:r>
        <w:t>2. Someterse al régimen de garantías y responsabilidad de la Ordenanza (art. 13.4.D).</w:t>
      </w:r>
    </w:p>
    <w:p>
      <w:pPr>
        <w:ind w:left="360"/>
      </w:pPr>
      <w:r>
        <w:t>3. Que las pruebas no tendrán fin lucrativo durante la ejecución del Protocolo (art. 10.2).</w:t>
      </w:r>
    </w:p>
    <w:p>
      <w:pPr>
        <w:ind w:left="360"/>
      </w:pPr>
      <w:r>
        <w:t>4. Que los gastos corren a su cargo.</w:t>
      </w:r>
    </w:p>
    <w:p>
      <w:pPr>
        <w:ind w:left="360"/>
      </w:pPr>
      <w:r>
        <w:t>5. El compromiso de aportar el seguro del art. 16.1 en el plazo del art. 15.3 si hay autorización.</w:t>
      </w:r>
    </w:p>
    <w:p>
      <w:pPr>
        <w:ind w:left="360"/>
      </w:pPr>
      <w:r>
        <w:t>6. La veracidad de la información de este Protocolo.</w:t>
      </w:r>
    </w:p>
    <w:p>
      <w:r>
        <w:rPr>
          <w:b/>
        </w:rPr>
        <w:t>Firma / identidad</w:t>
      </w:r>
    </w:p>
    <w:p>
      <w:r>
        <w:t>Max Borra Palau Persona física promotora — PulsePath max@getpulsepath.com Fecha: _______________</w:t>
      </w:r>
    </w:p>
    <w:p>
      <w:pPr>
        <w:pStyle w:val="Heading2"/>
      </w:pPr>
      <w:r>
        <w:t>Marcadores pendientes de cumplimentar con datos reales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D9EAF7"/>
          </w:tcPr>
          <w:p>
            <w:r>
              <w:rPr>
                <w:b/>
              </w:rPr>
            </w:r>
            <w:r>
              <w:rPr>
                <w:b/>
              </w:rPr>
              <w:t>Marcador</w:t>
            </w:r>
          </w:p>
        </w:tc>
        <w:tc>
          <w:tcPr>
            <w:tcW w:type="dxa" w:w="4320"/>
            <w:shd w:fill="D9EAF7"/>
          </w:tcPr>
          <w:p>
            <w:r>
              <w:rPr>
                <w:b/>
              </w:rPr>
            </w:r>
            <w:r>
              <w:rPr>
                <w:b/>
              </w:rPr>
              <w:t>Significado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b/>
                <w:color w:val="B14B00"/>
                <w:sz w:val="19"/>
              </w:rPr>
              <w:t>{{N_PARTICIPANTES_PREFLIGHT}}</w:t>
            </w:r>
          </w:p>
        </w:tc>
        <w:tc>
          <w:tcPr>
            <w:tcW w:type="dxa" w:w="4320"/>
          </w:tcPr>
          <w:p>
            <w:r/>
            <w:r>
              <w:t>Número de voluntarios del preflight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b/>
                <w:color w:val="B14B00"/>
                <w:sz w:val="19"/>
              </w:rPr>
              <w:t>{{ADHERENCIA_DIARIA}}</w:t>
            </w:r>
          </w:p>
        </w:tc>
        <w:tc>
          <w:tcPr>
            <w:tcW w:type="dxa" w:w="4320"/>
          </w:tcPr>
          <w:p>
            <w:r/>
            <w:r>
              <w:t>Adherencia diaria del preflight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b/>
                <w:color w:val="B14B00"/>
                <w:sz w:val="19"/>
              </w:rPr>
              <w:t>{{TASA_ABANDONO}}</w:t>
            </w:r>
          </w:p>
        </w:tc>
        <w:tc>
          <w:tcPr>
            <w:tcW w:type="dxa" w:w="4320"/>
          </w:tcPr>
          <w:p>
            <w:r/>
            <w:r>
              <w:t>Tasa de abandono del preflight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b/>
                <w:color w:val="B14B00"/>
                <w:sz w:val="19"/>
              </w:rPr>
              <w:t>{{URL_DEMO}}</w:t>
            </w:r>
          </w:p>
        </w:tc>
        <w:tc>
          <w:tcPr>
            <w:tcW w:type="dxa" w:w="4320"/>
          </w:tcPr>
          <w:p>
            <w:r/>
            <w:r>
              <w:t>URL de la demo pública funcional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Source Sans Pro" w:hAnsi="Source Sans Pro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Source Sans Pro" w:hAnsi="Source Sans Pro"/>
      <w:b/>
      <w:bCs/>
      <w:i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Protocolo de pruebas — PulsePath — PulsePath</dc:title>
  <dc:subject>Sandbox Urbano de València · Protocolo de pruebas</dc:subject>
  <dc:creator>Max Borra Palau · PulsePath</dc:creator>
  <cp:keywords>PulsePath, València, Sandbox Urbano, fatiga, bienestar laboral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