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b/>
          <w:bCs/>
          <w:color w:val="2E75B6"/>
          <w:spacing w:val="60"/>
          <w:sz w:val="24"/>
          <w:szCs w:val="24"/>
        </w:rPr>
        <w:t xml:space="preserve">集團財務 ‧ 稅務操作參考</w:t>
      </w:r>
    </w:p>
    <w:p>
      <w:pPr>
        <w:pBdr>
          <w:bottom w:val="single" w:color="2E75B6" w:sz="18" w:space="8"/>
        </w:pBdr>
        <w:spacing w:after="0" w:before="80"/>
      </w:pPr>
      <w:r>
        <w:t xml:space="preserve"/>
      </w:r>
    </w:p>
    <w:p>
      <w:pPr>
        <w:spacing w:after="0" w:before="260"/>
      </w:pPr>
      <w:r>
        <w:rPr>
          <w:b/>
          <w:bCs/>
          <w:color w:val="1F3864"/>
          <w:sz w:val="42"/>
          <w:szCs w:val="42"/>
        </w:rPr>
        <w:t xml:space="preserve">總部為新加坡舉債並轉貸之</w:t>
      </w:r>
    </w:p>
    <w:p>
      <w:pPr>
        <w:spacing w:after="0" w:before="0"/>
      </w:pPr>
      <w:r>
        <w:rPr>
          <w:b/>
          <w:bCs/>
          <w:color w:val="1F3864"/>
          <w:sz w:val="42"/>
          <w:szCs w:val="42"/>
        </w:rPr>
        <w:t xml:space="preserve">跨境扣繳稅（WHT）操作框架</w:t>
      </w:r>
    </w:p>
    <w:p>
      <w:pPr>
        <w:spacing w:after="0" w:before="200"/>
      </w:pPr>
      <w:r>
        <w:rPr>
          <w:i/>
          <w:iCs/>
          <w:color w:val="595959"/>
          <w:sz w:val="24"/>
          <w:szCs w:val="24"/>
        </w:rPr>
        <w:t xml:space="preserve">以 2023 年新台幣 100 億元綠色債券 → 新加坡分公司轉貸案為例</w:t>
      </w:r>
    </w:p>
    <w:p>
      <w:pPr>
        <w:spacing w:after="0" w:before="480"/>
      </w:pPr>
      <w:r>
        <w:rPr>
          <w:color w:val="595959"/>
          <w:sz w:val="22"/>
          <w:szCs w:val="22"/>
        </w:rPr>
        <w:t xml:space="preserve">用途：個案覆盤 ＋ 未來「總部替新加坡舉債再轉貸」之標準參考</w:t>
      </w:r>
    </w:p>
    <w:p>
      <w:pPr>
        <w:spacing w:after="0" w:before="60"/>
      </w:pPr>
      <w:r>
        <w:rPr>
          <w:color w:val="595959"/>
          <w:sz w:val="22"/>
          <w:szCs w:val="22"/>
        </w:rPr>
        <w:t xml:space="preserve">關鍵設定：UMCSG 為新加坡分公司（PE），非獨立法人</w:t>
      </w:r>
    </w:p>
    <w:p>
      <w:pPr>
        <w:spacing w:after="0" w:before="60"/>
      </w:pPr>
      <w:r>
        <w:rPr>
          <w:color w:val="595959"/>
          <w:sz w:val="22"/>
          <w:szCs w:val="22"/>
        </w:rPr>
        <w:t xml:space="preserve">日期：2026 年 6 月</w:t>
      </w:r>
    </w:p>
    <w:p>
      <w:pPr>
        <w:spacing w:after="260"/>
      </w:pPr>
      <w:r>
        <w:t xml:space="preserve"/>
      </w:r>
    </w:p>
    <w:tbl>
      <w:tblPr>
        <w:tblW w:type="dxa" w:w="9360"/>
        <w:tblBorders>
          <w:top w:val="single" w:color="D6E4F0" w:sz="1"/>
          <w:left w:val="single" w:color="2E75B6" w:sz="24"/>
          <w:bottom w:val="single" w:color="D6E4F0" w:sz="1"/>
          <w:right w:val="single" w:color="D6E4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本文件的兩個目的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b/>
                <w:bCs/>
              </w:rPr>
              <w:t xml:space="preserve">覆盤本案：</w:t>
            </w:r>
            <w:r>
              <w:t xml:space="preserve">釐清這次綠債轉貸所涉的扣繳稅爭點，以及一筆「自有資金存款」被誤認的處理。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b/>
                <w:bCs/>
              </w:rPr>
              <w:t xml:space="preserve">建立未來參考：</w:t>
            </w:r>
            <w:r>
              <w:t xml:space="preserve">把可重複適用的判準與檢核流程抽離出來，供日後總部再為新加坡舉債、轉貸時直接套用。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FF2CC" w:sz="1"/>
          <w:left w:val="single" w:color="7F6000" w:sz="24"/>
          <w:bottom w:val="single" w:color="FFF2CC" w:sz="1"/>
          <w:right w:val="single" w:color="FFF2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免責聲明</w:t>
            </w:r>
          </w:p>
          <w:p>
            <w:pPr>
              <w:spacing w:after="0"/>
            </w:pPr>
            <w:r>
              <w:t xml:space="preserve">本文交易參數依公開資訊觀測站（MOPS）公告及內部資料採用；稅務立場為一般性說明，</w:t>
            </w:r>
            <w:r>
              <w:rPr>
                <w:b/>
                <w:bCs/>
              </w:rPr>
              <w:t xml:space="preserve">不構成稅務或法律意見</w:t>
            </w:r>
            <w:r>
              <w:t xml:space="preserve">。實際適用須依債券文件、借款合約及 IRAS／財政部最新規定，並經稅務顧問確認。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一頁摘要</w:t>
      </w:r>
    </w:p>
    <w:p>
      <w:pPr>
        <w:spacing w:after="120" w:line="300"/>
      </w:pPr>
      <w:r>
        <w:t xml:space="preserve">2023 年聯電（2303）發行新台幣 100 億元綠色債券。資金分批匯入新加坡分公司 UMCSG、各停留約 6 天內即匯回，整體進出落在 2025 年 10 月至 12 月。名義上為「總部借予新加坡分公司之營運資金」，還款時連本帶利，</w:t>
      </w:r>
      <w:r>
        <w:rPr>
          <w:b/>
          <w:bCs/>
        </w:rPr>
        <w:t xml:space="preserve">對其中利息部分產生新加坡扣繳稅（WHT 15%）</w:t>
      </w:r>
      <w:r>
        <w:t xml:space="preserve">。</w:t>
      </w:r>
    </w:p>
    <w:p>
      <w:pPr>
        <w:spacing w:after="120" w:line="300"/>
      </w:pPr>
      <w:r>
        <w:t xml:space="preserve">本案有</w:t>
      </w:r>
      <w:r>
        <w:rPr>
          <w:b/>
          <w:bCs/>
        </w:rPr>
        <w:t xml:space="preserve">兩條獨立的稅務線</w:t>
      </w:r>
      <w:r>
        <w:t xml:space="preserve">，須嚴格區分：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60"/>
        <w:gridCol w:w="35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稅務線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性質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結論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線 A：綠債轉貸利息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總部借款 → 新加坡分公司營運使用；利息由新加坡端負擔。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屬新加坡來源，</w:t>
            </w:r>
            <w:r>
              <w:rPr>
                <w:b/>
                <w:bCs/>
                <w:color w:val="833C00"/>
              </w:rPr>
              <w:t xml:space="preserve">應課 15% WHT</w:t>
            </w:r>
            <w:r>
              <w:t xml:space="preserve">。因期間短、稅額小，未申請豁免，直接繳納。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線 B：自有資金存款利息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總部於別處賺取之自有資金，存放新加坡，與新加坡營運無關。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非新加坡來源，</w:t>
            </w:r>
            <w:r>
              <w:rPr>
                <w:b/>
                <w:bCs/>
                <w:color w:val="375623"/>
              </w:rPr>
              <w:t xml:space="preserve">本不課 WHT</w:t>
            </w:r>
            <w:r>
              <w:t xml:space="preserve">；惟因時點與綠債重疊，一度被稅局誤認為綠債資金，須舉證劃清。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E2EFDA" w:sz="1"/>
          <w:left w:val="single" w:color="375623" w:sz="24"/>
          <w:bottom w:val="single" w:color="E2EFDA" w:sz="1"/>
          <w:right w:val="single" w:color="E2EFD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</w:rPr>
              <w:t xml:space="preserve">一句話總結</w:t>
            </w:r>
          </w:p>
          <w:p>
            <w:pPr>
              <w:spacing w:after="0"/>
            </w:pPr>
            <w:r>
              <w:t xml:space="preserve">WHT 課不課，</w:t>
            </w:r>
            <w:r>
              <w:rPr>
                <w:b/>
                <w:bCs/>
              </w:rPr>
              <w:t xml:space="preserve">不取決於錢放在新加坡，而取決於利息是否由新加坡端負擔、是否為新加坡來源</w:t>
            </w:r>
            <w:r>
              <w:t xml:space="preserve">。線 A 由新加坡營運負擔（課稅）；線 B 與新加坡無關（不課稅）。本案的關鍵能力，是把兩筆錢的軌跡舉證切乾淨。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主體定性：為何「分公司」是一切的起點</w:t>
      </w:r>
    </w:p>
    <w:p>
      <w:pPr>
        <w:spacing w:after="120" w:line="300"/>
      </w:pPr>
      <w:r>
        <w:t xml:space="preserve">UMCSG 為新加坡</w:t>
      </w:r>
      <w:r>
        <w:rPr>
          <w:b/>
          <w:bCs/>
        </w:rPr>
        <w:t xml:space="preserve">分公司</w:t>
      </w:r>
      <w:r>
        <w:t xml:space="preserve">，無獨立法人格。此一事實決定了後續所有稅務處理，須先釐清：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分公司（本案）之處理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法律人格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無獨立法人格，法律上即為總部之一部分。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新加坡課稅身分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屬地主義下視為</w:t>
            </w:r>
            <w:r>
              <w:rPr>
                <w:b/>
                <w:bCs/>
              </w:rPr>
              <w:t xml:space="preserve">常設機構（PE）</w:t>
            </w:r>
            <w:r>
              <w:t xml:space="preserve">，就歸屬新加坡之利潤課 17% 企業所得稅、辦 Form C；PE 與總部往來採 AOA 常規定價。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總部撥款之性質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法律上為內部撥款；所簽借款合約於稅務上作為利潤歸屬與用途追溯之依據。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租稅協定（DTA）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分公司非新加坡稅務居民，通常</w:t>
            </w:r>
            <w:r>
              <w:rPr>
                <w:b/>
                <w:bCs/>
              </w:rPr>
              <w:t xml:space="preserve">無法取得居住者證明、不能主張台星 DTA</w:t>
            </w:r>
            <w:r>
              <w:t xml:space="preserve">；故減免須循國內法（如部長豁免），而非協定。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台灣端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分公司損益併入總部，一併申報台灣營所稅（20%）。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D6E4F0" w:sz="1"/>
          <w:left w:val="single" w:color="2E75B6" w:sz="24"/>
          <w:bottom w:val="single" w:color="D6E4F0" w:sz="1"/>
          <w:right w:val="single" w:color="D6E4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關鍵推論</w:t>
            </w:r>
          </w:p>
          <w:p>
            <w:pPr>
              <w:spacing w:after="0"/>
            </w:pPr>
            <w:r>
              <w:t xml:space="preserve">正因分公司「即總部本身」，總部與 UMCSG 之間的借貸在法律上是</w:t>
            </w:r>
            <w:r>
              <w:rPr>
                <w:b/>
                <w:bCs/>
              </w:rPr>
              <w:t xml:space="preserve">自己與自己</w:t>
            </w:r>
            <w:r>
              <w:t xml:space="preserve">。WHT 之所以仍會發生，是因為新加坡稅法在 PE 層次</w:t>
            </w:r>
            <w:r>
              <w:rPr>
                <w:b/>
                <w:bCs/>
              </w:rPr>
              <w:t xml:space="preserve">擬制</w:t>
            </w:r>
            <w:r>
              <w:t xml:space="preserve">這筆往來、並依「利息是否由新加坡端負擔」判斷來源——這正是線 A 與線 B 分流的法理基礎。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核心判準：WHT 何時觸發？</w:t>
      </w:r>
    </w:p>
    <w:p>
      <w:pPr>
        <w:spacing w:after="120" w:line="300"/>
      </w:pPr>
      <w:r>
        <w:t xml:space="preserve">這是整份文件最該記住的一頁。對「付予非居民的利息」，新加坡是否課 15% WHT，取決於下列單一判準：</w:t>
      </w:r>
    </w:p>
    <w:tbl>
      <w:tblPr>
        <w:tblW w:type="dxa" w:w="9360"/>
        <w:tblBorders>
          <w:top w:val="single" w:color="D9EFE9" w:sz="1"/>
          <w:left w:val="single" w:color="1F6B5C" w:sz="24"/>
          <w:bottom w:val="single" w:color="D9EFE9" w:sz="1"/>
          <w:right w:val="single" w:color="D9EFE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F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B5C"/>
              </w:rPr>
              <w:t xml:space="preserve">黃金判準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利息是否「由新加坡居民或新加坡 PE 負擔（borne by）」、構成新加坡來源所得？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  <w:color w:val="833C00"/>
              </w:rPr>
              <w:t xml:space="preserve">是 → 課 15% WHT。</w:t>
            </w:r>
            <w:r>
              <w:t xml:space="preserve">典型：為新加坡營運而向總部借款，利息由新加坡端負擔。（＝線 A）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  <w:color w:val="375623"/>
              </w:rPr>
              <w:t xml:space="preserve">否 → 不在 WHT 範圍。</w:t>
            </w:r>
            <w:r>
              <w:t xml:space="preserve">典型：與新加坡營運無關之自有資金，利息非新加坡來源。（＝線 B）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3.1 兩條線的對照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判斷點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線 A：綠債轉貸（課稅）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線 B：自有資金（不課稅）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資金來源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台灣綠債借款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總部別處賺取之自有資金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供新加坡分公司營運週轉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單純存放，與新加坡營運無關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利息由誰負擔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新加坡端</w:t>
            </w:r>
            <w:r>
              <w:t xml:space="preserve">（PE 營運）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非由新加坡端負擔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是否新加坡來源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33C00"/>
              </w:rPr>
              <w:t xml:space="preserve">是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75623"/>
              </w:rPr>
              <w:t xml:space="preserve">否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WHT 結果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33C00"/>
              </w:rPr>
              <w:t xml:space="preserve">課 15%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75623"/>
              </w:rPr>
              <w:t xml:space="preserve">不課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300"/>
      </w:pPr>
      <w:r>
        <w:rPr>
          <w:b/>
          <w:bCs/>
          <w:color w:val="C0504D"/>
        </w:rPr>
        <w:t xml:space="preserve">務必注意：</w:t>
      </w:r>
      <w:r>
        <w:t xml:space="preserve">兩條線在本案中「同期、同一新加坡帳戶體系內並存」，這正是被混淆的根源。資金可追溯性（traceability）是區分兩者、避免線 B 被誤課的唯一防線。</w:t>
      </w:r>
    </w:p>
    <w:p>
      <w:r>
        <w:br w:type="page"/>
      </w:r>
    </w:p>
    <w:p>
      <w:pPr>
        <w:pStyle w:val="Heading1"/>
      </w:pPr>
      <w:r>
        <w:t xml:space="preserve">4. 外國實體的兩條扣繳路徑：17% vs 15%</w:t>
      </w:r>
    </w:p>
    <w:p>
      <w:pPr>
        <w:spacing w:after="120" w:line="300"/>
      </w:pPr>
      <w:r>
        <w:t xml:space="preserve">一旦確定某筆付予非居民之款項落入新加坡課稅範圍，外國實體（含分公司）在課稅方式上有</w:t>
      </w:r>
      <w:r>
        <w:rPr>
          <w:b/>
          <w:bCs/>
        </w:rPr>
        <w:t xml:space="preserve">二擇一</w:t>
      </w:r>
      <w: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路徑 A：企業稅率 17%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路徑 B：扣繳優惠率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課稅基礎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淨額</w:t>
            </w:r>
            <w:r>
              <w:t xml:space="preserve">（收入可減相應費用）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毛額</w:t>
            </w:r>
            <w:r>
              <w:t xml:space="preserve">（不得減費用）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適用時機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有對應費用可舉證折抵時（如利息費用抵利息收入）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無費用、或不願負擔舉證成本時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利息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17%（淨額）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33C00"/>
              </w:rPr>
              <w:t xml:space="preserve">15%</w:t>
            </w:r>
            <w:r>
              <w:t xml:space="preserve">（毛額）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權利金 Royalty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17%（淨額）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33C00"/>
              </w:rPr>
              <w:t xml:space="preserve">10%</w:t>
            </w:r>
            <w:r>
              <w:t xml:space="preserve">（毛額）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結算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非最終稅；提交經核財報與稅務計算，多扣退還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通常為最終稅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D6E4F0" w:sz="1"/>
          <w:left w:val="single" w:color="2E75B6" w:sz="24"/>
          <w:bottom w:val="single" w:color="D6E4F0" w:sz="1"/>
          <w:right w:val="single" w:color="D6E4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決策提示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</w:rPr>
              <w:t xml:space="preserve">有大量對應費用可抵 → 走 17% 淨額</w:t>
            </w:r>
            <w:r>
              <w:t xml:space="preserve">可能更省（例如本案線 A，綠債利息費用恰可對應）。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</w:rPr>
              <w:t xml:space="preserve">純收入、無費用 → 走 15% 毛額</w:t>
            </w:r>
            <w:r>
              <w:t xml:space="preserve">較單純，省去舉證成本。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t xml:space="preserve">本案線 A 因金額小、期間短，</w:t>
            </w:r>
            <w:r>
              <w:rPr>
                <w:b/>
                <w:bCs/>
              </w:rPr>
              <w:t xml:space="preserve">直接以 15% 毛額繳納</w:t>
            </w:r>
            <w:r>
              <w:t xml:space="preserve">，未走 17% 淨額舉證，符合成本效益。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本案數字（66 天，示意）</w:t>
      </w:r>
    </w:p>
    <w:p>
      <w:pPr>
        <w:spacing w:after="120" w:line="300"/>
      </w:pPr>
      <w:r>
        <w:t xml:space="preserve">以實際參數計算，呈現量級。所有金額按 66 天（2025/10/22–12/27）比例計。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金額（NT$）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綠債本金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10,000,000,000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綠債票面利率（資金成本）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1.64244% × 66/365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利息約 29,698,915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定存利率（自有資金存款）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2.2% × 66/365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利息約 39,780,822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線 A：綠債轉貸利息之 WHT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資金成本利息 × 15%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33C00"/>
              </w:rPr>
              <w:t xml:space="preserve">約 4,454,837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台灣端：付綠債票息可抵營所稅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資金成本利息 × 20%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75623"/>
              </w:rPr>
              <w:t xml:space="preserve">省約 5,939,783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線 B：自有資金存款利息之 WHT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正確待遇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75623"/>
              </w:rPr>
              <w:t xml:space="preserve">0（不課）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E2EFDA" w:sz="1"/>
          <w:left w:val="single" w:color="375623" w:sz="24"/>
          <w:bottom w:val="single" w:color="E2EFDA" w:sz="1"/>
          <w:right w:val="single" w:color="E2EFD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</w:rPr>
              <w:t xml:space="preserve">讀數字的兩個提醒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</w:rPr>
              <w:t xml:space="preserve">勿疊加不同稅基的百分比。</w:t>
            </w:r>
            <w:r>
              <w:t xml:space="preserve">各稅項分母不同（台灣利息費用、新加坡來源利息、定存收入），須各以實際金額計算，再就同一主體加總。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</w:rPr>
              <w:t xml:space="preserve">線 A 的 WHT 與台灣端的票息抵稅是兩件事。</w:t>
            </w:r>
            <w:r>
              <w:t xml:space="preserve">前者是新加坡對轉貸利息的扣繳；後者是台灣對外部債券票息的費用扣抵，互不抵銷。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線 B 事件：自有資金被誤認的處理</w:t>
      </w:r>
    </w:p>
    <w:p>
      <w:pPr>
        <w:spacing w:after="120" w:line="300"/>
      </w:pPr>
      <w:r>
        <w:t xml:space="preserve">本案出現一個重要插曲：總部一筆</w:t>
      </w:r>
      <w:r>
        <w:rPr>
          <w:b/>
          <w:bCs/>
        </w:rPr>
        <w:t xml:space="preserve">與綠債無關的自有資金</w:t>
      </w:r>
      <w:r>
        <w:t xml:space="preserve">存放於新加坡，其存款利息</w:t>
      </w:r>
      <w:r>
        <w:rPr>
          <w:b/>
          <w:bCs/>
        </w:rPr>
        <w:t xml:space="preserve">本不應課 WHT</w:t>
      </w:r>
      <w:r>
        <w:t xml:space="preserve">。但因存放時點與綠債資金進出重疊，IRAS 一度將其</w:t>
      </w:r>
      <w:r>
        <w:rPr>
          <w:b/>
          <w:bCs/>
        </w:rPr>
        <w:t xml:space="preserve">誤認為綠債借款資金</w:t>
      </w:r>
      <w:r>
        <w:t xml:space="preserve">，若依綠債（線 A）定性，將被錯誤課徵 15%。</w:t>
      </w:r>
    </w:p>
    <w:p>
      <w:pPr>
        <w:pStyle w:val="Heading2"/>
      </w:pPr>
      <w:r>
        <w:t xml:space="preserve">6.1 為何本不該課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該資金為總部自有、源自新加坡境外之獲利，</w:t>
      </w:r>
      <w:r>
        <w:rPr>
          <w:b/>
          <w:bCs/>
        </w:rPr>
        <w:t xml:space="preserve">非由新加坡營運負擔</w:t>
      </w:r>
      <w:r>
        <w:t xml:space="preserve">、與新加坡業務無實質關聯。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依「是否新加坡來源／是否由 SG 負擔」之黃金判準，該利息</w:t>
      </w:r>
      <w:r>
        <w:rPr>
          <w:b/>
          <w:bCs/>
        </w:rPr>
        <w:t xml:space="preserve">非新加坡來源 → 不在 WHT 範圍</w:t>
      </w:r>
      <w:r>
        <w:t xml:space="preserve">。這不是「申請豁免」，而是「本就不在課稅範圍」。</w:t>
      </w:r>
    </w:p>
    <w:p>
      <w:pPr>
        <w:pStyle w:val="Heading2"/>
      </w:pPr>
      <w:r>
        <w:t xml:space="preserve">6.2 處理方式：舉證劃清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資金軌跡分離：</w:t>
      </w:r>
      <w:r>
        <w:t xml:space="preserve">以銀行流水、撥款指示、借款合約等，證明該存款本金來自自有資金，與綠債 100 億之進出無涉。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性質佐證：</w:t>
      </w:r>
      <w:r>
        <w:t xml:space="preserve">說明該筆款項非為新加坡營運週轉、未由新加坡端負擔利息成本。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向 IRAS 澄清：</w:t>
      </w:r>
      <w:r>
        <w:t xml:space="preserve">提交上述佐證，主張該利息非新加坡來源，請求不予課徵。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BE4D5" w:sz="1"/>
          <w:left w:val="single" w:color="833C00" w:sz="24"/>
          <w:bottom w:val="single" w:color="FBE4D5" w:sz="1"/>
          <w:right w:val="single" w:color="FBE4D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4D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33C00"/>
              </w:rPr>
              <w:t xml:space="preserve">本案最重要的可轉移教訓</w:t>
            </w:r>
          </w:p>
          <w:p>
            <w:pPr>
              <w:spacing w:after="0"/>
            </w:pPr>
            <w:r>
              <w:t xml:space="preserve">線 B 的風險不是「稅率高低」，而是</w:t>
            </w:r>
            <w:r>
              <w:rPr>
                <w:b/>
                <w:bCs/>
              </w:rPr>
              <w:t xml:space="preserve">一筆乾淨的錢因與借款資金混淆而被錯誤課稅</w:t>
            </w:r>
            <w:r>
              <w:t xml:space="preserve">。防線只有一條：</w:t>
            </w:r>
            <w:r>
              <w:rPr>
                <w:b/>
                <w:bCs/>
              </w:rPr>
              <w:t xml:space="preserve">資金可追溯性</w:t>
            </w:r>
            <w:r>
              <w:t xml:space="preserve">。日後只要有「綠債借款資金」與「自有資金」同期停放新加坡，務必在帳務與單據上</w:t>
            </w:r>
            <w:r>
              <w:rPr>
                <w:b/>
                <w:bCs/>
              </w:rPr>
              <w:t xml:space="preserve">從一開始就分流、分戶、留痕</w:t>
            </w:r>
            <w:r>
              <w:t xml:space="preserve">，不要等被質疑才回頭重建軌跡。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未來操作框架：總部為新加坡舉債再轉貸</w:t>
      </w:r>
    </w:p>
    <w:p>
      <w:pPr>
        <w:spacing w:after="120" w:line="300"/>
      </w:pPr>
      <w:r>
        <w:t xml:space="preserve">以下為可重複適用之標準流程，供日後「總部在台灣（或他處）舉債、再轉貸新加坡分公司」時直接套用。</w:t>
      </w:r>
    </w:p>
    <w:p>
      <w:pPr>
        <w:pStyle w:val="Heading2"/>
      </w:pPr>
      <w:r>
        <w:t xml:space="preserve">7.1 事前設計（舉債與撥款前）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先定性資金用途。</w:t>
      </w:r>
      <w:r>
        <w:t xml:space="preserve">明確區分：此筆是「供新加坡營運之借款」（＝線 A，預期課 WHT）還是「與新加坡無關之自有資金停放」（＝線 B，不課）。兩者帳務從源頭分開。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分戶管理。</w:t>
      </w:r>
      <w:r>
        <w:t xml:space="preserve">綠債／借款資金與自有資金</w:t>
      </w:r>
      <w:r>
        <w:rPr>
          <w:b/>
          <w:bCs/>
        </w:rPr>
        <w:t xml:space="preserve">使用不同銀行帳戶</w:t>
      </w:r>
      <w:r>
        <w:t xml:space="preserve">，避免同戶混同造成日後舉證困難。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備妥借款合約與用途文件。</w:t>
      </w:r>
      <w:r>
        <w:t xml:space="preserve">供綠債用途追溯（對承銷商）與 PE 利潤歸屬（對 IRAS）雙重需求；確認轉貸利率符合 AOA 常規原則。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評估 17% vs 15% 路徑。</w:t>
      </w:r>
      <w:r>
        <w:t xml:space="preserve">若有可觀對應費用，先評估走 17% 淨額是否更優；金額小、期間短則 15% 毛額直接繳較具效率。</w:t>
      </w:r>
    </w:p>
    <w:p>
      <w:pPr>
        <w:pStyle w:val="Heading2"/>
      </w:pPr>
      <w:r>
        <w:t xml:space="preserve">7.2 事中執行：期間策略是「豁免導向」，不是「稅基最小化」</w:t>
      </w:r>
    </w:p>
    <w:p>
      <w:pPr>
        <w:spacing w:after="120" w:line="300"/>
      </w:pPr>
      <w:r>
        <w:rPr>
          <w:b/>
          <w:bCs/>
          <w:color w:val="C0504D"/>
        </w:rPr>
        <w:t xml:space="preserve">重要修正：</w:t>
      </w:r>
      <w:r>
        <w:t xml:space="preserve">初版建議「壓縮停放期間以縮小 WHT 稅基」。這在策略上是錯的方向，須反轉——因為它與 s13(4) 豁免、以及 BEPS 經濟實質要求直接衝突。</w:t>
      </w:r>
    </w:p>
    <w:p>
      <w:pPr>
        <w:spacing w:after="120" w:line="300"/>
      </w:pPr>
      <w:r>
        <w:t xml:space="preserve">關鍵在於：WHT 不該用「把稅基壓到最小、確定繳一點」來管理，而該用「爭取豁免、把稅歸零」來管理。而豁免的</w:t>
      </w:r>
      <w:r>
        <w:rPr>
          <w:b/>
          <w:bCs/>
        </w:rPr>
        <w:t xml:space="preserve">門票，恰恰是「錢真的留下來、真的用於營運」</w:t>
      </w:r>
      <w:r>
        <w:t xml:space="preserve">。停放太短代表這筆資金對新加坡營運毫無實質貢獻，反而</w:t>
      </w:r>
      <w:r>
        <w:rPr>
          <w:b/>
          <w:bCs/>
        </w:rPr>
        <w:t xml:space="preserve">摧毀了豁免的正當性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期間短（過水）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期間正常（實質投入營運）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WHT 名目稅基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小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大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對 SG 營運實質貢獻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趨近零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有實質貢獻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s13(4) 豁免正當性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33C00"/>
              </w:rPr>
              <w:t xml:space="preserve">撐不起 → 豁免失敗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75623"/>
              </w:rPr>
              <w:t xml:space="preserve">站得住 → 有機會全免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WHT 實繳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小額，但確定要繳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375623"/>
              </w:rPr>
              <w:t xml:space="preserve">0（若豁免成功）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9EFE9" w:sz="1"/>
          <w:left w:val="single" w:color="1F6B5C" w:sz="24"/>
          <w:bottom w:val="single" w:color="D9EFE9" w:sz="1"/>
          <w:right w:val="single" w:color="D9EFE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F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B5C"/>
              </w:rPr>
              <w:t xml:space="preserve">決策規則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</w:rPr>
              <w:t xml:space="preserve">若資金只是短期週轉／過水</w:t>
            </w:r>
            <w:r>
              <w:t xml:space="preserve">（如本案）→ 接受小額 WHT，不強求豁免（申請也難過）。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</w:rPr>
              <w:t xml:space="preserve">若資金為真實營運投入</w:t>
            </w:r>
            <w:r>
              <w:t xml:space="preserve">→ 讓它停足、實際用於營運，據以爭取 s13(4) 全免；此時「正常期間」雖名目 WHT 高，但有機會整筆歸零。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如實計算並扣繳 WHT。</w:t>
      </w:r>
      <w:r>
        <w:t xml:space="preserve">線 A 還款連本帶利時，就利息部分按 15%（或 17% 淨額路徑）扣繳；注意</w:t>
      </w:r>
      <w:r>
        <w:rPr>
          <w:b/>
          <w:bCs/>
        </w:rPr>
        <w:t xml:space="preserve">入帳（credit）即可能觸發扣繳義務</w:t>
      </w:r>
      <w:r>
        <w:t xml:space="preserve">，非以實際付現為限。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留存即時單據。</w:t>
      </w:r>
      <w:r>
        <w:t xml:space="preserve">每筆撥款／回流均留指示、流水與計息表，</w:t>
      </w:r>
      <w:r>
        <w:rPr>
          <w:b/>
          <w:bCs/>
        </w:rPr>
        <w:t xml:space="preserve">即時</w:t>
      </w:r>
      <w:r>
        <w:t xml:space="preserve">建立軌跡，不事後補製。</w:t>
      </w:r>
    </w:p>
    <w:p>
      <w:pPr>
        <w:pStyle w:val="Heading2"/>
      </w:pPr>
      <w:r>
        <w:t xml:space="preserve">7.3 申報與防錯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S45 申報。</w:t>
      </w:r>
      <w:r>
        <w:t xml:space="preserve">於付款／入帳日後次二個月 15 日前完成新加坡 WHT 申報與繳納。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PE 企業稅申報。</w:t>
      </w:r>
      <w:r>
        <w:t xml:space="preserve">UMCSG 之利息收入／費用併入 Form C；確認線 A 利息費用與收入之配對。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台灣端。</w:t>
      </w:r>
      <w:r>
        <w:t xml:space="preserve">分公司損益併入總部營所稅；綠債票息列為總部可扣抵之融資費用。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線 B 防誤課。</w:t>
      </w:r>
      <w:r>
        <w:t xml:space="preserve">若同期有自有資金停放，主動於申報時</w:t>
      </w:r>
      <w:r>
        <w:rPr>
          <w:b/>
          <w:bCs/>
        </w:rPr>
        <w:t xml:space="preserve">附軌跡說明</w:t>
      </w:r>
      <w:r>
        <w:t xml:space="preserve">，預先劃清其非新加坡來源，避免被歸入線 A。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D9EFE9" w:sz="1"/>
          <w:left w:val="single" w:color="1F6B5C" w:sz="24"/>
          <w:bottom w:val="single" w:color="D9EFE9" w:sz="1"/>
          <w:right w:val="single" w:color="D9EFE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F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B5C"/>
              </w:rPr>
              <w:t xml:space="preserve">一頁檢核表（影印版）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t xml:space="preserve">☐ 此筆資金是「供 SG 營運之借款（線 A）」還是「自有資金停放（線 B）」？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t xml:space="preserve">☐ 兩類資金是否已分戶、分帳、源頭分流？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t xml:space="preserve">☐ 借款合約、轉貸利率（AOA）、用途文件是否齊備？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t xml:space="preserve">☐ 線 A：WHT 走 15% 毛額還是 17% 淨額？已決策？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t xml:space="preserve">☐ 還款時是否就利息部分如實扣繳？入帳是否已觸發義務？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t xml:space="preserve">☐ S45 是否於次二月 15 日前申報？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t xml:space="preserve">☐ 線 B：是否預先備妥「非 SG 來源」軌跡，防止被誤課？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進階稅務附錄</w:t>
      </w:r>
    </w:p>
    <w:p>
      <w:pPr>
        <w:spacing w:after="120" w:line="300"/>
      </w:pPr>
      <w:r>
        <w:t xml:space="preserve">本節彙整三個關鍵進階概念：轉貸利率如何定（AOA／margin）、豁免如何運作（s13(4)），以及背後的國際反避稅框架（BEPS）。供定價與申請豁免時參考。</w:t>
      </w:r>
    </w:p>
    <w:p>
      <w:pPr>
        <w:pStyle w:val="Heading2"/>
      </w:pPr>
      <w:r>
        <w:t xml:space="preserve">8.1 AOA 與 margin：轉貸利率為何不能用原借款利率</w:t>
      </w:r>
    </w:p>
    <w:p>
      <w:pPr>
        <w:spacing w:after="120" w:line="300"/>
      </w:pPr>
      <w:r>
        <w:rPr>
          <w:b/>
          <w:bCs/>
        </w:rPr>
        <w:t xml:space="preserve">AOA（Authorised OECD Approach，OECD 授權方法）</w:t>
      </w:r>
      <w:r>
        <w:t xml:space="preserve">是決定分公司（PE）該被歸屬多少利潤、因此繳多少稅的標準方法。核心精神：</w:t>
      </w:r>
    </w:p>
    <w:tbl>
      <w:tblPr>
        <w:tblW w:type="dxa" w:w="9360"/>
        <w:tblBorders>
          <w:top w:val="single" w:color="D6E4F0" w:sz="1"/>
          <w:left w:val="single" w:color="2E75B6" w:sz="24"/>
          <w:bottom w:val="single" w:color="D6E4F0" w:sz="1"/>
          <w:right w:val="single" w:color="D6E4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AOA 一句話</w:t>
            </w:r>
          </w:p>
          <w:p>
            <w:pPr>
              <w:spacing w:after="0"/>
            </w:pPr>
            <w:r>
              <w:t xml:space="preserve">把分公司「假裝成一家獨立公司」，再問：若它真是獨立公司，與總部之間的每筆往來會用什麼價格成交？——用那個（常規）價格課稅。</w:t>
            </w:r>
          </w:p>
        </w:tc>
      </w:tr>
    </w:tbl>
    <w:p>
      <w:pPr>
        <w:spacing w:after="120" w:line="300"/>
      </w:pPr>
      <w:r>
        <w:t xml:space="preserve">因此，總部</w:t>
      </w:r>
      <w:r>
        <w:rPr>
          <w:b/>
          <w:bCs/>
        </w:rPr>
        <w:t xml:space="preserve">不能用原借款利率（1.64244%）原價轉貸</w:t>
      </w:r>
      <w:r>
        <w:t xml:space="preserve">給新加坡分公司。理由：若分公司是一家真正獨立的公司去市場借錢，沒有人會用總部的信用條件借給它；而扮演放款人的總部，也不會只收回成本、不賺一毛。AOA 要求：</w:t>
      </w:r>
    </w:p>
    <w:tbl>
      <w:tblPr>
        <w:tblW w:type="dxa" w:w="9360"/>
        <w:tblBorders>
          <w:top w:val="single" w:color="D9EFE9" w:sz="1"/>
          <w:left w:val="single" w:color="1F6B5C" w:sz="24"/>
          <w:bottom w:val="single" w:color="D9EFE9" w:sz="1"/>
          <w:right w:val="single" w:color="D9EFE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F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B5C"/>
              </w:rPr>
              <w:t xml:space="preserve">常規轉貸利率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轉貸利率 ＝ 總部資金成本　＋　合理 margin（信用利差）</w:t>
            </w:r>
            <w:r>
              <w:t xml:space="preserve">　例：1.64244% ＋ 50～100bps ≈ 2.14%～2.64%（示意，實際視信用、期限、幣別而定）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margin 反映什麼（非隨意加）：</w:t>
      </w:r>
      <w:r>
        <w:t xml:space="preserve">分公司若獨立、應付的風險溢酬，考量信用利差、期限、幣別基準、以及總部承擔的功能／資產／風險（FAR 分析）。</w:t>
      </w:r>
    </w:p>
    <w:p>
      <w:pPr>
        <w:spacing w:after="120" w:line="300"/>
      </w:pPr>
      <w:r>
        <w:rPr>
          <w:b/>
          <w:bCs/>
        </w:rPr>
        <w:t xml:space="preserve">雙面稅務影響：</w:t>
      </w:r>
      <w:r>
        <w:t xml:space="preserve">margin 越高 → 新加坡端利息費用越多、少繳 17% 企業稅，但總部端利息收入與 WHT 稅基也越大。太高會被認為侵蝕新加坡稅基（IRAS 挑戰）、太低則台灣稅局可能認定少認列收入。故須卡在可舉證的常規水準。</w:t>
      </w:r>
    </w:p>
    <w:p>
      <w:pPr>
        <w:pStyle w:val="Heading2"/>
      </w:pPr>
      <w:r>
        <w:t xml:space="preserve">8.2 s13(4) 部長豁免：完整介紹</w:t>
      </w:r>
    </w:p>
    <w:p>
      <w:pPr>
        <w:spacing w:after="120" w:line="300"/>
      </w:pPr>
      <w:r>
        <w:t xml:space="preserve">s13(4) </w:t>
      </w:r>
      <w:r>
        <w:rPr>
          <w:b/>
          <w:bCs/>
        </w:rPr>
        <w:t xml:space="preserve">不是「對某筆款項的減免公式」，而是「部長個案特批某主體免稅的授權條款」</w:t>
      </w:r>
      <w:r>
        <w:t xml:space="preserve">。其運作特徵：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個案、具名、非自動。</w:t>
      </w:r>
      <w:r>
        <w:t xml:space="preserve">由財政部長以《憲報》公告（Notification）逐案、點名核予某特定主體免稅（如實際存在的「Concerto Singapore Pte Ltd — s13(4) Exemption Notification 2023」）。無公告即無豁免。</w:t>
      </w:r>
      <w:r>
        <w:rPr>
          <w:b/>
          <w:bCs/>
          <w:color w:val="2E75B6"/>
          <w:vertAlign w:val="superscript"/>
        </w:rPr>
        <w:t xml:space="preserve">[1]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必然附條件。</w:t>
      </w:r>
      <w:r>
        <w:t xml:space="preserve">部長核准時附加條件（如資金須用於特定用途、維持在地實質、期限內完成某事）。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違反條件 → s45AA 回溯追稅。</w:t>
      </w:r>
      <w:r>
        <w:t xml:space="preserve">配套的 s45AA 明定：違反 s13(4) 條件者，其稅款視為已扣繳而可被追回。</w:t>
      </w:r>
      <w:r>
        <w:rPr>
          <w:b/>
          <w:bCs/>
          <w:color w:val="2E75B6"/>
          <w:vertAlign w:val="superscript"/>
        </w:rPr>
        <w:t xml:space="preserve">[2]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</w:rPr>
        <w:t xml:space="preserve">須申請、看「是否對新加坡有利」。</w:t>
      </w:r>
      <w:r>
        <w:t xml:space="preserve">向 MOF／部長申請，核准與否取決於該安排對新加坡的實質效益。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FF2CC" w:sz="1"/>
          <w:left w:val="single" w:color="7F6000" w:sz="24"/>
          <w:bottom w:val="single" w:color="FFF2CC" w:sz="1"/>
          <w:right w:val="single" w:color="FFF2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為何「先扣後退」還需要「回溯追稅」？（你的提問）</w:t>
            </w:r>
          </w:p>
          <w:p>
            <w:pPr>
              <w:spacing w:after="60"/>
            </w:pPr>
            <w:r>
              <w:t xml:space="preserve">兩者不衝突，是同一時間線的前後兩段：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</w:rPr>
              <w:t xml:space="preserve">先扣後退</w:t>
            </w:r>
            <w:r>
              <w:t xml:space="preserve">處理「核准當下」：付息時先扣 15%（錢押在 IRAS）→ 部長核准 → 退稅。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rPr>
                <w:b/>
                <w:bCs/>
              </w:rPr>
              <w:t xml:space="preserve">s45AA 回溯追稅</w:t>
            </w:r>
            <w:r>
              <w:t xml:space="preserve">處理「核准退稅之後」：豁免是附條件的，若條件是「資金須持續用於某用途數年」這類</w:t>
            </w:r>
            <w:r>
              <w:rPr>
                <w:b/>
                <w:bCs/>
              </w:rPr>
              <w:t xml:space="preserve">未來才驗證得出</w:t>
            </w:r>
            <w:r>
              <w:t xml:space="preserve">的承諾，則核准、退稅是基於承諾；事後發現違約時，錢早已退出，IRAS 必須有權追回。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88"/>
            </w:pPr>
            <w:r>
              <w:t xml:space="preserve">另有「預先裁定（advance ruling）後付息直接不扣」的情形——稅局從頭沒押到錢，更須靠 s45AA 事後追。</w:t>
            </w:r>
          </w:p>
          <w:p>
            <w:pPr>
              <w:spacing w:after="0" w:before="60"/>
            </w:pPr>
            <w:r>
              <w:rPr>
                <w:b/>
                <w:bCs/>
                <w:color w:val="C0504D"/>
              </w:rPr>
              <w:t xml:space="preserve">結論：</w:t>
            </w:r>
            <w:r>
              <w:t xml:space="preserve">「先扣後退」只涵蓋核准那一刻；s45AA 管的是核准之後的世界。兩者並存才完整。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b/>
          <w:bCs/>
        </w:rPr>
        <w:t xml:space="preserve">務必區分 s13(4) 與「非新加坡來源不課」——這是兩種不同層次：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s13(4) 部長豁免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「非新加坡來源」不課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性質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本來要課，部長特批免掉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本來就不在課稅範圍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啟動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須逐案申請、憲報具名公告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自動，依來源判定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條件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附條件，違反依 s45AA 追回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無須申請，事實上非 SG 來源即可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本案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線 A 綠債借款利息（SG 來源）想靠這條免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線 B 自有資金（非 SG 來源）本就不課</w:t>
            </w:r>
          </w:p>
        </w:tc>
      </w:tr>
    </w:tbl>
    <w:p>
      <w:pPr>
        <w:pStyle w:val="Heading2"/>
      </w:pPr>
      <w:r>
        <w:t xml:space="preserve">8.3 BEPS 與經濟實質：豁免的命脈</w:t>
      </w:r>
    </w:p>
    <w:p>
      <w:pPr>
        <w:spacing w:after="120" w:line="300"/>
      </w:pPr>
      <w:r>
        <w:rPr>
          <w:b/>
          <w:bCs/>
        </w:rPr>
        <w:t xml:space="preserve">BEPS（Base Erosion and Profit Shifting，稅基侵蝕與利潤移轉）</w:t>
      </w:r>
      <w:r>
        <w:t xml:space="preserve">是 OECD 主導的國際反避稅框架。白話拆解：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b/>
          <w:bCs/>
        </w:rPr>
        <w:t xml:space="preserve">稅基侵蝕：</w:t>
      </w:r>
      <w:r>
        <w:t xml:space="preserve">跨國企業把「應被課稅的利潤」挖走、讓稅基變小——最常見即</w:t>
      </w:r>
      <w:r>
        <w:rPr>
          <w:b/>
          <w:bCs/>
        </w:rPr>
        <w:t xml:space="preserve">用利息費用</w:t>
      </w:r>
      <w:r>
        <w:t xml:space="preserve">在高稅率國壓低當地利潤。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b/>
          <w:bCs/>
        </w:rPr>
        <w:t xml:space="preserve">利潤移轉：</w:t>
      </w:r>
      <w:r>
        <w:t xml:space="preserve">把利潤搬到低稅／免稅地申報——典型是在租稅天堂設</w:t>
      </w:r>
      <w:r>
        <w:rPr>
          <w:b/>
          <w:bCs/>
        </w:rPr>
        <w:t xml:space="preserve">無實質營運的空殼</w:t>
      </w:r>
      <w:r>
        <w:t xml:space="preserve">掛帳。</w:t>
      </w:r>
    </w:p>
    <w:p>
      <w:pPr>
        <w:spacing w:after="120" w:line="300"/>
      </w:pPr>
      <w:r>
        <w:rPr>
          <w:b/>
          <w:bCs/>
        </w:rPr>
        <w:t xml:space="preserve">對本案最直接的影響：經濟實質要求（自 2024/1 起）。</w:t>
      </w:r>
      <w:r>
        <w:t xml:space="preserve">新加坡跟進 BEPS，規定</w:t>
      </w:r>
      <w:r>
        <w:rPr>
          <w:b/>
          <w:bCs/>
        </w:rPr>
        <w:t xml:space="preserve">缺乏足夠經濟實質的主體，某些被動所得（尤其利息、權利金）不再享有豁免</w:t>
      </w:r>
      <w:r>
        <w:t xml:space="preserve">。</w:t>
      </w:r>
      <w:r>
        <w:rPr>
          <w:b/>
          <w:bCs/>
          <w:color w:val="2E75B6"/>
          <w:vertAlign w:val="superscript"/>
        </w:rPr>
        <w:t xml:space="preserve">[3]</w:t>
      </w:r>
    </w:p>
    <w:p>
      <w:pPr>
        <w:spacing w:after="120" w:line="300"/>
      </w:pPr>
      <w:r>
        <w:t xml:space="preserve">「足夠實質」看三件事：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夠格的在地</w:t>
      </w:r>
      <w:r>
        <w:rPr>
          <w:b/>
          <w:bCs/>
        </w:rPr>
        <w:t xml:space="preserve">員工</w:t>
      </w:r>
      <w:r>
        <w:t xml:space="preserve">（實際做事，非掛名）。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足夠的營運</w:t>
      </w:r>
      <w:r>
        <w:rPr>
          <w:b/>
          <w:bCs/>
        </w:rPr>
        <w:t xml:space="preserve">支出</w:t>
      </w:r>
      <w:r>
        <w:t xml:space="preserve">（當地真有花錢營運）。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b/>
          <w:bCs/>
        </w:rPr>
        <w:t xml:space="preserve">核心創造所得的活動</w:t>
      </w:r>
      <w:r>
        <w:t xml:space="preserve">在新加坡進行（賺這筆錢的關鍵動作真的發生在當地）。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BE4D5" w:sz="1"/>
          <w:left w:val="single" w:color="833C00" w:sz="24"/>
          <w:bottom w:val="single" w:color="FBE4D5" w:sz="1"/>
          <w:right w:val="single" w:color="FBE4D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4D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33C00"/>
              </w:rPr>
              <w:t xml:space="preserve">BEPS 如何印證你的洞察</w:t>
            </w:r>
          </w:p>
          <w:p>
            <w:pPr>
              <w:spacing w:after="0"/>
            </w:pPr>
            <w:r>
              <w:t xml:space="preserve">「停放太短 ＝ 對營運沒幫助 ＝ 豁免不成」正是 BEPS 經濟實質精神的具體展現：短期過水的資金沒有雇人、沒有營運支出、沒有支撐實際生產，在 BEPS 眼光下「看起來就是為稅務目的走帳」→ 缺乏實質 → 不該享有豁免。</w:t>
            </w:r>
            <w:r>
              <w:rPr>
                <w:b/>
                <w:bCs/>
              </w:rPr>
              <w:t xml:space="preserve">免稅的命脈，是錢有沒有真的在新加坡做事。</w:t>
            </w:r>
            <w:r>
              <w:t xml:space="preserve">這也是為何「壓縮期間」方向錯誤——它恰好製造了最沒有經濟實質的樣態。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名詞對照（速查）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60"/>
        <w:gridCol w:w="35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白話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本案角色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WHT 扣繳稅／外人稅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付錢給非居民時先扣一筆繳稅局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線 A 利息課 15%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borne by（由…負擔）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這筆利息成本實際由誰承擔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判定是否新加坡來源的關鍵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新加坡來源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所得是否算「在新加坡產生」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是→課；否→不課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PE 常設機構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外國公司在新加坡的實質營業據點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UMCSG 以 PE 身分課 17% 企業稅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AOA 獨立企業原則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 與總部往來須照市場行情定價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轉貸利率＝資金成本＋常規 margin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margin（加碼）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獨立放款人應賺的風險溢酬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加在總部資金成本之上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17% 淨額 / 15% 毛額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可減費用課 17%，或不減費用課 15%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外國實體二擇一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s13(4) 部長豁免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部長逐案具名、附條件特批免稅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線 A 想全免的唯一路徑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s45AA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違反豁免條件時回溯追稅的機制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管「核准退稅之後」的違約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BEPS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OECD 反避稅框架（防稅基侵蝕、利潤移轉）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帶來經濟實質要求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經濟實質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要享優惠須有真員工、真支出、真活動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豁免成立的命脈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可追溯性 traceability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能證明某筆錢的來龍去脈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區分線 A／線 B 的唯一防線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資料來源</w:t>
      </w:r>
    </w:p>
    <w:p>
      <w:pPr>
        <w:spacing w:after="120" w:line="300"/>
      </w:pPr>
      <w:r>
        <w:rPr>
          <w:i/>
          <w:iCs/>
        </w:rPr>
        <w:t xml:space="preserve">稅務立場為一般性說明，非稅務或法律意見。</w:t>
      </w:r>
    </w:p>
    <w:p>
      <w:pPr>
        <w:spacing w:after="120" w:line="280"/>
      </w:pPr>
      <w:r>
        <w:rPr>
          <w:b/>
          <w:bCs/>
          <w:color w:val="2E75B6"/>
        </w:rPr>
        <w:t xml:space="preserve">[1] </w:t>
      </w:r>
      <w:r>
        <w:t xml:space="preserve">Singapore Statutes Online — Income Tax Act 1947, s13(4) 部長豁免；具名公告例：Income Tax (Concerto Singapore Pte Ltd — s13(4) Exemption) Notification 2023。 </w:t>
      </w:r>
      <w:hyperlink w:history="1" r:id="rId_-5uggkgzghj2cjupjexb">
        <w:r>
          <w:rPr>
            <w:rStyle w:val="Hyperlink"/>
            <w:sz w:val="18"/>
            <w:szCs w:val="18"/>
          </w:rPr>
          <w:t xml:space="preserve">https://sso.agc.gov.sg/Act/ITA1947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[2] </w:t>
      </w:r>
      <w:r>
        <w:t xml:space="preserve">Singapore Statutes Online — Income Tax Act 1947, s45AA：違反 s13(4) 條件之視為已扣繳而可追回之稅款。 </w:t>
      </w:r>
      <w:hyperlink w:history="1" r:id="rIdpzxzlzcsej1g1-h9ccspy">
        <w:r>
          <w:rPr>
            <w:rStyle w:val="Hyperlink"/>
            <w:sz w:val="18"/>
            <w:szCs w:val="18"/>
          </w:rPr>
          <w:t xml:space="preserve">https://sso.agc.gov.sg/act/ita1947?ProvIds=P14-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[3] </w:t>
      </w:r>
      <w:r>
        <w:t xml:space="preserve">Raffles Corporate Services — Foreign-Sourced Income Exemption / BEPS 經濟實質要求（2024/1 起，缺乏實質之主體某些所得不再享豁免）。 </w:t>
      </w:r>
      <w:hyperlink w:history="1" r:id="rIdod2xoymcynlylugxtnr3-">
        <w:r>
          <w:rPr>
            <w:rStyle w:val="Hyperlink"/>
            <w:sz w:val="18"/>
            <w:szCs w:val="18"/>
          </w:rPr>
          <w:t xml:space="preserve">https://rafflescorporateservices.com/foreign-sourced-income-exemption-in-singapore-section-138-practical-guide-2026/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[4] </w:t>
      </w:r>
      <w:r>
        <w:t xml:space="preserve">IRAS — Payments subject to withholding tax：利息是否由新加坡 PE 負擔／新加坡來源之判定；PE 17% 課稅與結算退稅。 </w:t>
      </w:r>
      <w:hyperlink w:history="1" r:id="rIdjrvigtaiotcpeinjrzu-z">
        <w:r>
          <w:rPr>
            <w:rStyle w:val="Hyperlink"/>
            <w:sz w:val="18"/>
            <w:szCs w:val="18"/>
          </w:rPr>
          <w:t xml:space="preserve">https://www.iras.gov.sg/taxes/withholding-tax/payments-to-non-resident-company/payments-that-are-subject-to-withholding-tax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[5] </w:t>
      </w:r>
      <w:r>
        <w:t xml:space="preserve">IRAS — Payments NOT subject to withholding tax：付予新加坡分公司之 s12(6)/(7) 款項豁免；specified entities／2031 落日之法定豁免。 </w:t>
      </w:r>
      <w:hyperlink w:history="1" r:id="rIdl1afu5kawf3lije1xczao">
        <w:r>
          <w:rPr>
            <w:rStyle w:val="Hyperlink"/>
            <w:sz w:val="18"/>
            <w:szCs w:val="18"/>
          </w:rPr>
          <w:t xml:space="preserve">https://www.iras.gov.sg/taxes/withholding-tax/payments-to-non-resident-company/payments-that-are-not-subject-to-withholding-tax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[6] </w:t>
      </w:r>
      <w:r>
        <w:t xml:space="preserve">Rikvin — Singapore Withholding Tax：15%/10% 優惠率適用條件；其餘適用 17%。 </w:t>
      </w:r>
      <w:hyperlink w:history="1" r:id="rIdpxv6zmjwaazzjopinyhgv">
        <w:r>
          <w:rPr>
            <w:rStyle w:val="Hyperlink"/>
            <w:sz w:val="18"/>
            <w:szCs w:val="18"/>
          </w:rPr>
          <w:t xml:space="preserve">https://www.rikvin.com/taxation/singapore-withholding-tax/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[7] </w:t>
      </w:r>
      <w:r>
        <w:t xml:space="preserve">台灣證券交易所 公開資訊觀測站（MOPS）— 聯電（2303）綠色債券公告，112-1 期，代號 B638BH。 </w:t>
      </w:r>
      <w:hyperlink w:history="1" r:id="rIdo9s82mr0ulsuduziobve6">
        <w:r>
          <w:rPr>
            <w:rStyle w:val="Hyperlink"/>
            <w:sz w:val="18"/>
            <w:szCs w:val="18"/>
          </w:rPr>
          <w:t xml:space="preserve">https://mopsov.twse.com.tw/mops/web/t120sg01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[8] </w:t>
      </w:r>
      <w:r>
        <w:t xml:space="preserve">PwC Worldwide Tax Summaries — 台灣公司所得稅（營所稅 20%）與國外稅額扣抵框架。 </w:t>
      </w:r>
      <w:hyperlink w:history="1" r:id="rId0b4lytdxukof9s0v0jwiv">
        <w:r>
          <w:rPr>
            <w:rStyle w:val="Hyperlink"/>
            <w:sz w:val="18"/>
            <w:szCs w:val="18"/>
          </w:rPr>
          <w:t xml:space="preserve">https://taxsummaries.pwc.com/taiwan/corporate/taxes-on-corporate-income</w:t>
        </w:r>
      </w:hyperlink>
    </w:p>
    <w:p>
      <w:pPr>
        <w:spacing w:after="120"/>
      </w:pPr>
      <w:r>
        <w:t xml:space="preserve"/>
      </w:r>
    </w:p>
    <w:p>
      <w:pPr>
        <w:spacing w:after="120" w:line="300"/>
      </w:pPr>
      <w:r>
        <w:rPr>
          <w:i/>
          <w:iCs/>
        </w:rPr>
        <w:t xml:space="preserve">本文為內部分析與操作參考，不構成稅務或法律意見。實際案件請依文件並經稅務顧問確認。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595959"/>
        <w:sz w:val="16"/>
        <w:szCs w:val="16"/>
      </w:rPr>
      <w:t xml:space="preserve">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頁，共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  <w:spacing w:after="0"/>
    </w:pPr>
    <w:r>
      <w:rPr>
        <w:color w:val="595959"/>
        <w:sz w:val="16"/>
        <w:szCs w:val="16"/>
      </w:rPr>
      <w:t xml:space="preserve">總部為新加坡舉債轉貸 — WHT 操作框架</w:t>
    </w:r>
    <w:r>
      <w:rPr>
        <w:color w:val="595959"/>
        <w:sz w:val="16"/>
        <w:szCs w:val="16"/>
      </w:rPr>
      <w:t xml:space="preserve">	內部參考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160" w:before="240"/>
      <w:outlineLvl w:val="0"/>
    </w:pPr>
    <w:rPr>
      <w:rFonts w:ascii="Noto Sans CJK TC" w:cs="Noto Sans CJK TC" w:eastAsia="Noto Sans CJK TC" w:hAnsi="Noto Sans CJK TC"/>
      <w:b/>
      <w:bCs/>
      <w:color w:val="1F3864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Noto Sans CJK TC" w:cs="Noto Sans CJK TC" w:eastAsia="Noto Sans CJK TC" w:hAnsi="Noto Sans CJK TC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Noto Sans CJK TC" w:cs="Noto Sans CJK TC" w:eastAsia="Noto Sans CJK TC" w:hAnsi="Noto Sans CJK TC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-5uggkgzghj2cjupjexb" Type="http://schemas.openxmlformats.org/officeDocument/2006/relationships/hyperlink" Target="https://sso.agc.gov.sg/Act/ITA1947" TargetMode="External"/><Relationship Id="rIdpzxzlzcsej1g1-h9ccspy" Type="http://schemas.openxmlformats.org/officeDocument/2006/relationships/hyperlink" Target="https://sso.agc.gov.sg/act/ita1947?ProvIds=P14-" TargetMode="External"/><Relationship Id="rIdod2xoymcynlylugxtnr3-" Type="http://schemas.openxmlformats.org/officeDocument/2006/relationships/hyperlink" Target="https://rafflescorporateservices.com/foreign-sourced-income-exemption-in-singapore-section-138-practical-guide-2026/" TargetMode="External"/><Relationship Id="rIdjrvigtaiotcpeinjrzu-z" Type="http://schemas.openxmlformats.org/officeDocument/2006/relationships/hyperlink" Target="https://www.iras.gov.sg/taxes/withholding-tax/payments-to-non-resident-company/payments-that-are-subject-to-withholding-tax" TargetMode="External"/><Relationship Id="rIdl1afu5kawf3lije1xczao" Type="http://schemas.openxmlformats.org/officeDocument/2006/relationships/hyperlink" Target="https://www.iras.gov.sg/taxes/withholding-tax/payments-to-non-resident-company/payments-that-are-not-subject-to-withholding-tax" TargetMode="External"/><Relationship Id="rIdpxv6zmjwaazzjopinyhgv" Type="http://schemas.openxmlformats.org/officeDocument/2006/relationships/hyperlink" Target="https://www.rikvin.com/taxation/singapore-withholding-tax/" TargetMode="External"/><Relationship Id="rIdo9s82mr0ulsuduziobve6" Type="http://schemas.openxmlformats.org/officeDocument/2006/relationships/hyperlink" Target="https://mopsov.twse.com.tw/mops/web/t120sg01" TargetMode="External"/><Relationship Id="rId0b4lytdxukof9s0v0jwiv" Type="http://schemas.openxmlformats.org/officeDocument/2006/relationships/hyperlink" Target="https://taxsummaries.pwc.com/taiwan/corporate/taxes-on-corporate-income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2026-06-26T08:43:11.689Z</dcterms:created>
  <dcterms:modified xsi:type="dcterms:W3CDTF">2026-06-26T08:43:11.690Z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