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東南亞五國半導體基礎建設量化資料彙整</w:t>
      </w:r>
    </w:p>
    <w:p>
      <w:pPr>
        <w:jc w:val="center"/>
      </w:pPr>
      <w:r>
        <w:rPr>
          <w:b/>
          <w:sz w:val="28"/>
        </w:rPr>
        <w:t>查核修訂版（新加坡以外：馬來西亞、越南、泰國、印尼、菲律賓）</w:t>
      </w:r>
    </w:p>
    <w:p>
      <w:pPr>
        <w:jc w:val="center"/>
      </w:pPr>
      <w:r>
        <w:rPr>
          <w:sz w:val="22"/>
        </w:rPr>
        <w:t>電力成本與穩定度 • 產業聚落 • 原料供應 • 人才供給 • 薪資 Proxy</w:t>
      </w:r>
    </w:p>
    <w:p>
      <w:pPr>
        <w:jc w:val="center"/>
      </w:pPr>
      <w:r>
        <w:rPr>
          <w:i/>
        </w:rPr>
        <w:t>修訂日期：2026 年 7 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8"/>
      </w:tblGrid>
      <w:tr>
        <w:tc>
          <w:tcPr>
            <w:tcW w:type="dxa" w:w="15308"/>
            <w:shd w:fill="EAF2F8"/>
          </w:tcPr>
          <w:p>
            <w:pPr>
              <w:jc w:val="center"/>
            </w:pPr>
            <w:r>
              <w:rPr>
                <w:b/>
                <w:sz w:val="20"/>
              </w:rPr>
              <w:t>本版依原始連結與補充資料重新查核。修訂重點包括：移除錯誤或定義不清的數值、分離實績與政策目標、標示不可直接比較的口徑、更新 World Bank／UNESCO UIS 的 EMC 畢業占比，並將估計值、Proxy 與作者判斷明確區分。</w:t>
            </w:r>
          </w:p>
        </w:tc>
      </w:tr>
    </w:tbl>
    <w:p>
      <w:pPr>
        <w:pStyle w:val="Heading1"/>
      </w:pPr>
      <w:r>
        <w:t>文件性質與查核方法</w:t>
      </w:r>
    </w:p>
    <w:p>
      <w:pPr>
        <w:pStyle w:val="ListBullet"/>
      </w:pPr>
      <w:r>
        <w:t>本文件仍屬 data appendix，而非投資決策模型。表格以可追溯的公開資料為主，不能取得乾淨數值時，不以主觀分數填補。</w:t>
      </w:r>
    </w:p>
    <w:p>
      <w:pPr>
        <w:pStyle w:val="ListBullet"/>
      </w:pPr>
      <w:r>
        <w:t>跨國比較必須區分：國家平均與特定城市／公用事業、工業電價與一般商業電價、人才存量與招生／培訓目標、年度實績與多年累計。</w:t>
      </w:r>
    </w:p>
    <w:p>
      <w:pPr>
        <w:pStyle w:val="ListBullet"/>
      </w:pPr>
      <w:r>
        <w:t>本版使用四種品質標籤：A 可直接引用且口徑清楚；B 已驗證但不可直接跨國比較；C 估計／Proxy；D 作者判斷或資料缺口。</w:t>
      </w:r>
    </w:p>
    <w:p>
      <w:pPr>
        <w:pStyle w:val="ListBullet"/>
      </w:pPr>
      <w:r>
        <w:t>World Bank Doing Business 的 SAIDI 數值改稱「參考城市／公用事業 SAIDI」，不再視為全國平均。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 w:val="true"/>
        </w:trPr>
        <w:tc>
          <w:tcPr>
            <w:tcW w:type="dxa" w:w="187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品質標籤</w:t>
            </w:r>
          </w:p>
        </w:tc>
        <w:tc>
          <w:tcPr>
            <w:tcW w:type="dxa" w:w="708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定義</w:t>
            </w:r>
          </w:p>
        </w:tc>
        <w:tc>
          <w:tcPr>
            <w:tcW w:type="dxa" w:w="45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適合用途</w:t>
            </w:r>
          </w:p>
        </w:tc>
      </w:tr>
      <w:tr>
        <w:trPr>
          <w:cantSplit w:val="true"/>
        </w:trP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A｜可比較／可直接引用</w:t>
            </w:r>
          </w:p>
        </w:tc>
        <w:tc>
          <w:tcPr>
            <w:tcW w:type="dxa" w:w="70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來源、年份與口徑相對清楚；仍應保留原始定義。</w:t>
            </w:r>
          </w:p>
        </w:tc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表格主數值、管理簡報引用</w:t>
            </w:r>
          </w:p>
        </w:tc>
      </w:tr>
      <w:tr>
        <w:trPr>
          <w:cantSplit w:val="true"/>
        </w:trPr>
        <w:tc>
          <w:tcPr>
            <w:tcW w:type="dxa" w:w="187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B｜已驗證但不可直接比較</w:t>
            </w:r>
          </w:p>
        </w:tc>
        <w:tc>
          <w:tcPr>
            <w:tcW w:type="dxa" w:w="708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資料真實，但不同國家或年份的口徑不一致。</w:t>
            </w:r>
          </w:p>
        </w:tc>
        <w:tc>
          <w:tcPr>
            <w:tcW w:type="dxa" w:w="45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背景資訊、趨勢判讀</w:t>
            </w:r>
          </w:p>
        </w:tc>
      </w:tr>
      <w:tr>
        <w:trPr>
          <w:cantSplit w:val="true"/>
        </w:trPr>
        <w:tc>
          <w:tcPr>
            <w:tcW w:type="dxa" w:w="187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C｜估計／Proxy</w:t>
            </w:r>
          </w:p>
        </w:tc>
        <w:tc>
          <w:tcPr>
            <w:tcW w:type="dxa" w:w="708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以區間、非半導體職位或次級資料近似。</w:t>
            </w:r>
          </w:p>
        </w:tc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初步篩選，不宜作精準財務模型</w:t>
            </w:r>
          </w:p>
        </w:tc>
      </w:tr>
      <w:tr>
        <w:trPr>
          <w:cantSplit w:val="true"/>
        </w:trPr>
        <w:tc>
          <w:tcPr>
            <w:tcW w:type="dxa" w:w="187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D｜作者判斷／資料缺口</w:t>
            </w:r>
          </w:p>
        </w:tc>
        <w:tc>
          <w:tcPr>
            <w:tcW w:type="dxa" w:w="708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無統一公開量化資料，或屬分析性敘述。</w:t>
            </w:r>
          </w:p>
        </w:tc>
        <w:tc>
          <w:tcPr>
            <w:tcW w:type="dxa" w:w="45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討論提示，需後續查證</w:t>
            </w:r>
          </w:p>
        </w:tc>
      </w:tr>
    </w:tbl>
    <w:p/>
    <w:p>
      <w:pPr>
        <w:pStyle w:val="Heading1"/>
      </w:pPr>
      <w:r>
        <w:t>0. 五國總覽快照（修訂版）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3"/>
        <w:gridCol w:w="1913"/>
        <w:gridCol w:w="1913"/>
        <w:gridCol w:w="1913"/>
        <w:gridCol w:w="1913"/>
        <w:gridCol w:w="1913"/>
        <w:gridCol w:w="1913"/>
        <w:gridCol w:w="1913"/>
      </w:tblGrid>
      <w:tr>
        <w:trPr>
          <w:tblHeader w:val="true"/>
          <w:cantSplit w:val="true"/>
        </w:trPr>
        <w:tc>
          <w:tcPr>
            <w:tcW w:type="dxa" w:w="124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國家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產業定位</w:t>
            </w:r>
          </w:p>
        </w:tc>
        <w:tc>
          <w:tcPr>
            <w:tcW w:type="dxa" w:w="192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300mm 前段</w:t>
            </w:r>
          </w:p>
        </w:tc>
        <w:tc>
          <w:tcPr>
            <w:tcW w:type="dxa" w:w="209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電價 USD/kWh</w:t>
            </w:r>
          </w:p>
        </w:tc>
        <w:tc>
          <w:tcPr>
            <w:tcW w:type="dxa" w:w="221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SAIDI 參考值</w:t>
            </w:r>
          </w:p>
        </w:tc>
        <w:tc>
          <w:tcPr>
            <w:tcW w:type="dxa" w:w="204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EMC 畢業占比</w:t>
            </w:r>
          </w:p>
        </w:tc>
        <w:tc>
          <w:tcPr>
            <w:tcW w:type="dxa" w:w="238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薪資 Proxy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主要限制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馬來西亞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後段封測成熟；Penang/Kulim 聚落，往 IC 設計、先進封裝與基板延伸</w:t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無已確認商業量產 300mm 矽晶圓廠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0.140（一般商業電價；非半導體廠專案費率）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0.5 hr（WB Doing Business 2020 參考公用事業）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EMC 21.59%（2024）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一般工程師約 850–1,000；非半導體專屬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高階人才缺口與對新加坡的人才流動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越南</w:t>
            </w:r>
          </w:p>
        </w:tc>
        <w:tc>
          <w:tcPr>
            <w:tcW w:type="dxa" w:w="294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封測與 IC 設計活動增加；北越與 HCMC 聚落</w:t>
            </w:r>
          </w:p>
        </w:tc>
        <w:tc>
          <w:tcPr>
            <w:tcW w:type="dxa" w:w="192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無已確認商業量產 300mm 矽晶圓廠</w:t>
            </w:r>
          </w:p>
        </w:tc>
        <w:tc>
          <w:tcPr>
            <w:tcW w:type="dxa" w:w="209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0.077–0.120（混合平均／工業 Proxy，不可直接比較）</w:t>
            </w:r>
          </w:p>
        </w:tc>
        <w:tc>
          <w:tcPr>
            <w:tcW w:type="dxa" w:w="221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2.1 hr（WB Doing Business 2020 參考公用事業）</w:t>
            </w:r>
          </w:p>
        </w:tc>
        <w:tc>
          <w:tcPr>
            <w:tcW w:type="dxa" w:w="204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UIS 2024 缺值</w:t>
            </w:r>
          </w:p>
        </w:tc>
        <w:tc>
          <w:tcPr>
            <w:tcW w:type="dxa" w:w="238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軟體／一般工程 Proxy 約 600–900；上緣需再驗證</w:t>
            </w:r>
          </w:p>
        </w:tc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前段供應鏈與電力品質差異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泰國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HDD 重要基地；PCB、後段、功率與電子製造擴張</w:t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無已確認商業量產 300mm 矽晶圓廠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0.10–0.12（est.）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0.5 hr（WB Doing Business 2020 參考公用事業）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EMC 23.25%（2024；2025 為 23.30%）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700–1,000（est.，非半導體專屬）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前段人才與供應鏈仍在建置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印尼</w:t>
            </w:r>
          </w:p>
        </w:tc>
        <w:tc>
          <w:tcPr>
            <w:tcW w:type="dxa" w:w="294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起步期；Batam 有有限後段活動，設計人才政策升溫</w:t>
            </w:r>
          </w:p>
        </w:tc>
        <w:tc>
          <w:tcPr>
            <w:tcW w:type="dxa" w:w="192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無已確認商業量產 300mm 矽晶圓廠</w:t>
            </w:r>
          </w:p>
        </w:tc>
        <w:tc>
          <w:tcPr>
            <w:tcW w:type="dxa" w:w="209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0.08–0.10（est.）</w:t>
            </w:r>
          </w:p>
        </w:tc>
        <w:tc>
          <w:tcPr>
            <w:tcW w:type="dxa" w:w="221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2.8 hr（WB Doing Business 2020 參考公用事業）</w:t>
            </w:r>
          </w:p>
        </w:tc>
        <w:tc>
          <w:tcPr>
            <w:tcW w:type="dxa" w:w="204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EMC 15.82%（最新 2023；2024 缺值）</w:t>
            </w:r>
          </w:p>
        </w:tc>
        <w:tc>
          <w:tcPr>
            <w:tcW w:type="dxa" w:w="238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一般工程師約 320–510；Jakarta 科技職可能更高</w:t>
            </w:r>
          </w:p>
        </w:tc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生態系與供應鏈深度有限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菲律賓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ATP 老牌基地；世界第 9 大晶片出口國（OECD）</w:t>
            </w:r>
          </w:p>
        </w:tc>
        <w:tc>
          <w:tcPr>
            <w:tcW w:type="dxa" w:w="19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無已確認商業量產 300mm 矽晶圓廠</w:t>
            </w:r>
          </w:p>
        </w:tc>
        <w:tc>
          <w:tcPr>
            <w:tcW w:type="dxa" w:w="209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0.15–0.20（區域高；地點與電壓等級差異大）</w:t>
            </w:r>
          </w:p>
        </w:tc>
        <w:tc>
          <w:tcPr>
            <w:tcW w:type="dxa" w:w="221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3.6 hr（WB Doing Business 2020 參考公用事業）</w:t>
            </w:r>
          </w:p>
        </w:tc>
        <w:tc>
          <w:tcPr>
            <w:tcW w:type="dxa" w:w="204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EMC 15.61%（2024）</w:t>
            </w:r>
          </w:p>
        </w:tc>
        <w:tc>
          <w:tcPr>
            <w:tcW w:type="dxa" w:w="238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半導體職別資料缺口；IT 職位來源區間過寬，不採單一值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4"/>
              </w:rPr>
              <w:t>電力成本高、可靠度差異與 IC 設計深度有限</w:t>
            </w:r>
          </w:p>
        </w:tc>
      </w:tr>
    </w:tbl>
    <w:p/>
    <w:p>
      <w:pPr>
        <w:pStyle w:val="Heading1"/>
      </w:pPr>
      <w:r>
        <w:t>1. 電力：成本與穩定度</w:t>
      </w:r>
    </w:p>
    <w:p>
      <w:pPr>
        <w:pStyle w:val="Heading2"/>
      </w:pPr>
      <w:r>
        <w:t>1.1 電價（用途與口徑修訂）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國家</w:t>
            </w:r>
          </w:p>
        </w:tc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電價 USD/kWh</w:t>
            </w:r>
          </w:p>
        </w:tc>
        <w:tc>
          <w:tcPr>
            <w:tcW w:type="dxa" w:w="255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口徑</w:t>
            </w:r>
          </w:p>
        </w:tc>
        <w:tc>
          <w:tcPr>
            <w:tcW w:type="dxa" w:w="873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查核後說明</w:t>
            </w:r>
          </w:p>
        </w:tc>
        <w:tc>
          <w:tcPr>
            <w:tcW w:type="dxa" w:w="113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品質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馬來西亞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0.140</w:t>
            </w:r>
          </w:p>
        </w:tc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一般商業電價，2025/09</w:t>
            </w:r>
          </w:p>
        </w:tc>
        <w:tc>
          <w:tcPr>
            <w:tcW w:type="dxa" w:w="87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GlobalPetrolPrices 可支持一般 business tariff；大型半導體用戶另有最大需量、Capacity、Network、AFA 等，不能視為工廠實際平均電價。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越南</w:t>
            </w:r>
          </w:p>
        </w:tc>
        <w:tc>
          <w:tcPr>
            <w:tcW w:type="dxa" w:w="170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0.077–0.120</w:t>
            </w:r>
          </w:p>
        </w:tc>
        <w:tc>
          <w:tcPr>
            <w:tcW w:type="dxa" w:w="255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全國平均售電價 + 區域／工業 Proxy</w:t>
            </w:r>
          </w:p>
        </w:tc>
        <w:tc>
          <w:tcPr>
            <w:tcW w:type="dxa" w:w="873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此範圍混合全國平均與南越工業／時段資料，僅作粗略 Proxy。</w:t>
            </w:r>
          </w:p>
        </w:tc>
        <w:tc>
          <w:tcPr>
            <w:tcW w:type="dxa" w:w="11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泰國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0.10–0.12</w:t>
            </w:r>
          </w:p>
        </w:tc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工業估計，2025</w:t>
            </w:r>
          </w:p>
        </w:tc>
        <w:tc>
          <w:tcPr>
            <w:tcW w:type="dxa" w:w="87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應以 MEA／PEA／ERC 依電壓、需量及 Ft 查專案費率。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印尼</w:t>
            </w:r>
          </w:p>
        </w:tc>
        <w:tc>
          <w:tcPr>
            <w:tcW w:type="dxa" w:w="170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0.08–0.10</w:t>
            </w:r>
          </w:p>
        </w:tc>
        <w:tc>
          <w:tcPr>
            <w:tcW w:type="dxa" w:w="255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PLN I-3／I-4 估計</w:t>
            </w:r>
          </w:p>
        </w:tc>
        <w:tc>
          <w:tcPr>
            <w:tcW w:type="dxa" w:w="873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政策補貼、區域與負載條件差異大；需以 PLN 官方費率確認。</w:t>
            </w:r>
          </w:p>
        </w:tc>
        <w:tc>
          <w:tcPr>
            <w:tcW w:type="dxa" w:w="11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菲律賓</w:t>
            </w:r>
          </w:p>
        </w:tc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0.15–0.20</w:t>
            </w:r>
          </w:p>
        </w:tc>
        <w:tc>
          <w:tcPr>
            <w:tcW w:type="dxa" w:w="255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工業／商業 Proxy</w:t>
            </w:r>
          </w:p>
        </w:tc>
        <w:tc>
          <w:tcPr>
            <w:tcW w:type="dxa" w:w="87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方向上屬區域高價，但 Meralco、經濟區與外省公用事業差異大。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</w:t>
            </w:r>
          </w:p>
        </w:tc>
      </w:tr>
    </w:tbl>
    <w:p/>
    <w:p>
      <w:pPr>
        <w:pStyle w:val="Source"/>
      </w:pPr>
      <w:r>
        <w:rPr>
          <w:b/>
        </w:rPr>
        <w:t xml:space="preserve">• GlobalPetrolPrices – Malaysia business electricity price: </w:t>
      </w:r>
      <w:hyperlink r:id="rId9">
        <w:r>
          <w:rPr>
            <w:color w:val="0563C1"/>
            <w:u w:val="single"/>
          </w:rPr>
          <w:t>https://www.globalpetrolprices.com/Malaysia/electricity_prices/</w:t>
        </w:r>
      </w:hyperlink>
    </w:p>
    <w:p>
      <w:pPr>
        <w:pStyle w:val="Source"/>
      </w:pPr>
      <w:r>
        <w:rPr>
          <w:b/>
        </w:rPr>
        <w:t xml:space="preserve">• TNB – Commercial &amp; Industrial pricing/tariffs: </w:t>
      </w:r>
      <w:hyperlink r:id="rId10">
        <w:r>
          <w:rPr>
            <w:color w:val="0563C1"/>
            <w:u w:val="single"/>
          </w:rPr>
          <w:t>https://www.tnb.com.my/commercial-industrial/pricing-tariffs1</w:t>
        </w:r>
      </w:hyperlink>
    </w:p>
    <w:p>
      <w:pPr>
        <w:pStyle w:val="Source"/>
      </w:pPr>
      <w:r>
        <w:rPr>
          <w:b/>
        </w:rPr>
        <w:t xml:space="preserve">• 越南電價二手整理（僅作 Proxy）: </w:t>
      </w:r>
      <w:hyperlink r:id="rId11">
        <w:r>
          <w:rPr>
            <w:color w:val="0563C1"/>
            <w:u w:val="single"/>
          </w:rPr>
          <w:t>https://solarbk.vn/en/article/general-news/global-electricity-prices-are-soaring-what-should-vietnamese-households-businesses-do-today.html</w:t>
        </w:r>
      </w:hyperlink>
    </w:p>
    <w:p>
      <w:pPr>
        <w:pStyle w:val="Heading2"/>
      </w:pPr>
      <w:r>
        <w:t>1.2 電力穩定度（參考城市／公用事業，不等於全國平均）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國家</w:t>
            </w:r>
          </w:p>
        </w:tc>
        <w:tc>
          <w:tcPr>
            <w:tcW w:type="dxa" w:w="294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WB Doing Business 2020 SAIDI</w:t>
            </w:r>
          </w:p>
        </w:tc>
        <w:tc>
          <w:tcPr>
            <w:tcW w:type="dxa" w:w="28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企業曾遭遇停電比例</w:t>
            </w:r>
          </w:p>
        </w:tc>
        <w:tc>
          <w:tcPr>
            <w:tcW w:type="dxa" w:w="833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修訂說明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馬來西亞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0.5 hr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22.3%（2024）</w:t>
            </w:r>
          </w:p>
        </w:tc>
        <w:tc>
          <w:tcPr>
            <w:tcW w:type="dxa" w:w="83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0.5 hr 為 World Bank Doing Business 參考公用事業數值；已刪除「半島 SAIDI 長期 &lt;2 分鐘」的錯誤敘述。馬來西亞官方 SAIDI 歷史值約為數十分鐘／客戶／年。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泰國</w:t>
            </w:r>
          </w:p>
        </w:tc>
        <w:tc>
          <w:tcPr>
            <w:tcW w:type="dxa" w:w="294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0.5 hr</w:t>
            </w:r>
          </w:p>
        </w:tc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資料缺口</w:t>
            </w:r>
          </w:p>
        </w:tc>
        <w:tc>
          <w:tcPr>
            <w:tcW w:type="dxa" w:w="83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參考城市／公用事業值；不能推論全國所有工業區。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越南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2.1 hr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43%（2024）</w:t>
            </w:r>
          </w:p>
        </w:tc>
        <w:tc>
          <w:tcPr>
            <w:tcW w:type="dxa" w:w="83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參考城市／公用事業值；企業問卷比例涵蓋面不同，兩者不可直接對照。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印尼</w:t>
            </w:r>
          </w:p>
        </w:tc>
        <w:tc>
          <w:tcPr>
            <w:tcW w:type="dxa" w:w="294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2.8 hr</w:t>
            </w:r>
          </w:p>
        </w:tc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12.7%（2023）</w:t>
            </w:r>
          </w:p>
        </w:tc>
        <w:tc>
          <w:tcPr>
            <w:tcW w:type="dxa" w:w="83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參考城市／公用事業值；Java/Bali 與離島差異極大。原「14–65% 用戶需自備發電機」屬特定研究樣本，不再泛化為全國。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菲律賓</w:t>
            </w:r>
          </w:p>
        </w:tc>
        <w:tc>
          <w:tcPr>
            <w:tcW w:type="dxa" w:w="294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3.6 hr</w:t>
            </w:r>
          </w:p>
        </w:tc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43.9%（2023）</w:t>
            </w:r>
          </w:p>
        </w:tc>
        <w:tc>
          <w:tcPr>
            <w:tcW w:type="dxa" w:w="83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參考城市／公用事業值；Meralco 與外省電業合作社差異顯著。</w:t>
            </w:r>
          </w:p>
        </w:tc>
      </w:tr>
    </w:tbl>
    <w:p/>
    <w:p>
      <w:pPr>
        <w:pStyle w:val="Source"/>
      </w:pPr>
      <w:r>
        <w:rPr>
          <w:b/>
        </w:rPr>
        <w:t xml:space="preserve">• Malaysia Energy Commission – SAIDI: </w:t>
      </w:r>
      <w:hyperlink r:id="rId12">
        <w:r>
          <w:rPr>
            <w:color w:val="0563C1"/>
            <w:u w:val="single"/>
          </w:rPr>
          <w:t>https://www.st.gov.my/security/system-average-interruption-duration-index-saidi</w:t>
        </w:r>
      </w:hyperlink>
    </w:p>
    <w:p>
      <w:pPr>
        <w:pStyle w:val="Source"/>
      </w:pPr>
      <w:r>
        <w:rPr>
          <w:b/>
        </w:rPr>
        <w:t xml:space="preserve">• World Bank Doing Business 2020 – Vietnam reference-city SAIDI: </w:t>
      </w:r>
      <w:hyperlink r:id="rId13">
        <w:r>
          <w:rPr>
            <w:color w:val="0563C1"/>
            <w:u w:val="single"/>
          </w:rPr>
          <w:t>https://archive.doingbusiness.org/content/dam/doingBusiness/country/v/vietnam/VNM.pdf</w:t>
        </w:r>
      </w:hyperlink>
    </w:p>
    <w:p>
      <w:pPr>
        <w:pStyle w:val="Source"/>
      </w:pPr>
      <w:r>
        <w:rPr>
          <w:b/>
        </w:rPr>
        <w:t xml:space="preserve">• 原文件 Energy Watch 彙整: </w:t>
      </w:r>
      <w:hyperlink r:id="rId14">
        <w:r>
          <w:rPr>
            <w:color w:val="0563C1"/>
            <w:u w:val="single"/>
          </w:rPr>
          <w:t>https://www.energywatch.com.my/blog/2021/06/11/a-brighter-future-for-reliable-power-in-malaysia/</w:t>
        </w:r>
      </w:hyperlink>
    </w:p>
    <w:p>
      <w:pPr>
        <w:pStyle w:val="Heading1"/>
      </w:pPr>
      <w:r>
        <w:t>2. 產業聚落與價值鏈現況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 w:val="true"/>
        </w:trPr>
        <w:tc>
          <w:tcPr>
            <w:tcW w:type="dxa" w:w="124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國家</w:t>
            </w:r>
          </w:p>
        </w:tc>
        <w:tc>
          <w:tcPr>
            <w:tcW w:type="dxa" w:w="300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主要聚落</w:t>
            </w:r>
          </w:p>
        </w:tc>
        <w:tc>
          <w:tcPr>
            <w:tcW w:type="dxa" w:w="368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價值鏈定位</w:t>
            </w:r>
          </w:p>
        </w:tc>
        <w:tc>
          <w:tcPr>
            <w:tcW w:type="dxa" w:w="317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代表業者</w:t>
            </w:r>
          </w:p>
        </w:tc>
        <w:tc>
          <w:tcPr>
            <w:tcW w:type="dxa" w:w="521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查核後註記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馬來西亞</w:t>
            </w:r>
          </w:p>
        </w:tc>
        <w:tc>
          <w:tcPr>
            <w:tcW w:type="dxa" w:w="30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Penang、Kulim、Selangor、Johor</w:t>
            </w:r>
          </w:p>
        </w:tc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OSAT、測試、設備、基板、功率半導體；IC 設計與先進封裝擴張</w:t>
            </w:r>
          </w:p>
        </w:tc>
        <w:tc>
          <w:tcPr>
            <w:tcW w:type="dxa" w:w="317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Intel、Infineon、AMD、Micron、ASE、AT&amp;S</w:t>
            </w:r>
          </w:p>
        </w:tc>
        <w:tc>
          <w:tcPr>
            <w:tcW w:type="dxa" w:w="5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約 13% 應表述為全球 packaging／assembly／testing 活動或市場占比，不宜直接寫成物理產能。Penang「4,000 家 SME」需確認是否涵蓋廣義製造供應鏈。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越南</w:t>
            </w:r>
          </w:p>
        </w:tc>
        <w:tc>
          <w:tcPr>
            <w:tcW w:type="dxa" w:w="300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Bac Ninh、Hanoi/Hoa Lac、HCMC、Dong Nai</w:t>
            </w:r>
          </w:p>
        </w:tc>
        <w:tc>
          <w:tcPr>
            <w:tcW w:type="dxa" w:w="368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封測、電子製造、部分 IC 設計／R&amp;D</w:t>
            </w:r>
          </w:p>
        </w:tc>
        <w:tc>
          <w:tcPr>
            <w:tcW w:type="dxa" w:w="317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Amkor、Intel、Samsung、Marvell、Faraday</w:t>
            </w:r>
          </w:p>
        </w:tc>
        <w:tc>
          <w:tcPr>
            <w:tcW w:type="dxa" w:w="521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企業角色需分開：Intel/Amkor 為後段，Samsung 以電子製造及測試投資為主，Marvell/Faraday 為設計／R&amp;D。公司數屬媒體估算。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泰國</w:t>
            </w:r>
          </w:p>
        </w:tc>
        <w:tc>
          <w:tcPr>
            <w:tcW w:type="dxa" w:w="30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EEC、Chonburi、Samut Prakan、Lamphun/Lampang</w:t>
            </w:r>
          </w:p>
        </w:tc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HDD、PCB、電子製造、後段、功率元件</w:t>
            </w:r>
          </w:p>
        </w:tc>
        <w:tc>
          <w:tcPr>
            <w:tcW w:type="dxa" w:w="317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Sony、Toshiba、Delta、Infineon、Analog Devices</w:t>
            </w:r>
          </w:p>
        </w:tc>
        <w:tc>
          <w:tcPr>
            <w:tcW w:type="dxa" w:w="5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「PCB/HDD 全球領先」改為 HDD 重要基地、PCB 投資快速增加。Analog Devices 不直接標成「設計」；Infineon 為後段半導體元件製造基地，不直接等同先進封裝廠。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印尼</w:t>
            </w:r>
          </w:p>
        </w:tc>
        <w:tc>
          <w:tcPr>
            <w:tcW w:type="dxa" w:w="300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Batam、Java 工業區</w:t>
            </w:r>
          </w:p>
        </w:tc>
        <w:tc>
          <w:tcPr>
            <w:tcW w:type="dxa" w:w="368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有限 ATP／後段活動；設計人才與政策藍圖起步</w:t>
            </w:r>
          </w:p>
        </w:tc>
        <w:tc>
          <w:tcPr>
            <w:tcW w:type="dxa" w:w="317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Infineon Batam</w:t>
            </w:r>
          </w:p>
        </w:tc>
        <w:tc>
          <w:tcPr>
            <w:tcW w:type="dxa" w:w="521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「五國最薄弱」改為作者比較判斷；公開資料顯示供應鏈深度有限，但缺乏統一量化指標。</w:t>
            </w:r>
          </w:p>
        </w:tc>
      </w:tr>
      <w:tr>
        <w:trPr>
          <w:cantSplit w:val="true"/>
        </w:trPr>
        <w:tc>
          <w:tcPr>
            <w:tcW w:type="dxa" w:w="124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菲律賓</w:t>
            </w:r>
          </w:p>
        </w:tc>
        <w:tc>
          <w:tcPr>
            <w:tcW w:type="dxa" w:w="30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CALABARZON、Metro Manila、Luzon、Cebu</w:t>
            </w:r>
          </w:p>
        </w:tc>
        <w:tc>
          <w:tcPr>
            <w:tcW w:type="dxa" w:w="368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ATP 老牌基地，EMS 與電子出口重要；IC 設計規模有限</w:t>
            </w:r>
          </w:p>
        </w:tc>
        <w:tc>
          <w:tcPr>
            <w:tcW w:type="dxa" w:w="317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IMI、Cirtek、Fastech 等</w:t>
            </w:r>
          </w:p>
        </w:tc>
        <w:tc>
          <w:tcPr>
            <w:tcW w:type="dxa" w:w="52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OECD 支持世界第 9 大晶片出口國；73% SMS／27% EMS 與 IC design 約 13 家、約 1,000 人需保留年份與來源註記。</w:t>
            </w:r>
          </w:p>
        </w:tc>
      </w:tr>
    </w:tbl>
    <w:p/>
    <w:p>
      <w:pPr>
        <w:pStyle w:val="Source"/>
      </w:pPr>
      <w:r>
        <w:rPr>
          <w:b/>
        </w:rPr>
        <w:t xml:space="preserve">• Reuters – Malaysia semiconductor strategy / 13% packaging and testing share: </w:t>
      </w:r>
      <w:hyperlink r:id="rId15">
        <w:r>
          <w:rPr>
            <w:color w:val="0563C1"/>
            <w:u w:val="single"/>
          </w:rPr>
          <w:t>https://www.reuters.com/world/asia-pacific/malaysia-pm-says-targeting-over-100-bln-investment-semiconductor-chips-2024-05-28/</w:t>
        </w:r>
      </w:hyperlink>
    </w:p>
    <w:p>
      <w:pPr>
        <w:pStyle w:val="Source"/>
      </w:pPr>
      <w:r>
        <w:rPr>
          <w:b/>
        </w:rPr>
        <w:t xml:space="preserve">• SEMI – Thailand semiconductor strategy: </w:t>
      </w:r>
      <w:hyperlink r:id="rId16">
        <w:r>
          <w:rPr>
            <w:color w:val="0563C1"/>
            <w:u w:val="single"/>
          </w:rPr>
          <w:t>https://www.semi.org/sea/blogs/October-2025</w:t>
        </w:r>
      </w:hyperlink>
    </w:p>
    <w:p>
      <w:pPr>
        <w:pStyle w:val="Source"/>
      </w:pPr>
      <w:r>
        <w:rPr>
          <w:b/>
        </w:rPr>
        <w:t xml:space="preserve">• Infineon – Thailand backend semiconductor component manufacturing plant: </w:t>
      </w:r>
      <w:hyperlink r:id="rId17">
        <w:r>
          <w:rPr>
            <w:color w:val="0563C1"/>
            <w:u w:val="single"/>
          </w:rPr>
          <w:t>https://www.infineon.com/press-release/2025/infxx202501-038</w:t>
        </w:r>
      </w:hyperlink>
    </w:p>
    <w:p>
      <w:pPr>
        <w:pStyle w:val="Source"/>
      </w:pPr>
      <w:r>
        <w:rPr>
          <w:b/>
        </w:rPr>
        <w:t xml:space="preserve">• OECD – Philippines semiconductor ecosystem: </w:t>
      </w:r>
      <w:hyperlink r:id="rId18">
        <w:r>
          <w:rPr>
            <w:color w:val="0563C1"/>
            <w:u w:val="single"/>
          </w:rPr>
          <w:t>https://www.oecd.org/en/publications/promoting-the-growth-of-the-semiconductor-ecosystem-in-the-philippines_01497fea-en/full-report/examining-the-domestic-philippine-semiconductor-ecosystem-with-a-focus-on-assembly-testing-and-packaging_be2bc7eb.html</w:t>
        </w:r>
      </w:hyperlink>
    </w:p>
    <w:p>
      <w:pPr>
        <w:pStyle w:val="Heading1"/>
      </w:pPr>
      <w:r>
        <w:t>3. 原料與耗材供應鏈：初步定性盤點</w:t>
      </w:r>
    </w:p>
    <w:p>
      <w:r>
        <w:rPr>
          <w:b/>
        </w:rPr>
        <w:t>本章不再標示為量化比較。公開資料不足以建立統一的進口依賴率、在地供應商數或半導體級材料產值，因此下列成熟度屬初步作者判斷（D），僅供資訊整理。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國家</w:t>
            </w:r>
          </w:p>
        </w:tc>
        <w:tc>
          <w:tcPr>
            <w:tcW w:type="dxa" w:w="23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初步成熟度</w:t>
            </w:r>
          </w:p>
        </w:tc>
        <w:tc>
          <w:tcPr>
            <w:tcW w:type="dxa" w:w="1179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說明</w:t>
            </w:r>
          </w:p>
        </w:tc>
        <w:tc>
          <w:tcPr>
            <w:tcW w:type="dxa" w:w="113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品質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馬來西亞</w:t>
            </w:r>
          </w:p>
        </w:tc>
        <w:tc>
          <w:tcPr>
            <w:tcW w:type="dxa" w:w="23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中（後段較完整）</w:t>
            </w:r>
          </w:p>
        </w:tc>
        <w:tc>
          <w:tcPr>
            <w:tcW w:type="dxa" w:w="11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Penang 後段耗材、設備與自動化共址較深；前段特氣、光阻、電子級晶圓等仍多依賴進口。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越南</w:t>
            </w:r>
          </w:p>
        </w:tc>
        <w:tc>
          <w:tcPr>
            <w:tcW w:type="dxa" w:w="232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低–中（建置中）</w:t>
            </w:r>
          </w:p>
        </w:tc>
        <w:tc>
          <w:tcPr>
            <w:tcW w:type="dxa" w:w="11792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FDI 帶入部分封測材料與設備商；前段晶圓材料供應鏈仍有限。原「約 15 家外企」若保留，需附明確企業名單。</w:t>
            </w:r>
          </w:p>
        </w:tc>
        <w:tc>
          <w:tcPr>
            <w:tcW w:type="dxa" w:w="11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泰國</w:t>
            </w:r>
          </w:p>
        </w:tc>
        <w:tc>
          <w:tcPr>
            <w:tcW w:type="dxa" w:w="23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中（電子／PCB 深）</w:t>
            </w:r>
          </w:p>
        </w:tc>
        <w:tc>
          <w:tcPr>
            <w:tcW w:type="dxa" w:w="11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汽車、電子與 PCB 材料基礎較深；不能直接推論已具完整前段晶圓材料供應鏈。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印尼</w:t>
            </w:r>
          </w:p>
        </w:tc>
        <w:tc>
          <w:tcPr>
            <w:tcW w:type="dxa" w:w="232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低</w:t>
            </w:r>
          </w:p>
        </w:tc>
        <w:tc>
          <w:tcPr>
            <w:tcW w:type="dxa" w:w="11792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矽砂下游化屬政策路線圖；電子級純化與半導體製造基礎尚未形成。</w:t>
            </w:r>
          </w:p>
        </w:tc>
        <w:tc>
          <w:tcPr>
            <w:tcW w:type="dxa" w:w="11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菲律賓</w:t>
            </w:r>
          </w:p>
        </w:tc>
        <w:tc>
          <w:tcPr>
            <w:tcW w:type="dxa" w:w="23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低–中（ATP 耗材）</w:t>
            </w:r>
          </w:p>
        </w:tc>
        <w:tc>
          <w:tcPr>
            <w:tcW w:type="dxa" w:w="117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封裝耗材較成熟，高階材料與設備依賴進口；需以 OECD 或產業名錄補量化資料。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</w:t>
            </w:r>
          </w:p>
        </w:tc>
      </w:tr>
    </w:tbl>
    <w:p/>
    <w:p>
      <w:pPr>
        <w:pStyle w:val="Heading1"/>
      </w:pPr>
      <w:r>
        <w:t>4. 高階人力與人才培育</w:t>
      </w:r>
    </w:p>
    <w:p>
      <w:pPr>
        <w:pStyle w:val="Heading2"/>
      </w:pPr>
      <w:r>
        <w:t>4.1 人才資料拆分：實績、存量、招生與政策目標不得混用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 w:val="true"/>
        </w:trPr>
        <w:tc>
          <w:tcPr>
            <w:tcW w:type="dxa" w:w="130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國家</w:t>
            </w:r>
          </w:p>
        </w:tc>
        <w:tc>
          <w:tcPr>
            <w:tcW w:type="dxa" w:w="45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可觀察實績／存量</w:t>
            </w:r>
          </w:p>
        </w:tc>
        <w:tc>
          <w:tcPr>
            <w:tcW w:type="dxa" w:w="4309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政策或培訓目標</w:t>
            </w:r>
          </w:p>
        </w:tc>
        <w:tc>
          <w:tcPr>
            <w:tcW w:type="dxa" w:w="640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修訂說明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馬來西亞</w:t>
            </w:r>
          </w:p>
        </w:tc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公開報導約 5,000 名工程畢業生／年（非半導體專屬）</w:t>
            </w:r>
          </w:p>
        </w:tc>
        <w:tc>
          <w:tcPr>
            <w:tcW w:type="dxa" w:w="430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NSS 目標培育 60,000 名人才至 2030</w:t>
            </w:r>
          </w:p>
        </w:tc>
        <w:tc>
          <w:tcPr>
            <w:tcW w:type="dxa" w:w="64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已刪除「近 600,000 名 E&amp;E 工程師」；原資料疑似把 E&amp;E 就業人口與工程師混淆。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越南</w:t>
            </w:r>
          </w:p>
        </w:tc>
        <w:tc>
          <w:tcPr>
            <w:tcW w:type="dxa" w:w="45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現有半導體人才約 15,000；IC design 約 7,000（報導值）</w:t>
            </w:r>
          </w:p>
        </w:tc>
        <w:tc>
          <w:tcPr>
            <w:tcW w:type="dxa" w:w="4309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2030 目標約 50,000；另有廣義 STEM／相關科系招生數</w:t>
            </w:r>
          </w:p>
        </w:tc>
        <w:tc>
          <w:tcPr>
            <w:tcW w:type="dxa" w:w="640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137,000 是招生／相關科系，不是可立即投入的半導體工程師。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泰國</w:t>
            </w:r>
          </w:p>
        </w:tc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新型半導體 sandbox 首屆規模約 161 人（方案性資料）</w:t>
            </w:r>
          </w:p>
        </w:tc>
        <w:tc>
          <w:tcPr>
            <w:tcW w:type="dxa" w:w="430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政府五年高科技人才計畫中，半導體目標約 80,000</w:t>
            </w:r>
          </w:p>
        </w:tc>
        <w:tc>
          <w:tcPr>
            <w:tcW w:type="dxa" w:w="64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KMITL 86,000 為 2025–2030 工程／科學累計或機構規劃，不是全國年度畢業量。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印尼</w:t>
            </w:r>
          </w:p>
        </w:tc>
        <w:tc>
          <w:tcPr>
            <w:tcW w:type="dxa" w:w="45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缺乏當期半導體人才存量統一數字</w:t>
            </w:r>
          </w:p>
        </w:tc>
        <w:tc>
          <w:tcPr>
            <w:tcW w:type="dxa" w:w="4309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ARM × Danantara 目標培訓最多 15,000 人</w:t>
            </w:r>
          </w:p>
        </w:tc>
        <w:tc>
          <w:tcPr>
            <w:tcW w:type="dxa" w:w="640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不再使用「估計每年數萬」作精確比較。</w:t>
            </w:r>
          </w:p>
        </w:tc>
      </w:tr>
      <w:tr>
        <w:trPr>
          <w:cantSplit w:val="true"/>
        </w:trPr>
        <w:tc>
          <w:tcPr>
            <w:tcW w:type="dxa" w:w="1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菲律賓</w:t>
            </w:r>
          </w:p>
        </w:tc>
        <w:tc>
          <w:tcPr>
            <w:tcW w:type="dxa" w:w="45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工程與技術畢業約 47,466（2021/22，較清楚的國內統計 Proxy）</w:t>
            </w:r>
          </w:p>
        </w:tc>
        <w:tc>
          <w:tcPr>
            <w:tcW w:type="dxa" w:w="430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產業政策另有約 128,000 upskilling 目標</w:t>
            </w:r>
          </w:p>
        </w:tc>
        <w:tc>
          <w:tcPr>
            <w:tcW w:type="dxa" w:w="640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80,000+ 與 128,000 屬不同口徑；不可與年度畢業實績合併。</w:t>
            </w:r>
          </w:p>
        </w:tc>
      </w:tr>
    </w:tbl>
    <w:p/>
    <w:p>
      <w:pPr>
        <w:pStyle w:val="Source"/>
      </w:pPr>
      <w:r>
        <w:rPr>
          <w:b/>
        </w:rPr>
        <w:t xml:space="preserve">• Reuters – Thailand high-tech workforce plan (80,000 semiconductor talents): </w:t>
      </w:r>
      <w:hyperlink r:id="rId19">
        <w:r>
          <w:rPr>
            <w:color w:val="0563C1"/>
            <w:u w:val="single"/>
          </w:rPr>
          <w:t>https://www.reuters.com/markets/asia/thailand-targets-280000-workforce-high-tech-sectors-over-5-years-2024-06-17/</w:t>
        </w:r>
      </w:hyperlink>
    </w:p>
    <w:p>
      <w:pPr>
        <w:pStyle w:val="Source"/>
      </w:pPr>
      <w:r>
        <w:rPr>
          <w:b/>
        </w:rPr>
        <w:t xml:space="preserve">• World Bank / UNESCO UIS indicator: </w:t>
      </w:r>
      <w:hyperlink r:id="rId20">
        <w:r>
          <w:rPr>
            <w:color w:val="0563C1"/>
            <w:u w:val="single"/>
          </w:rPr>
          <w:t>https://data.worldbank.org/indicator/SE.TER.GRAD.EN.ZS</w:t>
        </w:r>
      </w:hyperlink>
    </w:p>
    <w:p>
      <w:pPr>
        <w:pStyle w:val="Heading2"/>
      </w:pPr>
      <w:r>
        <w:t>4.2 World Bank／UNESCO UIS：EMC 畢業占比（更新）</w:t>
      </w:r>
    </w:p>
    <w:p>
      <w:r>
        <w:t>指標：Percentage of graduates from tertiary education graduating from Engineering, Manufacturing and Construction programmes, both sexes (%)。EMC 大於 EE，也不區分學士／碩士。本表採 2024 值；無 2024 值時使用最新可得年份。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2"/>
        <w:gridCol w:w="3062"/>
        <w:gridCol w:w="3062"/>
        <w:gridCol w:w="3062"/>
        <w:gridCol w:w="3062"/>
      </w:tblGrid>
      <w:tr>
        <w:trPr>
          <w:tblHeader w:val="true"/>
          <w:cantSplit w:val="true"/>
        </w:trPr>
        <w:tc>
          <w:tcPr>
            <w:tcW w:type="dxa" w:w="170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國家</w:t>
            </w:r>
          </w:p>
        </w:tc>
        <w:tc>
          <w:tcPr>
            <w:tcW w:type="dxa" w:w="232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EMC 畢業占比</w:t>
            </w:r>
          </w:p>
        </w:tc>
        <w:tc>
          <w:tcPr>
            <w:tcW w:type="dxa" w:w="198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年份</w:t>
            </w:r>
          </w:p>
        </w:tc>
        <w:tc>
          <w:tcPr>
            <w:tcW w:type="dxa" w:w="1531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品質</w:t>
            </w:r>
          </w:p>
        </w:tc>
        <w:tc>
          <w:tcPr>
            <w:tcW w:type="dxa" w:w="963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備註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馬來西亞</w:t>
            </w:r>
          </w:p>
        </w:tc>
        <w:tc>
          <w:tcPr>
            <w:tcW w:type="dxa" w:w="23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21.59%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相較 2023 的 29.01% 明顯下降，需注意來源更新或分類變動。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菲律賓</w:t>
            </w:r>
          </w:p>
        </w:tc>
        <w:tc>
          <w:tcPr>
            <w:tcW w:type="dxa" w:w="232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15.61%</w:t>
            </w:r>
          </w:p>
        </w:tc>
        <w:tc>
          <w:tcPr>
            <w:tcW w:type="dxa" w:w="198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153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63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可作同一指標下的比例比較，但不等同半導體人才供給。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泰國</w:t>
            </w:r>
          </w:p>
        </w:tc>
        <w:tc>
          <w:tcPr>
            <w:tcW w:type="dxa" w:w="23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23.25%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2025 已有 23.30%，本表為維持 2024 比較採 23.25%。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印尼</w:t>
            </w:r>
          </w:p>
        </w:tc>
        <w:tc>
          <w:tcPr>
            <w:tcW w:type="dxa" w:w="232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15.82%</w:t>
            </w:r>
          </w:p>
        </w:tc>
        <w:tc>
          <w:tcPr>
            <w:tcW w:type="dxa" w:w="198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2023（最新可得）</w:t>
            </w:r>
          </w:p>
        </w:tc>
        <w:tc>
          <w:tcPr>
            <w:tcW w:type="dxa" w:w="1531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A/B</w:t>
            </w:r>
          </w:p>
        </w:tc>
        <w:tc>
          <w:tcPr>
            <w:tcW w:type="dxa" w:w="963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使用者截圖顯示 2024 欄空白；因此不能寫成 2024。</w:t>
            </w:r>
          </w:p>
        </w:tc>
      </w:tr>
      <w:tr>
        <w:trPr>
          <w:cantSplit w:val="true"/>
        </w:trPr>
        <w:tc>
          <w:tcPr>
            <w:tcW w:type="dxa" w:w="170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越南</w:t>
            </w:r>
          </w:p>
        </w:tc>
        <w:tc>
          <w:tcPr>
            <w:tcW w:type="dxa" w:w="232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資料缺口</w:t>
            </w:r>
          </w:p>
        </w:tc>
        <w:tc>
          <w:tcPr>
            <w:tcW w:type="dxa" w:w="19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531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963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截圖中 2020–2025 皆未顯示數值。</w:t>
            </w:r>
          </w:p>
        </w:tc>
      </w:tr>
    </w:tbl>
    <w:p/>
    <w:p>
      <w:pPr>
        <w:pStyle w:val="Source"/>
      </w:pPr>
      <w:r>
        <w:rPr>
          <w:b/>
        </w:rPr>
        <w:t xml:space="preserve">• World Bank Data – EMC graduates indicator: </w:t>
      </w:r>
      <w:hyperlink r:id="rId20">
        <w:r>
          <w:rPr>
            <w:color w:val="0563C1"/>
            <w:u w:val="single"/>
          </w:rPr>
          <w:t>https://data.worldbank.org/indicator/SE.TER.GRAD.EN.ZS</w:t>
        </w:r>
      </w:hyperlink>
    </w:p>
    <w:p>
      <w:r>
        <w:rPr>
          <w:b/>
          <w:color w:val="C00000"/>
        </w:rPr>
        <w:t>重要更正：使用者提供的畫面並非「只有越南缺值」；印尼在 2024 欄同樣沒有數值，最新顯示為 2023 年 15.82%。</w:t>
      </w:r>
    </w:p>
    <w:p>
      <w:pPr>
        <w:pStyle w:val="Heading1"/>
      </w:pPr>
      <w:r>
        <w:t>5. 策略案例：ARM × Danantara 印尼人才培育協議（修訂）</w:t>
      </w:r>
    </w:p>
    <w:p>
      <w:pPr>
        <w:pStyle w:val="Heading2"/>
      </w:pPr>
      <w:r>
        <w:t>5.1 可確認事實</w:t>
      </w:r>
    </w:p>
    <w:p>
      <w:pPr>
        <w:pStyle w:val="ListBullet"/>
      </w:pPr>
      <w:r>
        <w:t>2026 年 2 月 23 日，Danantara 與 Arm 簽署框架協議，並由印尼總統 Prabowo 與 Arm 執行長 Rene Haas 見證。</w:t>
      </w:r>
    </w:p>
    <w:p>
      <w:pPr>
        <w:pStyle w:val="ListBullet"/>
      </w:pPr>
      <w:r>
        <w:t>合作目標為在 Arm 生態系中培訓最多約 15,000 名印尼人才。</w:t>
      </w:r>
    </w:p>
    <w:p>
      <w:pPr>
        <w:pStyle w:val="ListBullet"/>
      </w:pPr>
      <w:r>
        <w:t>第一批約 1,000 人，2026 年 5 月啟動；對象包含工程師、畢業生與學生，並使用 Arm 課程與認證講師。</w:t>
      </w:r>
    </w:p>
    <w:p>
      <w:pPr>
        <w:pStyle w:val="ListBullet"/>
      </w:pPr>
      <w:r>
        <w:t>合作聚焦晶片設計與人才生態；不等同 Arm 承諾在印尼投資晶圓製造。</w:t>
      </w:r>
    </w:p>
    <w:p>
      <w:pPr>
        <w:pStyle w:val="Heading2"/>
      </w:pPr>
      <w:r>
        <w:t>5.2 需降級或待原文確認的內容</w:t>
      </w:r>
    </w:p>
    <w:p>
      <w:pPr>
        <w:pStyle w:val="ListBullet"/>
      </w:pPr>
      <w:r>
        <w:t>US$150M：可表述為印尼方面提及的半導體生態系投入／計畫規模；在未取得合約或預算原文前，不宜稱為支付給 Arm 的合作金額。</w:t>
      </w:r>
    </w:p>
    <w:p>
      <w:pPr>
        <w:pStyle w:val="ListBullet"/>
      </w:pPr>
      <w:r>
        <w:t>「六大 IP 領域」與「IP 由印尼持有」：需以框架協議全文或官方完整聲明確認，現有公開摘要不足以支持絕對表述。</w:t>
      </w:r>
    </w:p>
    <w:p>
      <w:pPr>
        <w:pStyle w:val="ListBullet"/>
      </w:pPr>
      <w:r>
        <w:t>「Arm 可能補貼」「把 Arm 寫入國家課綱」「防禦 RISC-V」皆屬作者推論，不是協議明示。可以保留為分析假說，但必須與事實區隔。</w:t>
      </w:r>
    </w:p>
    <w:p>
      <w:pPr>
        <w:pStyle w:val="Source"/>
      </w:pPr>
      <w:r>
        <w:rPr>
          <w:b/>
        </w:rPr>
        <w:t xml:space="preserve">• Danantara official – training program with Arm: </w:t>
      </w:r>
      <w:hyperlink r:id="rId21">
        <w:r>
          <w:rPr>
            <w:color w:val="0563C1"/>
            <w:u w:val="single"/>
          </w:rPr>
          <w:t>https://www.danantaraindonesia.co.id/media-center/press-releases/building-indonesias-chip-future-danantara-indonesia-launch-training-program-with-arm-to-build-world-class-semiconductor-talents</w:t>
        </w:r>
      </w:hyperlink>
    </w:p>
    <w:p>
      <w:pPr>
        <w:pStyle w:val="Source"/>
      </w:pPr>
      <w:r>
        <w:rPr>
          <w:b/>
        </w:rPr>
        <w:t xml:space="preserve">• ANTARA – Indonesia targets 15,000 engineers: </w:t>
      </w:r>
      <w:hyperlink r:id="rId22">
        <w:r>
          <w:rPr>
            <w:color w:val="0563C1"/>
            <w:u w:val="single"/>
          </w:rPr>
          <w:t>https://en.antaranews.com/news/405846/indonesia-targets-15000-engineers-to-master-chip-design-technology</w:t>
        </w:r>
      </w:hyperlink>
    </w:p>
    <w:p>
      <w:pPr>
        <w:pStyle w:val="Heading1"/>
      </w:pPr>
      <w:r>
        <w:t>6. 泛工程／IT 職位薪資 Proxy（非半導體職別薪資）</w:t>
      </w:r>
    </w:p>
    <w:p>
      <w:r>
        <w:rPr>
          <w:b/>
        </w:rPr>
        <w:t>本章改名，因原來源混合一般工程師、軟體開發者、IT 工程師與全國平均薪資，不能直接代表製程、設備、封裝、FAE 或 IC design 人才。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rPr>
          <w:tblHeader w:val="true"/>
          <w:cantSplit w:val="true"/>
        </w:trPr>
        <w:tc>
          <w:tcPr>
            <w:tcW w:type="dxa" w:w="1417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國家</w:t>
            </w:r>
          </w:p>
        </w:tc>
        <w:tc>
          <w:tcPr>
            <w:tcW w:type="dxa" w:w="300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修訂後 Proxy</w:t>
            </w:r>
          </w:p>
        </w:tc>
        <w:tc>
          <w:tcPr>
            <w:tcW w:type="dxa" w:w="10488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說明</w:t>
            </w:r>
          </w:p>
        </w:tc>
        <w:tc>
          <w:tcPr>
            <w:tcW w:type="dxa" w:w="1134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品質</w:t>
            </w:r>
          </w:p>
        </w:tc>
      </w:tr>
      <w:tr>
        <w:trPr>
          <w:cantSplit w:val="true"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馬來西亞</w:t>
            </w:r>
          </w:p>
        </w:tc>
        <w:tc>
          <w:tcPr>
            <w:tcW w:type="dxa" w:w="30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USD 850–1,000／月</w:t>
            </w:r>
          </w:p>
        </w:tc>
        <w:tc>
          <w:tcPr>
            <w:tcW w:type="dxa" w:w="10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Indeed 一般工程師與 Penang 電子業平均可支持此區間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B/C</w:t>
            </w:r>
          </w:p>
        </w:tc>
      </w:tr>
      <w:tr>
        <w:trPr>
          <w:cantSplit w:val="true"/>
        </w:trPr>
        <w:tc>
          <w:tcPr>
            <w:tcW w:type="dxa" w:w="141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越南</w:t>
            </w:r>
          </w:p>
        </w:tc>
        <w:tc>
          <w:tcPr>
            <w:tcW w:type="dxa" w:w="300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約 USD 600 起；USD 900 上緣需再驗證</w:t>
            </w:r>
          </w:p>
        </w:tc>
        <w:tc>
          <w:tcPr>
            <w:tcW w:type="dxa" w:w="1048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軟體開發者平均約 USD 614；半導體外企溢價未有統一資料</w:t>
            </w:r>
          </w:p>
        </w:tc>
        <w:tc>
          <w:tcPr>
            <w:tcW w:type="dxa" w:w="11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</w:t>
            </w:r>
          </w:p>
        </w:tc>
      </w:tr>
      <w:tr>
        <w:trPr>
          <w:cantSplit w:val="true"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泰國</w:t>
            </w:r>
          </w:p>
        </w:tc>
        <w:tc>
          <w:tcPr>
            <w:tcW w:type="dxa" w:w="30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USD 700–1,000（est.）</w:t>
            </w:r>
          </w:p>
        </w:tc>
        <w:tc>
          <w:tcPr>
            <w:tcW w:type="dxa" w:w="10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缺乏可直接支持的半導體工程職別資料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C/D</w:t>
            </w:r>
          </w:p>
        </w:tc>
      </w:tr>
      <w:tr>
        <w:trPr>
          <w:cantSplit w:val="true"/>
        </w:trPr>
        <w:tc>
          <w:tcPr>
            <w:tcW w:type="dxa" w:w="1417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印尼</w:t>
            </w:r>
          </w:p>
        </w:tc>
        <w:tc>
          <w:tcPr>
            <w:tcW w:type="dxa" w:w="300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一般工程師約 USD 320–510／月</w:t>
            </w:r>
          </w:p>
        </w:tc>
        <w:tc>
          <w:tcPr>
            <w:tcW w:type="dxa" w:w="10488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Jobstreet IDR 5–8M；原 450–800 與來源不一致，已下修</w:t>
            </w:r>
          </w:p>
        </w:tc>
        <w:tc>
          <w:tcPr>
            <w:tcW w:type="dxa" w:w="1134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B/C</w:t>
            </w:r>
          </w:p>
        </w:tc>
      </w:tr>
      <w:tr>
        <w:trPr>
          <w:cantSplit w:val="true"/>
        </w:trPr>
        <w:tc>
          <w:tcPr>
            <w:tcW w:type="dxa" w:w="1417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菲律賓</w:t>
            </w:r>
          </w:p>
        </w:tc>
        <w:tc>
          <w:tcPr>
            <w:tcW w:type="dxa" w:w="300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資料缺口</w:t>
            </w:r>
          </w:p>
        </w:tc>
        <w:tc>
          <w:tcPr>
            <w:tcW w:type="dxa" w:w="1048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引用 IT 工程師 PHP 35K–250K+ 的範圍過寬，不能支持單一 600–900 區間</w:t>
            </w:r>
          </w:p>
        </w:tc>
        <w:tc>
          <w:tcPr>
            <w:tcW w:type="dxa" w:w="113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</w:t>
            </w:r>
          </w:p>
        </w:tc>
      </w:tr>
    </w:tbl>
    <w:p/>
    <w:p>
      <w:pPr>
        <w:pStyle w:val="Source"/>
      </w:pPr>
      <w:r>
        <w:rPr>
          <w:b/>
        </w:rPr>
        <w:t xml:space="preserve">• Indeed Malaysia – engineer salary: </w:t>
      </w:r>
      <w:hyperlink r:id="rId23">
        <w:r>
          <w:rPr>
            <w:color w:val="0563C1"/>
            <w:u w:val="single"/>
          </w:rPr>
          <w:t>https://malaysia.indeed.com/career/engineer/salaries</w:t>
        </w:r>
      </w:hyperlink>
    </w:p>
    <w:p>
      <w:pPr>
        <w:pStyle w:val="Source"/>
      </w:pPr>
      <w:r>
        <w:rPr>
          <w:b/>
        </w:rPr>
        <w:t xml:space="preserve">• Jobstreet Indonesia – engineer salary: </w:t>
      </w:r>
      <w:hyperlink r:id="rId24">
        <w:r>
          <w:rPr>
            <w:color w:val="0563C1"/>
            <w:u w:val="single"/>
          </w:rPr>
          <w:t>https://id.jobstreet.com/career-advice/role/engineer/salary</w:t>
        </w:r>
      </w:hyperlink>
    </w:p>
    <w:p>
      <w:pPr>
        <w:pStyle w:val="Heading1"/>
      </w:pPr>
      <w:r>
        <w:t>7. 資料缺口與後續查證建議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  <w:gridCol w:w="5103"/>
      </w:tblGrid>
      <w:tr>
        <w:trPr>
          <w:tblHeader w:val="true"/>
          <w:cantSplit w:val="true"/>
        </w:trPr>
        <w:tc>
          <w:tcPr>
            <w:tcW w:type="dxa" w:w="2835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缺口項目</w:t>
            </w:r>
          </w:p>
        </w:tc>
        <w:tc>
          <w:tcPr>
            <w:tcW w:type="dxa" w:w="5669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目前限制</w:t>
            </w:r>
          </w:p>
        </w:tc>
        <w:tc>
          <w:tcPr>
            <w:tcW w:type="dxa" w:w="7540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建議查證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半導體職別薪資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目前多為一般工程、軟體或 IT Proxy</w:t>
            </w:r>
          </w:p>
        </w:tc>
        <w:tc>
          <w:tcPr>
            <w:tcW w:type="dxa" w:w="75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Robert Walters、Michael Page、Mercer、各國職缺資料，按製程／設備／封裝／FAE／IC design 與年資拆分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大型工業用電專案成本</w:t>
            </w:r>
          </w:p>
        </w:tc>
        <w:tc>
          <w:tcPr>
            <w:tcW w:type="dxa" w:w="5669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現有表格混合一般 business tariff、平均售電價與估計區間</w:t>
            </w:r>
          </w:p>
        </w:tc>
        <w:tc>
          <w:tcPr>
            <w:tcW w:type="dxa" w:w="7540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向 TNB、MEA/PEA、PLN、EVN、Meralco／經濟區索取高壓用戶完整電價與最大需量費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最新可比供電可靠度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Doing Business 2020 僅為參考城市／公用事業；各國 SAIDI 定義不一</w:t>
            </w:r>
          </w:p>
        </w:tc>
        <w:tc>
          <w:tcPr>
            <w:tcW w:type="dxa" w:w="75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各國監理機關與園區公用事業原始年報；選址時改用 site-level power quality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材料在地化量化</w:t>
            </w:r>
          </w:p>
        </w:tc>
        <w:tc>
          <w:tcPr>
            <w:tcW w:type="dxa" w:w="5669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目前為作者定性判斷</w:t>
            </w:r>
          </w:p>
        </w:tc>
        <w:tc>
          <w:tcPr>
            <w:tcW w:type="dxa" w:w="7540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SEMI、產業協會與海關進口資料；建立材料別進口依賴率與本地供應商名錄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EE 學士／碩士畢業數</w:t>
            </w:r>
          </w:p>
        </w:tc>
        <w:tc>
          <w:tcPr>
            <w:tcW w:type="dxa" w:w="5669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UIS 只有 EMC 大類，且多國缺值</w:t>
            </w:r>
          </w:p>
        </w:tc>
        <w:tc>
          <w:tcPr>
            <w:tcW w:type="dxa" w:w="754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各國教育主管機關原始年報或資料申請；不可把招生、培訓目標當畢業數</w:t>
            </w:r>
          </w:p>
        </w:tc>
      </w:tr>
      <w:tr>
        <w:trPr>
          <w:cantSplit w:val="true"/>
        </w:trPr>
        <w:tc>
          <w:tcPr>
            <w:tcW w:type="dxa" w:w="2835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公司／聚落規模</w:t>
            </w:r>
          </w:p>
        </w:tc>
        <w:tc>
          <w:tcPr>
            <w:tcW w:type="dxa" w:w="5669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部分數字來自市場研究與新聞轉述</w:t>
            </w:r>
          </w:p>
        </w:tc>
        <w:tc>
          <w:tcPr>
            <w:tcW w:type="dxa" w:w="7540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優先回到 InvestPenang、MIDA、BOI、NIC、CHED、SEIPI、公司年報與投資公告</w:t>
            </w:r>
          </w:p>
        </w:tc>
      </w:tr>
    </w:tbl>
    <w:p/>
    <w:p>
      <w:pPr>
        <w:pStyle w:val="Heading1"/>
      </w:pPr>
      <w:r>
        <w:t>8. 主要修訂紀錄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  <w:cantSplit w:val="true"/>
        </w:trPr>
        <w:tc>
          <w:tcPr>
            <w:tcW w:type="dxa" w:w="3402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2586"/>
            <w:shd w:fill="1F4E7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修訂內容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馬來西亞 SAIDI</w:t>
            </w:r>
          </w:p>
        </w:tc>
        <w:tc>
          <w:tcPr>
            <w:tcW w:type="dxa" w:w="125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刪除「長期 &lt;2 分鐘」；改為官方歷史值約數十分鐘／客戶／年，並保留 WB 參考城市 0.5 hr。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人才比較</w:t>
            </w:r>
          </w:p>
        </w:tc>
        <w:tc>
          <w:tcPr>
            <w:tcW w:type="dxa" w:w="1258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移除「近 60 萬名 E&amp;E 工程師」；將年度畢業、人才存量、招生、培訓目標、多年累計拆開。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泰國人才</w:t>
            </w:r>
          </w:p>
        </w:tc>
        <w:tc>
          <w:tcPr>
            <w:tcW w:type="dxa" w:w="125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以政府五年半導體人才目標約 80,000 為主要政策值；KMITL 86,000 不再當年度供給。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薪資</w:t>
            </w:r>
          </w:p>
        </w:tc>
        <w:tc>
          <w:tcPr>
            <w:tcW w:type="dxa" w:w="1258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印尼下修至 Jobstreet 可支持的 USD 320–510；菲律賓改為資料缺口；章名改為泛工程／IT Proxy。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產業分類</w:t>
            </w:r>
          </w:p>
        </w:tc>
        <w:tc>
          <w:tcPr>
            <w:tcW w:type="dxa" w:w="125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Analog Devices 不直接標為泰國 IC design；Infineon 泰國案改為後段半導體元件製造基地。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ARM × Danantara</w:t>
            </w:r>
          </w:p>
        </w:tc>
        <w:tc>
          <w:tcPr>
            <w:tcW w:type="dxa" w:w="1258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保留 15,000 人與首梯 1,000 人；US$150M、IP 所有權與六大領域降級為待原文確認。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EMC</w:t>
            </w:r>
          </w:p>
        </w:tc>
        <w:tc>
          <w:tcPr>
            <w:tcW w:type="dxa" w:w="1258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更新 Malaysia 21.59%、Philippines 15.61%、Thailand 23.25%（2024）；Indonesia 使用最新 2023 的 15.82%；Vietnam 缺值。</w:t>
            </w:r>
          </w:p>
        </w:tc>
      </w:tr>
      <w:tr>
        <w:trPr>
          <w:cantSplit w:val="true"/>
        </w:trPr>
        <w:tc>
          <w:tcPr>
            <w:tcW w:type="dxa" w:w="3402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資料品質</w:t>
            </w:r>
          </w:p>
        </w:tc>
        <w:tc>
          <w:tcPr>
            <w:tcW w:type="dxa" w:w="12586"/>
            <w:vAlign w:val="top"/>
            <w:shd w:fill="F3F6F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7"/>
              </w:rPr>
              <w:t>新增 A/B/C/D 標籤，區分可比較資料、不可直接比較、估計／Proxy 與作者判斷。</w:t>
            </w:r>
          </w:p>
        </w:tc>
      </w:tr>
    </w:tbl>
    <w:p/>
    <w:sectPr w:rsidR="00FC693F" w:rsidRPr="0006063C" w:rsidSect="00034616">
      <w:footerReference w:type="default" r:id="rId25"/>
      <w:pgSz w:w="16838" w:h="11906" w:orient="landscape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東南亞五國半導體基礎建設量化資料彙整｜查核修訂版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Arial" w:hAnsi="Arial" w:eastAsia="Microsoft JhengHei"/>
      <w:color w:val="59595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lobalpetrolprices.com/Malaysia/electricity_prices/" TargetMode="External"/><Relationship Id="rId10" Type="http://schemas.openxmlformats.org/officeDocument/2006/relationships/hyperlink" Target="https://www.tnb.com.my/commercial-industrial/pricing-tariffs1" TargetMode="External"/><Relationship Id="rId11" Type="http://schemas.openxmlformats.org/officeDocument/2006/relationships/hyperlink" Target="https://solarbk.vn/en/article/general-news/global-electricity-prices-are-soaring-what-should-vietnamese-households-businesses-do-today.html" TargetMode="External"/><Relationship Id="rId12" Type="http://schemas.openxmlformats.org/officeDocument/2006/relationships/hyperlink" Target="https://www.st.gov.my/security/system-average-interruption-duration-index-saidi" TargetMode="External"/><Relationship Id="rId13" Type="http://schemas.openxmlformats.org/officeDocument/2006/relationships/hyperlink" Target="https://archive.doingbusiness.org/content/dam/doingBusiness/country/v/vietnam/VNM.pdf" TargetMode="External"/><Relationship Id="rId14" Type="http://schemas.openxmlformats.org/officeDocument/2006/relationships/hyperlink" Target="https://www.energywatch.com.my/blog/2021/06/11/a-brighter-future-for-reliable-power-in-malaysia/" TargetMode="External"/><Relationship Id="rId15" Type="http://schemas.openxmlformats.org/officeDocument/2006/relationships/hyperlink" Target="https://www.reuters.com/world/asia-pacific/malaysia-pm-says-targeting-over-100-bln-investment-semiconductor-chips-2024-05-28/" TargetMode="External"/><Relationship Id="rId16" Type="http://schemas.openxmlformats.org/officeDocument/2006/relationships/hyperlink" Target="https://www.semi.org/sea/blogs/October-2025" TargetMode="External"/><Relationship Id="rId17" Type="http://schemas.openxmlformats.org/officeDocument/2006/relationships/hyperlink" Target="https://www.infineon.com/press-release/2025/infxx202501-038" TargetMode="External"/><Relationship Id="rId18" Type="http://schemas.openxmlformats.org/officeDocument/2006/relationships/hyperlink" Target="https://www.oecd.org/en/publications/promoting-the-growth-of-the-semiconductor-ecosystem-in-the-philippines_01497fea-en/full-report/examining-the-domestic-philippine-semiconductor-ecosystem-with-a-focus-on-assembly-testing-and-packaging_be2bc7eb.html" TargetMode="External"/><Relationship Id="rId19" Type="http://schemas.openxmlformats.org/officeDocument/2006/relationships/hyperlink" Target="https://www.reuters.com/markets/asia/thailand-targets-280000-workforce-high-tech-sectors-over-5-years-2024-06-17/" TargetMode="External"/><Relationship Id="rId20" Type="http://schemas.openxmlformats.org/officeDocument/2006/relationships/hyperlink" Target="https://data.worldbank.org/indicator/SE.TER.GRAD.EN.ZS" TargetMode="External"/><Relationship Id="rId21" Type="http://schemas.openxmlformats.org/officeDocument/2006/relationships/hyperlink" Target="https://www.danantaraindonesia.co.id/media-center/press-releases/building-indonesias-chip-future-danantara-indonesia-launch-training-program-with-arm-to-build-world-class-semiconductor-talents" TargetMode="External"/><Relationship Id="rId22" Type="http://schemas.openxmlformats.org/officeDocument/2006/relationships/hyperlink" Target="https://en.antaranews.com/news/405846/indonesia-targets-15000-engineers-to-master-chip-design-technology" TargetMode="External"/><Relationship Id="rId23" Type="http://schemas.openxmlformats.org/officeDocument/2006/relationships/hyperlink" Target="https://malaysia.indeed.com/career/engineer/salaries" TargetMode="External"/><Relationship Id="rId24" Type="http://schemas.openxmlformats.org/officeDocument/2006/relationships/hyperlink" Target="https://id.jobstreet.com/career-advice/role/engineer/salary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東南亞五國半導體基礎建設量化資料彙整－查核修訂版</dc:title>
  <dc:subject>Malaysia, Vietnam, Thailand, Indonesia, Philippines semiconductor infrastructure data appendix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