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2E75B6"/>
          <w:spacing w:val="60"/>
          <w:sz w:val="24"/>
          <w:szCs w:val="24"/>
        </w:rPr>
        <w:t xml:space="preserve">財務個案研究</w:t>
      </w:r>
    </w:p>
    <w:p>
      <w:pPr>
        <w:pBdr>
          <w:bottom w:val="single" w:color="2E75B6" w:sz="18" w:space="8"/>
        </w:pBdr>
        <w:spacing w:after="0" w:before="80"/>
      </w:pPr>
      <w:r>
        <w:t xml:space="preserve"/>
      </w:r>
    </w:p>
    <w:p>
      <w:pPr>
        <w:spacing w:after="0" w:before="260"/>
      </w:pPr>
      <w:r>
        <w:rPr>
          <w:b/>
          <w:bCs/>
          <w:color w:val="1F3864"/>
          <w:sz w:val="44"/>
          <w:szCs w:val="44"/>
        </w:rPr>
        <w:t xml:space="preserve">聯電新加坡 Fab12i 三期擴廠</w:t>
      </w:r>
    </w:p>
    <w:p>
      <w:pPr>
        <w:spacing w:after="0" w:before="0"/>
      </w:pPr>
      <w:r>
        <w:rPr>
          <w:b/>
          <w:bCs/>
          <w:color w:val="1F3864"/>
          <w:sz w:val="44"/>
          <w:szCs w:val="44"/>
        </w:rPr>
        <w:t xml:space="preserve">之跨境融資</w:t>
      </w:r>
    </w:p>
    <w:p>
      <w:pPr>
        <w:spacing w:after="0" w:before="200"/>
      </w:pPr>
      <w:r>
        <w:rPr>
          <w:i/>
          <w:iCs/>
          <w:color w:val="595959"/>
          <w:sz w:val="24"/>
          <w:szCs w:val="24"/>
        </w:rPr>
        <w:t xml:space="preserve">2023 年新台幣 100 億元綠色債券、集團內部融通，與台星租稅合規問題</w:t>
      </w:r>
    </w:p>
    <w:p>
      <w:pPr>
        <w:spacing w:after="0" w:before="520"/>
      </w:pPr>
      <w:r>
        <w:rPr>
          <w:color w:val="595959"/>
          <w:sz w:val="22"/>
          <w:szCs w:val="22"/>
        </w:rPr>
        <w:t xml:space="preserve">提供對象：聯電財務部 — 內部工作底稿</w:t>
      </w:r>
    </w:p>
    <w:p>
      <w:pPr>
        <w:spacing w:after="0" w:before="60"/>
      </w:pPr>
      <w:r>
        <w:rPr>
          <w:color w:val="595959"/>
          <w:sz w:val="22"/>
          <w:szCs w:val="22"/>
        </w:rPr>
        <w:t xml:space="preserve">文件等級：討論用初稿</w:t>
      </w:r>
    </w:p>
    <w:p>
      <w:pPr>
        <w:spacing w:after="0" w:before="60"/>
      </w:pPr>
      <w:r>
        <w:rPr>
          <w:color w:val="595959"/>
          <w:sz w:val="22"/>
          <w:szCs w:val="22"/>
        </w:rPr>
        <w:t xml:space="preserve">日期：2026 年 6 月</w:t>
      </w:r>
    </w:p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FFF2CC" w:sz="1"/>
          <w:left w:val="single" w:color="7F6000" w:sz="24"/>
          <w:bottom w:val="single" w:color="FFF2CC" w:sz="1"/>
          <w:right w:val="single" w:color="FFF2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如何閱讀本文件</w:t>
            </w:r>
          </w:p>
          <w:p>
            <w:pPr>
              <w:spacing w:after="0"/>
            </w:pPr>
            <w:r>
              <w:t xml:space="preserve">部分交易參數 — 新台幣 100 億元本金、1.64244% 票面利率、以及募集資金指定用於新加坡 P3 專案 — 係作者依「公開資訊觀測站（MOPS）」之債券公告</w:t>
            </w:r>
            <w:r>
              <w:rPr>
                <w:b/>
                <w:bCs/>
              </w:rPr>
              <w:t xml:space="preserve">採為既定事實</w:t>
            </w:r>
            <w:r>
              <w:t xml:space="preserve">，本文以個案事實呈現，並非於此獨立重新查核。所有</w:t>
            </w:r>
            <w:r>
              <w:rPr>
                <w:b/>
                <w:bCs/>
              </w:rPr>
              <w:t xml:space="preserve">法律與稅務立場皆為一般性、示意性說明</w:t>
            </w:r>
            <w:r>
              <w:t xml:space="preserve">，不構成稅務或法律意見。任何實際交易均須依實際債券文件，並經聯電稅務顧問確認。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執行摘要</w:t>
      </w:r>
    </w:p>
    <w:p>
      <w:pPr>
        <w:spacing w:after="120" w:line="300"/>
      </w:pPr>
      <w:r>
        <w:t xml:space="preserve">2023 年，聯電台灣母公司（TWSE: 2303）發行一檔無擔保「</w:t>
      </w:r>
      <w:r>
        <w:rPr>
          <w:b/>
          <w:bCs/>
        </w:rPr>
        <w:t xml:space="preserve">新台幣 100 億元綠色債券</w:t>
      </w:r>
      <w:r>
        <w:t xml:space="preserve">」，年化票面利率為 </w:t>
      </w:r>
      <w:r>
        <w:rPr>
          <w:b/>
          <w:bCs/>
        </w:rPr>
        <w:t xml:space="preserve">1.64244%</w:t>
      </w:r>
      <w:r>
        <w:t xml:space="preserve">。公告之資金用途為聯電新加坡 Fab12i 三期（「P3」）擴廠案中綠建築之部分 — 該案位於 Pasir Ris 晶圓廠園區，為約 50 億美元之新建 22/28 奈米專案，已於 2025 年開幕。</w:t>
      </w:r>
      <w:r>
        <w:rPr>
          <w:b/>
          <w:bCs/>
          <w:color w:val="2E75B6"/>
          <w:vertAlign w:val="superscript"/>
        </w:rPr>
        <w:t xml:space="preserve">[1]</w:t>
      </w:r>
      <w:r>
        <w:rPr>
          <w:b/>
          <w:bCs/>
          <w:color w:val="2E75B6"/>
          <w:vertAlign w:val="superscript"/>
        </w:rPr>
        <w:t xml:space="preserve">[2]</w:t>
      </w:r>
      <w:r>
        <w:rPr>
          <w:b/>
          <w:bCs/>
          <w:color w:val="2E75B6"/>
          <w:vertAlign w:val="superscript"/>
        </w:rPr>
        <w:t xml:space="preserve">[3]</w:t>
      </w:r>
    </w:p>
    <w:p>
      <w:pPr>
        <w:spacing w:after="120" w:line="300"/>
      </w:pPr>
      <w:r>
        <w:t xml:space="preserve">由於資金在台灣募集、卻在新加坡支用，現金必須由母公司移轉至新加坡營運主體（「UMCSG」）。此移轉如何</w:t>
      </w:r>
      <w:r>
        <w:rPr>
          <w:b/>
          <w:bCs/>
        </w:rPr>
        <w:t xml:space="preserve">定性</w:t>
      </w:r>
      <w:r>
        <w:t xml:space="preserve">（認列為「</w:t>
      </w:r>
      <w:r>
        <w:rPr>
          <w:b/>
          <w:bCs/>
        </w:rPr>
        <w:t xml:space="preserve">集團內部借款</w:t>
      </w:r>
      <w:r>
        <w:t xml:space="preserve">」或「</w:t>
      </w:r>
      <w:r>
        <w:rPr>
          <w:b/>
          <w:bCs/>
        </w:rPr>
        <w:t xml:space="preserve">股本／營運資金挹注</w:t>
      </w:r>
      <w:r>
        <w:t xml:space="preserve">」），將牽動兩地稅負、利息可扣抵性，以及綠債資金用途承諾之完整性。</w:t>
      </w:r>
    </w:p>
    <w:p>
      <w:pPr>
        <w:spacing w:after="120" w:line="300"/>
      </w:pPr>
      <w:r>
        <w:rPr>
          <w:b/>
          <w:bCs/>
        </w:rPr>
        <w:t xml:space="preserve">作者初始論點（將於第 6 節檢驗）：</w:t>
      </w:r>
      <w:r>
        <w:rPr>
          <w:i/>
          <w:iCs/>
        </w:rPr>
        <w:t xml:space="preserve">「資金必須以借款、而非營運資金名義匯入。新加坡帳上定存所生之利息須申報新加坡外人（預扣）稅；同一筆利息在台灣亦須申報為營業（營利事業）所得。」</w:t>
      </w:r>
    </w:p>
    <w:tbl>
      <w:tblPr>
        <w:tblW w:type="dxa" w:w="9360"/>
        <w:tblBorders>
          <w:top w:val="single" w:color="E2EFDA" w:sz="1"/>
          <w:left w:val="single" w:color="375623" w:sz="24"/>
          <w:bottom w:val="single" w:color="E2EFDA" w:sz="1"/>
          <w:right w:val="single" w:color="E2EFD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</w:rPr>
              <w:t xml:space="preserve">核心結論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b/>
                <w:bCs/>
              </w:rPr>
              <w:t xml:space="preserve">借款 vs. 股本：</w:t>
            </w:r>
            <w:r>
              <w:t xml:space="preserve">「借款」之定性較佳 — 並非因單一硬性規定，而在於其能維持綠債資金用途之可追溯性、保有可償還／彈性之融資性質，並使利息成本對應其所支應之資產。此為結構選擇，非法律強制。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b/>
                <w:bCs/>
              </w:rPr>
              <w:t xml:space="preserve">預扣稅前提部分指向有誤：</w:t>
            </w:r>
            <w:r>
              <w:t xml:space="preserve">新加坡</w:t>
            </w:r>
            <w:r>
              <w:rPr>
                <w:b/>
                <w:bCs/>
              </w:rPr>
              <w:t xml:space="preserve">不會</w:t>
            </w:r>
            <w:r>
              <w:t xml:space="preserve">對 UMCSG 所</w:t>
            </w:r>
            <w:r>
              <w:rPr>
                <w:i/>
                <w:iCs/>
              </w:rPr>
              <w:t xml:space="preserve">收取</w:t>
            </w:r>
            <w:r>
              <w:t xml:space="preserve">之銀行定存利息課徵預扣稅。新加坡預扣稅（內地 15%，租稅協定下可降低）課的是</w:t>
            </w:r>
            <w:r>
              <w:rPr>
                <w:b/>
                <w:bCs/>
              </w:rPr>
              <w:t xml:space="preserve">UMCSG 回付母公司之內部借款利息</w:t>
            </w:r>
            <w:r>
              <w:t xml:space="preserve">。兩條利息金流是不同的東西。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b/>
                <w:bCs/>
              </w:rPr>
              <w:t xml:space="preserve">關鍵新進展：</w:t>
            </w:r>
            <w:r>
              <w:t xml:space="preserve">「</w:t>
            </w:r>
            <w:r>
              <w:rPr>
                <w:b/>
                <w:bCs/>
              </w:rPr>
              <w:t xml:space="preserve">台星避免雙重課稅協定已於 2026 課稅年度（YA 2026）生效</w:t>
            </w:r>
            <w:r>
              <w:t xml:space="preserve">」，可使跨境利息之 15% 名目稅率降低 — 這是發債當時尚不存在的重要規劃點。</w:t>
            </w:r>
            <w:r>
              <w:rPr>
                <w:b/>
                <w:bCs/>
                <w:color w:val="2E75B6"/>
                <w:vertAlign w:val="superscript"/>
              </w:rPr>
              <w:t xml:space="preserve">[4]</w:t>
            </w:r>
            <w:r>
              <w:rPr>
                <w:b/>
                <w:bCs/>
                <w:color w:val="2E75B6"/>
                <w:vertAlign w:val="superscript"/>
              </w:rPr>
              <w:t xml:space="preserve">[5]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b/>
                <w:bCs/>
              </w:rPr>
              <w:t xml:space="preserve">台灣端：</w:t>
            </w:r>
            <w:r>
              <w:t xml:space="preserve">母公司就內部融通所收取之利息為台灣應稅所得，適用 20% 營利事業所得稅率，並可就在新加坡已負擔之稅額主張國外稅額扣抵（FTC）。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交易內容與查證</w:t>
      </w:r>
    </w:p>
    <w:p>
      <w:pPr>
        <w:pStyle w:val="Heading2"/>
      </w:pPr>
      <w:r>
        <w:t xml:space="preserve">2.1 已確立之事實</w:t>
      </w:r>
    </w:p>
    <w:p>
      <w:pPr>
        <w:spacing w:after="120" w:line="300"/>
      </w:pPr>
      <w:r>
        <w:t xml:space="preserve">本債券為已登錄之台灣公司綠色債券。依作者所引用之 MOPS 公告，主要參數如下：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內容（依公告）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發行人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聯電母公司，TWSE: 2303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公開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債券種類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無擔保公司債 — 綠色債券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MOPS，債券類別 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發行年度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民國 112 / 2023 年，112-1 期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MOPS（債券年期 112-1）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本金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新台幣 10,000,000,000 元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依公告（作者）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票面利率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年化 1.64244%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依公告（作者）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資金用途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新加坡 Fab12i P3 綠建築部分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依公告（作者）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MOPS 債券代號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B638BH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公開網址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line="300"/>
      </w:pPr>
      <w:r>
        <w:t xml:space="preserve">底層專案有充分公開紀錄：聯電董事會於 2022 年 2 月核准約 50 億美元之新加坡 P3 廠；該廠為毗鄰 Fab12i、位於 Pasir Ris 晶圓廠園區之新建 22/28 奈米擴廠，2024 年首批機台進駐、2025 年開幕。</w:t>
      </w:r>
      <w:r>
        <w:rPr>
          <w:b/>
          <w:bCs/>
          <w:color w:val="2E75B6"/>
          <w:vertAlign w:val="superscript"/>
        </w:rPr>
        <w:t xml:space="preserve">[1]</w:t>
      </w:r>
      <w:r>
        <w:rPr>
          <w:b/>
          <w:bCs/>
          <w:color w:val="2E75B6"/>
          <w:vertAlign w:val="superscript"/>
        </w:rPr>
        <w:t xml:space="preserve">[2]</w:t>
      </w:r>
      <w:r>
        <w:rPr>
          <w:b/>
          <w:bCs/>
          <w:color w:val="2E75B6"/>
          <w:vertAlign w:val="superscript"/>
        </w:rPr>
        <w:t xml:space="preserve">[3]</w:t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關於可查證性之說明</w:t>
            </w:r>
          </w:p>
          <w:p>
            <w:pPr>
              <w:spacing w:after="0"/>
            </w:pPr>
            <w:r>
              <w:t xml:space="preserve">MOPS 紀錄可確認</w:t>
            </w:r>
            <w:r>
              <w:rPr>
                <w:b/>
                <w:bCs/>
              </w:rPr>
              <w:t xml:space="preserve">確實存在一檔 2023 年聯電綠色債券</w:t>
            </w:r>
            <w:r>
              <w:t xml:space="preserve">（發行人 2303、綠債類別、112-1 期、代號 B638BH）。其細部欄位數值 — 確切本金、1.64244% 票面利率、以及指定 P3 之資金用途 — 係依作者提供、自該公告採為個案事實呈現。票面利率精確至小數五位，本身亦與 TWSE 定價之固定利率債券一致（利率訂在發行時之定價殖利率）。</w:t>
            </w:r>
          </w:p>
        </w:tc>
      </w:tr>
    </w:tbl>
    <w:p>
      <w:pPr>
        <w:pStyle w:val="Heading2"/>
      </w:pPr>
      <w:r>
        <w:t xml:space="preserve">2.2 現金為何須移轉 — 以及定性為何重要</w:t>
      </w:r>
    </w:p>
    <w:p>
      <w:pPr>
        <w:spacing w:after="120" w:line="300"/>
      </w:pPr>
      <w:r>
        <w:t xml:space="preserve">資金由</w:t>
      </w:r>
      <w:r>
        <w:rPr>
          <w:b/>
          <w:bCs/>
        </w:rPr>
        <w:t xml:space="preserve">台灣母公司</w:t>
      </w:r>
      <w:r>
        <w:t xml:space="preserve">募集，但符合資格之綠色支出位於</w:t>
      </w:r>
      <w:r>
        <w:rPr>
          <w:b/>
          <w:bCs/>
        </w:rPr>
        <w:t xml:space="preserve">新加坡主體</w:t>
      </w:r>
      <w:r>
        <w:t xml:space="preserve">。為支應專案，母公司須將現金移轉予 UMCSG，主要有兩條途徑：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股本／資本挹注</w:t>
      </w:r>
      <w:r>
        <w:t xml:space="preserve">（或無文件之「營運資金」）：母公司以實收資本或未明定之內部往來科目挹注資金。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集團內部借款：</w:t>
      </w:r>
      <w:r>
        <w:t xml:space="preserve">母公司依書面借款合約、以符合常規（arm's-length）之利率轉貸予 UMCSG，並依約定條件償還。</w:t>
      </w:r>
    </w:p>
    <w:p>
      <w:pPr>
        <w:spacing w:after="120" w:line="300"/>
      </w:pPr>
      <w:r>
        <w:t xml:space="preserve">此一選擇並非僅形式問題。它決定了：(a) 綠債資金用途承諾是否仍可被明確證明滿足；(b) 利息在新加坡是否可扣抵；(c) 適用何種跨境利息預扣；(d) 台灣如何就該報酬課稅。第 4 至 6 節逐一處理。</w:t>
      </w:r>
    </w:p>
    <w:p>
      <w:r>
        <w:br w:type="page"/>
      </w:r>
    </w:p>
    <w:p>
      <w:pPr>
        <w:pStyle w:val="Heading1"/>
      </w:pPr>
      <w:r>
        <w:t xml:space="preserve">3. 資金流向圖</w:t>
      </w:r>
    </w:p>
    <w:p>
      <w:pPr>
        <w:spacing w:after="120" w:line="300"/>
      </w:pPr>
      <w:r>
        <w:t xml:space="preserve">下表追蹤四筆關鍵現金移動，由上而下閱讀。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rPr>
          <w:tblHeader/>
        </w:trP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現金移動</w:t>
            </w:r>
          </w:p>
        </w:tc>
        <w:tc>
          <w:tcPr>
            <w:tcW w:type="dxa" w:w="3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稅務／合規接觸點</w:t>
            </w:r>
          </w:p>
        </w:tc>
      </w:tr>
      <w:t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投資人認購新台幣 100 億元綠債 → 現金進入</w:t>
            </w:r>
            <w:r>
              <w:rPr>
                <w:b/>
                <w:bCs/>
              </w:rPr>
              <w:t xml:space="preserve">聯電母公司（台）</w:t>
            </w:r>
          </w:p>
        </w:tc>
        <w:tc>
          <w:tcPr>
            <w:tcW w:type="dxa" w:w="3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台灣：對債券持有人支付票息。綠債揭露／第二方意見（SPO）義務啟動。</w:t>
            </w:r>
          </w:p>
        </w:tc>
      </w:tr>
      <w:t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7562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母公司轉貸</w:t>
            </w:r>
            <w:r>
              <w:t xml:space="preserve">募得資金予 </w:t>
            </w:r>
            <w:r>
              <w:rPr>
                <w:b/>
                <w:bCs/>
              </w:rPr>
              <w:t xml:space="preserve">UMCSG</w:t>
            </w:r>
            <w:r>
              <w:t xml:space="preserve">，依集團內部借款合約辦理（建議途徑）</w:t>
            </w:r>
          </w:p>
        </w:tc>
        <w:tc>
          <w:tcPr>
            <w:tcW w:type="dxa" w:w="3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移轉訂價：須採常規利率。新加坡之資本弱化／利息可扣抵測試啟動。</w:t>
            </w:r>
          </w:p>
        </w:tc>
      </w:tr>
      <w:t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F600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在動撥興建前，UMCSG 將閒置資金存入</w:t>
            </w:r>
            <w:r>
              <w:rPr>
                <w:b/>
                <w:bCs/>
              </w:rPr>
              <w:t xml:space="preserve">新幣／美元定存</w:t>
            </w:r>
            <w:r>
              <w:t xml:space="preserve"> → 賺取</w:t>
            </w:r>
            <w:r>
              <w:rPr>
                <w:b/>
                <w:bCs/>
              </w:rPr>
              <w:t xml:space="preserve">定存利息</w:t>
            </w:r>
          </w:p>
        </w:tc>
        <w:tc>
          <w:tcPr>
            <w:tcW w:type="dxa" w:w="3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此為 </w:t>
            </w:r>
            <w:r>
              <w:rPr>
                <w:b/>
                <w:bCs/>
              </w:rPr>
              <w:t xml:space="preserve">UMCSG 之所得</w:t>
            </w:r>
            <w:r>
              <w:t xml:space="preserve">。對所</w:t>
            </w:r>
            <w:r>
              <w:rPr>
                <w:i/>
                <w:iCs/>
              </w:rPr>
              <w:t xml:space="preserve">收取</w:t>
            </w:r>
            <w:r>
              <w:t xml:space="preserve">之利息</w:t>
            </w:r>
            <w:r>
              <w:rPr>
                <w:b/>
                <w:bCs/>
              </w:rPr>
              <w:t xml:space="preserve">新加坡不預扣</w:t>
            </w:r>
            <w:r>
              <w:t xml:space="preserve">；於新加坡公司稅申報課稅。</w:t>
            </w:r>
          </w:p>
        </w:tc>
      </w:tr>
      <w:tr>
        <w:tc>
          <w:tcPr>
            <w:tcW w:type="dxa" w:w="1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UMCSG 就內部借款</w:t>
            </w:r>
            <w:r>
              <w:rPr>
                <w:b/>
                <w:bCs/>
              </w:rPr>
              <w:t xml:space="preserve">回付利息</w:t>
            </w:r>
            <w:r>
              <w:t xml:space="preserve">予母公司</w:t>
            </w:r>
          </w:p>
        </w:tc>
        <w:tc>
          <w:tcPr>
            <w:tcW w:type="dxa" w:w="3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t xml:space="preserve">就付予非居住者之利息課</w:t>
            </w:r>
            <w:r>
              <w:rPr>
                <w:b/>
                <w:bCs/>
              </w:rPr>
              <w:t xml:space="preserve">新加坡預扣稅</w:t>
            </w:r>
            <w:r>
              <w:t xml:space="preserve">（內地 15% ／協定下可降低）。於台灣為應稅所得。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作者直覺的核心 — 重新定位</w:t>
            </w:r>
          </w:p>
          <w:p>
            <w:pPr>
              <w:spacing w:after="60"/>
            </w:pPr>
            <w:r>
              <w:t xml:space="preserve">作者「利息會在兩國各觸發一次稅務事件」之直覺正確，但它附著於</w:t>
            </w:r>
            <w:r>
              <w:rPr>
                <w:b/>
                <w:bCs/>
              </w:rPr>
              <w:t xml:space="preserve">兩條不同的利息金流</w:t>
            </w:r>
            <w:r>
              <w:t xml:space="preserve">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b/>
                <w:bCs/>
              </w:rPr>
              <w:t xml:space="preserve">步驟 3（UMCSG 賺取之定存利息）：</w:t>
            </w:r>
            <w:r>
              <w:t xml:space="preserve">為 UMCSG 的新加坡</w:t>
            </w:r>
            <w:r>
              <w:rPr>
                <w:i/>
                <w:iCs/>
              </w:rPr>
              <w:t xml:space="preserve">所得</w:t>
            </w:r>
            <w:r>
              <w:t xml:space="preserve">項目 — </w:t>
            </w:r>
            <w:r>
              <w:rPr>
                <w:b/>
                <w:bCs/>
              </w:rPr>
              <w:t xml:space="preserve">並非</w:t>
            </w:r>
            <w:r>
              <w:t xml:space="preserve">預扣事件。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b/>
                <w:bCs/>
              </w:rPr>
              <w:t xml:space="preserve">步驟 4（UMCSG 支付母公司之借款利息）：</w:t>
            </w:r>
            <w:r>
              <w:t xml:space="preserve">才是真正的</w:t>
            </w:r>
            <w:r>
              <w:rPr>
                <w:b/>
                <w:bCs/>
              </w:rPr>
              <w:t xml:space="preserve">預扣</w:t>
            </w:r>
            <w:r>
              <w:t xml:space="preserve">事件，也是台灣課稅的標的。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借款 vs. 營運資金／股本：定性之抉擇</w:t>
      </w:r>
    </w:p>
    <w:p>
      <w:pPr>
        <w:spacing w:after="120" w:line="300"/>
      </w:pPr>
      <w:r>
        <w:t xml:space="preserve">作者主張匯入「必須」為借款。較精確的說法是：借款</w:t>
      </w:r>
      <w:r>
        <w:rPr>
          <w:b/>
          <w:bCs/>
        </w:rPr>
        <w:t xml:space="preserve">明顯較佳</w:t>
      </w:r>
      <w:r>
        <w:t xml:space="preserve"> — 基於數項相互強化之理由 — 但這是受承諾條款、移轉訂價與集團資金管理政策驅動之結構選擇，並非單一法定規則。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集團內部借款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股本／營運資金挹注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綠債可追溯性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強 — 用途明確之專案借款可將資金連結至 P3 綠建築支出，支撐資金用途報告。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弱 — 資金混入股本／往來科目後，難以追溯至合格綠色支出。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可逆性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可償還；專案可自償後即可解除，對資金調度具彈性。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「黏著」 — 返還股本須辦理減資／股利等程序。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利息可扣抵（新加坡）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若借款支應產生所得之資產且文件齊備，利息於 UMCSG 可扣抵。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無利息；放棄了可遮蔽新加坡營運利潤之扣抵。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報酬之課稅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利息 — 預扣 + 台灣所得稅（詳下）。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股利 — 新加坡無股利預扣（單層制）；惟須有可分配盈餘前現金受困。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移轉訂價負擔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須設定並記錄常規利率（&lt; 1,500 萬星元時可用 IRAS 指示性加碼；本案高於此）。</w:t>
            </w:r>
          </w:p>
        </w:tc>
        <w:tc>
          <w:tcPr>
            <w:tcW w:type="dxa" w:w="36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移轉訂價負擔較低，但喪失上述結構性效益。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E2EFDA" w:sz="1"/>
          <w:left w:val="single" w:color="375623" w:sz="24"/>
          <w:bottom w:val="single" w:color="E2EFDA" w:sz="1"/>
          <w:right w:val="single" w:color="E2EFD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</w:rPr>
              <w:t xml:space="preserve">為何債權人／承銷商傾向要求借款途徑</w:t>
            </w:r>
          </w:p>
          <w:p>
            <w:pPr>
              <w:spacing w:after="0"/>
            </w:pPr>
            <w:r>
              <w:t xml:space="preserve">綠債框架（ICMA 綠色債券原則）要求發行人</w:t>
            </w:r>
            <w:r>
              <w:rPr>
                <w:b/>
                <w:bCs/>
              </w:rPr>
              <w:t xml:space="preserve">追蹤並報告</w:t>
            </w:r>
            <w:r>
              <w:t xml:space="preserve">募集資金對合格綠色專案之配置。將資金以</w:t>
            </w:r>
            <w:r>
              <w:rPr>
                <w:b/>
                <w:bCs/>
              </w:rPr>
              <w:t xml:space="preserve">專款專用之內部借款</w:t>
            </w:r>
            <w:r>
              <w:t xml:space="preserve">、指定用於 P3 綠建築，可提供最乾淨的查核軌跡與最乾淨的第二方意見／年度配置報告。開放式之「營運資金」移轉則模糊此軌跡 — 此正是承銷商所抗拒者，也是作者「必須是借款」說法的真理核心。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各租稅管轄區之稅務分析</w:t>
      </w:r>
    </w:p>
    <w:p>
      <w:pPr>
        <w:pStyle w:val="Heading2"/>
      </w:pPr>
      <w:r>
        <w:t xml:space="preserve">5.1 新加坡 — UMCSG 賺取之定存利息（步驟 3）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預扣稅：無。</w:t>
      </w:r>
      <w:r>
        <w:t xml:space="preserve">新加坡所得稅法第 45 條之預扣，適用於「</w:t>
      </w:r>
      <w:r>
        <w:rPr>
          <w:i/>
          <w:iCs/>
        </w:rPr>
        <w:t xml:space="preserve">新加坡付款人付予非居住者</w:t>
      </w:r>
      <w:r>
        <w:t xml:space="preserve">」之利息。UMCSG 就其自身銀行存款所</w:t>
      </w:r>
      <w:r>
        <w:rPr>
          <w:i/>
          <w:iCs/>
        </w:rPr>
        <w:t xml:space="preserve">收取</w:t>
      </w:r>
      <w:r>
        <w:t xml:space="preserve">之利息並非預扣事件。</w:t>
      </w:r>
      <w:r>
        <w:rPr>
          <w:b/>
          <w:bCs/>
          <w:color w:val="2E75B6"/>
          <w:vertAlign w:val="superscript"/>
        </w:rPr>
        <w:t xml:space="preserve">[6]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所得稅：有。</w:t>
      </w:r>
      <w:r>
        <w:t xml:space="preserve">該定存利息為 UMCSG 之所得，列入其新加坡公司所得稅計算（名目 17%），並受該主體之獎勵／免稅規定影響。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實務重點：</w:t>
      </w:r>
      <w:r>
        <w:t xml:space="preserve">此一金流之相關處理</w:t>
      </w:r>
      <w:r>
        <w:rPr>
          <w:b/>
          <w:bCs/>
        </w:rPr>
        <w:t xml:space="preserve">並非</w:t>
      </w:r>
      <w:r>
        <w:t xml:space="preserve">「外人稅」（對外國人之預扣）。作者將定存利息對應至新加坡預扣稅，是唯一須修正之處。</w:t>
      </w:r>
    </w:p>
    <w:p>
      <w:pPr>
        <w:pStyle w:val="Heading2"/>
      </w:pPr>
      <w:r>
        <w:t xml:space="preserve">5.2 新加坡 — UMCSG 付予母公司之借款利息（步驟 4）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這才是真正的預扣事件。</w:t>
      </w:r>
      <w:r>
        <w:t xml:space="preserve">UMCSG（新加坡付款人）付予台灣母公司（非居住者、於新加坡無常設機構）之利息，須課新加坡預扣稅，內地稅率為</w:t>
      </w:r>
      <w:r>
        <w:rPr>
          <w:b/>
          <w:bCs/>
        </w:rPr>
        <w:t xml:space="preserve">毛額 15%</w:t>
      </w:r>
      <w:r>
        <w:t xml:space="preserve">，屬最終稅（final tax）。</w:t>
      </w:r>
      <w:r>
        <w:rPr>
          <w:b/>
          <w:bCs/>
          <w:color w:val="2E75B6"/>
          <w:vertAlign w:val="superscript"/>
        </w:rPr>
        <w:t xml:space="preserve">[6]</w:t>
      </w:r>
      <w:r>
        <w:rPr>
          <w:b/>
          <w:bCs/>
          <w:color w:val="2E75B6"/>
          <w:vertAlign w:val="superscript"/>
        </w:rPr>
        <w:t xml:space="preserve">[7]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現可適用協定減免。</w:t>
      </w:r>
      <w:r>
        <w:t xml:space="preserve">隨「</w:t>
      </w:r>
      <w:r>
        <w:rPr>
          <w:b/>
          <w:bCs/>
        </w:rPr>
        <w:t xml:space="preserve">台星 DTA 自 YA 2026 生效</w:t>
      </w:r>
      <w:r>
        <w:t xml:space="preserve">」，符合資格之跨境利息稅率可降至 15% 以下，惟 UMCSG 須持有母公司之居住者證明（Certificate of Residence）且於付款時文件齊備。</w:t>
      </w:r>
      <w:r>
        <w:rPr>
          <w:b/>
          <w:bCs/>
          <w:color w:val="2E75B6"/>
          <w:vertAlign w:val="superscript"/>
        </w:rPr>
        <w:t xml:space="preserve">[4]</w:t>
      </w:r>
      <w:r>
        <w:rPr>
          <w:b/>
          <w:bCs/>
          <w:color w:val="2E75B6"/>
          <w:vertAlign w:val="superscript"/>
        </w:rPr>
        <w:t xml:space="preserve">[5]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申報機制：</w:t>
      </w:r>
      <w:r>
        <w:t xml:space="preserve">UMCSG 須填報 Form S45，並透過 IRAS myTax Portal 於付款／入帳日後</w:t>
      </w:r>
      <w:r>
        <w:rPr>
          <w:b/>
          <w:bCs/>
        </w:rPr>
        <w:t xml:space="preserve">次二個月之 15 日前</w:t>
      </w:r>
      <w:r>
        <w:t xml:space="preserve">繳納。注意：義務可能於</w:t>
      </w:r>
      <w:r>
        <w:rPr>
          <w:i/>
          <w:iCs/>
        </w:rPr>
        <w:t xml:space="preserve">帳簿分錄</w:t>
      </w:r>
      <w:r>
        <w:t xml:space="preserve">貸記借款科目時即觸發，不以實際付現為限。</w:t>
      </w:r>
      <w:r>
        <w:rPr>
          <w:b/>
          <w:bCs/>
          <w:color w:val="2E75B6"/>
          <w:vertAlign w:val="superscript"/>
        </w:rPr>
        <w:t xml:space="preserve">[7]</w:t>
      </w:r>
      <w:r>
        <w:rPr>
          <w:b/>
          <w:bCs/>
          <w:color w:val="2E75B6"/>
          <w:vertAlign w:val="superscript"/>
        </w:rPr>
        <w:t xml:space="preserve">[8]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UMCSG 之可扣抵性：</w:t>
      </w:r>
      <w:r>
        <w:t xml:space="preserve">該借款利息，在借款支應產生所得之資產（P3 廠）且文件齊備之範圍內，於 UMCSG 可扣抵 — 此為借款途徑於新加坡端具稅務效率之關鍵原因。</w:t>
      </w:r>
      <w:r>
        <w:rPr>
          <w:b/>
          <w:bCs/>
          <w:color w:val="2E75B6"/>
          <w:vertAlign w:val="superscript"/>
        </w:rPr>
        <w:t xml:space="preserve">[9]</w:t>
      </w:r>
    </w:p>
    <w:p>
      <w:pPr>
        <w:pStyle w:val="Heading2"/>
      </w:pPr>
      <w:r>
        <w:t xml:space="preserve">5.3 集團內部借款之移轉訂價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常規原則要求。</w:t>
      </w:r>
      <w:r>
        <w:t xml:space="preserve">IRAS 要求關係人借款須採常規利率。就</w:t>
      </w:r>
      <w:r>
        <w:rPr>
          <w:b/>
          <w:bCs/>
        </w:rPr>
        <w:t xml:space="preserve">跨境</w:t>
      </w:r>
      <w:r>
        <w:t xml:space="preserve">關係人借款，除非借款金額低於</w:t>
      </w:r>
      <w:r>
        <w:rPr>
          <w:b/>
          <w:bCs/>
        </w:rPr>
        <w:t xml:space="preserve">1,500 萬星元</w:t>
      </w:r>
      <w:r>
        <w:t xml:space="preserve">（可採 IRAS 指示性加碼），否則利率須依常規原則設定。</w:t>
      </w:r>
      <w:r>
        <w:rPr>
          <w:b/>
          <w:bCs/>
          <w:color w:val="2E75B6"/>
          <w:vertAlign w:val="superscript"/>
        </w:rPr>
        <w:t xml:space="preserve">[9]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新台幣 100 億元（約 4.2 億星元）之融資遠高於門檻 — 故須備妥具文件之常規訂價分析（信用狀況、期限、幣別、基準利率 + 加碼），並具備同期移轉訂價文件。</w:t>
      </w:r>
    </w:p>
    <w:p>
      <w:pPr>
        <w:pStyle w:val="Heading2"/>
      </w:pPr>
      <w:r>
        <w:t xml:space="preserve">5.4 台灣 — 母公司端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利息所得應課稅。</w:t>
      </w:r>
      <w:r>
        <w:t xml:space="preserve">母公司就轉貸予 UMCSG 所賺取之利息為台灣應稅所得，列入母公司營利事業所得稅（PSEIT）稅基，適用</w:t>
      </w:r>
      <w:r>
        <w:rPr>
          <w:b/>
          <w:bCs/>
        </w:rPr>
        <w:t xml:space="preserve">20%</w:t>
      </w:r>
      <w:r>
        <w:t xml:space="preserve">公司稅率。此即作者所稱之「營業所得稅」 — 正確地置於借款利息上。</w:t>
      </w:r>
      <w:r>
        <w:rPr>
          <w:b/>
          <w:bCs/>
          <w:color w:val="2E75B6"/>
          <w:vertAlign w:val="superscript"/>
        </w:rPr>
        <w:t xml:space="preserve">[10]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國外稅額扣抵。</w:t>
      </w:r>
      <w:r>
        <w:t xml:space="preserve">就該利息在新加坡已負擔之預扣稅，一般可就同一所得在台灣應納稅額內扣抵，並受台灣 FTC 限額規範 — 此即防止經濟性雙重課稅之機制，現由 DTA 進一步強化。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債券票息。</w:t>
      </w:r>
      <w:r>
        <w:t xml:space="preserve">另外，母公司付予台灣債券持有人之 1.64244% 票息，為母公司可扣抵之融資費用，也是本結構之成本端。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D6E4F0" w:sz="1"/>
          <w:left w:val="single" w:color="2E75B6" w:sz="24"/>
          <w:bottom w:val="single" w:color="D6E4F0" w:sz="1"/>
          <w:right w:val="single" w:color="D6E4F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</w:rPr>
              <w:t xml:space="preserve">稅務彙總矩陣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步驟 3 — 新加坡定存利息（UMCSG 賺取）：</w:t>
            </w:r>
            <w:r>
              <w:t xml:space="preserve">新加坡預扣稅無；新加坡公司稅有。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步驟 4 — 借款利息（UMCSG → 母公司）：</w:t>
            </w:r>
            <w:r>
              <w:t xml:space="preserve">新加坡預扣稅內地 15%，台星 DTA 下可降低；於 UMCSG 可扣抵。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台灣 — 母公司利息所得：</w:t>
            </w:r>
            <w:r>
              <w:t xml:space="preserve">營所稅 20%，並就新加坡已負擔稅額享 FTC。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對作者原始假設之檢評</w:t>
      </w:r>
    </w:p>
    <w:p>
      <w:pPr>
        <w:spacing w:after="120" w:line="300"/>
      </w:pPr>
      <w:r>
        <w:rPr>
          <w:i/>
          <w:iCs/>
        </w:rPr>
        <w:t xml:space="preserve">依要求，先呈現作者立場，再予評估。</w:t>
      </w:r>
    </w:p>
    <w:p>
      <w:pPr>
        <w:spacing w:after="60" w:before="120"/>
      </w:pPr>
      <w:r>
        <w:rPr>
          <w:b/>
          <w:bCs/>
        </w:rPr>
        <w:t xml:space="preserve">主張：</w:t>
      </w:r>
      <w:r>
        <w:rPr>
          <w:i/>
          <w:iCs/>
        </w:rPr>
        <w:t xml:space="preserve">「資金必須以借款、而非營運資金名義匯入。」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大致正確</w:t>
            </w:r>
          </w:p>
        </w:tc>
        <w:tc>
          <w:tcPr>
            <w:tcW w:type="dxa" w:w="7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方向正確，惟略嫌絕對。借款明顯較佳 — 為綠債可追溯性、可扣抵性與可逆性 — 且承銷商通常會要求。但這是結構判斷，而非對股本之絕對法律禁止。評語：</w:t>
            </w:r>
            <w:r>
              <w:rPr>
                <w:b/>
                <w:bCs/>
              </w:rPr>
              <w:t xml:space="preserve">直覺正確，「必須」宜放寬。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主張：</w:t>
      </w:r>
      <w:r>
        <w:rPr>
          <w:i/>
          <w:iCs/>
        </w:rPr>
        <w:t xml:space="preserve">「新加坡定存利息須申報外人（預扣）稅。」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需修正</w:t>
            </w:r>
          </w:p>
        </w:tc>
        <w:tc>
          <w:tcPr>
            <w:tcW w:type="dxa" w:w="7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依其所述為誤。新加坡不對 UMCSG 所</w:t>
            </w:r>
            <w:r>
              <w:rPr>
                <w:i/>
                <w:iCs/>
              </w:rPr>
              <w:t xml:space="preserve">收取</w:t>
            </w:r>
            <w:r>
              <w:t xml:space="preserve">之利息預扣；該定存利息為一般新加坡公司所得。預扣稅適用於</w:t>
            </w:r>
            <w:r>
              <w:rPr>
                <w:i/>
                <w:iCs/>
              </w:rPr>
              <w:t xml:space="preserve">相反</w:t>
            </w:r>
            <w:r>
              <w:t xml:space="preserve">之金流 — UMCSG 所</w:t>
            </w:r>
            <w:r>
              <w:rPr>
                <w:b/>
                <w:bCs/>
              </w:rPr>
              <w:t xml:space="preserve">支付</w:t>
            </w:r>
            <w:r>
              <w:t xml:space="preserve">予非居住者母公司之利息。作者把對的稅貼到錯的金流腿上。評語：</w:t>
            </w:r>
            <w:r>
              <w:rPr>
                <w:b/>
                <w:bCs/>
              </w:rPr>
              <w:t xml:space="preserve">修正金流方向。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主張：</w:t>
      </w:r>
      <w:r>
        <w:rPr>
          <w:i/>
          <w:iCs/>
        </w:rPr>
        <w:t xml:space="preserve">「同一筆利息在台灣須申報為營業／營利事業所得（營所稅）。」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正確</w:t>
            </w:r>
          </w:p>
        </w:tc>
        <w:tc>
          <w:tcPr>
            <w:tcW w:type="dxa" w:w="7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正確，前提是套用於母公司所收取之借款利息。該利息為台灣營所稅所得（20%），並可就新加坡已負擔稅額享 FTC。評語：</w:t>
            </w:r>
            <w:r>
              <w:rPr>
                <w:b/>
                <w:bCs/>
              </w:rPr>
              <w:t xml:space="preserve">正確，惟須錨定於借款利息那一腿。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主張：</w:t>
      </w:r>
      <w:r>
        <w:rPr>
          <w:i/>
          <w:iCs/>
        </w:rPr>
        <w:t xml:space="preserve">隱含假設：分析以 2023 年發行日為準之靜態觀點。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6E4F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待更新</w:t>
            </w:r>
          </w:p>
        </w:tc>
        <w:tc>
          <w:tcPr>
            <w:tcW w:type="dxa" w:w="78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t xml:space="preserve">宜更新。「</w:t>
            </w:r>
            <w:r>
              <w:rPr>
                <w:b/>
                <w:bCs/>
              </w:rPr>
              <w:t xml:space="preserve">台星 DTA 已自 YA 2026 生效</w:t>
            </w:r>
            <w:r>
              <w:t xml:space="preserve">」，改變了跨境利息之處理（協定稅率、居住者證明要求）。任何 2026 年之現金流應適用協定，而非 2023 年僅內地法之觀點。評語：</w:t>
            </w:r>
            <w:r>
              <w:rPr>
                <w:b/>
                <w:bCs/>
              </w:rPr>
              <w:t xml:space="preserve">納入新協定。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建議與合規檢核表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簽署借款合約。</w:t>
      </w:r>
      <w:r>
        <w:t xml:space="preserve">簽訂母公司—UMCSG 之書面借款合約，明確指定募集資金用於 P3 綠建築範圍，以同時滿足綠債資金用途承諾與新加坡利息可扣抵之追溯需求。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設定常規利率。</w:t>
      </w:r>
      <w:r>
        <w:t xml:space="preserve">備妥同期移轉訂價文件（本借款遠高於 1,500 萬星元門檻，故 IRAS 指示性加碼於此非安全港）。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適用協定。</w:t>
      </w:r>
      <w:r>
        <w:t xml:space="preserve">取得母公司之居住者證明，自 YA 2026 起就步驟 4 之利息適用台星 DTA 之降低稅率；並於付款</w:t>
      </w:r>
      <w:r>
        <w:rPr>
          <w:i/>
          <w:iCs/>
        </w:rPr>
        <w:t xml:space="preserve">前</w:t>
      </w:r>
      <w:r>
        <w:t xml:space="preserve">備齊佐證文件包，而非事後補製。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排定 S45 申報。</w:t>
      </w:r>
      <w:r>
        <w:t xml:space="preserve">於每次利息付款／入帳日後次二個月之 15 日前完成新加坡預扣稅之申報與繳納；謹記貸記借款科目之帳簿分錄本身即可能觸發期限。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在台灣主張 FTC。</w:t>
      </w:r>
      <w:r>
        <w:t xml:space="preserve">以毛額記錄母公司之利息所得、追蹤新加坡已扣稅額，並於台灣 FTC 限額內主張國外稅額扣抵。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於帳上區分兩條利息金流。</w:t>
      </w:r>
      <w:r>
        <w:t xml:space="preserve">將 UMCSG 之定存利息（所得）與內部借款利息（預扣）分置於不同科目，以避免第 6 節所指之混淆。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b/>
          <w:bCs/>
        </w:rPr>
        <w:t xml:space="preserve">維持綠債報告。</w:t>
      </w:r>
      <w:r>
        <w:t xml:space="preserve">於債券存續期間持續產出年度配置／影響報告，將每次動撥連結至合格之 P3 綠色支出。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E2EFDA" w:sz="1"/>
          <w:left w:val="single" w:color="375623" w:sz="24"/>
          <w:bottom w:val="single" w:color="E2EFDA" w:sz="1"/>
          <w:right w:val="single" w:color="E2EFD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</w:rPr>
              <w:t xml:space="preserve">一句話總結</w:t>
            </w:r>
          </w:p>
          <w:p>
            <w:pPr>
              <w:spacing w:after="0"/>
            </w:pPr>
            <w:r>
              <w:t xml:space="preserve">以具文件、符合常規之集團內部借款匯入；課稅的是</w:t>
            </w:r>
            <w:r>
              <w:rPr>
                <w:b/>
                <w:bCs/>
              </w:rPr>
              <w:t xml:space="preserve">借款利息</w:t>
            </w:r>
            <w:r>
              <w:t xml:space="preserve">（新加坡預扣、由新協定降低；台灣所得並享 FTC），而非定存利息 — 並於存續期間持續就綠債承諾報告資金用途。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資料來源</w:t>
      </w:r>
    </w:p>
    <w:p>
      <w:pPr>
        <w:spacing w:after="120" w:line="300"/>
      </w:pPr>
      <w:r>
        <w:rPr>
          <w:i/>
          <w:iCs/>
        </w:rPr>
        <w:t xml:space="preserve">標示「依公告（作者）」之交易參數，源自下列 MOPS 債券紀錄、由作者提供；欄位數值未經獨立擷取。稅務立場為一般性、示意性說明。</w:t>
      </w:r>
    </w:p>
    <w:p>
      <w:pPr>
        <w:spacing w:after="120" w:line="280"/>
      </w:pPr>
      <w:r>
        <w:rPr>
          <w:b/>
          <w:bCs/>
          <w:color w:val="2E75B6"/>
        </w:rPr>
        <w:t xml:space="preserve">[1] </w:t>
      </w:r>
      <w:r>
        <w:t xml:space="preserve">台灣證券交易所 公開資訊觀測站（MOPS）— 聯電（2303）綠色債券公告，112-1 期，債券代號 B638BH。 </w:t>
      </w:r>
      <w:hyperlink w:history="1" r:id="rIdoruzrkealyjt1danfpzmy">
        <w:r>
          <w:rPr>
            <w:rStyle w:val="Hyperlink"/>
            <w:sz w:val="18"/>
            <w:szCs w:val="18"/>
          </w:rPr>
          <w:t xml:space="preserve">https://mopsov.twse.com.tw/mops/web/t120sg01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[2] </w:t>
      </w:r>
      <w:r>
        <w:t xml:space="preserve">聯電新聞稿 —「UMC announces new 22nm wafer fab in Singapore」（2022/2/24）：約 50 億美元 Fab12i P3，22/28 奈米，Pasir Ris。 </w:t>
      </w:r>
      <w:hyperlink w:history="1" r:id="rIdcdajfa9hxxseweiw-b3dm">
        <w:r>
          <w:rPr>
            <w:rStyle w:val="Hyperlink"/>
            <w:sz w:val="18"/>
            <w:szCs w:val="18"/>
          </w:rPr>
          <w:t xml:space="preserve">https://www.umc.com/en/News/press_release/Content/corporate/20220224-1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[3] </w:t>
      </w:r>
      <w:r>
        <w:t xml:space="preserve">聯電／新加坡經發局（EDB）／Nasdaq —「UMC Unveils New Fab Expansion in Singapore in Grand Opening Ceremony」（2025/4/1）。 </w:t>
      </w:r>
      <w:hyperlink w:history="1" r:id="rIdzoh2b7sbqwftrnc2jar_5">
        <w:r>
          <w:rPr>
            <w:rStyle w:val="Hyperlink"/>
            <w:sz w:val="18"/>
            <w:szCs w:val="18"/>
          </w:rPr>
          <w:t xml:space="preserve">https://www.edb.gov.sg/en/about-edb/media-releases-publications/umc-unveils-new-fab-expansion-in-singapore.html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[4] </w:t>
      </w:r>
      <w:r>
        <w:t xml:space="preserve">Corpzzy —「Singapore–Taiwan Tax Agreement (Now in Force)：YA 2026 之預扣稅與 IRAS 合規」。 </w:t>
      </w:r>
      <w:hyperlink w:history="1" r:id="rIdi35hke1z6791npc7-1gae">
        <w:r>
          <w:rPr>
            <w:rStyle w:val="Hyperlink"/>
            <w:sz w:val="18"/>
            <w:szCs w:val="18"/>
          </w:rPr>
          <w:t xml:space="preserve">https://www.corpzzy.com/resources/guides/singapore-taiwan-tax-agreement-withholding-tax-iras-ya-2026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[5] </w:t>
      </w:r>
      <w:r>
        <w:t xml:space="preserve">PwC Worldwide Tax Summaries — 台灣，公司 — 預扣稅（協定利息稅率）。 </w:t>
      </w:r>
      <w:hyperlink w:history="1" r:id="rIdprlnrf9i64ybftgbzkw9n">
        <w:r>
          <w:rPr>
            <w:rStyle w:val="Hyperlink"/>
            <w:sz w:val="18"/>
            <w:szCs w:val="18"/>
          </w:rPr>
          <w:t xml:space="preserve">https://taxsummaries.pwc.com/taiwan/corporate/withholding-taxes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[6] </w:t>
      </w:r>
      <w:r>
        <w:t xml:space="preserve">IRAS — 須課預扣稅之款項（新加坡付款人付予非居住者之利息；中介借款規則）。 </w:t>
      </w:r>
      <w:hyperlink w:history="1" r:id="rId6xtigbyxdt3ubidwsfnpj">
        <w:r>
          <w:rPr>
            <w:rStyle w:val="Hyperlink"/>
            <w:sz w:val="18"/>
            <w:szCs w:val="18"/>
          </w:rPr>
          <w:t xml:space="preserve">https://www.iras.gov.sg/taxes/withholding-tax/payments-to-non-resident-company/payments-that-are-subject-to-withholding-tax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[7] </w:t>
      </w:r>
      <w:r>
        <w:t xml:space="preserve">PwC Worldwide Tax Summaries — 新加坡，公司 — 預扣稅（利息 15%、最終稅、協定減免）。 </w:t>
      </w:r>
      <w:hyperlink w:history="1" r:id="rIdrrtaezi696wf2lfy9ymmp">
        <w:r>
          <w:rPr>
            <w:rStyle w:val="Hyperlink"/>
            <w:sz w:val="18"/>
            <w:szCs w:val="18"/>
          </w:rPr>
          <w:t xml:space="preserve">https://taxsummaries.pwc.com/singapore/corporate/withholding-taxes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[8] </w:t>
      </w:r>
      <w:r>
        <w:t xml:space="preserve">Raffles Corporate Services／Sleek — 新加坡預扣稅：Form S45 於次二個月 15 日前申報；入帳即觸發。 </w:t>
      </w:r>
      <w:hyperlink w:history="1" r:id="rIdkhubpxosx2qslxaqou_dj">
        <w:r>
          <w:rPr>
            <w:rStyle w:val="Hyperlink"/>
            <w:sz w:val="18"/>
            <w:szCs w:val="18"/>
          </w:rPr>
          <w:t xml:space="preserve">https://rafflescorporateservices.com/withholding-tax-in-singapore-a-practical-guide-for-company-directors-and-finance-managers/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[9] </w:t>
      </w:r>
      <w:r>
        <w:t xml:space="preserve">Baker Tilly Singapore —「Taking an interest in your own borrowing costs」：常規關係人借款、1,500 萬星元門檻、利息可扣抵追溯。 </w:t>
      </w:r>
      <w:hyperlink w:history="1" r:id="rIdncnlcb5tt-aumvxjjpql0">
        <w:r>
          <w:rPr>
            <w:rStyle w:val="Hyperlink"/>
            <w:sz w:val="18"/>
            <w:szCs w:val="18"/>
          </w:rPr>
          <w:t xml:space="preserve">https://www.bakertilly.sg/insights/taking-an-interest-in-your-own-borrowing-costs</w:t>
        </w:r>
      </w:hyperlink>
    </w:p>
    <w:p>
      <w:pPr>
        <w:spacing w:after="120" w:line="280"/>
      </w:pPr>
      <w:r>
        <w:rPr>
          <w:b/>
          <w:bCs/>
          <w:color w:val="2E75B6"/>
        </w:rPr>
        <w:t xml:space="preserve">[10] </w:t>
      </w:r>
      <w:r>
        <w:t xml:space="preserve">PwC Worldwide Tax Summaries — 台灣公司所得稅（營所稅 20%）與國外稅額扣抵框架。 </w:t>
      </w:r>
      <w:hyperlink w:history="1" r:id="rIdvq5ydlxuyiuhxjiixhbd5">
        <w:r>
          <w:rPr>
            <w:rStyle w:val="Hyperlink"/>
            <w:sz w:val="18"/>
            <w:szCs w:val="18"/>
          </w:rPr>
          <w:t xml:space="preserve">https://taxsummaries.pwc.com/taiwan/corporate/taxes-on-corporate-income</w:t>
        </w:r>
      </w:hyperlink>
    </w:p>
    <w:p>
      <w:pPr>
        <w:spacing w:after="120"/>
      </w:pPr>
      <w:r>
        <w:t xml:space="preserve"/>
      </w:r>
    </w:p>
    <w:p>
      <w:pPr>
        <w:spacing w:after="120" w:line="300"/>
      </w:pPr>
      <w:r>
        <w:rPr>
          <w:i/>
          <w:iCs/>
        </w:rPr>
        <w:t xml:space="preserve">本文為分析用工作底稿，不構成稅務或法律意見。依賴前請依已簽署之債券文件、並經聯電稅務顧問確認所有立場。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頁，共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  <w:spacing w:after="0"/>
    </w:pPr>
    <w:r>
      <w:rPr>
        <w:color w:val="595959"/>
        <w:sz w:val="16"/>
        <w:szCs w:val="16"/>
      </w:rPr>
      <w:t xml:space="preserve">聯電 — 新加坡 P3 綠債融資</w:t>
    </w:r>
    <w:r>
      <w:rPr>
        <w:color w:val="595959"/>
        <w:sz w:val="16"/>
        <w:szCs w:val="16"/>
      </w:rPr>
      <w:t xml:space="preserve">	內部工作底稿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160" w:before="240"/>
      <w:outlineLvl w:val="0"/>
    </w:pPr>
    <w:rPr>
      <w:rFonts w:ascii="Noto Sans CJK TC" w:cs="Noto Sans CJK TC" w:eastAsia="Noto Sans CJK TC" w:hAnsi="Noto Sans CJK T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Noto Sans CJK TC" w:cs="Noto Sans CJK TC" w:eastAsia="Noto Sans CJK TC" w:hAnsi="Noto Sans CJK T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ruzrkealyjt1danfpzmy" Type="http://schemas.openxmlformats.org/officeDocument/2006/relationships/hyperlink" Target="https://mopsov.twse.com.tw/mops/web/t120sg01" TargetMode="External"/><Relationship Id="rIdcdajfa9hxxseweiw-b3dm" Type="http://schemas.openxmlformats.org/officeDocument/2006/relationships/hyperlink" Target="https://www.umc.com/en/News/press_release/Content/corporate/20220224-1" TargetMode="External"/><Relationship Id="rIdzoh2b7sbqwftrnc2jar_5" Type="http://schemas.openxmlformats.org/officeDocument/2006/relationships/hyperlink" Target="https://www.edb.gov.sg/en/about-edb/media-releases-publications/umc-unveils-new-fab-expansion-in-singapore.html" TargetMode="External"/><Relationship Id="rIdi35hke1z6791npc7-1gae" Type="http://schemas.openxmlformats.org/officeDocument/2006/relationships/hyperlink" Target="https://www.corpzzy.com/resources/guides/singapore-taiwan-tax-agreement-withholding-tax-iras-ya-2026" TargetMode="External"/><Relationship Id="rIdprlnrf9i64ybftgbzkw9n" Type="http://schemas.openxmlformats.org/officeDocument/2006/relationships/hyperlink" Target="https://taxsummaries.pwc.com/taiwan/corporate/withholding-taxes" TargetMode="External"/><Relationship Id="rId6xtigbyxdt3ubidwsfnpj" Type="http://schemas.openxmlformats.org/officeDocument/2006/relationships/hyperlink" Target="https://www.iras.gov.sg/taxes/withholding-tax/payments-to-non-resident-company/payments-that-are-subject-to-withholding-tax" TargetMode="External"/><Relationship Id="rIdrrtaezi696wf2lfy9ymmp" Type="http://schemas.openxmlformats.org/officeDocument/2006/relationships/hyperlink" Target="https://taxsummaries.pwc.com/singapore/corporate/withholding-taxes" TargetMode="External"/><Relationship Id="rIdkhubpxosx2qslxaqou_dj" Type="http://schemas.openxmlformats.org/officeDocument/2006/relationships/hyperlink" Target="https://rafflescorporateservices.com/withholding-tax-in-singapore-a-practical-guide-for-company-directors-and-finance-managers/" TargetMode="External"/><Relationship Id="rIdncnlcb5tt-aumvxjjpql0" Type="http://schemas.openxmlformats.org/officeDocument/2006/relationships/hyperlink" Target="https://www.bakertilly.sg/insights/taking-an-interest-in-your-own-borrowing-costs" TargetMode="External"/><Relationship Id="rIdvq5ydlxuyiuhxjiixhbd5" Type="http://schemas.openxmlformats.org/officeDocument/2006/relationships/hyperlink" Target="https://taxsummaries.pwc.com/taiwan/corporate/taxes-on-corporate-income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2026-06-25T04:14:05.679Z</dcterms:created>
  <dcterms:modified xsi:type="dcterms:W3CDTF">2026-06-25T04:14:05.680Z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