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300"/>
      </w:pPr>
      <w:r>
        <w:rPr>
          <w:b/>
          <w:bCs/>
          <w:color w:val="2E75B6"/>
          <w:spacing w:val="60"/>
          <w:sz w:val="24"/>
          <w:szCs w:val="24"/>
        </w:rPr>
        <w:t xml:space="preserve">集團財務 ‧ 稅務操作參考</w:t>
      </w:r>
    </w:p>
    <w:p>
      <w:pPr>
        <w:pBdr>
          <w:bottom w:val="single" w:color="2E75B6" w:sz="18" w:space="8"/>
        </w:pBdr>
        <w:spacing w:after="0" w:before="80"/>
      </w:pPr>
      <w:r>
        <w:t xml:space="preserve"/>
      </w:r>
    </w:p>
    <w:p>
      <w:pPr>
        <w:spacing w:after="0" w:before="260"/>
      </w:pPr>
      <w:r>
        <w:rPr>
          <w:b/>
          <w:bCs/>
          <w:color w:val="1F3864"/>
          <w:sz w:val="42"/>
          <w:szCs w:val="42"/>
        </w:rPr>
        <w:t xml:space="preserve">總部為新加坡舉債並轉貸之</w:t>
      </w:r>
    </w:p>
    <w:p>
      <w:pPr>
        <w:spacing w:after="0" w:before="0"/>
      </w:pPr>
      <w:r>
        <w:rPr>
          <w:b/>
          <w:bCs/>
          <w:color w:val="1F3864"/>
          <w:sz w:val="42"/>
          <w:szCs w:val="42"/>
        </w:rPr>
        <w:t xml:space="preserve">跨境扣繳稅（WHT）操作框架</w:t>
      </w:r>
    </w:p>
    <w:p>
      <w:pPr>
        <w:spacing w:after="0" w:before="200"/>
      </w:pPr>
      <w:r>
        <w:rPr>
          <w:i/>
          <w:iCs/>
          <w:color w:val="595959"/>
          <w:sz w:val="24"/>
          <w:szCs w:val="24"/>
        </w:rPr>
        <w:t xml:space="preserve">以 2023 年新台幣 100 億元綠色債券 → 新加坡分公司轉貸案為例</w:t>
      </w:r>
    </w:p>
    <w:p>
      <w:pPr>
        <w:spacing w:after="0" w:before="480"/>
      </w:pPr>
      <w:r>
        <w:rPr>
          <w:color w:val="595959"/>
          <w:sz w:val="22"/>
          <w:szCs w:val="22"/>
        </w:rPr>
        <w:t xml:space="preserve">用途：個案覆盤 ＋ 未來「總部替新加坡舉債再轉貸」之標準參考</w:t>
      </w:r>
    </w:p>
    <w:p>
      <w:pPr>
        <w:spacing w:after="0" w:before="60"/>
      </w:pPr>
      <w:r>
        <w:rPr>
          <w:color w:val="595959"/>
          <w:sz w:val="22"/>
          <w:szCs w:val="22"/>
        </w:rPr>
        <w:t xml:space="preserve">關鍵設定：UMCSG 為新加坡分公司（PE），非獨立法人</w:t>
      </w:r>
    </w:p>
    <w:p>
      <w:pPr>
        <w:spacing w:after="0" w:before="60"/>
      </w:pPr>
      <w:r>
        <w:rPr>
          <w:color w:val="595959"/>
          <w:sz w:val="22"/>
          <w:szCs w:val="22"/>
        </w:rPr>
        <w:t xml:space="preserve">日期：2026 年 6 月</w:t>
      </w:r>
    </w:p>
    <w:p>
      <w:pPr>
        <w:spacing w:after="260"/>
      </w:pPr>
      <w:r>
        <w:t xml:space="preserve"/>
      </w:r>
    </w:p>
    <w:tbl>
      <w:tblPr>
        <w:tblW w:type="dxa" w:w="9360"/>
        <w:tblBorders>
          <w:top w:val="single" w:color="D6E4F0" w:sz="1"/>
          <w:left w:val="single" w:color="2E75B6" w:sz="24"/>
          <w:bottom w:val="single" w:color="D6E4F0" w:sz="1"/>
          <w:right w:val="single" w:color="D6E4F0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6E4F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E75B6"/>
              </w:rPr>
              <w:t xml:space="preserve">本文件的兩個目的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90" w:line="288"/>
            </w:pPr>
            <w:r>
              <w:rPr>
                <w:b/>
                <w:bCs/>
              </w:rPr>
              <w:t xml:space="preserve">覆盤本案：</w:t>
            </w:r>
            <w:r>
              <w:t xml:space="preserve">釐清這次綠債轉貸所涉的扣繳稅爭點，以及一筆「自有資金存款」被誤認的處理。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90" w:line="288"/>
            </w:pPr>
            <w:r>
              <w:rPr>
                <w:b/>
                <w:bCs/>
              </w:rPr>
              <w:t xml:space="preserve">建立未來參考：</w:t>
            </w:r>
            <w:r>
              <w:t xml:space="preserve">把可重複適用的判準與檢核流程抽離出來，供日後總部再為新加坡舉債、轉貸時直接套用。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FFF2CC" w:sz="1"/>
          <w:left w:val="single" w:color="7F6000" w:sz="24"/>
          <w:bottom w:val="single" w:color="FFF2CC" w:sz="1"/>
          <w:right w:val="single" w:color="FFF2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免責聲明</w:t>
            </w:r>
          </w:p>
          <w:p>
            <w:pPr>
              <w:spacing w:after="0"/>
            </w:pPr>
            <w:r>
              <w:t xml:space="preserve">本文交易參數依公開資訊觀測站（MOPS）公告及內部資料採用；稅務立場為一般性說明，</w:t>
            </w:r>
            <w:r>
              <w:rPr>
                <w:b/>
                <w:bCs/>
              </w:rPr>
              <w:t xml:space="preserve">不構成稅務或法律意見</w:t>
            </w:r>
            <w:r>
              <w:t xml:space="preserve">。實際適用須依債券文件、借款合約及 IRAS／財政部最新規定，並經稅務顧問確認。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一頁摘要</w:t>
      </w:r>
    </w:p>
    <w:p>
      <w:pPr>
        <w:spacing w:after="120" w:line="300"/>
      </w:pPr>
      <w:r>
        <w:t xml:space="preserve">2023 年聯電（2303）發行新台幣 100 億元綠色債券。資金分批匯入新加坡分公司 UMCSG、各停留約 6 天內即匯回，整體進出落在 2025 年 10 月至 12 月。名義上為「總部借予新加坡分公司之營運資金」，還款時連本帶利，</w:t>
      </w:r>
      <w:r>
        <w:rPr>
          <w:b/>
          <w:bCs/>
        </w:rPr>
        <w:t xml:space="preserve">對其中利息部分產生新加坡扣繳稅（WHT 15%）</w:t>
      </w:r>
      <w:r>
        <w:t xml:space="preserve">。</w:t>
      </w:r>
    </w:p>
    <w:p>
      <w:pPr>
        <w:spacing w:after="120" w:line="300"/>
      </w:pPr>
      <w:r>
        <w:t xml:space="preserve">本案有</w:t>
      </w:r>
      <w:r>
        <w:rPr>
          <w:b/>
          <w:bCs/>
        </w:rPr>
        <w:t xml:space="preserve">兩條獨立的稅務線</w:t>
      </w:r>
      <w:r>
        <w:t xml:space="preserve">，須嚴格區分：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760"/>
        <w:gridCol w:w="350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稅務線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性質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結論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線 A：綠債轉貸利息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總部借款 → 新加坡分公司營運使用；利息由新加坡端負擔。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t xml:space="preserve">屬新加坡來源，</w:t>
            </w:r>
            <w:r>
              <w:rPr>
                <w:b/>
                <w:bCs/>
                <w:color w:val="833C00"/>
              </w:rPr>
              <w:t xml:space="preserve">應課 15% WHT</w:t>
            </w:r>
            <w:r>
              <w:t xml:space="preserve">。因期間短、稅額小，未申請豁免，直接繳納。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線 B：自有資金存款利息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總部於別處賺取之自有資金，存放新加坡，與新加坡營運無關。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t xml:space="preserve">非新加坡來源，</w:t>
            </w:r>
            <w:r>
              <w:rPr>
                <w:b/>
                <w:bCs/>
                <w:color w:val="375623"/>
              </w:rPr>
              <w:t xml:space="preserve">本不課 WHT</w:t>
            </w:r>
            <w:r>
              <w:t xml:space="preserve">；惟因時點與綠債重疊，一度被稅局誤認為綠債資金，須舉證劃清。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E2EFDA" w:sz="1"/>
          <w:left w:val="single" w:color="375623" w:sz="24"/>
          <w:bottom w:val="single" w:color="E2EFDA" w:sz="1"/>
          <w:right w:val="single" w:color="E2EFDA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2EFD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375623"/>
              </w:rPr>
              <w:t xml:space="preserve">一句話總結</w:t>
            </w:r>
          </w:p>
          <w:p>
            <w:pPr>
              <w:spacing w:after="0"/>
            </w:pPr>
            <w:r>
              <w:t xml:space="preserve">WHT 課不課，</w:t>
            </w:r>
            <w:r>
              <w:rPr>
                <w:b/>
                <w:bCs/>
              </w:rPr>
              <w:t xml:space="preserve">不取決於錢放在新加坡，而取決於利息是否由新加坡端負擔、是否為新加坡來源</w:t>
            </w:r>
            <w:r>
              <w:t xml:space="preserve">。線 A 由新加坡營運負擔（課稅）；線 B 與新加坡無關（不課稅）。本案的關鍵能力，是把兩筆錢的軌跡舉證切乾淨。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主體定性：為何「分公司」是一切的起點</w:t>
      </w:r>
    </w:p>
    <w:p>
      <w:pPr>
        <w:spacing w:after="120" w:line="300"/>
      </w:pPr>
      <w:r>
        <w:t xml:space="preserve">UMCSG 為新加坡</w:t>
      </w:r>
      <w:r>
        <w:rPr>
          <w:b/>
          <w:bCs/>
        </w:rPr>
        <w:t xml:space="preserve">分公司</w:t>
      </w:r>
      <w:r>
        <w:t xml:space="preserve">，無獨立法人格。此一事實決定了後續所有稅務處理，須先釐清：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分公司（本案）之處理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法律人格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無獨立法人格，法律上即為總部之一部分。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新加坡課稅身分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t xml:space="preserve">屬地主義下視為</w:t>
            </w:r>
            <w:r>
              <w:rPr>
                <w:b/>
                <w:bCs/>
              </w:rPr>
              <w:t xml:space="preserve">常設機構（PE）</w:t>
            </w:r>
            <w:r>
              <w:t xml:space="preserve">，就歸屬新加坡之利潤課 17% 企業所得稅、辦 Form C；PE 與總部往來採 AOA 常規定價。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總部撥款之性質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法律上為內部撥款；所簽借款合約於稅務上作為利潤歸屬與用途追溯之依據。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租稅協定（DTA）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t xml:space="preserve">分公司非新加坡稅務居民，通常</w:t>
            </w:r>
            <w:r>
              <w:rPr>
                <w:b/>
                <w:bCs/>
              </w:rPr>
              <w:t xml:space="preserve">無法取得居住者證明、不能主張台星 DTA</w:t>
            </w:r>
            <w:r>
              <w:t xml:space="preserve">；故減免須循國內法（如部長豁免），而非協定。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台灣端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分公司損益併入總部，一併申報台灣營所稅（20%）。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D6E4F0" w:sz="1"/>
          <w:left w:val="single" w:color="2E75B6" w:sz="24"/>
          <w:bottom w:val="single" w:color="D6E4F0" w:sz="1"/>
          <w:right w:val="single" w:color="D6E4F0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6E4F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E75B6"/>
              </w:rPr>
              <w:t xml:space="preserve">關鍵推論</w:t>
            </w:r>
          </w:p>
          <w:p>
            <w:pPr>
              <w:spacing w:after="0"/>
            </w:pPr>
            <w:r>
              <w:t xml:space="preserve">正因分公司「即總部本身」，總部與 UMCSG 之間的借貸在法律上是</w:t>
            </w:r>
            <w:r>
              <w:rPr>
                <w:b/>
                <w:bCs/>
              </w:rPr>
              <w:t xml:space="preserve">自己與自己</w:t>
            </w:r>
            <w:r>
              <w:t xml:space="preserve">。WHT 之所以仍會發生，是因為新加坡稅法在 PE 層次</w:t>
            </w:r>
            <w:r>
              <w:rPr>
                <w:b/>
                <w:bCs/>
              </w:rPr>
              <w:t xml:space="preserve">擬制</w:t>
            </w:r>
            <w:r>
              <w:t xml:space="preserve">這筆往來、並依「利息是否由新加坡端負擔」判斷來源——這正是線 A 與線 B 分流的法理基礎。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核心判準：WHT 何時觸發？</w:t>
      </w:r>
    </w:p>
    <w:p>
      <w:pPr>
        <w:spacing w:after="120" w:line="300"/>
      </w:pPr>
      <w:r>
        <w:t xml:space="preserve">這是整份文件最該記住的一頁。對「付予非居民的利息」，新加坡是否課 15% WHT，取決於下列單一判準：</w:t>
      </w:r>
    </w:p>
    <w:tbl>
      <w:tblPr>
        <w:tblW w:type="dxa" w:w="9360"/>
        <w:tblBorders>
          <w:top w:val="single" w:color="D9EFE9" w:sz="1"/>
          <w:left w:val="single" w:color="1F6B5C" w:sz="24"/>
          <w:bottom w:val="single" w:color="D9EFE9" w:sz="1"/>
          <w:right w:val="single" w:color="D9EFE9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F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6B5C"/>
              </w:rPr>
              <w:t xml:space="preserve">黃金判準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利息是否「由新加坡居民或新加坡 PE 負擔（borne by）」、構成新加坡來源所得？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rPr>
                <w:b/>
                <w:bCs/>
                <w:color w:val="833C00"/>
              </w:rPr>
              <w:t xml:space="preserve">是 → 課 15% WHT。</w:t>
            </w:r>
            <w:r>
              <w:t xml:space="preserve">典型：為新加坡營運而向總部借款，利息由新加坡端負擔。（＝線 A）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rPr>
                <w:b/>
                <w:bCs/>
                <w:color w:val="375623"/>
              </w:rPr>
              <w:t xml:space="preserve">否 → 不在 WHT 範圍。</w:t>
            </w:r>
            <w:r>
              <w:t xml:space="preserve">典型：與新加坡營運無關之自有資金，利息非新加坡來源。（＝線 B）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3.1 兩條線的對照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判斷點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線 A：綠債轉貸（課稅）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線 B：自有資金（不課稅）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資金來源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台灣綠債借款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總部別處賺取之自有資金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用途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供新加坡分公司營運週轉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單純存放，與新加坡營運無關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利息由誰負擔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新加坡端</w:t>
            </w:r>
            <w:r>
              <w:t xml:space="preserve">（PE 營運）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t xml:space="preserve">非由新加坡端負擔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是否新加坡來源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833C00"/>
              </w:rPr>
              <w:t xml:space="preserve">是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375623"/>
              </w:rPr>
              <w:t xml:space="preserve">否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WHT 結果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833C00"/>
              </w:rPr>
              <w:t xml:space="preserve">課 15%</w:t>
            </w:r>
          </w:p>
        </w:tc>
        <w:tc>
          <w:tcPr>
            <w:tcW w:type="dxa" w:w="37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375623"/>
              </w:rPr>
              <w:t xml:space="preserve">不課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line="300"/>
      </w:pPr>
      <w:r>
        <w:rPr>
          <w:b/>
          <w:bCs/>
          <w:color w:val="C0504D"/>
        </w:rPr>
        <w:t xml:space="preserve">務必注意：</w:t>
      </w:r>
      <w:r>
        <w:t xml:space="preserve">兩條線在本案中「同期、同一新加坡帳戶體系內並存」，這正是被混淆的根源。資金可追溯性（traceability）是區分兩者、避免線 B 被誤課的唯一防線。</w:t>
      </w:r>
    </w:p>
    <w:p>
      <w:r>
        <w:br w:type="page"/>
      </w:r>
    </w:p>
    <w:p>
      <w:pPr>
        <w:pStyle w:val="Heading1"/>
      </w:pPr>
      <w:r>
        <w:t xml:space="preserve">4. 外國實體的兩條扣繳路徑：17% vs 15%</w:t>
      </w:r>
    </w:p>
    <w:p>
      <w:pPr>
        <w:spacing w:after="120" w:line="300"/>
      </w:pPr>
      <w:r>
        <w:t xml:space="preserve">一旦確定某筆付予非居民之款項落入新加坡課稅範圍，外國實體（含分公司）在課稅方式上有</w:t>
      </w:r>
      <w:r>
        <w:rPr>
          <w:b/>
          <w:bCs/>
        </w:rPr>
        <w:t xml:space="preserve">二擇一</w:t>
      </w:r>
      <w: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路徑 A：企業稅率 17%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路徑 B：扣繳優惠率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課稅基礎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淨額</w:t>
            </w:r>
            <w:r>
              <w:t xml:space="preserve">（收入可減相應費用）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毛額</w:t>
            </w:r>
            <w:r>
              <w:t xml:space="preserve">（不得減費用）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適用時機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有對應費用可舉證折抵時（如利息費用抵利息收入）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無費用、或不願負擔舉證成本時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利息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17%（淨額）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833C00"/>
              </w:rPr>
              <w:t xml:space="preserve">15%</w:t>
            </w:r>
            <w:r>
              <w:t xml:space="preserve">（毛額）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權利金 Royalty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17%（淨額）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833C00"/>
              </w:rPr>
              <w:t xml:space="preserve">10%</w:t>
            </w:r>
            <w:r>
              <w:t xml:space="preserve">（毛額）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結算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非最終稅；提交經核財報與稅務計算，多扣退還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通常為最終稅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D6E4F0" w:sz="1"/>
          <w:left w:val="single" w:color="2E75B6" w:sz="24"/>
          <w:bottom w:val="single" w:color="D6E4F0" w:sz="1"/>
          <w:right w:val="single" w:color="D6E4F0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6E4F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E75B6"/>
              </w:rPr>
              <w:t xml:space="preserve">決策提示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rPr>
                <w:b/>
                <w:bCs/>
              </w:rPr>
              <w:t xml:space="preserve">有大量對應費用可抵 → 走 17% 淨額</w:t>
            </w:r>
            <w:r>
              <w:t xml:space="preserve">可能更省（例如本案線 A，綠債利息費用恰可對應）。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rPr>
                <w:b/>
                <w:bCs/>
              </w:rPr>
              <w:t xml:space="preserve">純收入、無費用 → 走 15% 毛額</w:t>
            </w:r>
            <w:r>
              <w:t xml:space="preserve">較單純，省去舉證成本。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本案線 A 因金額小、期間短，</w:t>
            </w:r>
            <w:r>
              <w:rPr>
                <w:b/>
                <w:bCs/>
              </w:rPr>
              <w:t xml:space="preserve">直接以 15% 毛額繳納</w:t>
            </w:r>
            <w:r>
              <w:t xml:space="preserve">，未走 17% 淨額舉證，符合成本效益。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本案數字（66 天，示意）</w:t>
      </w:r>
    </w:p>
    <w:p>
      <w:pPr>
        <w:spacing w:after="120" w:line="300"/>
      </w:pPr>
      <w:r>
        <w:t xml:space="preserve">以實際參數計算，呈現量級。所有金額按 66 天（2025/10/22–12/27）比例計。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金額（NT$）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綠債本金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10,000,000,000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綠債票面利率（資金成本）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1.64244% × 66/365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利息約 29,698,915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定存利率（自有資金存款）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2.2% × 66/365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利息約 39,780,822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線 A：綠債轉貸利息之 WHT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資金成本利息 × 15%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833C00"/>
              </w:rPr>
              <w:t xml:space="preserve">約 4,454,837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台灣端：付綠債票息可抵營所稅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資金成本利息 × 20%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375623"/>
              </w:rPr>
              <w:t xml:space="preserve">省約 5,939,783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線 B：自有資金存款利息之 WHT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正確待遇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375623"/>
              </w:rPr>
              <w:t xml:space="preserve">0（不課）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E2EFDA" w:sz="1"/>
          <w:left w:val="single" w:color="375623" w:sz="24"/>
          <w:bottom w:val="single" w:color="E2EFDA" w:sz="1"/>
          <w:right w:val="single" w:color="E2EFDA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2EFD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375623"/>
              </w:rPr>
              <w:t xml:space="preserve">讀數字的兩個提醒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rPr>
                <w:b/>
                <w:bCs/>
              </w:rPr>
              <w:t xml:space="preserve">勿疊加不同稅基的百分比。</w:t>
            </w:r>
            <w:r>
              <w:t xml:space="preserve">各稅項分母不同（台灣利息費用、新加坡來源利息、定存收入），須各以實際金額計算，再就同一主體加總。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rPr>
                <w:b/>
                <w:bCs/>
              </w:rPr>
              <w:t xml:space="preserve">線 A 的 WHT 與台灣端的票息抵稅是兩件事。</w:t>
            </w:r>
            <w:r>
              <w:t xml:space="preserve">前者是新加坡對轉貸利息的扣繳；後者是台灣對外部債券票息的費用扣抵，互不抵銷。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線 B 事件：自有資金被誤認的處理</w:t>
      </w:r>
    </w:p>
    <w:p>
      <w:pPr>
        <w:spacing w:after="120" w:line="300"/>
      </w:pPr>
      <w:r>
        <w:t xml:space="preserve">本案出現一個重要插曲：總部一筆</w:t>
      </w:r>
      <w:r>
        <w:rPr>
          <w:b/>
          <w:bCs/>
        </w:rPr>
        <w:t xml:space="preserve">與綠債無關的自有資金</w:t>
      </w:r>
      <w:r>
        <w:t xml:space="preserve">存放於新加坡，其存款利息</w:t>
      </w:r>
      <w:r>
        <w:rPr>
          <w:b/>
          <w:bCs/>
        </w:rPr>
        <w:t xml:space="preserve">本不應課 WHT</w:t>
      </w:r>
      <w:r>
        <w:t xml:space="preserve">。但因存放時點與綠債資金進出重疊，IRAS 一度將其</w:t>
      </w:r>
      <w:r>
        <w:rPr>
          <w:b/>
          <w:bCs/>
        </w:rPr>
        <w:t xml:space="preserve">誤認為綠債借款資金</w:t>
      </w:r>
      <w:r>
        <w:t xml:space="preserve">，若依綠債（線 A）定性，將被錯誤課徵 15%。</w:t>
      </w:r>
    </w:p>
    <w:p>
      <w:pPr>
        <w:pStyle w:val="Heading2"/>
      </w:pPr>
      <w:r>
        <w:t xml:space="preserve">6.1 為何本不該課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該資金為總部自有、源自新加坡境外之獲利，</w:t>
      </w:r>
      <w:r>
        <w:rPr>
          <w:b/>
          <w:bCs/>
        </w:rPr>
        <w:t xml:space="preserve">非由新加坡營運負擔</w:t>
      </w:r>
      <w:r>
        <w:t xml:space="preserve">、與新加坡業務無實質關聯。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依「是否新加坡來源／是否由 SG 負擔」之黃金判準，該利息</w:t>
      </w:r>
      <w:r>
        <w:rPr>
          <w:b/>
          <w:bCs/>
        </w:rPr>
        <w:t xml:space="preserve">非新加坡來源 → 不在 WHT 範圍</w:t>
      </w:r>
      <w:r>
        <w:t xml:space="preserve">。這不是「申請豁免」，而是「本就不在課稅範圍」。</w:t>
      </w:r>
    </w:p>
    <w:p>
      <w:pPr>
        <w:pStyle w:val="Heading2"/>
      </w:pPr>
      <w:r>
        <w:t xml:space="preserve">6.2 處理方式：舉證劃清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資金軌跡分離：</w:t>
      </w:r>
      <w:r>
        <w:t xml:space="preserve">以銀行流水、撥款指示、借款合約等，證明該存款本金來自自有資金，與綠債 100 億之進出無涉。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性質佐證：</w:t>
      </w:r>
      <w:r>
        <w:t xml:space="preserve">說明該筆款項非為新加坡營運週轉、未由新加坡端負擔利息成本。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向 IRAS 澄清：</w:t>
      </w:r>
      <w:r>
        <w:t xml:space="preserve">提交上述佐證，主張該利息非新加坡來源，請求不予課徵。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FBE4D5" w:sz="1"/>
          <w:left w:val="single" w:color="833C00" w:sz="24"/>
          <w:bottom w:val="single" w:color="FBE4D5" w:sz="1"/>
          <w:right w:val="single" w:color="FBE4D5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E4D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833C00"/>
              </w:rPr>
              <w:t xml:space="preserve">本案最重要的可轉移教訓</w:t>
            </w:r>
          </w:p>
          <w:p>
            <w:pPr>
              <w:spacing w:after="0"/>
            </w:pPr>
            <w:r>
              <w:t xml:space="preserve">線 B 的風險不是「稅率高低」，而是</w:t>
            </w:r>
            <w:r>
              <w:rPr>
                <w:b/>
                <w:bCs/>
              </w:rPr>
              <w:t xml:space="preserve">一筆乾淨的錢因與借款資金混淆而被錯誤課稅</w:t>
            </w:r>
            <w:r>
              <w:t xml:space="preserve">。防線只有一條：</w:t>
            </w:r>
            <w:r>
              <w:rPr>
                <w:b/>
                <w:bCs/>
              </w:rPr>
              <w:t xml:space="preserve">資金可追溯性</w:t>
            </w:r>
            <w:r>
              <w:t xml:space="preserve">。日後只要有「綠債借款資金」與「自有資金」同期停放新加坡，務必在帳務與單據上</w:t>
            </w:r>
            <w:r>
              <w:rPr>
                <w:b/>
                <w:bCs/>
              </w:rPr>
              <w:t xml:space="preserve">從一開始就分流、分戶、留痕</w:t>
            </w:r>
            <w:r>
              <w:t xml:space="preserve">，不要等被質疑才回頭重建軌跡。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未來操作框架：總部為新加坡舉債再轉貸</w:t>
      </w:r>
    </w:p>
    <w:p>
      <w:pPr>
        <w:spacing w:after="120" w:line="300"/>
      </w:pPr>
      <w:r>
        <w:t xml:space="preserve">以下為可重複適用之標準流程，供日後「總部在台灣（或他處）舉債、再轉貸新加坡分公司」時直接套用。</w:t>
      </w:r>
    </w:p>
    <w:p>
      <w:pPr>
        <w:pStyle w:val="Heading2"/>
      </w:pPr>
      <w:r>
        <w:t xml:space="preserve">7.1 事前設計（舉債與撥款前）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先定性資金用途。</w:t>
      </w:r>
      <w:r>
        <w:t xml:space="preserve">明確區分：此筆是「供新加坡營運之借款」（＝線 A，預期課 WHT）還是「與新加坡無關之自有資金停放」（＝線 B，不課）。兩者帳務從源頭分開。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分戶管理。</w:t>
      </w:r>
      <w:r>
        <w:t xml:space="preserve">綠債／借款資金與自有資金</w:t>
      </w:r>
      <w:r>
        <w:rPr>
          <w:b/>
          <w:bCs/>
        </w:rPr>
        <w:t xml:space="preserve">使用不同銀行帳戶</w:t>
      </w:r>
      <w:r>
        <w:t xml:space="preserve">，避免同戶混同造成日後舉證困難。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備妥借款合約與用途文件。</w:t>
      </w:r>
      <w:r>
        <w:t xml:space="preserve">供綠債用途追溯（對承銷商）與 PE 利潤歸屬（對 IRAS）雙重需求；確認轉貸利率符合 AOA 常規原則。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評估 17% vs 15% 路徑。</w:t>
      </w:r>
      <w:r>
        <w:t xml:space="preserve">若有可觀對應費用，先評估走 17% 淨額是否更優；金額小、期間短則 15% 毛額直接繳較具效率。</w:t>
      </w:r>
    </w:p>
    <w:p>
      <w:pPr>
        <w:pStyle w:val="Heading2"/>
      </w:pPr>
      <w:r>
        <w:t xml:space="preserve">7.2 事中執行（資金停放與還款）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壓縮停放期間。</w:t>
      </w:r>
      <w:r>
        <w:t xml:space="preserve">本案各筆停留 &lt; 6 天以控制利息量。期間越短、WHT 稅基越小，但仍須如實計息扣繳。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如實計算並扣繳 WHT。</w:t>
      </w:r>
      <w:r>
        <w:t xml:space="preserve">線 A 還款連本帶利時，就利息部分按 15%（或 17% 淨額路徑）扣繳；注意</w:t>
      </w:r>
      <w:r>
        <w:rPr>
          <w:b/>
          <w:bCs/>
        </w:rPr>
        <w:t xml:space="preserve">入帳（credit）即可能觸發扣繳義務</w:t>
      </w:r>
      <w:r>
        <w:t xml:space="preserve">，非以實際付現為限。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留存即時單據。</w:t>
      </w:r>
      <w:r>
        <w:t xml:space="preserve">每筆撥款／回流均留指示、流水與計息表，</w:t>
      </w:r>
      <w:r>
        <w:rPr>
          <w:b/>
          <w:bCs/>
        </w:rPr>
        <w:t xml:space="preserve">即時</w:t>
      </w:r>
      <w:r>
        <w:t xml:space="preserve">建立軌跡，不事後補製。</w:t>
      </w:r>
    </w:p>
    <w:p>
      <w:pPr>
        <w:pStyle w:val="Heading2"/>
      </w:pPr>
      <w:r>
        <w:t xml:space="preserve">7.3 申報與防錯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S45 申報。</w:t>
      </w:r>
      <w:r>
        <w:t xml:space="preserve">於付款／入帳日後次二個月 15 日前完成新加坡 WHT 申報與繳納。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PE 企業稅申報。</w:t>
      </w:r>
      <w:r>
        <w:t xml:space="preserve">UMCSG 之利息收入／費用併入 Form C；確認線 A 利息費用與收入之配對。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台灣端。</w:t>
      </w:r>
      <w:r>
        <w:t xml:space="preserve">分公司損益併入總部營所稅；綠債票息列為總部可扣抵之融資費用。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線 B 防誤課。</w:t>
      </w:r>
      <w:r>
        <w:t xml:space="preserve">若同期有自有資金停放，主動於申報時</w:t>
      </w:r>
      <w:r>
        <w:rPr>
          <w:b/>
          <w:bCs/>
        </w:rPr>
        <w:t xml:space="preserve">附軌跡說明</w:t>
      </w:r>
      <w:r>
        <w:t xml:space="preserve">，預先劃清其非新加坡來源，避免被歸入線 A。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D9EFE9" w:sz="1"/>
          <w:left w:val="single" w:color="1F6B5C" w:sz="24"/>
          <w:bottom w:val="single" w:color="D9EFE9" w:sz="1"/>
          <w:right w:val="single" w:color="D9EFE9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F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6B5C"/>
              </w:rPr>
              <w:t xml:space="preserve">一頁檢核表（影印版）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☐ 此筆資金是「供 SG 營運之借款（線 A）」還是「自有資金停放（線 B）」？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☐ 兩類資金是否已分戶、分帳、源頭分流？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☐ 借款合約、轉貸利率（AOA）、用途文件是否齊備？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☐ 線 A：WHT 走 15% 毛額還是 17% 淨額？已決策？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☐ 還款時是否就利息部分如實扣繳？入帳是否已觸發義務？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☐ S45 是否於次二月 15 日前申報？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90" w:line="288"/>
            </w:pPr>
            <w:r>
              <w:t xml:space="preserve">☐ 線 B：是否預先備妥「非 SG 來源」軌跡，防止被誤課？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名詞對照（速查）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760"/>
        <w:gridCol w:w="350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名詞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白話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本案角色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WHT 扣繳稅／外人稅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付錢給非居民時先扣一筆繳稅局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線 A 利息課 15%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borne by（由…負擔）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這筆利息成本實際由誰承擔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判定是否新加坡來源的關鍵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新加坡來源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所得是否算「在新加坡產生」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是→課；否→不課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PE 常設機構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外國公司在新加坡的實質營業據點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UMCSG 以 PE 身分課 17% 企業稅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AOA 獨立企業原則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 與總部往來須照市場行情定價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轉貸利率須符合常規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17% 淨額 / 15% 毛額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可減費用課 17%，或不減費用課 15%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外國實體二擇一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可追溯性 traceability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能證明某筆錢的來龍去脈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區分線 A／線 B 的唯一防線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資料來源</w:t>
      </w:r>
    </w:p>
    <w:p>
      <w:pPr>
        <w:spacing w:after="120" w:line="300"/>
      </w:pPr>
      <w:r>
        <w:rPr>
          <w:i/>
          <w:iCs/>
        </w:rPr>
        <w:t xml:space="preserve">稅務立場為一般性說明，非稅務或法律意見。</w:t>
      </w:r>
    </w:p>
    <w:p>
      <w:pPr>
        <w:spacing w:after="120" w:line="280"/>
      </w:pPr>
      <w:r>
        <w:rPr>
          <w:b/>
          <w:bCs/>
          <w:color w:val="2E75B6"/>
        </w:rPr>
        <w:t xml:space="preserve">[1] </w:t>
      </w:r>
      <w:r>
        <w:t xml:space="preserve">IRAS — Payments that are subject to withholding tax：利息是否由新加坡 PE 負擔／是否新加坡來源之判定；PE 17% 課稅與結算退稅。 </w:t>
      </w:r>
      <w:hyperlink w:history="1" r:id="rIdcgeux4rlihru_6rfcw35q">
        <w:r>
          <w:rPr>
            <w:rStyle w:val="Hyperlink"/>
            <w:sz w:val="18"/>
            <w:szCs w:val="18"/>
          </w:rPr>
          <w:t xml:space="preserve">https://www.iras.gov.sg/taxes/withholding-tax/payments-to-non-resident-company/payments-that-are-subject-to-withholding-tax</w:t>
        </w:r>
      </w:hyperlink>
    </w:p>
    <w:p>
      <w:pPr>
        <w:spacing w:after="120" w:line="280"/>
      </w:pPr>
      <w:r>
        <w:rPr>
          <w:b/>
          <w:bCs/>
          <w:color w:val="2E75B6"/>
        </w:rPr>
        <w:t xml:space="preserve">[2] </w:t>
      </w:r>
      <w:r>
        <w:t xml:space="preserve">IRAS — Payments that are NOT subject to withholding tax：付予新加坡分公司之 s12(6)/(7) 款項豁免；specified entities 與貨櫃租賃等掛 2031/12/31 落日之法定豁免。 </w:t>
      </w:r>
      <w:hyperlink w:history="1" r:id="rIdtlbzyqfowqoqwsdpfosuf">
        <w:r>
          <w:rPr>
            <w:rStyle w:val="Hyperlink"/>
            <w:sz w:val="18"/>
            <w:szCs w:val="18"/>
          </w:rPr>
          <w:t xml:space="preserve">https://www.iras.gov.sg/taxes/withholding-tax/payments-to-non-resident-company/payments-that-are-not-subject-to-withholding-tax</w:t>
        </w:r>
      </w:hyperlink>
    </w:p>
    <w:p>
      <w:pPr>
        <w:spacing w:after="120" w:line="280"/>
      </w:pPr>
      <w:r>
        <w:rPr>
          <w:b/>
          <w:bCs/>
          <w:color w:val="2E75B6"/>
        </w:rPr>
        <w:t xml:space="preserve">[3] </w:t>
      </w:r>
      <w:r>
        <w:t xml:space="preserve">Rikvin — Singapore Withholding Tax：15%/10% 優惠率適用條件（非源自新加坡營業、與 PE 無實質關聯）；其餘適用 17%。 </w:t>
      </w:r>
      <w:hyperlink w:history="1" r:id="rIdp2ugrfegi0u19zbn-hc3j">
        <w:r>
          <w:rPr>
            <w:rStyle w:val="Hyperlink"/>
            <w:sz w:val="18"/>
            <w:szCs w:val="18"/>
          </w:rPr>
          <w:t xml:space="preserve">https://www.rikvin.com/taxation/singapore-withholding-tax/</w:t>
        </w:r>
      </w:hyperlink>
    </w:p>
    <w:p>
      <w:pPr>
        <w:spacing w:after="120" w:line="280"/>
      </w:pPr>
      <w:r>
        <w:rPr>
          <w:b/>
          <w:bCs/>
          <w:color w:val="2E75B6"/>
        </w:rPr>
        <w:t xml:space="preserve">[4] </w:t>
      </w:r>
      <w:r>
        <w:t xml:space="preserve">SingaporeLegalAdvice — Withholding Tax：利息 15%、付予新加坡分公司之豁免、境外不動產借款等不課情形。 </w:t>
      </w:r>
      <w:hyperlink w:history="1" r:id="rIdxszqu-qg-bpxbuerfu7z8">
        <w:r>
          <w:rPr>
            <w:rStyle w:val="Hyperlink"/>
            <w:sz w:val="18"/>
            <w:szCs w:val="18"/>
          </w:rPr>
          <w:t xml:space="preserve">https://singaporelegaladvice.com/law-articles/withholding-tax-pay-singapore/</w:t>
        </w:r>
      </w:hyperlink>
    </w:p>
    <w:p>
      <w:pPr>
        <w:spacing w:after="120" w:line="280"/>
      </w:pPr>
      <w:r>
        <w:rPr>
          <w:b/>
          <w:bCs/>
          <w:color w:val="2E75B6"/>
        </w:rPr>
        <w:t xml:space="preserve">[5] </w:t>
      </w:r>
      <w:r>
        <w:t xml:space="preserve">IRAS — Taxable &amp; Non-Taxable Income：非營運於新加坡之外國企業，其境外來源所得匯入不課稅之原則。 </w:t>
      </w:r>
      <w:hyperlink w:history="1" r:id="rIdv46uhtleyxs3gowawnrbs">
        <w:r>
          <w:rPr>
            <w:rStyle w:val="Hyperlink"/>
            <w:sz w:val="18"/>
            <w:szCs w:val="18"/>
          </w:rPr>
          <w:t xml:space="preserve">https://www.iras.gov.sg/taxes/corporate-income-tax/income-deductions-for-companies/taxable-non-taxable-income</w:t>
        </w:r>
      </w:hyperlink>
    </w:p>
    <w:p>
      <w:pPr>
        <w:spacing w:after="120" w:line="280"/>
      </w:pPr>
      <w:r>
        <w:rPr>
          <w:b/>
          <w:bCs/>
          <w:color w:val="2E75B6"/>
        </w:rPr>
        <w:t xml:space="preserve">[6] </w:t>
      </w:r>
      <w:r>
        <w:t xml:space="preserve">台灣證券交易所 公開資訊觀測站（MOPS）— 聯電（2303）綠色債券公告，112-1 期，代號 B638BH。 </w:t>
      </w:r>
      <w:hyperlink w:history="1" r:id="rIde4lsmjoeuxqy5mu_t-b3o">
        <w:r>
          <w:rPr>
            <w:rStyle w:val="Hyperlink"/>
            <w:sz w:val="18"/>
            <w:szCs w:val="18"/>
          </w:rPr>
          <w:t xml:space="preserve">https://mopsov.twse.com.tw/mops/web/t120sg01</w:t>
        </w:r>
      </w:hyperlink>
    </w:p>
    <w:p>
      <w:pPr>
        <w:spacing w:after="120" w:line="280"/>
      </w:pPr>
      <w:r>
        <w:rPr>
          <w:b/>
          <w:bCs/>
          <w:color w:val="2E75B6"/>
        </w:rPr>
        <w:t xml:space="preserve">[7] </w:t>
      </w:r>
      <w:r>
        <w:t xml:space="preserve">PwC Worldwide Tax Summaries — 台灣公司所得稅（營所稅 20%）與國外稅額扣抵框架。 </w:t>
      </w:r>
      <w:hyperlink w:history="1" r:id="rIdssm7trskrkjph8b8emeje">
        <w:r>
          <w:rPr>
            <w:rStyle w:val="Hyperlink"/>
            <w:sz w:val="18"/>
            <w:szCs w:val="18"/>
          </w:rPr>
          <w:t xml:space="preserve">https://taxsummaries.pwc.com/taiwan/corporate/taxes-on-corporate-income</w:t>
        </w:r>
      </w:hyperlink>
    </w:p>
    <w:p>
      <w:pPr>
        <w:spacing w:after="120"/>
      </w:pPr>
      <w:r>
        <w:t xml:space="preserve"/>
      </w:r>
    </w:p>
    <w:p>
      <w:pPr>
        <w:spacing w:after="120" w:line="300"/>
      </w:pPr>
      <w:r>
        <w:rPr>
          <w:i/>
          <w:iCs/>
        </w:rPr>
        <w:t xml:space="preserve">本文為內部分析與操作參考，不構成稅務或法律意見。實際案件請依文件並經稅務顧問確認。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color w:val="595959"/>
        <w:sz w:val="16"/>
        <w:szCs w:val="16"/>
      </w:rPr>
      <w:t xml:space="preserve">第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頁，共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95959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360"/>
      </w:tabs>
      <w:spacing w:after="0"/>
    </w:pPr>
    <w:r>
      <w:rPr>
        <w:color w:val="595959"/>
        <w:sz w:val="16"/>
        <w:szCs w:val="16"/>
      </w:rPr>
      <w:t xml:space="preserve">總部為新加坡舉債轉貸 — WHT 操作框架</w:t>
    </w:r>
    <w:r>
      <w:rPr>
        <w:color w:val="595959"/>
        <w:sz w:val="16"/>
        <w:szCs w:val="16"/>
      </w:rPr>
      <w:t xml:space="preserve">	內部參考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TC" w:cs="Noto Sans CJK TC" w:eastAsia="Noto Sans CJK TC" w:hAnsi="Noto Sans CJK TC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160" w:before="240"/>
      <w:outlineLvl w:val="0"/>
    </w:pPr>
    <w:rPr>
      <w:rFonts w:ascii="Noto Sans CJK TC" w:cs="Noto Sans CJK TC" w:eastAsia="Noto Sans CJK TC" w:hAnsi="Noto Sans CJK TC"/>
      <w:b/>
      <w:bCs/>
      <w:color w:val="1F3864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Noto Sans CJK TC" w:cs="Noto Sans CJK TC" w:eastAsia="Noto Sans CJK TC" w:hAnsi="Noto Sans CJK T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Noto Sans CJK TC" w:cs="Noto Sans CJK TC" w:eastAsia="Noto Sans CJK TC" w:hAnsi="Noto Sans CJK TC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geux4rlihru_6rfcw35q" Type="http://schemas.openxmlformats.org/officeDocument/2006/relationships/hyperlink" Target="https://www.iras.gov.sg/taxes/withholding-tax/payments-to-non-resident-company/payments-that-are-subject-to-withholding-tax" TargetMode="External"/><Relationship Id="rIdtlbzyqfowqoqwsdpfosuf" Type="http://schemas.openxmlformats.org/officeDocument/2006/relationships/hyperlink" Target="https://www.iras.gov.sg/taxes/withholding-tax/payments-to-non-resident-company/payments-that-are-not-subject-to-withholding-tax" TargetMode="External"/><Relationship Id="rIdp2ugrfegi0u19zbn-hc3j" Type="http://schemas.openxmlformats.org/officeDocument/2006/relationships/hyperlink" Target="https://www.rikvin.com/taxation/singapore-withholding-tax/" TargetMode="External"/><Relationship Id="rIdxszqu-qg-bpxbuerfu7z8" Type="http://schemas.openxmlformats.org/officeDocument/2006/relationships/hyperlink" Target="https://singaporelegaladvice.com/law-articles/withholding-tax-pay-singapore/" TargetMode="External"/><Relationship Id="rIdv46uhtleyxs3gowawnrbs" Type="http://schemas.openxmlformats.org/officeDocument/2006/relationships/hyperlink" Target="https://www.iras.gov.sg/taxes/corporate-income-tax/income-deductions-for-companies/taxable-non-taxable-income" TargetMode="External"/><Relationship Id="rIde4lsmjoeuxqy5mu_t-b3o" Type="http://schemas.openxmlformats.org/officeDocument/2006/relationships/hyperlink" Target="https://mopsov.twse.com.tw/mops/web/t120sg01" TargetMode="External"/><Relationship Id="rIdssm7trskrkjph8b8emeje" Type="http://schemas.openxmlformats.org/officeDocument/2006/relationships/hyperlink" Target="https://taxsummaries.pwc.com/taiwan/corporate/taxes-on-corporate-income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2026-06-26T08:21:42.873Z</dcterms:created>
  <dcterms:modified xsi:type="dcterms:W3CDTF">2026-06-26T08:21:42.885Z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