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194"/>
      </w:tblGrid>
      <w:tr>
        <w:trPr>
          <w:trHeight w:hRule="exact" w:val="342"/>
        </w:trPr>
        <w:tc>
          <w:tcPr>
            <w:tcW w:type="dxa" w:w="10162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Q&amp;A RESPONSE </w:t>
            </w:r>
          </w:p>
        </w:tc>
      </w:tr>
    </w:tbl>
    <w:p>
      <w:pPr>
        <w:autoSpaceDN w:val="0"/>
        <w:autoSpaceDE w:val="0"/>
        <w:widowControl/>
        <w:spacing w:line="302" w:lineRule="exact" w:before="260" w:after="0"/>
        <w:ind w:left="11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Offerors are requested to respond to this list of questions to clarify details of the bids. </w:t>
      </w:r>
    </w:p>
    <w:p>
      <w:pPr>
        <w:autoSpaceDN w:val="0"/>
        <w:autoSpaceDE w:val="0"/>
        <w:widowControl/>
        <w:spacing w:line="330" w:lineRule="exact" w:before="446" w:after="0"/>
        <w:ind w:left="11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General Product Questions: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838" w:val="left"/>
        </w:tabs>
        <w:autoSpaceDE w:val="0"/>
        <w:widowControl/>
        <w:spacing w:line="298" w:lineRule="exact" w:before="158" w:after="0"/>
        <w:ind w:left="47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Describe how your product handles evidence analysis for multiple types of forensic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analysis disciplines. </w:t>
      </w:r>
    </w:p>
    <w:p>
      <w:pPr>
        <w:autoSpaceDN w:val="0"/>
        <w:autoSpaceDE w:val="0"/>
        <w:widowControl/>
        <w:spacing w:line="298" w:lineRule="exact" w:before="276" w:after="0"/>
        <w:ind w:left="838" w:right="288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Each forensic discipline may be configured to have their own worksheets, data entry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screens, report templates, review cycle steps, and final report formats. It is typical for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the lab to provide guidelines for formatting on a laboratory wide basis while leaving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space to accommodate the differences between disciplines. </w:t>
      </w:r>
    </w:p>
    <w:p>
      <w:pPr>
        <w:autoSpaceDN w:val="0"/>
        <w:tabs>
          <w:tab w:pos="838" w:val="left"/>
        </w:tabs>
        <w:autoSpaceDE w:val="0"/>
        <w:widowControl/>
        <w:spacing w:line="298" w:lineRule="exact" w:before="318" w:after="0"/>
        <w:ind w:left="478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What is your implementation structure for on premises, include an overview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architecture. </w:t>
      </w:r>
    </w:p>
    <w:p>
      <w:pPr>
        <w:autoSpaceDN w:val="0"/>
        <w:autoSpaceDE w:val="0"/>
        <w:widowControl/>
        <w:spacing w:line="298" w:lineRule="exact" w:before="276" w:after="0"/>
        <w:ind w:left="838" w:right="144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A minimum setup would include a database server (SQL or Oracle), a web server (IIS)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, an application server (IIS) , and a prelog/dmz server(IIS). Each server can be made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redundant by adding additional nodes and a load balancer. </w:t>
      </w:r>
    </w:p>
    <w:p>
      <w:pPr>
        <w:autoSpaceDN w:val="0"/>
        <w:autoSpaceDE w:val="0"/>
        <w:widowControl/>
        <w:spacing w:line="330" w:lineRule="exact" w:before="288" w:after="0"/>
        <w:ind w:left="838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Please see the attached “Network Design Options.PDF” for more detailed information. </w:t>
      </w:r>
    </w:p>
    <w:p>
      <w:pPr>
        <w:autoSpaceDN w:val="0"/>
        <w:tabs>
          <w:tab w:pos="838" w:val="left"/>
        </w:tabs>
        <w:autoSpaceDE w:val="0"/>
        <w:widowControl/>
        <w:spacing w:line="298" w:lineRule="exact" w:before="298" w:after="0"/>
        <w:ind w:left="47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Describe a typical implementation plan and timeline for your product, including initial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on-going training. </w:t>
      </w:r>
    </w:p>
    <w:p>
      <w:pPr>
        <w:autoSpaceDN w:val="0"/>
        <w:autoSpaceDE w:val="0"/>
        <w:widowControl/>
        <w:spacing w:line="304" w:lineRule="exact" w:before="270" w:after="0"/>
        <w:ind w:left="838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Depending on complexity, a typical implementation will take from 9 – 18 months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including initial training. On-going training can be quoted on an as-needed basis or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included in the support contract. A yearly user group in Schaumburg, IL is also </w:t>
      </w:r>
      <w:r>
        <w:br/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available for training and the costs for this can be included in the support fee if desired. </w:t>
      </w:r>
    </w:p>
    <w:p>
      <w:pPr>
        <w:autoSpaceDN w:val="0"/>
        <w:autoSpaceDE w:val="0"/>
        <w:widowControl/>
        <w:spacing w:line="330" w:lineRule="exact" w:before="264" w:after="0"/>
        <w:ind w:left="838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Please see the attached “Sample Project Plan.PDF” for more detailed information. </w:t>
      </w:r>
    </w:p>
    <w:p>
      <w:pPr>
        <w:autoSpaceDN w:val="0"/>
        <w:tabs>
          <w:tab w:pos="838" w:val="left"/>
        </w:tabs>
        <w:autoSpaceDE w:val="0"/>
        <w:widowControl/>
        <w:spacing w:line="298" w:lineRule="exact" w:before="300" w:after="0"/>
        <w:ind w:left="478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Describe your product support program, including customer project assistance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 response time. Does this include emergency technical support? </w:t>
      </w:r>
    </w:p>
    <w:p>
      <w:pPr>
        <w:autoSpaceDN w:val="0"/>
        <w:autoSpaceDE w:val="0"/>
        <w:widowControl/>
        <w:spacing w:line="320" w:lineRule="exact" w:before="254" w:after="0"/>
        <w:ind w:left="838" w:right="432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PLC provides web portal, email, and phone support during business hours. Special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contact information (phone number) is provided for after-hours/emergency support. </w:t>
      </w:r>
    </w:p>
    <w:p>
      <w:pPr>
        <w:autoSpaceDN w:val="0"/>
        <w:tabs>
          <w:tab w:pos="838" w:val="left"/>
        </w:tabs>
        <w:autoSpaceDE w:val="0"/>
        <w:widowControl/>
        <w:spacing w:line="298" w:lineRule="exact" w:before="296" w:after="0"/>
        <w:ind w:left="478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Describe your product’s scalability for future growth in terms of users, cases,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volume of data. </w:t>
      </w:r>
    </w:p>
    <w:p>
      <w:pPr>
        <w:autoSpaceDN w:val="0"/>
        <w:autoSpaceDE w:val="0"/>
        <w:widowControl/>
        <w:spacing w:line="308" w:lineRule="exact" w:before="268" w:after="0"/>
        <w:ind w:left="838" w:right="390" w:firstLine="0"/>
        <w:jc w:val="both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The product can accommodate thousands of users and multiple thousands of cases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per year. Both supported databases (SQL / Oracle) provide immense scalability well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into the multi-terabyte range. </w:t>
      </w:r>
    </w:p>
    <w:p>
      <w:pPr>
        <w:sectPr>
          <w:pgSz w:w="12240" w:h="15840"/>
          <w:pgMar w:top="622" w:right="1012" w:bottom="566" w:left="10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Describe your product’s customizability. </w:t>
      </w:r>
    </w:p>
    <w:p>
      <w:pPr>
        <w:autoSpaceDN w:val="0"/>
        <w:autoSpaceDE w:val="0"/>
        <w:widowControl/>
        <w:spacing w:line="306" w:lineRule="exact" w:before="26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Entry forms, data lists, search screens, and reports can all be customized. This is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typically done during implementation as a part of the project.  However, the ability to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customize the user interface is still available after go-live and is used to accommodate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the inevitable needs for change that arise over time. </w:t>
      </w:r>
    </w:p>
    <w:p>
      <w:pPr>
        <w:autoSpaceDN w:val="0"/>
        <w:tabs>
          <w:tab w:pos="432" w:val="left"/>
        </w:tabs>
        <w:autoSpaceDE w:val="0"/>
        <w:widowControl/>
        <w:spacing w:line="458" w:lineRule="exact" w:before="116" w:after="0"/>
        <w:ind w:left="72" w:right="432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A more detailed description of the customization capability included in the attached </w:t>
      </w:r>
      <w:r>
        <w:tab/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document titled, “Customization Capabilities.pdf”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7. Describe how your product facilitates electronic or paperless functionality. </w:t>
      </w:r>
    </w:p>
    <w:p>
      <w:pPr>
        <w:autoSpaceDN w:val="0"/>
        <w:tabs>
          <w:tab w:pos="432" w:val="left"/>
        </w:tabs>
        <w:autoSpaceDE w:val="0"/>
        <w:widowControl/>
        <w:spacing w:line="404" w:lineRule="exact" w:before="170" w:after="0"/>
        <w:ind w:left="72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The application provides an entry screen called the Matrix which facilitates paperless </w:t>
      </w:r>
      <w:r>
        <w:tab/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note taking. It is described in more detail in “Customization Capabilities.pdf”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8. Describe any add-on modules that are not included in the out of the box application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package. </w:t>
      </w:r>
    </w:p>
    <w:p>
      <w:pPr>
        <w:autoSpaceDN w:val="0"/>
        <w:tabs>
          <w:tab w:pos="432" w:val="left"/>
        </w:tabs>
        <w:autoSpaceDE w:val="0"/>
        <w:widowControl/>
        <w:spacing w:line="594" w:lineRule="exact" w:before="2" w:after="0"/>
        <w:ind w:left="72" w:right="37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Please see “LIMS Overview and Specifications.pdf”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9. Describe how your product is licensed. </w:t>
      </w:r>
    </w:p>
    <w:p>
      <w:pPr>
        <w:autoSpaceDN w:val="0"/>
        <w:autoSpaceDE w:val="0"/>
        <w:widowControl/>
        <w:spacing w:line="318" w:lineRule="exact" w:before="258" w:after="0"/>
        <w:ind w:left="432" w:right="72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The customer will purchase perpetual license for a number of users. Enterprise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licenses are also available. </w:t>
      </w:r>
    </w:p>
    <w:p>
      <w:pPr>
        <w:autoSpaceDN w:val="0"/>
        <w:autoSpaceDE w:val="0"/>
        <w:widowControl/>
        <w:spacing w:line="330" w:lineRule="exact" w:before="266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your product’s security: e.g roll-based, function-based, module-based. </w:t>
      </w:r>
    </w:p>
    <w:p>
      <w:pPr>
        <w:autoSpaceDN w:val="0"/>
        <w:autoSpaceDE w:val="0"/>
        <w:widowControl/>
        <w:spacing w:line="364" w:lineRule="exact" w:before="0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Include level of security that can be applied (e.g. read, read/write) </w:t>
      </w:r>
      <w:r>
        <w:br/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Controlled application functions such as add, edit or delete access on different screens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are assigned to roles. Then, these roles are assigned to users.  Users may have more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than one role assigned. This allows roles to be designed for specific laboratory job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functions. </w:t>
      </w:r>
    </w:p>
    <w:p>
      <w:pPr>
        <w:sectPr>
          <w:pgSz w:w="12240" w:h="15840"/>
          <w:pgMar w:top="710" w:right="108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your product’s auditing abilities. </w:t>
      </w:r>
    </w:p>
    <w:p>
      <w:pPr>
        <w:autoSpaceDN w:val="0"/>
        <w:autoSpaceDE w:val="0"/>
        <w:widowControl/>
        <w:spacing w:line="282" w:lineRule="exact" w:before="154" w:after="0"/>
        <w:ind w:left="290" w:right="288" w:firstLine="142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Auditing information including log on / log off, password changes, and other record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changes, is stored in a database table named AUDITLOG. The audit log includes the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information changed (old and new) as well as the user, computer, date/time and IP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address of the client. This information can be searched, viewed, and printed by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authorized users. </w:t>
      </w:r>
    </w:p>
    <w:p>
      <w:pPr>
        <w:autoSpaceDN w:val="0"/>
        <w:autoSpaceDE w:val="0"/>
        <w:widowControl/>
        <w:spacing w:line="330" w:lineRule="exact" w:before="222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how your product handles task management and notifications. </w:t>
      </w:r>
    </w:p>
    <w:p>
      <w:pPr>
        <w:autoSpaceDN w:val="0"/>
        <w:autoSpaceDE w:val="0"/>
        <w:widowControl/>
        <w:spacing w:line="304" w:lineRule="exact" w:before="270" w:after="0"/>
        <w:ind w:left="432" w:right="144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Tasks can be assigned to examiners automatically, individually, or in batch by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supervisors. All tasks have a type, status code, assigner, assignee, and date fields to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track when the task was assigned and completed. Users can be notified on the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dashboard or via email when tasks are assigned or overdue. </w:t>
      </w:r>
    </w:p>
    <w:p>
      <w:pPr>
        <w:autoSpaceDN w:val="0"/>
        <w:tabs>
          <w:tab w:pos="432" w:val="left"/>
        </w:tabs>
        <w:autoSpaceDE w:val="0"/>
        <w:widowControl/>
        <w:spacing w:line="300" w:lineRule="exact" w:before="296" w:after="0"/>
        <w:ind w:left="72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13.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how your product accounts for automated data requests to/from external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customers and partners. </w:t>
      </w:r>
    </w:p>
    <w:p>
      <w:pPr>
        <w:autoSpaceDN w:val="0"/>
        <w:autoSpaceDE w:val="0"/>
        <w:widowControl/>
        <w:spacing w:line="304" w:lineRule="exact" w:before="270" w:after="0"/>
        <w:ind w:left="432" w:right="144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PLC prefers to interface with third parties using rest web service technology and has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experience doing so with many vendors and interfaces. Legacy interface technology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can also be supported including ftp file shipping, xml or SOAP services, and direct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database connections etc. </w:t>
      </w:r>
    </w:p>
    <w:p>
      <w:pPr>
        <w:autoSpaceDN w:val="0"/>
        <w:tabs>
          <w:tab w:pos="432" w:val="left"/>
        </w:tabs>
        <w:autoSpaceDE w:val="0"/>
        <w:widowControl/>
        <w:spacing w:line="298" w:lineRule="exact" w:before="296" w:after="0"/>
        <w:ind w:left="72" w:right="86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14.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how your product facilitates appropriate security for CODIS database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information. </w:t>
      </w:r>
    </w:p>
    <w:p>
      <w:pPr>
        <w:autoSpaceDN w:val="0"/>
        <w:autoSpaceDE w:val="0"/>
        <w:widowControl/>
        <w:spacing w:line="268" w:lineRule="exact" w:before="310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Our databank product can be integrated within LIMS and be protected by user roles. </w:t>
      </w:r>
    </w:p>
    <w:p>
      <w:pPr>
        <w:autoSpaceDN w:val="0"/>
        <w:autoSpaceDE w:val="0"/>
        <w:widowControl/>
        <w:spacing w:line="304" w:lineRule="exact" w:before="0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In addition, Databank may also be installed in a separate database and application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server if desired. In the separated model an API is available to allow for hit letters to be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generated referring to cases from the other database. </w:t>
      </w:r>
    </w:p>
    <w:p>
      <w:pPr>
        <w:autoSpaceDN w:val="0"/>
        <w:tabs>
          <w:tab w:pos="432" w:val="left"/>
        </w:tabs>
        <w:autoSpaceDE w:val="0"/>
        <w:widowControl/>
        <w:spacing w:line="298" w:lineRule="exact" w:before="296" w:after="0"/>
        <w:ind w:left="72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15.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how your product provides ad-hoc data extraction and what limitations there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are, if any. </w:t>
      </w:r>
    </w:p>
    <w:p>
      <w:pPr>
        <w:autoSpaceDN w:val="0"/>
        <w:autoSpaceDE w:val="0"/>
        <w:widowControl/>
        <w:spacing w:line="304" w:lineRule="exact" w:before="270" w:after="0"/>
        <w:ind w:left="432" w:right="144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The LIMS database is open to authorized BI analysts and LIMS Administrators. The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data can be extracted and analyzed using third party tools. Examples include SSRS,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Oracle reports, COGNOS, SAP Business Objects, MS Access, and MS Excel.  Also,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the LIMS itself includes integrated ad hoc reporting using Stock management reports,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customizable management reports and crystal reports. </w:t>
      </w:r>
    </w:p>
    <w:p>
      <w:pPr>
        <w:sectPr>
          <w:pgSz w:w="12240" w:h="15840"/>
          <w:pgMar w:top="710" w:right="108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3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how your product integrates with external applications and products. </w:t>
      </w:r>
    </w:p>
    <w:p>
      <w:pPr>
        <w:autoSpaceDN w:val="0"/>
        <w:autoSpaceDE w:val="0"/>
        <w:widowControl/>
        <w:spacing w:line="308" w:lineRule="exact" w:before="266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The application uses MS Office and Adobe Acrobat Reader for many functions. Each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user should have a license for MS Office locally installed applications. The free version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of Adobe Acrobat is sufficient. </w:t>
      </w:r>
    </w:p>
    <w:p>
      <w:pPr>
        <w:autoSpaceDN w:val="0"/>
        <w:autoSpaceDE w:val="0"/>
        <w:widowControl/>
        <w:spacing w:line="330" w:lineRule="exact" w:before="268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17.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Describe how your product provides secure access to reports and data; e.g. portals. </w:t>
      </w:r>
    </w:p>
    <w:p>
      <w:pPr>
        <w:autoSpaceDN w:val="0"/>
        <w:autoSpaceDE w:val="0"/>
        <w:widowControl/>
        <w:spacing w:line="304" w:lineRule="exact" w:before="27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The system provides two different portals for access to work product. PRELOG is a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web portal designed for submitting agencies to submit cases, access case status and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view and download completed reports. Prosecutors may also have access to PRELOG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for download completed report for departments they have jurisdiction over. </w:t>
      </w:r>
    </w:p>
    <w:p>
      <w:pPr>
        <w:autoSpaceDN w:val="0"/>
        <w:autoSpaceDE w:val="0"/>
        <w:widowControl/>
        <w:spacing w:line="302" w:lineRule="exact" w:before="272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The Discovery Portal is a specialized portal for prosecutors to use. They are able to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create self service requests for discovery which are automatically filled by the </w:t>
      </w:r>
      <w:r>
        <w:br/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discovery services, zipped and downloaded by the requestors.  The lab has the option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of being able to review the discovery packages before publishing if desired.   The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discovery portal is typically used when a high volume of discovery requests might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otherwise overwhelm the laboratory staff. </w:t>
      </w:r>
    </w:p>
    <w:p>
      <w:pPr>
        <w:autoSpaceDN w:val="0"/>
        <w:autoSpaceDE w:val="0"/>
        <w:widowControl/>
        <w:spacing w:line="318" w:lineRule="exact" w:before="256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Authentication for both portals can be application defined or be integrated with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enterprise identity providers. </w:t>
      </w:r>
    </w:p>
    <w:p>
      <w:pPr>
        <w:autoSpaceDN w:val="0"/>
        <w:tabs>
          <w:tab w:pos="360" w:val="left"/>
        </w:tabs>
        <w:autoSpaceDE w:val="0"/>
        <w:widowControl/>
        <w:spacing w:line="458" w:lineRule="exact" w:before="300" w:after="0"/>
        <w:ind w:left="0" w:right="230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Technical Questions: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Describe how your product utilizes externally licensed programs. </w:t>
      </w:r>
    </w:p>
    <w:p>
      <w:pPr>
        <w:autoSpaceDN w:val="0"/>
        <w:autoSpaceDE w:val="0"/>
        <w:widowControl/>
        <w:spacing w:line="302" w:lineRule="exact" w:before="272" w:after="0"/>
        <w:ind w:left="720" w:right="144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Users will require Microsoft 365 licenses to install local copies of Office products such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as WORD and Excel.  Crystal Reports Designer must be purchased and licensed on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the web servers and for any user who would edit report definitions.  Regular users do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not require a license for crystal reports. The customer is responsible for purchasing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and maintenance of  these licenses.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162" w:after="0"/>
        <w:ind w:left="36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Describe how your data is stored; Database type (e.g. SQL), tables, warehouse,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management, architecture, etc. </w:t>
      </w:r>
    </w:p>
    <w:p>
      <w:pPr>
        <w:autoSpaceDN w:val="0"/>
        <w:autoSpaceDE w:val="0"/>
        <w:widowControl/>
        <w:spacing w:line="298" w:lineRule="exact" w:before="16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We use a combination of SQL Data Tables for relational data and network file storage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for images and attachments. </w:t>
      </w:r>
    </w:p>
    <w:p>
      <w:pPr>
        <w:autoSpaceDN w:val="0"/>
        <w:tabs>
          <w:tab w:pos="720" w:val="left"/>
        </w:tabs>
        <w:autoSpaceDE w:val="0"/>
        <w:widowControl/>
        <w:spacing w:line="296" w:lineRule="exact" w:before="460" w:after="0"/>
        <w:ind w:left="360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What are the proposed solution’s security controls and permission levels? How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granular can user permissions be configured? </w:t>
      </w:r>
    </w:p>
    <w:p>
      <w:pPr>
        <w:autoSpaceDN w:val="0"/>
        <w:autoSpaceDE w:val="0"/>
        <w:widowControl/>
        <w:spacing w:line="298" w:lineRule="exact" w:before="162" w:after="0"/>
        <w:ind w:left="720" w:right="432" w:firstLine="0"/>
        <w:jc w:val="left"/>
      </w:pP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The security roles are customizable for the lab. Roles can be defined, and specific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security permissions are then assigned to the roles. Finally, each user may be a </w:t>
      </w:r>
      <w:r>
        <w:rPr>
          <w:rFonts w:ascii="ArialMT" w:hAnsi="ArialMT" w:eastAsia="ArialMT"/>
          <w:b w:val="0"/>
          <w:i w:val="0"/>
          <w:color w:val="2D74B5"/>
          <w:sz w:val="24"/>
        </w:rPr>
        <w:t xml:space="preserve">member of one or more roles. </w:t>
      </w:r>
    </w:p>
    <w:p>
      <w:pPr>
        <w:sectPr>
          <w:pgSz w:w="12240" w:h="15840"/>
          <w:pgMar w:top="710" w:right="1078" w:bottom="610" w:left="11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Do you have CE Cyber Security verification? </w:t>
      </w:r>
    </w:p>
    <w:p>
      <w:pPr>
        <w:autoSpaceDN w:val="0"/>
        <w:autoSpaceDE w:val="0"/>
        <w:widowControl/>
        <w:spacing w:line="298" w:lineRule="exact" w:before="29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Being an on premise application if the lab hires an outside contractor or performs their </w:t>
      </w:r>
      <w:r>
        <w:rPr>
          <w:rFonts w:ascii="ArialMT" w:hAnsi="ArialMT" w:eastAsia="ArialMT"/>
          <w:b w:val="0"/>
          <w:i w:val="0"/>
          <w:color w:val="4471C4"/>
          <w:sz w:val="24"/>
        </w:rPr>
        <w:t>own cyber security testing and certification PLC will correct or remediate any non-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conformities related to the application. </w:t>
      </w:r>
    </w:p>
    <w:p>
      <w:pPr>
        <w:autoSpaceDN w:val="0"/>
        <w:autoSpaceDE w:val="0"/>
        <w:widowControl/>
        <w:spacing w:line="330" w:lineRule="exact" w:before="266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Could you provide a SOC 2 type II report upon request? </w:t>
      </w:r>
    </w:p>
    <w:p>
      <w:pPr>
        <w:autoSpaceDN w:val="0"/>
        <w:autoSpaceDE w:val="0"/>
        <w:widowControl/>
        <w:spacing w:line="298" w:lineRule="exact" w:before="300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Providing and securing cloud services is not a part of this proposal, but PLC is willing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to provide a copy of their own security plan for review. PLC also maintains yearly ISO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accreditation and can also provide that information. </w:t>
      </w:r>
    </w:p>
    <w:p>
      <w:pPr>
        <w:autoSpaceDN w:val="0"/>
        <w:tabs>
          <w:tab w:pos="432" w:val="left"/>
        </w:tabs>
        <w:autoSpaceDE w:val="0"/>
        <w:widowControl/>
        <w:spacing w:line="298" w:lineRule="exact" w:before="298" w:after="0"/>
        <w:ind w:left="72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FIPS 140-2 will end-of-life in 2026. Will the proposed solution be able to comply with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FIPS 140-3 by then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462C1"/>
          <w:sz w:val="24"/>
          <w:u w:val="single"/>
        </w:rPr>
        <w:hyperlink r:id="rId9" w:history="1">
          <w:r>
            <w:rPr>
              <w:rStyle w:val="Hyperlink"/>
            </w:rPr>
            <w:t>https://csrc.nist.gov/projects/fips-140-3-transition-effort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0" w:lineRule="exact" w:before="266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Yes </w:t>
      </w:r>
    </w:p>
    <w:p>
      <w:pPr>
        <w:autoSpaceDN w:val="0"/>
        <w:autoSpaceDE w:val="0"/>
        <w:widowControl/>
        <w:spacing w:line="330" w:lineRule="exact" w:before="264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7. Where is your hardware and electronics manufactured? </w:t>
      </w:r>
    </w:p>
    <w:p>
      <w:pPr>
        <w:autoSpaceDN w:val="0"/>
        <w:autoSpaceDE w:val="0"/>
        <w:widowControl/>
        <w:spacing w:line="298" w:lineRule="exact" w:before="300" w:after="0"/>
        <w:ind w:left="432" w:right="288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PLC does not provide servers, electronics, or network hardware. PLC recommends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industry standard Zebra Technologies for barcode equipment and Dell servers but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since this in an on-premise system it is the lab’s choice. </w:t>
      </w:r>
    </w:p>
    <w:p>
      <w:pPr>
        <w:autoSpaceDN w:val="0"/>
        <w:autoSpaceDE w:val="0"/>
        <w:widowControl/>
        <w:spacing w:line="328" w:lineRule="exact" w:before="266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8. Describe the disaster recovery and backup plan for the proposed solution. </w:t>
      </w:r>
    </w:p>
    <w:p>
      <w:pPr>
        <w:autoSpaceDN w:val="0"/>
        <w:autoSpaceDE w:val="0"/>
        <w:widowControl/>
        <w:spacing w:line="298" w:lineRule="exact" w:before="29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For on-premise solutions, the customer will configure and maintain redundancy to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meet their desired level of availability. The customer will also perform backups and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store the media physically or in the cloud according to their in-house retention policies. </w:t>
      </w:r>
    </w:p>
    <w:p>
      <w:pPr>
        <w:autoSpaceDN w:val="0"/>
        <w:autoSpaceDE w:val="0"/>
        <w:widowControl/>
        <w:spacing w:line="300" w:lineRule="exact" w:before="28" w:after="0"/>
        <w:ind w:left="432" w:right="576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The customer will perform restoration tests on an annual basis. PLC will provide </w:t>
      </w:r>
      <w:r>
        <w:rPr>
          <w:rFonts w:ascii="ArialMT" w:hAnsi="ArialMT" w:eastAsia="ArialMT"/>
          <w:b w:val="0"/>
          <w:i w:val="0"/>
          <w:color w:val="006FC0"/>
          <w:sz w:val="24"/>
        </w:rPr>
        <w:t>necessary consultation and assistance with tests and actual recovery if required.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sectPr>
          <w:pgSz w:w="12240" w:h="15840"/>
          <w:pgMar w:top="790" w:right="111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tabs>
          <w:tab w:pos="432" w:val="left"/>
        </w:tabs>
        <w:autoSpaceDE w:val="0"/>
        <w:widowControl/>
        <w:spacing w:line="296" w:lineRule="exact" w:before="34" w:after="0"/>
        <w:ind w:left="72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9. How frequently is data backed up and how frequently is the disaster recovery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capability tested? </w:t>
      </w:r>
    </w:p>
    <w:p>
      <w:pPr>
        <w:autoSpaceDN w:val="0"/>
        <w:autoSpaceDE w:val="0"/>
        <w:widowControl/>
        <w:spacing w:line="298" w:lineRule="exact" w:before="162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PLC does not provide this service for on-premise systems. PLC will participate and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help plan the testing of the restore process with the in-house IT staff. The data can be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backed up every 15 minutes if desired. </w:t>
      </w:r>
    </w:p>
    <w:p>
      <w:pPr>
        <w:autoSpaceDN w:val="0"/>
        <w:tabs>
          <w:tab w:pos="432" w:val="left"/>
        </w:tabs>
        <w:autoSpaceDE w:val="0"/>
        <w:widowControl/>
        <w:spacing w:line="298" w:lineRule="exact" w:before="160" w:after="0"/>
        <w:ind w:left="72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security awareness training required for all employees and contractors who access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system? </w:t>
      </w:r>
    </w:p>
    <w:p>
      <w:pPr>
        <w:autoSpaceDN w:val="0"/>
        <w:autoSpaceDE w:val="0"/>
        <w:widowControl/>
        <w:spacing w:line="298" w:lineRule="exact" w:before="29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All of PLC’s support staff receive training via CJIS online – level 4. PLC also conducts </w:t>
      </w:r>
      <w:r>
        <w:rPr>
          <w:rFonts w:ascii="ArialMT" w:hAnsi="ArialMT" w:eastAsia="ArialMT"/>
          <w:b w:val="0"/>
          <w:i w:val="0"/>
          <w:color w:val="006FC0"/>
          <w:sz w:val="24"/>
        </w:rPr>
        <w:t xml:space="preserve">annual internal security training according to our security plan. </w:t>
      </w:r>
    </w:p>
    <w:p>
      <w:pPr>
        <w:autoSpaceDN w:val="0"/>
        <w:tabs>
          <w:tab w:pos="432" w:val="left"/>
        </w:tabs>
        <w:autoSpaceDE w:val="0"/>
        <w:widowControl/>
        <w:spacing w:line="300" w:lineRule="exact" w:before="296" w:after="0"/>
        <w:ind w:left="72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 criminal background checks required for all employees and contractors who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access the system? </w:t>
      </w:r>
    </w:p>
    <w:p>
      <w:pPr>
        <w:autoSpaceDN w:val="0"/>
        <w:autoSpaceDE w:val="0"/>
        <w:widowControl/>
        <w:spacing w:line="298" w:lineRule="exact" w:before="296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Yes. However, being an on-premise system the lab or state would perform conduct the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checks before issuing credentials to the contractor. </w:t>
      </w:r>
    </w:p>
    <w:p>
      <w:pPr>
        <w:autoSpaceDN w:val="0"/>
        <w:autoSpaceDE w:val="0"/>
        <w:widowControl/>
        <w:spacing w:line="330" w:lineRule="exact" w:before="266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data encrypted in transit? What kind of encryption is used? </w:t>
      </w:r>
    </w:p>
    <w:p>
      <w:pPr>
        <w:autoSpaceDN w:val="0"/>
        <w:autoSpaceDE w:val="0"/>
        <w:widowControl/>
        <w:spacing w:line="330" w:lineRule="exact" w:before="264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Yes, TLS 1.2 </w:t>
      </w:r>
    </w:p>
    <w:p>
      <w:pPr>
        <w:autoSpaceDN w:val="0"/>
        <w:autoSpaceDE w:val="0"/>
        <w:widowControl/>
        <w:spacing w:line="330" w:lineRule="exact" w:before="266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13.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Does the web server support any legacy protocols? </w:t>
      </w:r>
    </w:p>
    <w:p>
      <w:pPr>
        <w:autoSpaceDN w:val="0"/>
        <w:autoSpaceDE w:val="0"/>
        <w:widowControl/>
        <w:spacing w:line="298" w:lineRule="exact" w:before="300" w:after="0"/>
        <w:ind w:left="432" w:right="72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Only if required. For example, Azure Open ID connect would be preferred over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application defined passwords or basic authentication. The software can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accommodate either.   This is an on-premise system and the software would be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configured to fit within the requirements of the state. </w:t>
      </w:r>
    </w:p>
    <w:p>
      <w:pPr>
        <w:autoSpaceDN w:val="0"/>
        <w:autoSpaceDE w:val="0"/>
        <w:widowControl/>
        <w:spacing w:line="330" w:lineRule="exact" w:before="266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14.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Does the web application require any plug-ins (e.g., Flash, Java, etc.)? </w:t>
      </w:r>
    </w:p>
    <w:p>
      <w:pPr>
        <w:autoSpaceDN w:val="0"/>
        <w:autoSpaceDE w:val="0"/>
        <w:widowControl/>
        <w:spacing w:line="270" w:lineRule="exact" w:before="168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Flash and Java are not required. Plug ins for Adobe Reader and PLC’s URI are </w:t>
      </w:r>
    </w:p>
    <w:p>
      <w:pPr>
        <w:autoSpaceDN w:val="0"/>
        <w:autoSpaceDE w:val="0"/>
        <w:widowControl/>
        <w:spacing w:line="298" w:lineRule="exact" w:before="32" w:after="0"/>
        <w:ind w:left="432" w:right="576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installed. PLC URI is a custom uri PLC uses to facility some local service such as </w:t>
      </w: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barcode printing, office automation,  and instrument interfaces. </w:t>
      </w:r>
    </w:p>
    <w:p>
      <w:pPr>
        <w:autoSpaceDN w:val="0"/>
        <w:autoSpaceDE w:val="0"/>
        <w:widowControl/>
        <w:spacing w:line="330" w:lineRule="exact" w:before="128" w:after="0"/>
        <w:ind w:left="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15.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What browsers are supported by the web application? </w:t>
      </w:r>
    </w:p>
    <w:p>
      <w:pPr>
        <w:autoSpaceDN w:val="0"/>
        <w:autoSpaceDE w:val="0"/>
        <w:widowControl/>
        <w:spacing w:line="330" w:lineRule="exact" w:before="244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>Edge and Chrome are supported.</w:t>
      </w:r>
    </w:p>
    <w:p>
      <w:pPr>
        <w:autoSpaceDN w:val="0"/>
        <w:tabs>
          <w:tab w:pos="432" w:val="left"/>
        </w:tabs>
        <w:autoSpaceDE w:val="0"/>
        <w:widowControl/>
        <w:spacing w:line="298" w:lineRule="exact" w:before="572" w:after="0"/>
        <w:ind w:left="72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Does the application process any data that is protected by law (Criminal Justice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Information, Protected Health information, personally identifiable information, etc.? </w:t>
      </w:r>
    </w:p>
    <w:p>
      <w:pPr>
        <w:autoSpaceDN w:val="0"/>
        <w:autoSpaceDE w:val="0"/>
        <w:widowControl/>
        <w:spacing w:line="328" w:lineRule="exact" w:before="130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4471C4"/>
          <w:sz w:val="24"/>
        </w:rPr>
        <w:t xml:space="preserve">Yes, this is a system that deals with both CJI and PII. </w:t>
      </w:r>
    </w:p>
    <w:sectPr w:rsidR="00FC693F" w:rsidRPr="0006063C" w:rsidSect="00034616">
      <w:pgSz w:w="12240" w:h="15840"/>
      <w:pgMar w:top="710" w:right="1092" w:bottom="86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src.nist.gov/projects/fips-140-3-transition-eff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