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DML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Группы команд SQL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Оператор SELECT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Структура оператора SELECT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Условия выполнения оператора SELECT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JOINS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Подзапросы (subqueries)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Set Operators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Группировка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Агрегатные функции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Условия ANY, ALL, SOME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Логический оператор условия IN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Логический оператор условия LIKE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Функция REGEXP_LIKE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Логический оператор условия EXISTS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Логический оператор условия BETWEEN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Выражение CASE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Группы команд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743200" y="1475907"/>
                              <a:ext cx="2148490" cy="248584"/>
                            </a:xfrm>
                            <a:custGeom>
                              <a:pathLst>
                                <a:path extrusionOk="0" h="248585" w="2148491">
                                  <a:moveTo>
                                    <a:pt x="0" y="0"/>
                                  </a:moveTo>
                                  <a:lnTo>
                                    <a:pt x="0" y="124292"/>
                                  </a:lnTo>
                                  <a:lnTo>
                                    <a:pt x="2148491" y="124292"/>
                                  </a:lnTo>
                                  <a:lnTo>
                                    <a:pt x="2148491" y="248585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743200" y="1475907"/>
                              <a:ext cx="716162" cy="248584"/>
                            </a:xfrm>
                            <a:custGeom>
                              <a:pathLst>
                                <a:path extrusionOk="0" h="248585" w="716163">
                                  <a:moveTo>
                                    <a:pt x="0" y="0"/>
                                  </a:moveTo>
                                  <a:lnTo>
                                    <a:pt x="0" y="124292"/>
                                  </a:lnTo>
                                  <a:lnTo>
                                    <a:pt x="716163" y="124292"/>
                                  </a:lnTo>
                                  <a:lnTo>
                                    <a:pt x="716163" y="248585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027035" y="1475907"/>
                              <a:ext cx="716162" cy="248584"/>
                            </a:xfrm>
                            <a:custGeom>
                              <a:pathLst>
                                <a:path extrusionOk="0" h="248585" w="716163">
                                  <a:moveTo>
                                    <a:pt x="716163" y="0"/>
                                  </a:moveTo>
                                  <a:lnTo>
                                    <a:pt x="716163" y="124292"/>
                                  </a:lnTo>
                                  <a:lnTo>
                                    <a:pt x="0" y="124292"/>
                                  </a:lnTo>
                                  <a:lnTo>
                                    <a:pt x="0" y="248585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94708" y="1475907"/>
                              <a:ext cx="2148490" cy="248584"/>
                            </a:xfrm>
                            <a:custGeom>
                              <a:pathLst>
                                <a:path extrusionOk="0" h="248585" w="2148491">
                                  <a:moveTo>
                                    <a:pt x="2148491" y="0"/>
                                  </a:moveTo>
                                  <a:lnTo>
                                    <a:pt x="2148491" y="124292"/>
                                  </a:lnTo>
                                  <a:lnTo>
                                    <a:pt x="0" y="124292"/>
                                  </a:lnTo>
                                  <a:lnTo>
                                    <a:pt x="0" y="248585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51328" y="884036"/>
                              <a:ext cx="1183741" cy="591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2151328" y="884036"/>
                              <a:ext cx="1183741" cy="5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66.00000381469727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6"/>
                                    <w:vertAlign w:val="baseline"/>
                                  </w:rPr>
                                  <w:t xml:space="preserve">SQL</w:t>
                                </w:r>
                              </w:p>
                            </w:txbxContent>
                          </wps:txbx>
                          <wps:bodyPr anchorCtr="0" anchor="ctr" bIns="24125" lIns="24125" rIns="24125" tIns="241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37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2837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66.00000381469727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6"/>
                                    <w:vertAlign w:val="baseline"/>
                                  </w:rPr>
                                  <w:t xml:space="preserve">DDL</w:t>
                                </w:r>
                              </w:p>
                            </w:txbxContent>
                          </wps:txbx>
                          <wps:bodyPr anchorCtr="0" anchor="ctr" bIns="24125" lIns="24125" rIns="24125" tIns="241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35165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435165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66.00000381469727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6"/>
                                    <w:vertAlign w:val="baseline"/>
                                  </w:rPr>
                                  <w:t xml:space="preserve">DML</w:t>
                                </w:r>
                              </w:p>
                            </w:txbxContent>
                          </wps:txbx>
                          <wps:bodyPr anchorCtr="0" anchor="ctr" bIns="24125" lIns="24125" rIns="24125" tIns="241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867491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867491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66.00000381469727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6"/>
                                    <w:vertAlign w:val="baseline"/>
                                  </w:rPr>
                                  <w:t xml:space="preserve">DCL</w:t>
                                </w:r>
                              </w:p>
                            </w:txbxContent>
                          </wps:txbx>
                          <wps:bodyPr anchorCtr="0" anchor="ctr" bIns="24125" lIns="24125" rIns="24125" tIns="241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299819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4299819" y="1724491"/>
                              <a:ext cx="1183741" cy="5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66.00000381469727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6"/>
                                    <w:vertAlign w:val="baseline"/>
                                  </w:rPr>
                                  <w:t xml:space="preserve">TCL</w:t>
                                </w:r>
                              </w:p>
                            </w:txbxContent>
                          </wps:txbx>
                          <wps:bodyPr anchorCtr="0" anchor="ctr" bIns="24125" lIns="24125" rIns="24125" tIns="241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DDL – Data Definition Language – команды ddl позволяют изменять структуру базы данных (create, alter, drop)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DML – Data Manipulation Language – команды dml позволяют извлекать или изменять содержимое базы данных (то есть сами данные). К DML командам относят, в частности, следующие команды: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, Explain Plan, Lock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 – Data Control Language – команды dcl позволяют разграничивать права пользователя (grant, deny, revoke)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TCL – Transaction Control Language – команды tcl позволяют управлять транзакцией (set transaction, commit, rollback)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Оператор 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– это единственный sql-оператор, который используется при запросе данных.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Минимально возможная структура запроса выглядит следующим образом: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&lt;some column&gt;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&lt;some table&gt;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Ключевые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присутствуют в любом запросе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Структура оператора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[All|Distinct ] &lt;[Table.|TableAlias.]&lt;*|Column&gt; [ColumnAlias], 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Table1 [Table1Alias], Table2 [Table2Alias]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&lt;conditions&gt;]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&lt;Column1|Column1Alias&gt;, … [Asc|Desc]]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Условия выполнения оператора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выполнения запроса select к таблице или представлению, пользователю необходимо иметь привилегию select на эту таблицу или представление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Пользователю-владельцу схемы, в которой лежит представление, необходимо иметь привилегии select на все таблицы из этого представления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Существует, также, системная привилегия SELECT ANY TABLE, которая дает пользователю право на извлечение данных из любой таблицы или представления (view).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Соединения таблиц появляются при запросе к более чем одной таблице.  При этом при соединении трех и более таблиц, Oracle сначала соединяет две из них, потом результат соединения соединяет со следующей таблицей и так далее.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Условия связи таблиц задаются или в секции FROM, или в секции WHERE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Inner join (table1.id = table2.id_table1) – внутренние соединения – возвращаются только те записи, которые удовлетворяют условию соединения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Outer join – внешнее соединение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Left outer join (table1.id = table2.id_table1(+)) – левое внешнее соединение – соединяет те записи из обеих таблиц, которые удовлетворяют условию соединения, а также возвращает все записи из левой таблицы, что не удовлетворяют условию соединения.. Пустые поля заполняет значениями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Right outer join (table1.id(+) = table2.id_table1) – правое внешнее соединение – соединяет те записи из обеих таблиц, которые удовлетворяют условию соединения, а также возвращает все записи из правой таблицы, что не удовлетворяют условию соединения. Пустые поля заполняет значениями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Full outer join – полное внешнее соединение – соединяет те записи из обеих таблиц, которые удовлетворяют условию соединения, а также возвращает все записи, что не удовлетворяют условию соединения. Пустые поля заполняет значениями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Cartesian product – декартово произведение – эквивалентно перемножению множеств, а именно, возвращает все возможные соединения (комбинации) записей из обеих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Self join – иерархический запрос – соединение таблицы с самой собой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Partitioned outer join – выделяет часть таблицы (поля, определенные в partitioned clause) в отдельную партицию, которую соединяет с другой таблицей как outer join (или left outer join, или right outer 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Antijoin – соединение таблиц с помощью оператора условия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Semijoin – соединение таблиц с помощью оператора условия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Подзапросы (subqueries)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Подзапрос (subquery) – это select-запрос, вложенный в другой sql-запрос.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Подзапрос в секции select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Видит таблицы из внешнего from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Может выбирать не более одной записи и одного значения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Подзапрос в секции from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Воспринимается в запросе, как 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 видит таблиц из внешнего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Подзапрос в секции where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Видит таблицы из внешнего from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Для операции “=“ должен возвращать только одну строку и одно значение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Для операции in должен возвращать только одно значение (одно поле), но произвольное количество записей (или не возвращать ничего)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выполнение select оператора с подзапросами, Oracle самостоятельно может изменить структуру запроса (на идентичную по бизнес-смыслу) и избавиться от подзапроса. При необходимости это можно предотвратить, указав хинт  /*+ NO_QUERY_TRANSFORMATION */ или добавив в вывод подзапроса псевдостолбец rownum.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Set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Union All – возвращает объединение запросов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Union – после объединения запросов делает distinct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Intersect – возвращает пересечение запросов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Minus – вычитает результаты одного запроса из результатов другого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Запросы должны возвращать одинаковое количество полей, с одинаковыми типами данных в одинаковом порядке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Order by один на весь запрос и следует в конце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Группировка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Group by </w:t>
      </w:r>
      <w:r w:rsidDel="00000000" w:rsidR="00000000" w:rsidRPr="00000000">
        <w:rPr>
          <w:b w:val="1"/>
          <w:rtl w:val="0"/>
        </w:rPr>
        <w:t xml:space="preserve">clause </w:t>
      </w:r>
      <w:r w:rsidDel="00000000" w:rsidR="00000000" w:rsidRPr="00000000">
        <w:rPr>
          <w:rtl w:val="0"/>
        </w:rPr>
        <w:t xml:space="preserve">– самый  часто встречающийся вид группировки – группирует по перечисленным полям/выражениям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Group by </w:t>
      </w:r>
      <w:r w:rsidDel="00000000" w:rsidR="00000000" w:rsidRPr="00000000">
        <w:rPr>
          <w:b w:val="1"/>
          <w:rtl w:val="0"/>
        </w:rPr>
        <w:t xml:space="preserve">cube </w:t>
      </w:r>
      <w:r w:rsidDel="00000000" w:rsidR="00000000" w:rsidRPr="00000000">
        <w:rPr>
          <w:rtl w:val="0"/>
        </w:rPr>
        <w:t xml:space="preserve">– используется для построения отчетов – группирует по всем комбинациям указанных полей/выражений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Group by </w:t>
      </w:r>
      <w:r w:rsidDel="00000000" w:rsidR="00000000" w:rsidRPr="00000000">
        <w:rPr>
          <w:b w:val="1"/>
          <w:rtl w:val="0"/>
        </w:rPr>
        <w:t xml:space="preserve">rollup </w:t>
      </w:r>
      <w:r w:rsidDel="00000000" w:rsidR="00000000" w:rsidRPr="00000000">
        <w:rPr>
          <w:rtl w:val="0"/>
        </w:rPr>
        <w:t xml:space="preserve">– можно считать «урезанной» версией group by cube – группирует по указанным выражениям по следующему алгоритму: сначала группирует по всем выражениям, потом по всем выражениям минус одно (самое правое), после по всем выражениям минус два (самых правых) и так далее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Group by </w:t>
      </w:r>
      <w:r w:rsidDel="00000000" w:rsidR="00000000" w:rsidRPr="00000000">
        <w:rPr>
          <w:b w:val="1"/>
          <w:rtl w:val="0"/>
        </w:rPr>
        <w:t xml:space="preserve">grouping sets </w:t>
      </w:r>
      <w:r w:rsidDel="00000000" w:rsidR="00000000" w:rsidRPr="00000000">
        <w:rPr>
          <w:rtl w:val="0"/>
        </w:rPr>
        <w:t xml:space="preserve">– самый гибкий аналог group by cube – группирует по указанным наборам выражений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Кроме полей, указанных в условии группировки, в select-листе можно выводить только значения агрегатных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в группировке указана колонка с объектным типом, запрос не может быть распараллелен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условии группировки нельзя использовать поля/выражения с типами данных lob, varray, nested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Агрегатные функции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Возвращают агрегированное значение по набору данных.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Sum – возвращает сумму по группе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Min – возвращает минимальное значение по группе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Max – возвращает максимальное значение по группе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Count – возвращает количество записей  в группе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Avg  - возвращает среднее арифметическое значение по группе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All | Distinct – при вычислении значения агрегатной функции, с distinct не учитываются дубликаты.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Игнорируют значение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Могут использоваться только в секциях select, having и 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Условия ANY, ALL, 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Используются с операторами сравнения:  </w:t>
      </w:r>
      <w:r w:rsidDel="00000000" w:rsidR="00000000" w:rsidRPr="00000000">
        <w:rPr>
          <w:b w:val="1"/>
          <w:rtl w:val="0"/>
        </w:rPr>
        <w:t xml:space="preserve">= 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^=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&gt;=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&lt;=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ANY SOME – возвращает true, если операция истинна для  одного или больше значений из experssion_list, иначе false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ALL – возвращает true, если операция истинна для всех значений из expression_list, иначе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Логический оператор условия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1596390"/>
            <wp:effectExtent b="0" l="0" r="0" t="0"/>
            <wp:docPr descr="img5.gif" id="1" name="image10.gif"/>
            <a:graphic>
              <a:graphicData uri="http://schemas.openxmlformats.org/drawingml/2006/picture">
                <pic:pic>
                  <pic:nvPicPr>
                    <pic:cNvPr descr="img5.gif" id="0" name="image10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– эквивалентен =ANY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IN – эквивалентен !=ALL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Можно указать до 1000 значений/выражений в expression_list 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Эти выражения не всегда выполняются в том порядке, в каком они указаны в expression_list 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Если в expression_list(или результате subquery)  оператора NOT IN есть значение null, результат оператора всегда будет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Логический оператор условия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1375410"/>
            <wp:effectExtent b="0" l="0" r="0" t="0"/>
            <wp:docPr descr="img6.gif" id="3" name="image12.gif"/>
            <a:graphic>
              <a:graphicData uri="http://schemas.openxmlformats.org/drawingml/2006/picture">
                <pic:pic>
                  <pic:nvPicPr>
                    <pic:cNvPr descr="img6.gif" id="0" name="image1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Позволяет проверить строку на соответствие шаблону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Знак подчеркивания «_» соответствует любому одному символу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Знак процента «%» соответствует любой строке, в том числе пустой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Выражения char1, char2 и esc_char могут иметь один из следующих типов данных: CHAR, VARCHAR2, NCHAR ИЛИ NVARCHAR2. Если типы данных у выражений отличаются, Oracle неявно приводит все выражения к типу данных char1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Зависимость от регистра прописывается в настройках БД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При поиске по индексированному полю, Oracle может использовать индекс и улучшить производительность запроса только в том случае, если первый символ шаблона не % и _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Функция REGEXP_LIKE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642620"/>
            <wp:effectExtent b="0" l="0" r="0" t="0"/>
            <wp:docPr descr="img13.gif" id="2" name="image11.gif"/>
            <a:graphic>
              <a:graphicData uri="http://schemas.openxmlformats.org/drawingml/2006/picture">
                <pic:pic>
                  <pic:nvPicPr>
                    <pic:cNvPr descr="img13.gif" id="0" name="image1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source_char</w:t>
      </w:r>
      <w:r w:rsidDel="00000000" w:rsidR="00000000" w:rsidRPr="00000000">
        <w:rPr>
          <w:rtl w:val="0"/>
        </w:rPr>
        <w:t xml:space="preserve"> – строка (как правило, строковое поле таблицы), которую сравниваем с шаблоном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– регулярное выражение (шаблон), максимальный размер 512 байт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match_param</w:t>
      </w:r>
      <w:r w:rsidDel="00000000" w:rsidR="00000000" w:rsidRPr="00000000">
        <w:rPr>
          <w:rtl w:val="0"/>
        </w:rPr>
        <w:t xml:space="preserve"> – параметры сравнения (i – регистронезависимое сравнение, с – регистрозависимое и некоторые другие)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Синтаксис регулярного выражения (pattern)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Логический оператор условия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027126" cy="277864"/>
            <wp:effectExtent b="0" l="0" r="0" t="0"/>
            <wp:docPr descr="img8.gif" id="5" name="image14.gif"/>
            <a:graphic>
              <a:graphicData uri="http://schemas.openxmlformats.org/drawingml/2006/picture">
                <pic:pic>
                  <pic:nvPicPr>
                    <pic:cNvPr descr="img8.gif" id="0" name="image1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126" cy="27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Возвращает true, если результат подзапроса содержит хотя бы одну запись. Иначе false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Логический оператор условия 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669925"/>
            <wp:effectExtent b="0" l="0" r="0" t="0"/>
            <wp:docPr descr="img7.gif" id="4" name="image13.gif"/>
            <a:graphic>
              <a:graphicData uri="http://schemas.openxmlformats.org/drawingml/2006/picture">
                <pic:pic>
                  <pic:nvPicPr>
                    <pic:cNvPr descr="img7.gif" id="0" name="image1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Возвращает true, если значение выражения expr1 входит в интервал expr2 и expr3 (включая границы). Т.е. эквивалентно такому условию: expr2 &lt;= expr1 AND expr1 &lt;= expr3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Все три выражения должны иметь числовой, строковый или datetime тип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Если результаты выражений expr1, expr2 и expr3 имеют разные типы данных, Oracle неявно производит преобразование к единому типу данных. В случае, если преобразование невозможно, генерируется исключение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expr1 between expr2 and expr3, где expr3 &lt; expr2, возвращает null при expr1 равным null, и возвращает false при expr1 не равным null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expr1 not between expr2 and expr3, где expr3 &lt; expr2 и expr1 не null, возвращает true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Выражение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822325"/>
            <wp:effectExtent b="0" l="0" r="0" t="0"/>
            <wp:docPr descr="img9.gif" id="7" name="image16.gif"/>
            <a:graphic>
              <a:graphicData uri="http://schemas.openxmlformats.org/drawingml/2006/picture">
                <pic:pic>
                  <pic:nvPicPr>
                    <pic:cNvPr descr="img9.gif" id="0" name="image16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simple_case_expression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3924300" cy="371475"/>
            <wp:effectExtent b="0" l="0" r="0" t="0"/>
            <wp:docPr descr="img10.gif" id="6" name="image15.gif"/>
            <a:graphic>
              <a:graphicData uri="http://schemas.openxmlformats.org/drawingml/2006/picture">
                <pic:pic>
                  <pic:nvPicPr>
                    <pic:cNvPr descr="img10.gif" id="0" name="image15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searched_case_expression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086100" cy="371475"/>
            <wp:effectExtent b="0" l="0" r="0" t="0"/>
            <wp:docPr descr="img11.gif" id="9" name="image18.gif"/>
            <a:graphic>
              <a:graphicData uri="http://schemas.openxmlformats.org/drawingml/2006/picture">
                <pic:pic>
                  <pic:nvPicPr>
                    <pic:cNvPr descr="img11.gif" id="0" name="image18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else_clause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419225" cy="257175"/>
            <wp:effectExtent b="0" l="0" r="0" t="0"/>
            <wp:docPr descr="img12.gif" id="8" name="image17.gif"/>
            <a:graphic>
              <a:graphicData uri="http://schemas.openxmlformats.org/drawingml/2006/picture">
                <pic:pic>
                  <pic:nvPicPr>
                    <pic:cNvPr descr="img12.gif" id="0" name="image17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Позволяет использовать if… then…else логику в sql-выражениях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случая с searched_case_expression Oracle проверяет все условия слева направо до первого true, и возвращает соответствующий ему return_expr. Если такого условия не находится, возвращается else_expr. Если секция ELSE отсутствует, возвращается null. 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Допускает не более 65535 аргументов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expr, comparison_expr и return_expr допускает следующие типы данных: CHAR, VARCHAR2, NCHAR или NVARCHAR2, NUMBER,BINARY_FLOAT или BINARY_DOUBLE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Типы данных expr, comparison_expr должны совпадать. В случае, если типы данных не совпадают, Oracle пытается неявно привести их к единому типу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284" w:left="284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143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oracle.com/cd/E11882_01/server.112/e41084/ap_posix.htm" TargetMode="External"/><Relationship Id="rId10" Type="http://schemas.openxmlformats.org/officeDocument/2006/relationships/image" Target="media/image11.gif"/><Relationship Id="rId13" Type="http://schemas.openxmlformats.org/officeDocument/2006/relationships/image" Target="media/image13.gif"/><Relationship Id="rId12" Type="http://schemas.openxmlformats.org/officeDocument/2006/relationships/image" Target="media/image14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gif"/><Relationship Id="rId15" Type="http://schemas.openxmlformats.org/officeDocument/2006/relationships/image" Target="media/image15.gif"/><Relationship Id="rId14" Type="http://schemas.openxmlformats.org/officeDocument/2006/relationships/image" Target="media/image16.gif"/><Relationship Id="rId17" Type="http://schemas.openxmlformats.org/officeDocument/2006/relationships/image" Target="media/image17.gif"/><Relationship Id="rId16" Type="http://schemas.openxmlformats.org/officeDocument/2006/relationships/image" Target="media/image18.gif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20.png"/><Relationship Id="rId8" Type="http://schemas.openxmlformats.org/officeDocument/2006/relationships/image" Target="media/image10.gif"/></Relationships>
</file>