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1F6F70"/>
          <w:spacing w:val="60"/>
          <w:sz w:val="26"/>
          <w:szCs w:val="26"/>
        </w:rPr>
        <w:t xml:space="preserve">GO SIT</w:t>
      </w:r>
    </w:p>
    <w:p>
      <w:pPr>
        <w:spacing w:after="200"/>
      </w:pPr>
      <w:r>
        <w:rPr>
          <w:b/>
          <w:bCs/>
          <w:color w:val="1F2A2A"/>
          <w:sz w:val="56"/>
          <w:szCs w:val="56"/>
        </w:rPr>
        <w:t xml:space="preserve">Legal Consultation Preparation Pack</w:t>
      </w:r>
    </w:p>
    <w:p>
      <w:pPr>
        <w:spacing w:after="600"/>
      </w:pPr>
      <w:r>
        <w:rPr>
          <w:color w:val="5B6666"/>
          <w:sz w:val="26"/>
          <w:szCs w:val="26"/>
        </w:rPr>
        <w:t xml:space="preserve">What to bring, what to decide first, and what to ask — before approaching government agencies about licences and registrations</w:t>
      </w:r>
    </w:p>
    <w:p>
      <w:pPr>
        <w:spacing w:after="120"/>
      </w:pPr>
      <w:r>
        <w:rPr>
          <w:b/>
          <w:bCs/>
        </w:rPr>
        <w:t xml:space="preserve">Business:</w:t>
      </w:r>
      <w:r>
        <w:t xml:space="preserve"> Go Sit — trusted care marketplace (Ontario first, Canada-wide later)</w:t>
      </w:r>
    </w:p>
    <w:p>
      <w:pPr>
        <w:spacing w:after="120"/>
      </w:pPr>
      <w:r>
        <w:rPr>
          <w:b/>
          <w:bCs/>
        </w:rPr>
        <w:t xml:space="preserve">Prepared:</w:t>
      </w:r>
      <w:r>
        <w:t xml:space="preserve"> September 10, 2026</w:t>
      </w:r>
    </w:p>
    <w:p>
      <w:pPr>
        <w:spacing w:after="120"/>
      </w:pPr>
      <w:r>
        <w:rPr>
          <w:b/>
          <w:bCs/>
        </w:rPr>
        <w:t xml:space="preserve">Prepared by:</w:t>
      </w:r>
      <w:r>
        <w:t xml:space="preserve"> ______________________________</w:t>
      </w:r>
    </w:p>
    <w:p>
      <w:pPr>
        <w:spacing w:after="120"/>
      </w:pPr>
      <w:r>
        <w:rPr>
          <w:b/>
          <w:bCs/>
        </w:rPr>
        <w:t xml:space="preserve">Lawyer / firm:</w:t>
      </w:r>
      <w:r>
        <w:t xml:space="preserve"> ______________________________        </w:t>
      </w:r>
      <w:r>
        <w:rPr>
          <w:b/>
          <w:bCs/>
        </w:rPr>
        <w:t xml:space="preserve">Meeting date:</w:t>
      </w:r>
      <w:r>
        <w:t xml:space="preserve"> ________________</w:t>
      </w:r>
    </w:p>
    <w:p>
      <w:pPr>
        <w:spacing w:after="120"/>
      </w:pPr>
    </w:p>
    <w:p>
      <w:pPr>
        <w:pBdr>
          <w:left w:val="single" w:color="D9A21B" w:sz="24" w:space="10"/>
        </w:pBdr>
        <w:shd w:fill="FFF6E0" w:color="auto" w:val="clear"/>
        <w:spacing w:after="60" w:before="120"/>
        <w:ind w:left="200" w:right="120"/>
      </w:pPr>
      <w:r>
        <w:rPr>
          <w:b/>
          <w:bCs/>
        </w:rPr>
        <w:t xml:space="preserve">Confidential — prepared for the purpose of obtaining legal advice.</w:t>
      </w:r>
    </w:p>
    <w:p>
      <w:pPr>
        <w:pBdr>
          <w:left w:val="single" w:color="D9A21B" w:sz="24" w:space="10"/>
        </w:pBdr>
        <w:shd w:fill="FFF6E0" w:color="auto" w:val="clear"/>
        <w:spacing w:after="200" w:before="0"/>
        <w:ind w:left="200" w:right="120"/>
      </w:pPr>
      <w:r>
        <w:t xml:space="preserve">This pack organises facts and questions for a lawyer. It is not legal advice. Laws and agencies are named so counsel can confirm whether and how they apply; some may have changed or may not apply to Go Sit at all.</w:t>
      </w:r>
    </w:p>
    <w:p>
      <w:pPr>
        <w:pStyle w:val="Heading2"/>
      </w:pPr>
      <w:r>
        <w:t xml:space="preserve">What is in this pack</w:t>
      </w:r>
    </w:p>
    <w:p>
      <w:pPr>
        <w:pStyle w:val="ListParagraph"/>
        <w:numPr>
          <w:ilvl w:val="0"/>
          <w:numId w:val="2"/>
        </w:numPr>
        <w:spacing w:after="60"/>
      </w:pPr>
      <w:r>
        <w:rPr>
          <w:b/>
          <w:bCs/>
        </w:rPr>
        <w:t xml:space="preserve">1. The short version</w:t>
      </w:r>
      <w:r>
        <w:t xml:space="preserve"> — the one-page summary to open the meeting with</w:t>
      </w:r>
    </w:p>
    <w:p>
      <w:pPr>
        <w:pStyle w:val="ListParagraph"/>
        <w:numPr>
          <w:ilvl w:val="0"/>
          <w:numId w:val="2"/>
        </w:numPr>
        <w:spacing w:after="60"/>
      </w:pPr>
      <w:r>
        <w:rPr>
          <w:b/>
          <w:bCs/>
        </w:rPr>
        <w:t xml:space="preserve">2. How Go Sit works</w:t>
      </w:r>
      <w:r>
        <w:t xml:space="preserve"> — facts taken from the product as it is actually built</w:t>
      </w:r>
    </w:p>
    <w:p>
      <w:pPr>
        <w:pStyle w:val="ListParagraph"/>
        <w:numPr>
          <w:ilvl w:val="0"/>
          <w:numId w:val="2"/>
        </w:numPr>
        <w:spacing w:after="60"/>
      </w:pPr>
      <w:r>
        <w:rPr>
          <w:b/>
          <w:bCs/>
        </w:rPr>
        <w:t xml:space="preserve">3. What to bring</w:t>
      </w:r>
      <w:r>
        <w:t xml:space="preserve"> — documents and information checklist</w:t>
      </w:r>
    </w:p>
    <w:p>
      <w:pPr>
        <w:pStyle w:val="ListParagraph"/>
        <w:numPr>
          <w:ilvl w:val="0"/>
          <w:numId w:val="2"/>
        </w:numPr>
        <w:spacing w:after="60"/>
      </w:pPr>
      <w:r>
        <w:rPr>
          <w:b/>
          <w:bCs/>
        </w:rPr>
        <w:t xml:space="preserve">4. Decisions to make first</w:t>
      </w:r>
      <w:r>
        <w:t xml:space="preserve"> — the answers the lawyer's advice will depend on</w:t>
      </w:r>
    </w:p>
    <w:p>
      <w:pPr>
        <w:pStyle w:val="ListParagraph"/>
        <w:numPr>
          <w:ilvl w:val="0"/>
          <w:numId w:val="2"/>
        </w:numPr>
        <w:spacing w:after="60"/>
      </w:pPr>
      <w:r>
        <w:rPr>
          <w:b/>
          <w:bCs/>
        </w:rPr>
        <w:t xml:space="preserve">5. Questions to ask</w:t>
      </w:r>
      <w:r>
        <w:t xml:space="preserve"> — numbered Q1 onwards, grouped by topic</w:t>
      </w:r>
    </w:p>
    <w:p>
      <w:pPr>
        <w:pStyle w:val="ListParagraph"/>
        <w:numPr>
          <w:ilvl w:val="0"/>
          <w:numId w:val="2"/>
        </w:numPr>
        <w:spacing w:after="60"/>
      </w:pPr>
      <w:r>
        <w:rPr>
          <w:b/>
          <w:bCs/>
        </w:rPr>
        <w:t xml:space="preserve">6. Government bodies you may deal with</w:t>
      </w:r>
    </w:p>
    <w:p>
      <w:pPr>
        <w:pStyle w:val="ListParagraph"/>
        <w:numPr>
          <w:ilvl w:val="0"/>
          <w:numId w:val="2"/>
        </w:numPr>
        <w:spacing w:after="60"/>
      </w:pPr>
      <w:r>
        <w:rPr>
          <w:b/>
          <w:bCs/>
        </w:rPr>
        <w:t xml:space="preserve">7. After the meeting</w:t>
      </w:r>
      <w:r>
        <w:t xml:space="preserve"> — a tracker for answers and next steps</w:t>
      </w:r>
    </w:p>
    <w:p>
      <w:pPr>
        <w:pStyle w:val="ListParagraph"/>
        <w:numPr>
          <w:ilvl w:val="0"/>
          <w:numId w:val="2"/>
        </w:numPr>
        <w:spacing w:after="60"/>
      </w:pPr>
      <w:r>
        <w:rPr>
          <w:b/>
          <w:bCs/>
        </w:rPr>
        <w:t xml:space="preserve">Appendices</w:t>
      </w:r>
      <w:r>
        <w:t xml:space="preserve"> — service list, data inventory, and a worked money-flow example</w:t>
      </w:r>
    </w:p>
    <w:p>
      <w:pPr>
        <w:pStyle w:val="Heading1"/>
        <w:pageBreakBefore/>
      </w:pPr>
      <w:r>
        <w:t xml:space="preserve">1. The short version</w:t>
      </w:r>
    </w:p>
    <w:p>
      <w:pPr>
        <w:spacing w:after="120"/>
      </w:pPr>
      <w:r>
        <w:t xml:space="preserve">Go Sit is an online marketplace, launching in Ontario, that connects people arranging care (families) with independent caregivers for </w:t>
      </w:r>
      <w:r>
        <w:rPr>
          <w:b/>
          <w:bCs/>
        </w:rPr>
        <w:t xml:space="preserve">non-medical</w:t>
      </w:r>
      <w:r>
        <w:t xml:space="preserve"> child care, senior care, special-needs support, family support and pet care. Families book and pay through the platform; caregivers set their own rates, accept or decline requests, and are paid to their bank account after the booking. Go Sit screens caregivers, holds payments through a dispute window, moderates safety issues, and takes a commission.</w:t>
      </w:r>
    </w:p>
    <w:p>
      <w:pPr>
        <w:pStyle w:val="Heading2"/>
      </w:pPr>
      <w:r>
        <w:t xml:space="preserve">Set expectations at the start of the meeting</w:t>
      </w:r>
    </w:p>
    <w:p>
      <w:pPr>
        <w:spacing w:after="120"/>
      </w:pPr>
      <w:r>
        <w:t xml:space="preserve">There may be no single government "licence" to operate a care-matching platform in Ontario. Much of the legal work is likely to be:</w:t>
      </w:r>
    </w:p>
    <w:p>
      <w:pPr>
        <w:pStyle w:val="ListParagraph"/>
        <w:numPr>
          <w:ilvl w:val="0"/>
          <w:numId w:val="2"/>
        </w:numPr>
        <w:spacing w:after="60"/>
      </w:pPr>
      <w:r>
        <w:rPr>
          <w:b/>
          <w:bCs/>
        </w:rPr>
        <w:t xml:space="preserve">Confirming Go Sit does not accidentally fall into a regulated category</w:t>
      </w:r>
      <w:r>
        <w:t xml:space="preserve"> — for example a licensed home child care agency, an employer of caregivers, a regulated payment service provider, a vehicle-for-hire business, or a provider of controlled health acts — and designing the business so it stays out of any category it should not be in; and</w:t>
      </w:r>
    </w:p>
    <w:p>
      <w:pPr>
        <w:pStyle w:val="ListParagraph"/>
        <w:numPr>
          <w:ilvl w:val="0"/>
          <w:numId w:val="2"/>
        </w:numPr>
        <w:spacing w:after="60"/>
      </w:pPr>
      <w:r>
        <w:rPr>
          <w:b/>
          <w:bCs/>
        </w:rPr>
        <w:t xml:space="preserve">The registrations, contracts, privacy, tax and insurance</w:t>
      </w:r>
      <w:r>
        <w:t xml:space="preserve"> that any business of this kind needs.</w:t>
      </w:r>
    </w:p>
    <w:p>
      <w:pPr>
        <w:spacing w:after="120"/>
      </w:pPr>
      <w:r>
        <w:t xml:space="preserve">Ask the lawyer to confirm or correct that framing first. It decides which agencies you actually need to approach, and in what order.</w:t>
      </w:r>
    </w:p>
    <w:p>
      <w:pPr>
        <w:pStyle w:val="Heading2"/>
      </w:pPr>
      <w:r>
        <w:t xml:space="preserve">The five issues most likely to matter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C9D6D6" w:sz="4"/>
              <w:left w:val="single" w:color="C9D6D6" w:sz="4"/>
              <w:bottom w:val="single" w:color="C9D6D6" w:sz="4"/>
              <w:right w:val="single" w:color="C9D6D6" w:sz="4"/>
            </w:tcBorders>
            <w:shd w:fill="E3F1F1" w:color="auto" w:val="clear"/>
            <w:tcMar>
              <w:top w:type="dxa" w:w="70"/>
              <w:left w:type="dxa" w:w="110"/>
              <w:bottom w:type="dxa" w:w="70"/>
              <w:right w:type="dxa" w:w="110"/>
            </w:tcMar>
          </w:tcPr>
          <w:p>
            <w:pPr>
              <w:spacing w:after="20"/>
            </w:pPr>
            <w:r>
              <w:rPr>
                <w:b/>
                <w:bCs/>
                <w:color w:val="1F2A2A"/>
                <w:sz w:val="19"/>
                <w:szCs w:val="19"/>
              </w:rPr>
              <w:t xml:space="preserve">Issue</w:t>
            </w:r>
          </w:p>
        </w:tc>
        <w:tc>
          <w:tcPr>
            <w:tcW w:type="dxa" w:w="7680"/>
            <w:tcBorders>
              <w:top w:val="single" w:color="C9D6D6" w:sz="4"/>
              <w:left w:val="single" w:color="C9D6D6" w:sz="4"/>
              <w:bottom w:val="single" w:color="C9D6D6" w:sz="4"/>
              <w:right w:val="single" w:color="C9D6D6" w:sz="4"/>
            </w:tcBorders>
            <w:shd w:fill="E3F1F1" w:color="auto" w:val="clear"/>
            <w:tcMar>
              <w:top w:type="dxa" w:w="70"/>
              <w:left w:type="dxa" w:w="110"/>
              <w:bottom w:type="dxa" w:w="70"/>
              <w:right w:type="dxa" w:w="110"/>
            </w:tcMar>
          </w:tcPr>
          <w:p>
            <w:pPr>
              <w:spacing w:after="20"/>
            </w:pPr>
            <w:r>
              <w:rPr>
                <w:b/>
                <w:bCs/>
                <w:color w:val="1F2A2A"/>
                <w:sz w:val="19"/>
                <w:szCs w:val="19"/>
              </w:rPr>
              <w:t xml:space="preserve">Why it matters for Go Sit</w:t>
            </w:r>
          </w:p>
        </w:tc>
      </w:tr>
      <w:tr>
        <w:trPr>
          <w:cantSplit/>
        </w:trPr>
        <w:tc>
          <w:tcPr>
            <w:tcW w:type="dxa" w:w="24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Caregiver status</w:t>
            </w:r>
          </w:p>
        </w:tc>
        <w:tc>
          <w:tcPr>
            <w:tcW w:type="dxa" w:w="76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Whether caregivers are independent contractors, Go Sit employees, or employees of families drives payroll, WSIB, minimum wage and liability exposure.</w:t>
            </w:r>
          </w:p>
        </w:tc>
      </w:tr>
      <w:tr>
        <w:trPr>
          <w:cantSplit/>
        </w:trPr>
        <w:tc>
          <w:tcPr>
            <w:tcW w:type="dxa" w:w="24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Child care licensing</w:t>
            </w:r>
          </w:p>
        </w:tc>
        <w:tc>
          <w:tcPr>
            <w:tcW w:type="dxa" w:w="76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Whether any booking pattern could make Go Sit, or a caregiver, subject to Ontario's child care licensing rules.</w:t>
            </w:r>
          </w:p>
        </w:tc>
      </w:tr>
      <w:tr>
        <w:trPr>
          <w:cantSplit/>
        </w:trPr>
        <w:tc>
          <w:tcPr>
            <w:tcW w:type="dxa" w:w="24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Screening and safety</w:t>
            </w:r>
          </w:p>
        </w:tc>
        <w:tc>
          <w:tcPr>
            <w:tcW w:type="dxa" w:w="76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Police and vulnerable sector checks, what can be required, how records are handled, and duties when harm is reported.</w:t>
            </w:r>
          </w:p>
        </w:tc>
      </w:tr>
      <w:tr>
        <w:trPr>
          <w:cantSplit/>
        </w:trPr>
        <w:tc>
          <w:tcPr>
            <w:tcW w:type="dxa" w:w="24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Privacy</w:t>
            </w:r>
          </w:p>
        </w:tc>
        <w:tc>
          <w:tcPr>
            <w:tcW w:type="dxa" w:w="76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The platform stores children's and vulnerable adults' care needs, allergies, behaviour notes, emergency contacts and police check documents.</w:t>
            </w:r>
          </w:p>
        </w:tc>
      </w:tr>
      <w:tr>
        <w:trPr>
          <w:cantSplit/>
        </w:trPr>
        <w:tc>
          <w:tcPr>
            <w:tcW w:type="dxa" w:w="24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Money and tax</w:t>
            </w:r>
          </w:p>
        </w:tc>
        <w:tc>
          <w:tcPr>
            <w:tcW w:type="dxa" w:w="76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Holding payouts for 14 days, GST/HST on services and commission, payment-services registration, and CRA platform reporting.</w:t>
            </w:r>
          </w:p>
        </w:tc>
      </w:tr>
    </w:tbl>
    <w:p>
      <w:pPr>
        <w:pStyle w:val="Heading1"/>
        <w:pageBreakBefore/>
      </w:pPr>
      <w:r>
        <w:t xml:space="preserve">2. How Go Sit works</w:t>
      </w:r>
    </w:p>
    <w:p>
      <w:pPr>
        <w:spacing w:after="120"/>
      </w:pPr>
      <w:r>
        <w:rPr>
          <w:i/>
          <w:iCs/>
          <w:color w:val="5B6666"/>
          <w:sz w:val="18"/>
          <w:szCs w:val="18"/>
        </w:rPr>
        <w:t xml:space="preserve">These facts are taken from the product as currently built, not from a plan. Where something is not built yet, it says so — the lawyer should know what exists and what is still a choice.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tblHeader/>
        </w:trPr>
        <w:tc>
          <w:tcPr>
            <w:tcW w:type="dxa" w:w="2000"/>
            <w:tcBorders>
              <w:top w:val="single" w:color="C9D6D6" w:sz="4"/>
              <w:left w:val="single" w:color="C9D6D6" w:sz="4"/>
              <w:bottom w:val="single" w:color="C9D6D6" w:sz="4"/>
              <w:right w:val="single" w:color="C9D6D6" w:sz="4"/>
            </w:tcBorders>
            <w:shd w:fill="E3F1F1" w:color="auto" w:val="clear"/>
            <w:tcMar>
              <w:top w:type="dxa" w:w="70"/>
              <w:left w:type="dxa" w:w="110"/>
              <w:bottom w:type="dxa" w:w="70"/>
              <w:right w:type="dxa" w:w="110"/>
            </w:tcMar>
          </w:tcPr>
          <w:p>
            <w:pPr>
              <w:spacing w:after="20"/>
            </w:pPr>
            <w:r>
              <w:rPr>
                <w:b/>
                <w:bCs/>
                <w:color w:val="1F2A2A"/>
                <w:sz w:val="19"/>
                <w:szCs w:val="19"/>
              </w:rPr>
              <w:t xml:space="preserve">Area</w:t>
            </w:r>
          </w:p>
        </w:tc>
        <w:tc>
          <w:tcPr>
            <w:tcW w:type="dxa" w:w="8080"/>
            <w:tcBorders>
              <w:top w:val="single" w:color="C9D6D6" w:sz="4"/>
              <w:left w:val="single" w:color="C9D6D6" w:sz="4"/>
              <w:bottom w:val="single" w:color="C9D6D6" w:sz="4"/>
              <w:right w:val="single" w:color="C9D6D6" w:sz="4"/>
            </w:tcBorders>
            <w:shd w:fill="E3F1F1" w:color="auto" w:val="clear"/>
            <w:tcMar>
              <w:top w:type="dxa" w:w="70"/>
              <w:left w:type="dxa" w:w="110"/>
              <w:bottom w:type="dxa" w:w="70"/>
              <w:right w:type="dxa" w:w="110"/>
            </w:tcMar>
          </w:tcPr>
          <w:p>
            <w:pPr>
              <w:spacing w:after="20"/>
            </w:pPr>
            <w:r>
              <w:rPr>
                <w:b/>
                <w:bCs/>
                <w:color w:val="1F2A2A"/>
                <w:sz w:val="19"/>
                <w:szCs w:val="19"/>
              </w:rPr>
              <w:t xml:space="preserve">How it works today</w:t>
            </w:r>
          </w:p>
        </w:tc>
      </w:tr>
      <w:tr>
        <w:trPr>
          <w:cantSplit/>
        </w:trPr>
        <w:tc>
          <w:tcPr>
            <w:tcW w:type="dxa" w:w="20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Market</w:t>
            </w:r>
          </w:p>
        </w:tc>
        <w:tc>
          <w:tcPr>
            <w:tcW w:type="dxa" w:w="80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Ontario first. Data hosted on Microsoft Azure in the </w:t>
            </w:r>
            <w:r>
              <w:rPr>
                <w:b/>
                <w:bCs/>
                <w:sz w:val="19"/>
                <w:szCs w:val="19"/>
              </w:rPr>
              <w:t xml:space="preserve">Canada Central</w:t>
            </w:r>
            <w:r>
              <w:rPr>
                <w:sz w:val="19"/>
                <w:szCs w:val="19"/>
              </w:rPr>
              <w:t xml:space="preserve"> region.</w:t>
            </w:r>
          </w:p>
        </w:tc>
      </w:tr>
      <w:tr>
        <w:trPr>
          <w:cantSplit/>
        </w:trPr>
        <w:tc>
          <w:tcPr>
            <w:tcW w:type="dxa" w:w="20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Who uses it</w:t>
            </w:r>
          </w:p>
        </w:tc>
        <w:tc>
          <w:tcPr>
            <w:tcW w:type="dxa" w:w="80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b/>
                <w:bCs/>
                <w:sz w:val="19"/>
                <w:szCs w:val="19"/>
              </w:rPr>
              <w:t xml:space="preserve">Care requesters</w:t>
            </w:r>
            <w:r>
              <w:rPr>
                <w:sz w:val="19"/>
                <w:szCs w:val="19"/>
              </w:rPr>
              <w:t xml:space="preserve"> (people arranging care), </w:t>
            </w:r>
            <w:r>
              <w:rPr>
                <w:b/>
                <w:bCs/>
                <w:sz w:val="19"/>
                <w:szCs w:val="19"/>
              </w:rPr>
              <w:t xml:space="preserve">care recipients</w:t>
            </w:r>
            <w:r>
              <w:rPr>
                <w:sz w:val="19"/>
                <w:szCs w:val="19"/>
              </w:rPr>
              <w:t xml:space="preserve"> (child, adult or senior — they do not have accounts), </w:t>
            </w:r>
            <w:r>
              <w:rPr>
                <w:b/>
                <w:bCs/>
                <w:sz w:val="19"/>
                <w:szCs w:val="19"/>
              </w:rPr>
              <w:t xml:space="preserve">caregivers</w:t>
            </w:r>
            <w:r>
              <w:rPr>
                <w:sz w:val="19"/>
                <w:szCs w:val="19"/>
              </w:rPr>
              <w:t xml:space="preserve">, and Go Sit </w:t>
            </w:r>
            <w:r>
              <w:rPr>
                <w:b/>
                <w:bCs/>
                <w:sz w:val="19"/>
                <w:szCs w:val="19"/>
              </w:rPr>
              <w:t xml:space="preserve">staff</w:t>
            </w:r>
            <w:r>
              <w:rPr>
                <w:sz w:val="19"/>
                <w:szCs w:val="19"/>
              </w:rPr>
              <w:t xml:space="preserve">.</w:t>
            </w:r>
          </w:p>
        </w:tc>
      </w:tr>
      <w:tr>
        <w:trPr>
          <w:cantSplit/>
        </w:trPr>
        <w:tc>
          <w:tcPr>
            <w:tcW w:type="dxa" w:w="20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Services</w:t>
            </w:r>
          </w:p>
        </w:tc>
        <w:tc>
          <w:tcPr>
            <w:tcW w:type="dxa" w:w="80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24 non-medical services in five categories: Child Care, Senior Care, Specialized Support, Family Support, Pet Care. Full list with current screening requirements in Appendix A.</w:t>
            </w:r>
          </w:p>
        </w:tc>
      </w:tr>
      <w:tr>
        <w:trPr>
          <w:cantSplit/>
        </w:trPr>
        <w:tc>
          <w:tcPr>
            <w:tcW w:type="dxa" w:w="20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Pets</w:t>
            </w:r>
          </w:p>
        </w:tc>
        <w:tc>
          <w:tcPr>
            <w:tcW w:type="dxa" w:w="80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Families add their pets — name, species, breed, size, care notes. Pet care is booked for pets only, one household at a time: dog walking and drop-in visits by the hour, in-home sitting and boarding by the night for 1 to 30 nights. </w:t>
            </w:r>
            <w:r>
              <w:rPr>
                <w:b/>
                <w:bCs/>
                <w:sz w:val="19"/>
                <w:szCs w:val="19"/>
              </w:rPr>
              <w:t xml:space="preserve">Boarding happens at the caregiver's home</w:t>
            </w:r>
            <w:r>
              <w:rPr>
                <w:sz w:val="19"/>
                <w:szCs w:val="19"/>
              </w:rPr>
              <w:t xml:space="preserve">, and the family sees the caregiver's home address once the caregiver accepts.</w:t>
            </w:r>
          </w:p>
        </w:tc>
      </w:tr>
      <w:tr>
        <w:trPr>
          <w:cantSplit/>
        </w:trPr>
        <w:tc>
          <w:tcPr>
            <w:tcW w:type="dxa" w:w="20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Caregiver screening</w:t>
            </w:r>
          </w:p>
        </w:tc>
        <w:tc>
          <w:tcPr>
            <w:tcW w:type="dxa" w:w="80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Anyone caring for people needs photo ID and a vulnerable sector check, reviewed by staff, before appearing in search. Someone offering only pet care needs photo ID and a criminal record check instead, and can never be booked for a person. Some services also require certificates (First Aid, CPR, dementia, mobility, autism or behaviour support training). A certificate cannot be approved without an uploaded document. Caregivers are warned 30 days before a certificate expires, and lose eligibility for services that need it once it lapses.</w:t>
            </w:r>
          </w:p>
        </w:tc>
      </w:tr>
      <w:tr>
        <w:trPr>
          <w:cantSplit/>
        </w:trPr>
        <w:tc>
          <w:tcPr>
            <w:tcW w:type="dxa" w:w="20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Booking</w:t>
            </w:r>
          </w:p>
        </w:tc>
        <w:tc>
          <w:tcPr>
            <w:tcW w:type="dxa" w:w="80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Family requests a time → caregiver accepts or declines → caregiver checks in and out → booking completes. Bookings are 1 to 14 hours (pet care from 30 minutes); overnight pet care is 1 to 30 nights. All at least 2 hours ahead, up to 180 days out.</w:t>
            </w:r>
          </w:p>
        </w:tc>
      </w:tr>
      <w:tr>
        <w:trPr>
          <w:cantSplit/>
        </w:trPr>
        <w:tc>
          <w:tcPr>
            <w:tcW w:type="dxa" w:w="20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Arrival check</w:t>
            </w:r>
          </w:p>
        </w:tc>
        <w:tc>
          <w:tcPr>
            <w:tcW w:type="dxa" w:w="80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At check-in and check-out the caregiver's phone location may be compared with the booking address. </w:t>
            </w:r>
            <w:r>
              <w:rPr>
                <w:b/>
                <w:bCs/>
                <w:sz w:val="19"/>
                <w:szCs w:val="19"/>
              </w:rPr>
              <w:t xml:space="preserve">Only a pass/fail status and rounded distance are kept; the coordinates are discarded.</w:t>
            </w:r>
            <w:r>
              <w:rPr>
                <w:sz w:val="19"/>
                <w:szCs w:val="19"/>
              </w:rPr>
              <w:t xml:space="preserve"> It is never a condition of checking in.</w:t>
            </w:r>
          </w:p>
        </w:tc>
      </w:tr>
      <w:tr>
        <w:trPr>
          <w:cantSplit/>
        </w:trPr>
        <w:tc>
          <w:tcPr>
            <w:tcW w:type="dxa" w:w="20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Pricing</w:t>
            </w:r>
          </w:p>
        </w:tc>
        <w:tc>
          <w:tcPr>
            <w:tcW w:type="dxa" w:w="80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Caregivers set an hourly rate (the platform enforces a floor of $17.60, Ontario's general minimum wage). Families are billed for time actually worked, in 15-minute increments. Boarding and in-home pet sitting are priced per night: caregivers set one nightly rate, and a stay is billed for the nights it actually lasts.</w:t>
            </w:r>
          </w:p>
        </w:tc>
      </w:tr>
      <w:tr>
        <w:trPr>
          <w:cantSplit/>
        </w:trPr>
        <w:tc>
          <w:tcPr>
            <w:tcW w:type="dxa" w:w="20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Go Sit's revenue</w:t>
            </w:r>
          </w:p>
        </w:tc>
        <w:tc>
          <w:tcPr>
            <w:tcW w:type="dxa" w:w="80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b/>
                <w:bCs/>
                <w:sz w:val="19"/>
                <w:szCs w:val="19"/>
              </w:rPr>
              <w:t xml:space="preserve">15% commission</w:t>
            </w:r>
            <w:r>
              <w:rPr>
                <w:sz w:val="19"/>
                <w:szCs w:val="19"/>
              </w:rPr>
              <w:t xml:space="preserve"> deducted from the caregiver's earnings (</w:t>
            </w:r>
            <w:r>
              <w:rPr>
                <w:b/>
                <w:bCs/>
                <w:sz w:val="19"/>
                <w:szCs w:val="19"/>
              </w:rPr>
              <w:t xml:space="preserve">10%</w:t>
            </w:r>
            <w:r>
              <w:rPr>
                <w:sz w:val="19"/>
                <w:szCs w:val="19"/>
              </w:rPr>
              <w:t xml:space="preserve"> for caregivers on Go Sit Pro). Subscriptions: </w:t>
            </w:r>
            <w:r>
              <w:rPr>
                <w:b/>
                <w:bCs/>
                <w:sz w:val="19"/>
                <w:szCs w:val="19"/>
              </w:rPr>
              <w:t xml:space="preserve">Go Sit Plus</w:t>
            </w:r>
            <w:r>
              <w:rPr>
                <w:sz w:val="19"/>
                <w:szCs w:val="19"/>
              </w:rPr>
              <w:t xml:space="preserve"> for families at $12/month; </w:t>
            </w:r>
            <w:r>
              <w:rPr>
                <w:b/>
                <w:bCs/>
                <w:sz w:val="19"/>
                <w:szCs w:val="19"/>
              </w:rPr>
              <w:t xml:space="preserve">Go Sit Pro</w:t>
            </w:r>
            <w:r>
              <w:rPr>
                <w:sz w:val="19"/>
                <w:szCs w:val="19"/>
              </w:rPr>
              <w:t xml:space="preserve"> for caregivers at $19/month. Free plans exist for both. Promo codes and a referral programme exist.</w:t>
            </w:r>
          </w:p>
        </w:tc>
      </w:tr>
      <w:tr>
        <w:trPr>
          <w:cantSplit/>
        </w:trPr>
        <w:tc>
          <w:tcPr>
            <w:tcW w:type="dxa" w:w="20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Payments</w:t>
            </w:r>
          </w:p>
        </w:tc>
        <w:tc>
          <w:tcPr>
            <w:tcW w:type="dxa" w:w="80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Families pay by card through </w:t>
            </w:r>
            <w:r>
              <w:rPr>
                <w:b/>
                <w:bCs/>
                <w:sz w:val="19"/>
                <w:szCs w:val="19"/>
              </w:rPr>
              <w:t xml:space="preserve">Stripe</w:t>
            </w:r>
            <w:r>
              <w:rPr>
                <w:sz w:val="19"/>
                <w:szCs w:val="19"/>
              </w:rPr>
              <w:t xml:space="preserve">; Go Sit never sees card numbers. Caregivers are paid by bank transfer through </w:t>
            </w:r>
            <w:r>
              <w:rPr>
                <w:b/>
                <w:bCs/>
                <w:sz w:val="19"/>
                <w:szCs w:val="19"/>
              </w:rPr>
              <w:t xml:space="preserve">Stripe Connect Express</w:t>
            </w:r>
            <w:r>
              <w:rPr>
                <w:sz w:val="19"/>
                <w:szCs w:val="19"/>
              </w:rPr>
              <w:t xml:space="preserve">.</w:t>
            </w:r>
          </w:p>
        </w:tc>
      </w:tr>
      <w:tr>
        <w:trPr>
          <w:cantSplit/>
        </w:trPr>
        <w:tc>
          <w:tcPr>
            <w:tcW w:type="dxa" w:w="20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Payout hold</w:t>
            </w:r>
          </w:p>
        </w:tc>
        <w:tc>
          <w:tcPr>
            <w:tcW w:type="dxa" w:w="80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Caregiver payouts are </w:t>
            </w:r>
            <w:r>
              <w:rPr>
                <w:b/>
                <w:bCs/>
                <w:sz w:val="19"/>
                <w:szCs w:val="19"/>
              </w:rPr>
              <w:t xml:space="preserve">held until the 14-day dispute window closes</w:t>
            </w:r>
            <w:r>
              <w:rPr>
                <w:sz w:val="19"/>
                <w:szCs w:val="19"/>
              </w:rPr>
              <w:t xml:space="preserve">, and held indefinitely while a dispute is open.</w:t>
            </w:r>
          </w:p>
        </w:tc>
      </w:tr>
      <w:tr>
        <w:trPr>
          <w:cantSplit/>
        </w:trPr>
        <w:tc>
          <w:tcPr>
            <w:tcW w:type="dxa" w:w="20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Cancellations</w:t>
            </w:r>
          </w:p>
        </w:tc>
        <w:tc>
          <w:tcPr>
            <w:tcW w:type="dxa" w:w="80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Either side can cancel. Cancelling within 24 hours of the start is recorded as late. </w:t>
            </w:r>
            <w:r>
              <w:rPr>
                <w:b/>
                <w:bCs/>
                <w:sz w:val="19"/>
                <w:szCs w:val="19"/>
              </w:rPr>
              <w:t xml:space="preserve">No cancellation fee is charged yet.</w:t>
            </w:r>
          </w:p>
        </w:tc>
      </w:tr>
      <w:tr>
        <w:trPr>
          <w:cantSplit/>
        </w:trPr>
        <w:tc>
          <w:tcPr>
            <w:tcW w:type="dxa" w:w="20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Disputes</w:t>
            </w:r>
          </w:p>
        </w:tc>
        <w:tc>
          <w:tcPr>
            <w:tcW w:type="dxa" w:w="80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Either party can dispute within 14 days of completion. Staff decide a refund amount (none, partial or full); the caregiver's payout is reduced or cancelled accordingly, and both parties are notified.</w:t>
            </w:r>
          </w:p>
        </w:tc>
      </w:tr>
      <w:tr>
        <w:trPr>
          <w:cantSplit/>
        </w:trPr>
        <w:tc>
          <w:tcPr>
            <w:tcW w:type="dxa" w:w="20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Messaging</w:t>
            </w:r>
          </w:p>
        </w:tc>
        <w:tc>
          <w:tcPr>
            <w:tcW w:type="dxa" w:w="80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Families start conversations with caregivers. Messages that look like phone numbers or emails are flagged. </w:t>
            </w:r>
            <w:r>
              <w:rPr>
                <w:b/>
                <w:bCs/>
                <w:sz w:val="19"/>
                <w:szCs w:val="19"/>
              </w:rPr>
              <w:t xml:space="preserve">Staff can read a flagged message; every read is recorded against the staff member.</w:t>
            </w:r>
            <w:r>
              <w:rPr>
                <w:sz w:val="19"/>
                <w:szCs w:val="19"/>
              </w:rPr>
              <w:t xml:space="preserve"> Flags can be escalated to an incident report.</w:t>
            </w:r>
          </w:p>
        </w:tc>
      </w:tr>
      <w:tr>
        <w:trPr>
          <w:cantSplit/>
        </w:trPr>
        <w:tc>
          <w:tcPr>
            <w:tcW w:type="dxa" w:w="20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Video interviews</w:t>
            </w:r>
          </w:p>
        </w:tc>
        <w:tc>
          <w:tcPr>
            <w:tcW w:type="dxa" w:w="80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Families can meet a caregiver on video inside Go Sit before booking (15 to 60 minutes; the family asks, the caregiver accepts). </w:t>
            </w:r>
            <w:r>
              <w:rPr>
                <w:b/>
                <w:bCs/>
                <w:sz w:val="19"/>
                <w:szCs w:val="19"/>
              </w:rPr>
              <w:t xml:space="preserve">Every interview is recorded</w:t>
            </w:r>
            <w:r>
              <w:rPr>
                <w:sz w:val="19"/>
                <w:szCs w:val="19"/>
              </w:rPr>
              <w:t xml:space="preserve"> — video, audio and chat — and both people must agree to the recording each time they join; without agreement they cannot join. Recordings are stored privately in Canada-resident Azure storage, </w:t>
            </w:r>
            <w:r>
              <w:rPr>
                <w:b/>
                <w:bCs/>
                <w:sz w:val="19"/>
                <w:szCs w:val="19"/>
              </w:rPr>
              <w:t xml:space="preserve">only Trust &amp; Safety staff can watch one, every view is logged</w:t>
            </w:r>
            <w:r>
              <w:rPr>
                <w:sz w:val="19"/>
                <w:szCs w:val="19"/>
              </w:rPr>
              <w:t xml:space="preserve">, participants never receive a copy, and recordings are deleted after 90 days unless staff hold them for a dispute or incident. The video service is LiveKit (a US company; media is relayed through its servers during the call).</w:t>
            </w:r>
          </w:p>
        </w:tc>
      </w:tr>
      <w:tr>
        <w:trPr>
          <w:cantSplit/>
        </w:trPr>
        <w:tc>
          <w:tcPr>
            <w:tcW w:type="dxa" w:w="20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Reviews</w:t>
            </w:r>
          </w:p>
        </w:tc>
        <w:tc>
          <w:tcPr>
            <w:tcW w:type="dxa" w:w="80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Written blind by both sides after a booking and published together. The person a review is about can report it; staff can hide it, which removes it from the profile and the rating (the review itself is kept).</w:t>
            </w:r>
          </w:p>
        </w:tc>
      </w:tr>
      <w:tr>
        <w:trPr>
          <w:cantSplit/>
        </w:trPr>
        <w:tc>
          <w:tcPr>
            <w:tcW w:type="dxa" w:w="20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Staff powers</w:t>
            </w:r>
          </w:p>
        </w:tc>
        <w:tc>
          <w:tcPr>
            <w:tcW w:type="dxa" w:w="80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Approve or reject checks and certificates, decide disputes and refunds, suspend and reinstate accounts, read flagged messages, watch interview recordings and hold them past 90 days, hide reviews, create promo codes. All staff decisions are audited.</w:t>
            </w:r>
          </w:p>
        </w:tc>
      </w:tr>
      <w:tr>
        <w:trPr>
          <w:cantSplit/>
        </w:trPr>
        <w:tc>
          <w:tcPr>
            <w:tcW w:type="dxa" w:w="20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Notifications</w:t>
            </w:r>
          </w:p>
        </w:tc>
        <w:tc>
          <w:tcPr>
            <w:tcW w:type="dxa" w:w="80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In-app notifications and email through </w:t>
            </w:r>
            <w:r>
              <w:rPr>
                <w:b/>
                <w:bCs/>
                <w:sz w:val="19"/>
                <w:szCs w:val="19"/>
              </w:rPr>
              <w:t xml:space="preserve">Brevo</w:t>
            </w:r>
            <w:r>
              <w:rPr>
                <w:sz w:val="19"/>
                <w:szCs w:val="19"/>
              </w:rPr>
              <w:t xml:space="preserve"> (an email provider based in France). Notifications carry summaries, never message content or care details.</w:t>
            </w:r>
          </w:p>
        </w:tc>
      </w:tr>
      <w:tr>
        <w:trPr>
          <w:cantSplit/>
        </w:trPr>
        <w:tc>
          <w:tcPr>
            <w:tcW w:type="dxa" w:w="20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Not built yet</w:t>
            </w:r>
          </w:p>
        </w:tc>
        <w:tc>
          <w:tcPr>
            <w:tcW w:type="dxa" w:w="80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Background check vendor integration · account deletion · Terms of Service and Privacy Policy text · GST/HST · cancellation fees · appeals for suspended or rejected caregivers · French language · statement PDFs.</w:t>
            </w:r>
          </w:p>
        </w:tc>
      </w:tr>
    </w:tbl>
    <w:p>
      <w:pPr>
        <w:pStyle w:val="Heading1"/>
        <w:pageBreakBefore/>
      </w:pPr>
      <w:r>
        <w:t xml:space="preserve">3. What to bring</w:t>
      </w:r>
    </w:p>
    <w:p>
      <w:pPr>
        <w:spacing w:after="120"/>
      </w:pPr>
      <w:r>
        <w:t xml:space="preserve">Send what you can a few days ahead so the first meeting is spent on advice rather than explanation. Items marked </w:t>
      </w:r>
      <w:r>
        <w:rPr>
          <w:b/>
          <w:bCs/>
        </w:rPr>
        <w:t xml:space="preserve">(does not exist yet)</w:t>
      </w:r>
      <w:r>
        <w:t xml:space="preserve"> are worth mentioning anyway — the lawyer will likely draft or review them.</w:t>
      </w:r>
    </w:p>
    <w:p>
      <w:pPr>
        <w:pStyle w:val="Heading2"/>
      </w:pPr>
      <w:r>
        <w:t xml:space="preserve">About the business</w:t>
      </w:r>
    </w:p>
    <w:p>
      <w:pPr>
        <w:pStyle w:val="ListParagraph"/>
        <w:numPr>
          <w:ilvl w:val="0"/>
          <w:numId w:val="3"/>
        </w:numPr>
        <w:spacing w:after="60"/>
      </w:pPr>
      <w:r>
        <w:t xml:space="preserve">Founders' names and roles, and who makes decisions</w:t>
      </w:r>
    </w:p>
    <w:p>
      <w:pPr>
        <w:pStyle w:val="ListParagraph"/>
        <w:numPr>
          <w:ilvl w:val="0"/>
          <w:numId w:val="3"/>
        </w:numPr>
        <w:spacing w:after="60"/>
      </w:pPr>
      <w:r>
        <w:t xml:space="preserve">Whether the business is incorporated — and if so, federal or Ontario, articles, and minute book</w:t>
      </w:r>
    </w:p>
    <w:p>
      <w:pPr>
        <w:pStyle w:val="ListParagraph"/>
        <w:numPr>
          <w:ilvl w:val="0"/>
          <w:numId w:val="3"/>
        </w:numPr>
        <w:spacing w:after="60"/>
      </w:pPr>
      <w:r>
        <w:t xml:space="preserve">Ownership split, any shareholder or founder agreement, and any investors or funding promised</w:t>
      </w:r>
    </w:p>
    <w:p>
      <w:pPr>
        <w:pStyle w:val="ListParagraph"/>
        <w:numPr>
          <w:ilvl w:val="0"/>
          <w:numId w:val="3"/>
        </w:numPr>
        <w:spacing w:after="60"/>
      </w:pPr>
      <w:r>
        <w:t xml:space="preserve">Business name, domain names, and any other names used (for example "GoSitly" in design files)</w:t>
      </w:r>
    </w:p>
    <w:p>
      <w:pPr>
        <w:pStyle w:val="ListParagraph"/>
        <w:numPr>
          <w:ilvl w:val="0"/>
          <w:numId w:val="3"/>
        </w:numPr>
        <w:spacing w:after="60"/>
      </w:pPr>
      <w:r>
        <w:t xml:space="preserve">Planned launch date, launch cities, and expansion plans (especially outside Ontario or into Quebec)</w:t>
      </w:r>
    </w:p>
    <w:p>
      <w:pPr>
        <w:pStyle w:val="ListParagraph"/>
        <w:numPr>
          <w:ilvl w:val="0"/>
          <w:numId w:val="3"/>
        </w:numPr>
        <w:spacing w:after="60"/>
      </w:pPr>
      <w:r>
        <w:t xml:space="preserve">Expected number of employees in year one (some obligations depend on headcount)</w:t>
      </w:r>
    </w:p>
    <w:p>
      <w:pPr>
        <w:pStyle w:val="ListParagraph"/>
        <w:numPr>
          <w:ilvl w:val="0"/>
          <w:numId w:val="3"/>
        </w:numPr>
        <w:spacing w:after="60"/>
      </w:pPr>
      <w:r>
        <w:t xml:space="preserve">Your budget for legal work, so the lawyer can prioritise</w:t>
      </w:r>
    </w:p>
    <w:p>
      <w:pPr>
        <w:pStyle w:val="Heading2"/>
      </w:pPr>
      <w:r>
        <w:t xml:space="preserve">About the product</w:t>
      </w:r>
    </w:p>
    <w:p>
      <w:pPr>
        <w:pStyle w:val="ListParagraph"/>
        <w:numPr>
          <w:ilvl w:val="0"/>
          <w:numId w:val="3"/>
        </w:numPr>
        <w:spacing w:after="60"/>
      </w:pPr>
      <w:r>
        <w:t xml:space="preserve">This pack, including Sections 2 and 4 and the appendices</w:t>
      </w:r>
    </w:p>
    <w:p>
      <w:pPr>
        <w:pStyle w:val="ListParagraph"/>
        <w:numPr>
          <w:ilvl w:val="0"/>
          <w:numId w:val="3"/>
        </w:numPr>
        <w:spacing w:after="60"/>
      </w:pPr>
      <w:r>
        <w:t xml:space="preserve">A short demo or screenshots: sign-up, caregiver verification, booking, check-in, messaging, reviews, disputes</w:t>
      </w:r>
    </w:p>
    <w:p>
      <w:pPr>
        <w:pStyle w:val="ListParagraph"/>
        <w:numPr>
          <w:ilvl w:val="0"/>
          <w:numId w:val="3"/>
        </w:numPr>
        <w:spacing w:after="60"/>
      </w:pPr>
      <w:r>
        <w:t xml:space="preserve">The service list and screening requirements (Appendix A)</w:t>
      </w:r>
    </w:p>
    <w:p>
      <w:pPr>
        <w:pStyle w:val="ListParagraph"/>
        <w:numPr>
          <w:ilvl w:val="0"/>
          <w:numId w:val="3"/>
        </w:numPr>
        <w:spacing w:after="60"/>
      </w:pPr>
      <w:r>
        <w:t xml:space="preserve">The money-flow example (Appendix C) and subscription plan details</w:t>
      </w:r>
    </w:p>
    <w:p>
      <w:pPr>
        <w:pStyle w:val="ListParagraph"/>
        <w:numPr>
          <w:ilvl w:val="0"/>
          <w:numId w:val="3"/>
        </w:numPr>
        <w:spacing w:after="60"/>
      </w:pPr>
      <w:r>
        <w:t xml:space="preserve">Anything you promise publicly about safety, e.g. "verified caregivers" — marketing copy, app store text, website</w:t>
      </w:r>
    </w:p>
    <w:p>
      <w:pPr>
        <w:pStyle w:val="Heading2"/>
      </w:pPr>
      <w:r>
        <w:t xml:space="preserve">About data and vendors</w:t>
      </w:r>
    </w:p>
    <w:p>
      <w:pPr>
        <w:pStyle w:val="ListParagraph"/>
        <w:numPr>
          <w:ilvl w:val="0"/>
          <w:numId w:val="3"/>
        </w:numPr>
        <w:spacing w:after="60"/>
      </w:pPr>
      <w:r>
        <w:t xml:space="preserve">The data inventory (Appendix B)</w:t>
      </w:r>
    </w:p>
    <w:p>
      <w:pPr>
        <w:pStyle w:val="ListParagraph"/>
        <w:numPr>
          <w:ilvl w:val="0"/>
          <w:numId w:val="3"/>
        </w:numPr>
        <w:spacing w:after="60"/>
      </w:pPr>
      <w:r>
        <w:t xml:space="preserve">Vendor list and where each is based: Microsoft Azure (Canada Central), Stripe, Brevo (France), Azure Maps, and any background check vendor being considered</w:t>
      </w:r>
    </w:p>
    <w:p>
      <w:pPr>
        <w:pStyle w:val="ListParagraph"/>
        <w:numPr>
          <w:ilvl w:val="0"/>
          <w:numId w:val="3"/>
        </w:numPr>
        <w:spacing w:after="60"/>
      </w:pPr>
      <w:r>
        <w:t xml:space="preserve">Who at Go Sit will have staff access, and what they can see</w:t>
      </w:r>
    </w:p>
    <w:p>
      <w:pPr>
        <w:pStyle w:val="Heading2"/>
      </w:pPr>
      <w:r>
        <w:t xml:space="preserve">Contracts and documents</w:t>
      </w:r>
    </w:p>
    <w:p>
      <w:pPr>
        <w:pStyle w:val="ListParagraph"/>
        <w:numPr>
          <w:ilvl w:val="0"/>
          <w:numId w:val="3"/>
        </w:numPr>
        <w:spacing w:after="60"/>
      </w:pPr>
      <w:r>
        <w:t xml:space="preserve">Terms of Service for families </w:t>
      </w:r>
      <w:r>
        <w:rPr>
          <w:b/>
          <w:bCs/>
        </w:rPr>
        <w:t xml:space="preserve">(does not exist yet)</w:t>
      </w:r>
    </w:p>
    <w:p>
      <w:pPr>
        <w:pStyle w:val="ListParagraph"/>
        <w:numPr>
          <w:ilvl w:val="0"/>
          <w:numId w:val="3"/>
        </w:numPr>
        <w:spacing w:after="60"/>
      </w:pPr>
      <w:r>
        <w:t xml:space="preserve">Caregiver agreement </w:t>
      </w:r>
      <w:r>
        <w:rPr>
          <w:b/>
          <w:bCs/>
        </w:rPr>
        <w:t xml:space="preserve">(does not exist yet)</w:t>
      </w:r>
    </w:p>
    <w:p>
      <w:pPr>
        <w:pStyle w:val="ListParagraph"/>
        <w:numPr>
          <w:ilvl w:val="0"/>
          <w:numId w:val="3"/>
        </w:numPr>
        <w:spacing w:after="60"/>
      </w:pPr>
      <w:r>
        <w:t xml:space="preserve">Privacy Policy </w:t>
      </w:r>
      <w:r>
        <w:rPr>
          <w:b/>
          <w:bCs/>
        </w:rPr>
        <w:t xml:space="preserve">(does not exist yet)</w:t>
      </w:r>
    </w:p>
    <w:p>
      <w:pPr>
        <w:pStyle w:val="ListParagraph"/>
        <w:numPr>
          <w:ilvl w:val="0"/>
          <w:numId w:val="3"/>
        </w:numPr>
        <w:spacing w:after="60"/>
      </w:pPr>
      <w:r>
        <w:t xml:space="preserve">Agreements already accepted with Stripe, Microsoft, Brevo and others</w:t>
      </w:r>
    </w:p>
    <w:p>
      <w:pPr>
        <w:pStyle w:val="ListParagraph"/>
        <w:numPr>
          <w:ilvl w:val="0"/>
          <w:numId w:val="3"/>
        </w:numPr>
        <w:spacing w:after="60"/>
      </w:pPr>
      <w:r>
        <w:t xml:space="preserve">Agreements with anyone who built the product — developers, designers, contractors — to confirm Go Sit owns the code and designs</w:t>
      </w:r>
    </w:p>
    <w:p>
      <w:pPr>
        <w:pStyle w:val="ListParagraph"/>
        <w:numPr>
          <w:ilvl w:val="0"/>
          <w:numId w:val="3"/>
        </w:numPr>
        <w:spacing w:after="60"/>
      </w:pPr>
      <w:r>
        <w:t xml:space="preserve">Any insurance quotes or broker conversations</w:t>
      </w:r>
    </w:p>
    <w:p>
      <w:pPr>
        <w:pStyle w:val="ListParagraph"/>
        <w:numPr>
          <w:ilvl w:val="0"/>
          <w:numId w:val="3"/>
        </w:numPr>
        <w:spacing w:after="60"/>
      </w:pPr>
      <w:r>
        <w:t xml:space="preserve">Public terms from comparable Canadian care-matching platforms, if you have looked at them</w:t>
      </w:r>
    </w:p>
    <w:p>
      <w:pPr>
        <w:pStyle w:val="Heading1"/>
        <w:pageBreakBefore/>
      </w:pPr>
      <w:r>
        <w:t xml:space="preserve">4. Decisions to make first</w:t>
      </w:r>
    </w:p>
    <w:p>
      <w:pPr>
        <w:spacing w:after="120"/>
      </w:pPr>
      <w:r>
        <w:t xml:space="preserve">The lawyer's answers will depend on these. You do not need final answers, but know your preferred direction and what you would be willing to change.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4690"/>
        <w:gridCol w:w="4690"/>
      </w:tblGrid>
      <w:tr>
        <w:trPr>
          <w:tblHeader/>
        </w:trPr>
        <w:tc>
          <w:tcPr>
            <w:tcW w:type="dxa" w:w="700"/>
            <w:tcBorders>
              <w:top w:val="single" w:color="C9D6D6" w:sz="4"/>
              <w:left w:val="single" w:color="C9D6D6" w:sz="4"/>
              <w:bottom w:val="single" w:color="C9D6D6" w:sz="4"/>
              <w:right w:val="single" w:color="C9D6D6" w:sz="4"/>
            </w:tcBorders>
            <w:shd w:fill="E3F1F1" w:color="auto" w:val="clear"/>
            <w:tcMar>
              <w:top w:type="dxa" w:w="70"/>
              <w:left w:type="dxa" w:w="110"/>
              <w:bottom w:type="dxa" w:w="70"/>
              <w:right w:type="dxa" w:w="110"/>
            </w:tcMar>
          </w:tcPr>
          <w:p>
            <w:pPr>
              <w:spacing w:after="20"/>
            </w:pPr>
            <w:r>
              <w:rPr>
                <w:b/>
                <w:bCs/>
                <w:color w:val="1F2A2A"/>
                <w:sz w:val="19"/>
                <w:szCs w:val="19"/>
              </w:rPr>
              <w:t xml:space="preserve">#</w:t>
            </w:r>
          </w:p>
        </w:tc>
        <w:tc>
          <w:tcPr>
            <w:tcW w:type="dxa" w:w="4690"/>
            <w:tcBorders>
              <w:top w:val="single" w:color="C9D6D6" w:sz="4"/>
              <w:left w:val="single" w:color="C9D6D6" w:sz="4"/>
              <w:bottom w:val="single" w:color="C9D6D6" w:sz="4"/>
              <w:right w:val="single" w:color="C9D6D6" w:sz="4"/>
            </w:tcBorders>
            <w:shd w:fill="E3F1F1" w:color="auto" w:val="clear"/>
            <w:tcMar>
              <w:top w:type="dxa" w:w="70"/>
              <w:left w:type="dxa" w:w="110"/>
              <w:bottom w:type="dxa" w:w="70"/>
              <w:right w:type="dxa" w:w="110"/>
            </w:tcMar>
          </w:tcPr>
          <w:p>
            <w:pPr>
              <w:spacing w:after="20"/>
            </w:pPr>
            <w:r>
              <w:rPr>
                <w:b/>
                <w:bCs/>
                <w:color w:val="1F2A2A"/>
                <w:sz w:val="19"/>
                <w:szCs w:val="19"/>
              </w:rPr>
              <w:t xml:space="preserve">Decision</w:t>
            </w:r>
          </w:p>
        </w:tc>
        <w:tc>
          <w:tcPr>
            <w:tcW w:type="dxa" w:w="4690"/>
            <w:tcBorders>
              <w:top w:val="single" w:color="C9D6D6" w:sz="4"/>
              <w:left w:val="single" w:color="C9D6D6" w:sz="4"/>
              <w:bottom w:val="single" w:color="C9D6D6" w:sz="4"/>
              <w:right w:val="single" w:color="C9D6D6" w:sz="4"/>
            </w:tcBorders>
            <w:shd w:fill="E3F1F1" w:color="auto" w:val="clear"/>
            <w:tcMar>
              <w:top w:type="dxa" w:w="70"/>
              <w:left w:type="dxa" w:w="110"/>
              <w:bottom w:type="dxa" w:w="70"/>
              <w:right w:type="dxa" w:w="110"/>
            </w:tcMar>
          </w:tcPr>
          <w:p>
            <w:pPr>
              <w:spacing w:after="20"/>
            </w:pPr>
            <w:r>
              <w:rPr>
                <w:b/>
                <w:bCs/>
                <w:color w:val="1F2A2A"/>
                <w:sz w:val="19"/>
                <w:szCs w:val="19"/>
              </w:rPr>
              <w:t xml:space="preserve">How the product currently leans</w:t>
            </w:r>
          </w:p>
        </w:tc>
      </w:tr>
      <w:tr>
        <w:trPr>
          <w:cantSplit/>
        </w:trPr>
        <w:tc>
          <w:tcPr>
            <w:tcW w:type="dxa" w:w="7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D1</w:t>
            </w:r>
          </w:p>
        </w:tc>
        <w:tc>
          <w:tcPr>
            <w:tcW w:type="dxa" w:w="469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Are caregivers independent contractors, Go Sit employees, or employed by the families who book them?</w:t>
            </w:r>
          </w:p>
        </w:tc>
        <w:tc>
          <w:tcPr>
            <w:tcW w:type="dxa" w:w="469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Independent: caregivers set rates, choose availability, accept or decline. But Go Sit also sets screening rules, holds payouts, decides disputes and can suspend.</w:t>
            </w:r>
          </w:p>
        </w:tc>
      </w:tr>
      <w:tr>
        <w:trPr>
          <w:cantSplit/>
        </w:trPr>
        <w:tc>
          <w:tcPr>
            <w:tcW w:type="dxa" w:w="7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D2</w:t>
            </w:r>
          </w:p>
        </w:tc>
        <w:tc>
          <w:tcPr>
            <w:tcW w:type="dxa" w:w="469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Where does care happen — only in the recipient's home, or also in the caregiver's home?</w:t>
            </w:r>
          </w:p>
        </w:tc>
        <w:tc>
          <w:tcPr>
            <w:tcW w:type="dxa" w:w="469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A booking's address defaults to the family's but can be changed, so care could be booked at the caregiver's home.</w:t>
            </w:r>
          </w:p>
        </w:tc>
      </w:tr>
      <w:tr>
        <w:trPr>
          <w:cantSplit/>
        </w:trPr>
        <w:tc>
          <w:tcPr>
            <w:tcW w:type="dxa" w:w="7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D3</w:t>
            </w:r>
          </w:p>
        </w:tc>
        <w:tc>
          <w:tcPr>
            <w:tcW w:type="dxa" w:w="469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Can one caregiver look after children from more than one family at the same time?</w:t>
            </w:r>
          </w:p>
        </w:tc>
        <w:tc>
          <w:tcPr>
            <w:tcW w:type="dxa" w:w="469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Not decided. Each booking belongs to one family; group or shared care has not been designed.</w:t>
            </w:r>
          </w:p>
        </w:tc>
      </w:tr>
      <w:tr>
        <w:trPr>
          <w:cantSplit/>
        </w:trPr>
        <w:tc>
          <w:tcPr>
            <w:tcW w:type="dxa" w:w="7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D4</w:t>
            </w:r>
          </w:p>
        </w:tc>
        <w:tc>
          <w:tcPr>
            <w:tcW w:type="dxa" w:w="469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Does Transportation Assistance mean caregivers drive recipients in their own vehicles?</w:t>
            </w:r>
          </w:p>
        </w:tc>
        <w:tc>
          <w:tcPr>
            <w:tcW w:type="dxa" w:w="469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The service exists; how it is delivered is undefined.</w:t>
            </w:r>
          </w:p>
        </w:tc>
      </w:tr>
      <w:tr>
        <w:trPr>
          <w:cantSplit/>
        </w:trPr>
        <w:tc>
          <w:tcPr>
            <w:tcW w:type="dxa" w:w="7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D5</w:t>
            </w:r>
          </w:p>
        </w:tc>
        <w:tc>
          <w:tcPr>
            <w:tcW w:type="dxa" w:w="469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What do Autism Support and Behavioural Support actually involve — companionship and supervision, or behaviour intervention?</w:t>
            </w:r>
          </w:p>
        </w:tc>
        <w:tc>
          <w:tcPr>
            <w:tcW w:type="dxa" w:w="469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Listed as non-medical services requiring "behaviour/autism support training".</w:t>
            </w:r>
          </w:p>
        </w:tc>
      </w:tr>
      <w:tr>
        <w:trPr>
          <w:cantSplit/>
        </w:trPr>
        <w:tc>
          <w:tcPr>
            <w:tcW w:type="dxa" w:w="7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D6</w:t>
            </w:r>
          </w:p>
        </w:tc>
        <w:tc>
          <w:tcPr>
            <w:tcW w:type="dxa" w:w="469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Will Go Sit ever train, schedule, supervise or guarantee caregivers?</w:t>
            </w:r>
          </w:p>
        </w:tc>
        <w:tc>
          <w:tcPr>
            <w:tcW w:type="dxa" w:w="469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No — it screens and moderates only.</w:t>
            </w:r>
          </w:p>
        </w:tc>
      </w:tr>
      <w:tr>
        <w:trPr>
          <w:cantSplit/>
        </w:trPr>
        <w:tc>
          <w:tcPr>
            <w:tcW w:type="dxa" w:w="7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D7</w:t>
            </w:r>
          </w:p>
        </w:tc>
        <w:tc>
          <w:tcPr>
            <w:tcW w:type="dxa" w:w="469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Who absorbs a refund when the caregiver has already been paid?</w:t>
            </w:r>
          </w:p>
        </w:tc>
        <w:tc>
          <w:tcPr>
            <w:tcW w:type="dxa" w:w="469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Go Sit, today (the product warns staff when this is the case).</w:t>
            </w:r>
          </w:p>
        </w:tc>
      </w:tr>
      <w:tr>
        <w:trPr>
          <w:cantSplit/>
        </w:trPr>
        <w:tc>
          <w:tcPr>
            <w:tcW w:type="dxa" w:w="7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D8</w:t>
            </w:r>
          </w:p>
        </w:tc>
        <w:tc>
          <w:tcPr>
            <w:tcW w:type="dxa" w:w="469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Should late cancellations cost the cancelling party money?</w:t>
            </w:r>
          </w:p>
        </w:tc>
        <w:tc>
          <w:tcPr>
            <w:tcW w:type="dxa" w:w="469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Recorded but not charged.</w:t>
            </w:r>
          </w:p>
        </w:tc>
      </w:tr>
      <w:tr>
        <w:trPr>
          <w:cantSplit/>
        </w:trPr>
        <w:tc>
          <w:tcPr>
            <w:tcW w:type="dxa" w:w="7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D9</w:t>
            </w:r>
          </w:p>
        </w:tc>
        <w:tc>
          <w:tcPr>
            <w:tcW w:type="dxa" w:w="469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Incorporate federally or in Ontario?</w:t>
            </w:r>
          </w:p>
        </w:tc>
        <w:tc>
          <w:tcPr>
            <w:tcW w:type="dxa" w:w="469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Not decided.</w:t>
            </w:r>
          </w:p>
        </w:tc>
      </w:tr>
      <w:tr>
        <w:trPr>
          <w:cantSplit/>
        </w:trPr>
        <w:tc>
          <w:tcPr>
            <w:tcW w:type="dxa" w:w="7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D10</w:t>
            </w:r>
          </w:p>
        </w:tc>
        <w:tc>
          <w:tcPr>
            <w:tcW w:type="dxa" w:w="469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Launch in which cities, and any other province in year one?</w:t>
            </w:r>
          </w:p>
        </w:tc>
        <w:tc>
          <w:tcPr>
            <w:tcW w:type="dxa" w:w="469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Ontario; Toronto-area assumptions in the product (time zone).</w:t>
            </w:r>
          </w:p>
        </w:tc>
      </w:tr>
    </w:tbl>
    <w:p>
      <w:pPr>
        <w:pStyle w:val="Heading1"/>
        <w:pageBreakBefore/>
      </w:pPr>
      <w:r>
        <w:t xml:space="preserve">5. Questions to ask</w:t>
      </w:r>
    </w:p>
    <w:p>
      <w:pPr>
        <w:spacing w:after="120"/>
      </w:pPr>
      <w:r>
        <w:t xml:space="preserve">Numbered continuously so you and the lawyer can refer to them by number. Grey text explains why the question matters for Go Sit specifically.</w:t>
      </w:r>
    </w:p>
    <w:p>
      <w:pPr>
        <w:pStyle w:val="Heading2"/>
      </w:pPr>
      <w:r>
        <w:t xml:space="preserve">5.1 Licences and regulated activity</w:t>
      </w:r>
    </w:p>
    <w:p>
      <w:pPr>
        <w:pStyle w:val="ListParagraph"/>
        <w:keepNext w:val="false"/>
        <w:numPr>
          <w:ilvl w:val="0"/>
          <w:numId w:val="4"/>
        </w:numPr>
        <w:spacing w:after="80" w:before="80"/>
      </w:pPr>
      <w:r>
        <w:t xml:space="preserve">Does Go Sit need any licence, permit or registration to operate a care-matching platform in Ontario — federally, provincially or municipally? Which ones, and in what order should we apply?</w:t>
      </w:r>
    </w:p>
    <w:p>
      <w:pPr>
        <w:pStyle w:val="ListParagraph"/>
        <w:keepNext/>
        <w:numPr>
          <w:ilvl w:val="0"/>
          <w:numId w:val="4"/>
        </w:numPr>
        <w:spacing w:after="20" w:before="80"/>
      </w:pPr>
      <w:r>
        <w:t xml:space="preserve">Under Ontario's </w:t>
      </w:r>
      <w:r>
        <w:rPr>
          <w:b/>
          <w:bCs/>
        </w:rPr>
        <w:t xml:space="preserve">Child Care and Early Years Act, 2014</w:t>
      </w:r>
      <w:r>
        <w:t xml:space="preserve">, could Go Sit be treated as operating a home child care agency or unlicensed child care? Does the answer change if care happens in the caregiver's home, or if one caregiver cares for children from several families at once?</w:t>
      </w:r>
    </w:p>
    <w:p>
      <w:pPr>
        <w:spacing w:after="100"/>
        <w:ind w:left="620"/>
      </w:pPr>
      <w:r>
        <w:rPr>
          <w:i/>
          <w:iCs/>
          <w:color w:val="5B6666"/>
          <w:sz w:val="18"/>
          <w:szCs w:val="18"/>
        </w:rPr>
        <w:t xml:space="preserve">This is the core licensing question for the Child Care category — see decisions D2 and D3.</w:t>
      </w:r>
    </w:p>
    <w:p>
      <w:pPr>
        <w:pStyle w:val="ListParagraph"/>
        <w:keepNext w:val="false"/>
        <w:numPr>
          <w:ilvl w:val="0"/>
          <w:numId w:val="4"/>
        </w:numPr>
        <w:spacing w:after="80" w:before="80"/>
      </w:pPr>
      <w:r>
        <w:t xml:space="preserve">Are there limits on how many children an unlicensed individual caregiver may look after, and should the platform enforce them?</w:t>
      </w:r>
    </w:p>
    <w:p>
      <w:pPr>
        <w:pStyle w:val="ListParagraph"/>
        <w:keepNext w:val="false"/>
        <w:numPr>
          <w:ilvl w:val="0"/>
          <w:numId w:val="4"/>
        </w:numPr>
        <w:spacing w:after="80" w:before="80"/>
      </w:pPr>
      <w:r>
        <w:t xml:space="preserve">Does any Ontario law require a licence for private-pay, non-medical home support for seniors or people with disabilities?</w:t>
      </w:r>
    </w:p>
    <w:p>
      <w:pPr>
        <w:pStyle w:val="ListParagraph"/>
        <w:keepNext/>
        <w:numPr>
          <w:ilvl w:val="0"/>
          <w:numId w:val="4"/>
        </w:numPr>
        <w:spacing w:after="20" w:before="80"/>
      </w:pPr>
      <w:r>
        <w:t xml:space="preserve">Where exactly is the line between non-medical support and the controlled acts under the </w:t>
      </w:r>
      <w:r>
        <w:rPr>
          <w:b/>
          <w:bCs/>
        </w:rPr>
        <w:t xml:space="preserve">Regulated Health Professions Act, 1991</w:t>
      </w:r>
      <w:r>
        <w:t xml:space="preserve">? Specifically: medication reminders, feeding assistance, toileting assistance, helping someone transfer or walk, and dementia companion care.</w:t>
      </w:r>
    </w:p>
    <w:p>
      <w:pPr>
        <w:spacing w:after="100"/>
        <w:ind w:left="620"/>
      </w:pPr>
      <w:r>
        <w:rPr>
          <w:i/>
          <w:iCs/>
          <w:color w:val="5B6666"/>
          <w:sz w:val="18"/>
          <w:szCs w:val="18"/>
        </w:rPr>
        <w:t xml:space="preserve">Go Sit is designed as non-medical. The care-needs form collects feeding, toileting and mobility information, so the boundary needs to be drawn precisely in the Terms and caregiver agreement.</w:t>
      </w:r>
    </w:p>
    <w:p>
      <w:pPr>
        <w:pStyle w:val="ListParagraph"/>
        <w:keepNext w:val="false"/>
        <w:numPr>
          <w:ilvl w:val="0"/>
          <w:numId w:val="4"/>
        </w:numPr>
        <w:spacing w:after="80" w:before="80"/>
      </w:pPr>
      <w:r>
        <w:t xml:space="preserve">Applied behaviour analysis is now a regulated profession in Ontario. Can we offer services named "Autism Support" and "Behavioural Support"? What must caregivers not do, say or call themselves?</w:t>
      </w:r>
    </w:p>
    <w:p>
      <w:pPr>
        <w:pStyle w:val="ListParagraph"/>
        <w:keepNext w:val="false"/>
        <w:numPr>
          <w:ilvl w:val="0"/>
          <w:numId w:val="4"/>
        </w:numPr>
        <w:spacing w:after="80" w:before="80"/>
      </w:pPr>
      <w:r>
        <w:t xml:space="preserve">If caregivers are personal support workers, is Ontario's oversight authority for personal support workers relevant, and can we display that status?</w:t>
      </w:r>
    </w:p>
    <w:p>
      <w:pPr>
        <w:pStyle w:val="ListParagraph"/>
        <w:keepNext w:val="false"/>
        <w:numPr>
          <w:ilvl w:val="0"/>
          <w:numId w:val="4"/>
        </w:numPr>
        <w:spacing w:after="80" w:before="80"/>
      </w:pPr>
      <w:r>
        <w:t xml:space="preserve">For Transportation Assistance: do caregivers who drive recipients need commercial auto insurance or a municipal vehicle-for-hire licence? Would you recommend removing this service at launch?</w:t>
      </w:r>
    </w:p>
    <w:p>
      <w:pPr>
        <w:pStyle w:val="ListParagraph"/>
        <w:keepNext w:val="false"/>
        <w:numPr>
          <w:ilvl w:val="0"/>
          <w:numId w:val="4"/>
        </w:numPr>
        <w:spacing w:after="80" w:before="80"/>
      </w:pPr>
      <w:r>
        <w:t xml:space="preserve">Do we need a municipal business licence in each launch city?</w:t>
      </w:r>
    </w:p>
    <w:p>
      <w:pPr>
        <w:pStyle w:val="Heading2"/>
      </w:pPr>
      <w:r>
        <w:t xml:space="preserve">5.2 Caregiver status and employment</w:t>
      </w:r>
    </w:p>
    <w:p>
      <w:pPr>
        <w:pStyle w:val="ListParagraph"/>
        <w:keepNext w:val="false"/>
        <w:numPr>
          <w:ilvl w:val="0"/>
          <w:numId w:val="4"/>
        </w:numPr>
        <w:spacing w:after="80" w:before="80"/>
      </w:pPr>
      <w:r>
        <w:t xml:space="preserve">Given how the platform works (Section 2 and decision D1), are caregivers likely to be independent contractors or employees — under the Employment Standards Act, CRA rules and WSIB? Could the answer differ between the three?</w:t>
      </w:r>
    </w:p>
    <w:p>
      <w:pPr>
        <w:pStyle w:val="ListParagraph"/>
        <w:keepNext/>
        <w:numPr>
          <w:ilvl w:val="0"/>
          <w:numId w:val="4"/>
        </w:numPr>
        <w:spacing w:after="20" w:before="80"/>
      </w:pPr>
      <w:r>
        <w:t xml:space="preserve">Which current features increase the risk of caregivers being found to be employees, and what should change?</w:t>
      </w:r>
    </w:p>
    <w:p>
      <w:pPr>
        <w:spacing w:after="100"/>
        <w:ind w:left="620"/>
      </w:pPr>
      <w:r>
        <w:rPr>
          <w:i/>
          <w:iCs/>
          <w:color w:val="5B6666"/>
          <w:sz w:val="18"/>
          <w:szCs w:val="18"/>
        </w:rPr>
        <w:t xml:space="preserve">Candidates: required screening, holding payouts, deciding disputes, suspending accounts, enforcing a minimum rate, and the Pro subscription.</w:t>
      </w:r>
    </w:p>
    <w:p>
      <w:pPr>
        <w:pStyle w:val="ListParagraph"/>
        <w:keepNext w:val="false"/>
        <w:numPr>
          <w:ilvl w:val="0"/>
          <w:numId w:val="4"/>
        </w:numPr>
        <w:spacing w:after="80" w:before="80"/>
      </w:pPr>
      <w:r>
        <w:t xml:space="preserve">Does Ontario's </w:t>
      </w:r>
      <w:r>
        <w:rPr>
          <w:b/>
          <w:bCs/>
        </w:rPr>
        <w:t xml:space="preserve">Digital Platform Workers' Rights Act, 2022</w:t>
      </w:r>
      <w:r>
        <w:t xml:space="preserve"> apply to care work, or only to the ride-share, delivery and courier work it names? Is expansion expected?</w:t>
      </w:r>
    </w:p>
    <w:p>
      <w:pPr>
        <w:pStyle w:val="ListParagraph"/>
        <w:keepNext w:val="false"/>
        <w:numPr>
          <w:ilvl w:val="0"/>
          <w:numId w:val="4"/>
        </w:numPr>
        <w:spacing w:after="80" w:before="80"/>
      </w:pPr>
      <w:r>
        <w:t xml:space="preserve">If a family books the same caregiver regularly, can the family become that caregiver's employer, with payroll, CPP, EI and tax obligations? What should Go Sit tell families?</w:t>
      </w:r>
    </w:p>
    <w:p>
      <w:pPr>
        <w:pStyle w:val="ListParagraph"/>
        <w:keepNext/>
        <w:numPr>
          <w:ilvl w:val="0"/>
          <w:numId w:val="4"/>
        </w:numPr>
        <w:spacing w:after="20" w:before="80"/>
      </w:pPr>
      <w:r>
        <w:t xml:space="preserve">Should the platform enforce a minimum hourly rate, and at what level?</w:t>
      </w:r>
    </w:p>
    <w:p>
      <w:pPr>
        <w:spacing w:after="100"/>
        <w:ind w:left="620"/>
      </w:pPr>
      <w:r>
        <w:rPr>
          <w:i/>
          <w:iCs/>
          <w:color w:val="5B6666"/>
          <w:sz w:val="18"/>
          <w:szCs w:val="18"/>
        </w:rPr>
        <w:t xml:space="preserve">The product enforces $17.60, Ontario's general minimum wage since October 1, 2025. It is adjusted each October — confirm the current figure, and whether it applies to contractors at all.</w:t>
      </w:r>
    </w:p>
    <w:p>
      <w:pPr>
        <w:pStyle w:val="ListParagraph"/>
        <w:keepNext w:val="false"/>
        <w:numPr>
          <w:ilvl w:val="0"/>
          <w:numId w:val="4"/>
        </w:numPr>
        <w:spacing w:after="80" w:before="80"/>
      </w:pPr>
      <w:r>
        <w:t xml:space="preserve">Must Go Sit or caregivers register with WSIB? Can caregivers obtain independent operator coverage, and should we require it?</w:t>
      </w:r>
    </w:p>
    <w:p>
      <w:pPr>
        <w:pStyle w:val="ListParagraph"/>
        <w:keepNext w:val="false"/>
        <w:numPr>
          <w:ilvl w:val="0"/>
          <w:numId w:val="4"/>
        </w:numPr>
        <w:spacing w:after="80" w:before="80"/>
      </w:pPr>
      <w:r>
        <w:t xml:space="preserve">Can we require caregivers to carry their own liability insurance, and should we?</w:t>
      </w:r>
    </w:p>
    <w:p>
      <w:pPr>
        <w:pStyle w:val="Heading2"/>
      </w:pPr>
      <w:r>
        <w:t xml:space="preserve">5.3 Background checks and screening</w:t>
      </w:r>
    </w:p>
    <w:p>
      <w:pPr>
        <w:pStyle w:val="ListParagraph"/>
        <w:keepNext w:val="false"/>
        <w:numPr>
          <w:ilvl w:val="0"/>
          <w:numId w:val="4"/>
        </w:numPr>
        <w:spacing w:after="80" w:before="80"/>
      </w:pPr>
      <w:r>
        <w:t xml:space="preserve">Under the </w:t>
      </w:r>
      <w:r>
        <w:rPr>
          <w:b/>
          <w:bCs/>
        </w:rPr>
        <w:t xml:space="preserve">Police Record Checks Reform Act, 2015</w:t>
      </w:r>
      <w:r>
        <w:t xml:space="preserve">, which level of check may we require for each service, and who must request it — the caregiver or Go Sit?</w:t>
      </w:r>
    </w:p>
    <w:p>
      <w:pPr>
        <w:pStyle w:val="ListParagraph"/>
        <w:keepNext w:val="false"/>
        <w:numPr>
          <w:ilvl w:val="0"/>
          <w:numId w:val="4"/>
        </w:numPr>
        <w:spacing w:after="80" w:before="80"/>
      </w:pPr>
      <w:r>
        <w:t xml:space="preserve">Anyone caring for people needs a vulnerable sector check before appearing in search, including those offering only errands or senior companionship; someone offering only pet care needs a criminal record check instead. Is that lawful and appropriate? Conversely, should senior services require more than a standard police check?</w:t>
      </w:r>
    </w:p>
    <w:p>
      <w:pPr>
        <w:pStyle w:val="ListParagraph"/>
        <w:keepNext w:val="false"/>
        <w:numPr>
          <w:ilvl w:val="0"/>
          <w:numId w:val="4"/>
        </w:numPr>
        <w:spacing w:after="80" w:before="80"/>
      </w:pPr>
      <w:r>
        <w:t xml:space="preserve">How recent must a check be, and how often should we require a new one?</w:t>
      </w:r>
    </w:p>
    <w:p>
      <w:pPr>
        <w:pStyle w:val="ListParagraph"/>
        <w:keepNext w:val="false"/>
        <w:numPr>
          <w:ilvl w:val="0"/>
          <w:numId w:val="4"/>
        </w:numPr>
        <w:spacing w:after="80" w:before="80"/>
      </w:pPr>
      <w:r>
        <w:t xml:space="preserve">What may we lawfully do when a check shows a record or non-conviction information, given the Ontario Human Rights Code?</w:t>
      </w:r>
    </w:p>
    <w:p>
      <w:pPr>
        <w:pStyle w:val="ListParagraph"/>
        <w:keepNext/>
        <w:numPr>
          <w:ilvl w:val="0"/>
          <w:numId w:val="4"/>
        </w:numPr>
        <w:spacing w:after="20" w:before="80"/>
      </w:pPr>
      <w:r>
        <w:t xml:space="preserve">How long may we keep uploaded police check documents and certificates, and who at Go Sit may see them?</w:t>
      </w:r>
    </w:p>
    <w:p>
      <w:pPr>
        <w:spacing w:after="100"/>
        <w:ind w:left="620"/>
      </w:pPr>
      <w:r>
        <w:rPr>
          <w:i/>
          <w:iCs/>
          <w:color w:val="5B6666"/>
          <w:sz w:val="18"/>
          <w:szCs w:val="18"/>
        </w:rPr>
        <w:t xml:space="preserve">Today they are stored privately, only staff can open them, and every opening is recorded.</w:t>
      </w:r>
    </w:p>
    <w:p>
      <w:pPr>
        <w:pStyle w:val="ListParagraph"/>
        <w:keepNext w:val="false"/>
        <w:numPr>
          <w:ilvl w:val="0"/>
          <w:numId w:val="4"/>
        </w:numPr>
        <w:spacing w:after="80" w:before="80"/>
      </w:pPr>
      <w:r>
        <w:t xml:space="preserve">What is legally sufficient identity verification, and what must a contract with a background check or identity vendor include?</w:t>
      </w:r>
    </w:p>
    <w:p>
      <w:pPr>
        <w:pStyle w:val="ListParagraph"/>
        <w:keepNext w:val="false"/>
        <w:numPr>
          <w:ilvl w:val="0"/>
          <w:numId w:val="4"/>
        </w:numPr>
        <w:spacing w:after="80" w:before="80"/>
      </w:pPr>
      <w:r>
        <w:t xml:space="preserve">If we display a "verified" badge, what are we promising legally, and how should it be worded?</w:t>
      </w:r>
    </w:p>
    <w:p>
      <w:pPr>
        <w:pStyle w:val="Heading2"/>
      </w:pPr>
      <w:r>
        <w:t xml:space="preserve">5.4 Privacy and data</w:t>
      </w:r>
    </w:p>
    <w:p>
      <w:pPr>
        <w:pStyle w:val="ListParagraph"/>
        <w:keepNext w:val="false"/>
        <w:numPr>
          <w:ilvl w:val="0"/>
          <w:numId w:val="4"/>
        </w:numPr>
        <w:spacing w:after="80" w:before="80"/>
      </w:pPr>
      <w:r>
        <w:t xml:space="preserve">PIPEDA applies to our commercial activity. Does any other privacy or health-information law also apply, given we store allergies, disability, behaviour, toileting and feeding information about children and vulnerable adults?</w:t>
      </w:r>
    </w:p>
    <w:p>
      <w:pPr>
        <w:pStyle w:val="ListParagraph"/>
        <w:keepNext w:val="false"/>
        <w:numPr>
          <w:ilvl w:val="0"/>
          <w:numId w:val="4"/>
        </w:numPr>
        <w:spacing w:after="80" w:before="80"/>
      </w:pPr>
      <w:r>
        <w:t xml:space="preserve">What consent do we need to collect a child's or dependent adult's information from the person arranging their care? What if the recipient is an adult who can consent for themselves?</w:t>
      </w:r>
    </w:p>
    <w:p>
      <w:pPr>
        <w:pStyle w:val="ListParagraph"/>
        <w:keepNext w:val="false"/>
        <w:numPr>
          <w:ilvl w:val="0"/>
          <w:numId w:val="4"/>
        </w:numPr>
        <w:spacing w:after="80" w:before="80"/>
      </w:pPr>
      <w:r>
        <w:t xml:space="preserve">Staff can read messages flagged as possible contact sharing, and every read is recorded. Is this lawful, and what must we disclose to users?</w:t>
      </w:r>
    </w:p>
    <w:p>
      <w:pPr>
        <w:pStyle w:val="ListParagraph"/>
        <w:keepNext/>
        <w:numPr>
          <w:ilvl w:val="0"/>
          <w:numId w:val="4"/>
        </w:numPr>
        <w:spacing w:after="20" w:before="80"/>
      </w:pPr>
      <w:r>
        <w:t xml:space="preserve">Every video interview is recorded, with both people asked to agree each time they join and refused entry if they do not. Is that consent sufficient under PIPEDA and the Criminal Code's interception rules? What must the notice say, and must we tell people when staff have watched a recording?</w:t>
      </w:r>
    </w:p>
    <w:p>
      <w:pPr>
        <w:spacing w:after="100"/>
        <w:ind w:left="620"/>
      </w:pPr>
      <w:r>
        <w:rPr>
          <w:i/>
          <w:iCs/>
          <w:color w:val="5B6666"/>
          <w:sz w:val="18"/>
          <w:szCs w:val="18"/>
        </w:rPr>
        <w:t xml:space="preserve">The recording is for Trust &amp; Safety only: staff watch it when a concern is raised, every view is logged, participants never get a copy. Video may show children or the inside of a home.</w:t>
      </w:r>
    </w:p>
    <w:p>
      <w:pPr>
        <w:pStyle w:val="ListParagraph"/>
        <w:keepNext w:val="false"/>
        <w:numPr>
          <w:ilvl w:val="0"/>
          <w:numId w:val="4"/>
        </w:numPr>
        <w:spacing w:after="80" w:before="80"/>
      </w:pPr>
      <w:r>
        <w:t xml:space="preserve">Is a 90-day retention period for interview recordings defensible, and what should trigger keeping one longer? Staff can put recordings on hold for a dispute or incident; is a hold enough, or do we need a formal legal-hold process?</w:t>
      </w:r>
    </w:p>
    <w:p>
      <w:pPr>
        <w:pStyle w:val="ListParagraph"/>
        <w:keepNext w:val="false"/>
        <w:numPr>
          <w:ilvl w:val="0"/>
          <w:numId w:val="4"/>
        </w:numPr>
        <w:spacing w:after="80" w:before="80"/>
      </w:pPr>
      <w:r>
        <w:t xml:space="preserve">The video service (LiveKit) relays calls through servers that may be outside Canada, though recordings are written directly to our own storage. What must we disclose, and what terms do we need with them?</w:t>
      </w:r>
    </w:p>
    <w:p>
      <w:pPr>
        <w:pStyle w:val="ListParagraph"/>
        <w:keepNext w:val="false"/>
        <w:numPr>
          <w:ilvl w:val="0"/>
          <w:numId w:val="4"/>
        </w:numPr>
        <w:spacing w:after="80" w:before="80"/>
      </w:pPr>
      <w:r>
        <w:t xml:space="preserve">What must we disclose, and what consent do we need, for the arrival check that compares a caregiver's phone location to the booking address and then discards the coordinates?</w:t>
      </w:r>
    </w:p>
    <w:p>
      <w:pPr>
        <w:pStyle w:val="ListParagraph"/>
        <w:keepNext w:val="false"/>
        <w:numPr>
          <w:ilvl w:val="0"/>
          <w:numId w:val="4"/>
        </w:numPr>
        <w:spacing w:after="80" w:before="80"/>
      </w:pPr>
      <w:r>
        <w:t xml:space="preserve">Some vendors are based or process data outside Canada (Brevo in France; Stripe may process data in the United States). What must we disclose, and do we need specific contract terms with them?</w:t>
      </w:r>
    </w:p>
    <w:p>
      <w:pPr>
        <w:pStyle w:val="ListParagraph"/>
        <w:keepNext/>
        <w:numPr>
          <w:ilvl w:val="0"/>
          <w:numId w:val="4"/>
        </w:numPr>
        <w:spacing w:after="20" w:before="80"/>
      </w:pPr>
      <w:r>
        <w:t xml:space="preserve">What retention periods should apply to each type of data in Appendix B, and what must happen when someone asks to delete their account?</w:t>
      </w:r>
    </w:p>
    <w:p>
      <w:pPr>
        <w:spacing w:after="100"/>
        <w:ind w:left="620"/>
      </w:pPr>
      <w:r>
        <w:rPr>
          <w:i/>
          <w:iCs/>
          <w:color w:val="5B6666"/>
          <w:sz w:val="18"/>
          <w:szCs w:val="18"/>
        </w:rPr>
        <w:t xml:space="preserve">Account deletion is not built yet, and some records (disputes, incidents, audit logs) may need to be kept.</w:t>
      </w:r>
    </w:p>
    <w:p>
      <w:pPr>
        <w:pStyle w:val="ListParagraph"/>
        <w:keepNext w:val="false"/>
        <w:numPr>
          <w:ilvl w:val="0"/>
          <w:numId w:val="4"/>
        </w:numPr>
        <w:spacing w:after="80" w:before="80"/>
      </w:pPr>
      <w:r>
        <w:t xml:space="preserve">What are our obligations if there is a data breach — reporting to the Privacy Commissioner, notifying people, and keeping records?</w:t>
      </w:r>
    </w:p>
    <w:p>
      <w:pPr>
        <w:pStyle w:val="ListParagraph"/>
        <w:keepNext w:val="false"/>
        <w:numPr>
          <w:ilvl w:val="0"/>
          <w:numId w:val="4"/>
        </w:numPr>
        <w:spacing w:after="80" w:before="80"/>
      </w:pPr>
      <w:r>
        <w:t xml:space="preserve">Do we need a designated privacy officer and a privacy impact assessment before launch? Is federal privacy reform expected that we should build toward now?</w:t>
      </w:r>
    </w:p>
    <w:p>
      <w:pPr>
        <w:pStyle w:val="Heading2"/>
      </w:pPr>
      <w:r>
        <w:t xml:space="preserve">5.5 Payments, money and tax</w:t>
      </w:r>
    </w:p>
    <w:p>
      <w:pPr>
        <w:pStyle w:val="ListParagraph"/>
        <w:keepNext w:val="false"/>
        <w:numPr>
          <w:ilvl w:val="0"/>
          <w:numId w:val="4"/>
        </w:numPr>
        <w:spacing w:after="80" w:before="80"/>
      </w:pPr>
      <w:r>
        <w:t xml:space="preserve">We hold caregiver payouts for 14 days to allow disputes. Does holding funds create trust, escrow or other regulatory obligations?</w:t>
      </w:r>
    </w:p>
    <w:p>
      <w:pPr>
        <w:pStyle w:val="ListParagraph"/>
        <w:keepNext w:val="false"/>
        <w:numPr>
          <w:ilvl w:val="0"/>
          <w:numId w:val="4"/>
        </w:numPr>
        <w:spacing w:after="80" w:before="80"/>
      </w:pPr>
      <w:r>
        <w:t xml:space="preserve">Must Go Sit register with the Bank of Canada under the </w:t>
      </w:r>
      <w:r>
        <w:rPr>
          <w:b/>
          <w:bCs/>
        </w:rPr>
        <w:t xml:space="preserve">Retail Payment Activities Act</w:t>
      </w:r>
      <w:r>
        <w:t xml:space="preserve">, or does using Stripe Connect mean we do not?</w:t>
      </w:r>
    </w:p>
    <w:p>
      <w:pPr>
        <w:pStyle w:val="ListParagraph"/>
        <w:keepNext w:val="false"/>
        <w:numPr>
          <w:ilvl w:val="0"/>
          <w:numId w:val="4"/>
        </w:numPr>
        <w:spacing w:after="80" w:before="80"/>
      </w:pPr>
      <w:r>
        <w:t xml:space="preserve">GST/HST: are child care and home support services exempt? Are our 15% commission and subscriptions taxable? Who must register and charge tax — Go Sit, caregivers, or both? Do the GST/HST rules for digital platform operators apply to us?</w:t>
      </w:r>
    </w:p>
    <w:p>
      <w:pPr>
        <w:pStyle w:val="ListParagraph"/>
        <w:keepNext w:val="false"/>
        <w:numPr>
          <w:ilvl w:val="0"/>
          <w:numId w:val="4"/>
        </w:numPr>
        <w:spacing w:after="80" w:before="80"/>
      </w:pPr>
      <w:r>
        <w:t xml:space="preserve">Must we report caregivers' earnings to CRA under the digital platform reporting rules (Part XX of the Income Tax Act), and what information must we collect from caregivers to do it?</w:t>
      </w:r>
    </w:p>
    <w:p>
      <w:pPr>
        <w:pStyle w:val="ListParagraph"/>
        <w:keepNext w:val="false"/>
        <w:numPr>
          <w:ilvl w:val="0"/>
          <w:numId w:val="4"/>
        </w:numPr>
        <w:spacing w:after="80" w:before="80"/>
      </w:pPr>
      <w:r>
        <w:t xml:space="preserve">Families may claim child care expenses and need receipts, which can require the provider's SIN. How should we issue receipts without collecting or exposing more than necessary?</w:t>
      </w:r>
    </w:p>
    <w:p>
      <w:pPr>
        <w:pStyle w:val="ListParagraph"/>
        <w:keepNext w:val="false"/>
        <w:numPr>
          <w:ilvl w:val="0"/>
          <w:numId w:val="4"/>
        </w:numPr>
        <w:spacing w:after="80" w:before="80"/>
      </w:pPr>
      <w:r>
        <w:t xml:space="preserve">Can we charge late-cancellation fees, and how must they be disclosed? Who keeps the fee?</w:t>
      </w:r>
    </w:p>
    <w:p>
      <w:pPr>
        <w:pStyle w:val="ListParagraph"/>
        <w:keepNext w:val="false"/>
        <w:numPr>
          <w:ilvl w:val="0"/>
          <w:numId w:val="4"/>
        </w:numPr>
        <w:spacing w:after="80" w:before="80"/>
      </w:pPr>
      <w:r>
        <w:t xml:space="preserve">When staff refund a family after the caregiver has been paid, can we recover the money from the caregiver's future earnings?</w:t>
      </w:r>
    </w:p>
    <w:p>
      <w:pPr>
        <w:pStyle w:val="Heading2"/>
      </w:pPr>
      <w:r>
        <w:t xml:space="preserve">5.6 Consumer protection, pricing and marketing</w:t>
      </w:r>
    </w:p>
    <w:p>
      <w:pPr>
        <w:pStyle w:val="ListParagraph"/>
        <w:keepNext w:val="false"/>
        <w:numPr>
          <w:ilvl w:val="0"/>
          <w:numId w:val="4"/>
        </w:numPr>
        <w:spacing w:after="80" w:before="80"/>
      </w:pPr>
      <w:r>
        <w:t xml:space="preserve">Subscriptions renew monthly. What must our online agreement, renewal notices and cancellation process include under Ontario consumer protection law — and is the </w:t>
      </w:r>
      <w:r>
        <w:rPr>
          <w:b/>
          <w:bCs/>
        </w:rPr>
        <w:t xml:space="preserve">Consumer Protection Act, 2023</w:t>
      </w:r>
      <w:r>
        <w:t xml:space="preserve"> now in force?</w:t>
      </w:r>
    </w:p>
    <w:p>
      <w:pPr>
        <w:pStyle w:val="ListParagraph"/>
        <w:keepNext w:val="false"/>
        <w:numPr>
          <w:ilvl w:val="0"/>
          <w:numId w:val="4"/>
        </w:numPr>
        <w:spacing w:after="80" w:before="80"/>
      </w:pPr>
      <w:r>
        <w:t xml:space="preserve">Under the Competition Act's rules on drip pricing, how must we display the hourly rate, commission, taxes and any fees so the price shown is the price paid?</w:t>
      </w:r>
    </w:p>
    <w:p>
      <w:pPr>
        <w:pStyle w:val="ListParagraph"/>
        <w:keepNext w:val="false"/>
        <w:numPr>
          <w:ilvl w:val="0"/>
          <w:numId w:val="4"/>
        </w:numPr>
        <w:spacing w:after="80" w:before="80"/>
      </w:pPr>
      <w:r>
        <w:t xml:space="preserve">Do our promo codes and referral programme need written terms? What does Canada's anti-spam law (CASL) require for marketing emails and referral invitations?</w:t>
      </w:r>
    </w:p>
    <w:p>
      <w:pPr>
        <w:pStyle w:val="ListParagraph"/>
        <w:keepNext w:val="false"/>
        <w:numPr>
          <w:ilvl w:val="0"/>
          <w:numId w:val="4"/>
        </w:numPr>
        <w:spacing w:after="80" w:before="80"/>
      </w:pPr>
      <w:r>
        <w:t xml:space="preserve">What is our liability for reviews that are defamatory or fake, and is our process (only the subject reports; staff hide or let stand; the review is kept) adequate?</w:t>
      </w:r>
    </w:p>
    <w:p>
      <w:pPr>
        <w:pStyle w:val="Heading2"/>
      </w:pPr>
      <w:r>
        <w:t xml:space="preserve">5.7 Liability, safety and insurance</w:t>
      </w:r>
    </w:p>
    <w:p>
      <w:pPr>
        <w:pStyle w:val="ListParagraph"/>
        <w:keepNext w:val="false"/>
        <w:numPr>
          <w:ilvl w:val="0"/>
          <w:numId w:val="4"/>
        </w:numPr>
        <w:spacing w:after="80" w:before="80"/>
      </w:pPr>
      <w:r>
        <w:t xml:space="preserve">If a caregiver harms a child or vulnerable adult, what liability could Go Sit face, and how far can our Terms lawfully limit it?</w:t>
      </w:r>
    </w:p>
    <w:p>
      <w:pPr>
        <w:pStyle w:val="ListParagraph"/>
        <w:keepNext w:val="false"/>
        <w:numPr>
          <w:ilvl w:val="0"/>
          <w:numId w:val="4"/>
        </w:numPr>
        <w:spacing w:after="80" w:before="80"/>
      </w:pPr>
      <w:r>
        <w:t xml:space="preserve">Ontario consumer law limits mandatory arbitration and class-action waivers in consumer agreements. What can our Terms enforceably include?</w:t>
      </w:r>
    </w:p>
    <w:p>
      <w:pPr>
        <w:pStyle w:val="ListParagraph"/>
        <w:keepNext w:val="false"/>
        <w:numPr>
          <w:ilvl w:val="0"/>
          <w:numId w:val="4"/>
        </w:numPr>
        <w:spacing w:after="80" w:before="80"/>
      </w:pPr>
      <w:r>
        <w:t xml:space="preserve">What insurance should Go Sit carry before launch — general liability, professional liability, cyber, abuse and molestation, non-owned auto — and what limits?</w:t>
      </w:r>
    </w:p>
    <w:p>
      <w:pPr>
        <w:pStyle w:val="ListParagraph"/>
        <w:keepNext w:val="false"/>
        <w:numPr>
          <w:ilvl w:val="0"/>
          <w:numId w:val="4"/>
        </w:numPr>
        <w:spacing w:after="80" w:before="80"/>
      </w:pPr>
      <w:r>
        <w:t xml:space="preserve">What are Go Sit's, staff's and caregivers' duties to report a suspected child in need of protection under the </w:t>
      </w:r>
      <w:r>
        <w:rPr>
          <w:b/>
          <w:bCs/>
        </w:rPr>
        <w:t xml:space="preserve">Child, Youth and Family Services Act, 2017</w:t>
      </w:r>
      <w:r>
        <w:t xml:space="preserve">, and what about suspected abuse of an older or dependent adult? How should our incident process handle reports we receive?</w:t>
      </w:r>
    </w:p>
    <w:p>
      <w:pPr>
        <w:pStyle w:val="ListParagraph"/>
        <w:keepNext w:val="false"/>
        <w:numPr>
          <w:ilvl w:val="0"/>
          <w:numId w:val="4"/>
        </w:numPr>
        <w:spacing w:after="80" w:before="80"/>
      </w:pPr>
      <w:r>
        <w:t xml:space="preserve">What must we record when an incident is reported, how long must we keep it, and when must we preserve records for possible litigation?</w:t>
      </w:r>
    </w:p>
    <w:p>
      <w:pPr>
        <w:pStyle w:val="ListParagraph"/>
        <w:keepNext/>
        <w:numPr>
          <w:ilvl w:val="0"/>
          <w:numId w:val="4"/>
        </w:numPr>
        <w:spacing w:after="20" w:before="80"/>
      </w:pPr>
      <w:r>
        <w:t xml:space="preserve">Do we need an appeal process for caregivers who are suspended or whose checks are rejected?</w:t>
      </w:r>
    </w:p>
    <w:p>
      <w:pPr>
        <w:spacing w:after="100"/>
        <w:ind w:left="620"/>
      </w:pPr>
      <w:r>
        <w:rPr>
          <w:i/>
          <w:iCs/>
          <w:color w:val="5B6666"/>
          <w:sz w:val="18"/>
          <w:szCs w:val="18"/>
        </w:rPr>
        <w:t xml:space="preserve">Losing platform access can mean losing income; the product has no appeal route today.</w:t>
      </w:r>
    </w:p>
    <w:p>
      <w:pPr>
        <w:pStyle w:val="Heading2"/>
      </w:pPr>
      <w:r>
        <w:t xml:space="preserve">5.8 Contracts to put in place</w:t>
      </w:r>
    </w:p>
    <w:p>
      <w:pPr>
        <w:pStyle w:val="ListParagraph"/>
        <w:keepNext/>
        <w:numPr>
          <w:ilvl w:val="0"/>
          <w:numId w:val="4"/>
        </w:numPr>
        <w:spacing w:after="20" w:before="80"/>
      </w:pPr>
      <w:r>
        <w:t xml:space="preserve">Which agreements do we need before launch, and can you prepare them as a package with a fixed fee?</w:t>
      </w:r>
    </w:p>
    <w:p>
      <w:pPr>
        <w:spacing w:after="100"/>
        <w:ind w:left="620"/>
      </w:pPr>
      <w:r>
        <w:rPr>
          <w:i/>
          <w:iCs/>
          <w:color w:val="5B6666"/>
          <w:sz w:val="18"/>
          <w:szCs w:val="18"/>
        </w:rPr>
        <w:t xml:space="preserve">Likely list: Terms of Service (families), caregiver agreement, Privacy Policy, community guidelines and safety standards, dispute and refund policy, subscription terms, promo and referral terms, staff confidentiality agreement, contractor IP assignment, vendor data processing terms.</w:t>
      </w:r>
    </w:p>
    <w:p>
      <w:pPr>
        <w:pStyle w:val="ListParagraph"/>
        <w:keepNext w:val="false"/>
        <w:numPr>
          <w:ilvl w:val="0"/>
          <w:numId w:val="4"/>
        </w:numPr>
        <w:spacing w:after="80" w:before="80"/>
      </w:pPr>
      <w:r>
        <w:t xml:space="preserve">Should families and caregivers accept different agreements, and how must acceptance be recorded online?</w:t>
      </w:r>
    </w:p>
    <w:p>
      <w:pPr>
        <w:pStyle w:val="ListParagraph"/>
        <w:keepNext w:val="false"/>
        <w:numPr>
          <w:ilvl w:val="0"/>
          <w:numId w:val="4"/>
        </w:numPr>
        <w:spacing w:after="80" w:before="80"/>
      </w:pPr>
      <w:r>
        <w:t xml:space="preserve">Do we own the software and designs outright, including work by contractors and code written with AI-assisted development tools? What should we sign now to be sure?</w:t>
      </w:r>
    </w:p>
    <w:p>
      <w:pPr>
        <w:pStyle w:val="Heading2"/>
      </w:pPr>
      <w:r>
        <w:t xml:space="preserve">5.9 Corporate, brand, accessibility and language</w:t>
      </w:r>
    </w:p>
    <w:p>
      <w:pPr>
        <w:pStyle w:val="ListParagraph"/>
        <w:keepNext w:val="false"/>
        <w:numPr>
          <w:ilvl w:val="0"/>
          <w:numId w:val="4"/>
        </w:numPr>
        <w:spacing w:after="80" w:before="80"/>
      </w:pPr>
      <w:r>
        <w:t xml:space="preserve">Should we incorporate federally or in Ontario, and what founder agreements do we need now?</w:t>
      </w:r>
    </w:p>
    <w:p>
      <w:pPr>
        <w:pStyle w:val="ListParagraph"/>
        <w:keepNext w:val="false"/>
        <w:numPr>
          <w:ilvl w:val="0"/>
          <w:numId w:val="4"/>
        </w:numPr>
        <w:spacing w:after="80" w:before="80"/>
      </w:pPr>
      <w:r>
        <w:t xml:space="preserve">Is "Go Sit" available as a trademark in Canada? Should we run a clearance search and file with CIPO before launch?</w:t>
      </w:r>
    </w:p>
    <w:p>
      <w:pPr>
        <w:pStyle w:val="ListParagraph"/>
        <w:keepNext w:val="false"/>
        <w:numPr>
          <w:ilvl w:val="0"/>
          <w:numId w:val="4"/>
        </w:numPr>
        <w:spacing w:after="80" w:before="80"/>
      </w:pPr>
      <w:r>
        <w:t xml:space="preserve">What does Ontario's accessibility law (AODA) require of us at our expected headcount, including for the website and apps?</w:t>
      </w:r>
    </w:p>
    <w:p>
      <w:pPr>
        <w:pStyle w:val="ListParagraph"/>
        <w:keepNext w:val="false"/>
        <w:numPr>
          <w:ilvl w:val="0"/>
          <w:numId w:val="4"/>
        </w:numPr>
        <w:spacing w:after="80" w:before="80"/>
      </w:pPr>
      <w:r>
        <w:t xml:space="preserve">Is French required anywhere for an Ontario launch? What changes if we expand to Quebec?</w:t>
      </w:r>
    </w:p>
    <w:p>
      <w:pPr>
        <w:pStyle w:val="Heading2"/>
      </w:pPr>
      <w:r>
        <w:t xml:space="preserve">5.10 Pet care</w:t>
      </w:r>
    </w:p>
    <w:p>
      <w:pPr>
        <w:pStyle w:val="ListParagraph"/>
        <w:keepNext/>
        <w:numPr>
          <w:ilvl w:val="0"/>
          <w:numId w:val="4"/>
        </w:numPr>
        <w:spacing w:after="20" w:before="80"/>
      </w:pPr>
      <w:r>
        <w:t xml:space="preserve">Under Ontario's </w:t>
      </w:r>
      <w:r>
        <w:rPr>
          <w:b/>
          <w:bCs/>
        </w:rPr>
        <w:t xml:space="preserve">Dog Owners' Liability Act</w:t>
      </w:r>
      <w:r>
        <w:t xml:space="preserve">, can a dog walker or sitter be treated as an owner and be liable if a dog they are looking after bites someone? Could Go Sit be?</w:t>
      </w:r>
    </w:p>
    <w:p>
      <w:pPr>
        <w:spacing w:after="100"/>
        <w:ind w:left="620"/>
      </w:pPr>
      <w:r>
        <w:rPr>
          <w:i/>
          <w:iCs/>
          <w:color w:val="5B6666"/>
          <w:sz w:val="18"/>
          <w:szCs w:val="18"/>
        </w:rPr>
        <w:t xml:space="preserve">The Act makes a dog's owner liable for bites, and its idea of an owner may reach someone who has the dog in their care.</w:t>
      </w:r>
    </w:p>
    <w:p>
      <w:pPr>
        <w:pStyle w:val="ListParagraph"/>
        <w:keepNext w:val="false"/>
        <w:numPr>
          <w:ilvl w:val="0"/>
          <w:numId w:val="4"/>
        </w:numPr>
        <w:spacing w:after="80" w:before="80"/>
      </w:pPr>
      <w:r>
        <w:t xml:space="preserve">What happens legally if a pet is injured, lost or dies in a sitter's care? Who is liable, and what must our Terms say?</w:t>
      </w:r>
    </w:p>
    <w:p>
      <w:pPr>
        <w:pStyle w:val="ListParagraph"/>
        <w:keepNext w:val="false"/>
        <w:numPr>
          <w:ilvl w:val="0"/>
          <w:numId w:val="4"/>
        </w:numPr>
        <w:spacing w:after="80" w:before="80"/>
      </w:pPr>
      <w:r>
        <w:t xml:space="preserve">What insurance should pet sitters carry — including cover for animals in their care — and should Go Sit carry any?</w:t>
      </w:r>
    </w:p>
    <w:p>
      <w:pPr>
        <w:pStyle w:val="ListParagraph"/>
        <w:keepNext w:val="false"/>
        <w:numPr>
          <w:ilvl w:val="0"/>
          <w:numId w:val="4"/>
        </w:numPr>
        <w:spacing w:after="80" w:before="80"/>
      </w:pPr>
      <w:r>
        <w:t xml:space="preserve">May a sitter give a pet medication the owner provides, including injections such as insulin, or does that touch regulated veterinary practice?</w:t>
      </w:r>
    </w:p>
    <w:p>
      <w:pPr>
        <w:pStyle w:val="ListParagraph"/>
        <w:keepNext w:val="false"/>
        <w:numPr>
          <w:ilvl w:val="0"/>
          <w:numId w:val="4"/>
        </w:numPr>
        <w:spacing w:after="80" w:before="80"/>
      </w:pPr>
      <w:r>
        <w:t xml:space="preserve">Do dog walkers need a municipal licence or permit, for example to walk dogs in city parks? The product currently allows one household per booking, so no group walks.</w:t>
      </w:r>
    </w:p>
    <w:p>
      <w:pPr>
        <w:pStyle w:val="ListParagraph"/>
        <w:keepNext/>
        <w:numPr>
          <w:ilvl w:val="0"/>
          <w:numId w:val="4"/>
        </w:numPr>
        <w:spacing w:after="20" w:before="80"/>
      </w:pPr>
      <w:r>
        <w:t xml:space="preserve">We offer boarding at the caregiver's home, one household's pets at a time, and show the family the caregiver's home address once the caregiver accepts. What kennel, animal-keeping, zoning and insurance rules apply, and what must we tell caregivers before they agree to share their address?</w:t>
      </w:r>
    </w:p>
    <w:p>
      <w:pPr>
        <w:spacing w:after="100"/>
        <w:ind w:left="620"/>
      </w:pPr>
      <w:r>
        <w:rPr>
          <w:i/>
          <w:iCs/>
          <w:color w:val="5B6666"/>
          <w:sz w:val="18"/>
          <w:szCs w:val="18"/>
        </w:rPr>
        <w:t xml:space="preserve">Boarding is the only service where a caregiver's home address is disclosed. Families see it only after the caregiver accepts; the caregiver is told before they offer boarding.</w:t>
      </w:r>
    </w:p>
    <w:p>
      <w:pPr>
        <w:pStyle w:val="ListParagraph"/>
        <w:keepNext w:val="false"/>
        <w:numPr>
          <w:ilvl w:val="0"/>
          <w:numId w:val="4"/>
        </w:numPr>
        <w:spacing w:after="80" w:before="80"/>
      </w:pPr>
      <w:r>
        <w:t xml:space="preserve">Is pet care taxable for GST/HST even where child care is exempt, and how must we show that in prices?</w:t>
      </w:r>
    </w:p>
    <w:p>
      <w:pPr>
        <w:pStyle w:val="Heading2"/>
      </w:pPr>
      <w:r>
        <w:t xml:space="preserve">5.11 Questions about working with this lawyer</w:t>
      </w:r>
    </w:p>
    <w:p>
      <w:pPr>
        <w:pStyle w:val="ListParagraph"/>
        <w:keepNext w:val="false"/>
        <w:numPr>
          <w:ilvl w:val="0"/>
          <w:numId w:val="4"/>
        </w:numPr>
        <w:spacing w:after="80" w:before="80"/>
      </w:pPr>
      <w:r>
        <w:t xml:space="preserve">Have you advised online marketplaces, child care businesses or home care businesses before?</w:t>
      </w:r>
    </w:p>
    <w:p>
      <w:pPr>
        <w:pStyle w:val="ListParagraph"/>
        <w:keepNext w:val="false"/>
        <w:numPr>
          <w:ilvl w:val="0"/>
          <w:numId w:val="4"/>
        </w:numPr>
        <w:spacing w:after="80" w:before="80"/>
      </w:pPr>
      <w:r>
        <w:t xml:space="preserve">Which parts should go to other specialists — employment, privacy, tax accountant, insurance broker — and can you coordinate them?</w:t>
      </w:r>
    </w:p>
    <w:p>
      <w:pPr>
        <w:pStyle w:val="ListParagraph"/>
        <w:keepNext w:val="false"/>
        <w:numPr>
          <w:ilvl w:val="0"/>
          <w:numId w:val="4"/>
        </w:numPr>
        <w:spacing w:after="80" w:before="80"/>
      </w:pPr>
      <w:r>
        <w:t xml:space="preserve">What must be done before launch, and what can safely wait until after?</w:t>
      </w:r>
    </w:p>
    <w:p>
      <w:pPr>
        <w:pStyle w:val="ListParagraph"/>
        <w:keepNext w:val="false"/>
        <w:numPr>
          <w:ilvl w:val="0"/>
          <w:numId w:val="4"/>
        </w:numPr>
        <w:spacing w:after="80" w:before="80"/>
      </w:pPr>
      <w:r>
        <w:t xml:space="preserve">What will this cost, and how long will it take, to be ready to launch?</w:t>
      </w:r>
    </w:p>
    <w:p>
      <w:pPr>
        <w:pStyle w:val="Heading1"/>
      </w:pPr>
      <w:r>
        <w:t xml:space="preserve">6. Government bodies you may deal with</w:t>
      </w:r>
    </w:p>
    <w:p>
      <w:pPr>
        <w:spacing w:after="120"/>
      </w:pPr>
      <w:r>
        <w:t xml:space="preserve">Not all of these will apply. Ask the lawyer to mark which ones do and in what order to approach them.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00"/>
        <w:gridCol w:w="4980"/>
        <w:gridCol w:w="1800"/>
      </w:tblGrid>
      <w:tr>
        <w:trPr>
          <w:tblHeader/>
        </w:trPr>
        <w:tc>
          <w:tcPr>
            <w:tcW w:type="dxa" w:w="3300"/>
            <w:tcBorders>
              <w:top w:val="single" w:color="C9D6D6" w:sz="4"/>
              <w:left w:val="single" w:color="C9D6D6" w:sz="4"/>
              <w:bottom w:val="single" w:color="C9D6D6" w:sz="4"/>
              <w:right w:val="single" w:color="C9D6D6" w:sz="4"/>
            </w:tcBorders>
            <w:shd w:fill="E3F1F1" w:color="auto" w:val="clear"/>
            <w:tcMar>
              <w:top w:type="dxa" w:w="70"/>
              <w:left w:type="dxa" w:w="110"/>
              <w:bottom w:type="dxa" w:w="70"/>
              <w:right w:type="dxa" w:w="110"/>
            </w:tcMar>
          </w:tcPr>
          <w:p>
            <w:pPr>
              <w:spacing w:after="20"/>
            </w:pPr>
            <w:r>
              <w:rPr>
                <w:b/>
                <w:bCs/>
                <w:color w:val="1F2A2A"/>
                <w:sz w:val="19"/>
                <w:szCs w:val="19"/>
              </w:rPr>
              <w:t xml:space="preserve">Body</w:t>
            </w:r>
          </w:p>
        </w:tc>
        <w:tc>
          <w:tcPr>
            <w:tcW w:type="dxa" w:w="4980"/>
            <w:tcBorders>
              <w:top w:val="single" w:color="C9D6D6" w:sz="4"/>
              <w:left w:val="single" w:color="C9D6D6" w:sz="4"/>
              <w:bottom w:val="single" w:color="C9D6D6" w:sz="4"/>
              <w:right w:val="single" w:color="C9D6D6" w:sz="4"/>
            </w:tcBorders>
            <w:shd w:fill="E3F1F1" w:color="auto" w:val="clear"/>
            <w:tcMar>
              <w:top w:type="dxa" w:w="70"/>
              <w:left w:type="dxa" w:w="110"/>
              <w:bottom w:type="dxa" w:w="70"/>
              <w:right w:type="dxa" w:w="110"/>
            </w:tcMar>
          </w:tcPr>
          <w:p>
            <w:pPr>
              <w:spacing w:after="20"/>
            </w:pPr>
            <w:r>
              <w:rPr>
                <w:b/>
                <w:bCs/>
                <w:color w:val="1F2A2A"/>
                <w:sz w:val="19"/>
                <w:szCs w:val="19"/>
              </w:rPr>
              <w:t xml:space="preserve">Why it may be relevant</w:t>
            </w:r>
          </w:p>
        </w:tc>
        <w:tc>
          <w:tcPr>
            <w:tcW w:type="dxa" w:w="1800"/>
            <w:tcBorders>
              <w:top w:val="single" w:color="C9D6D6" w:sz="4"/>
              <w:left w:val="single" w:color="C9D6D6" w:sz="4"/>
              <w:bottom w:val="single" w:color="C9D6D6" w:sz="4"/>
              <w:right w:val="single" w:color="C9D6D6" w:sz="4"/>
            </w:tcBorders>
            <w:shd w:fill="E3F1F1" w:color="auto" w:val="clear"/>
            <w:tcMar>
              <w:top w:type="dxa" w:w="70"/>
              <w:left w:type="dxa" w:w="110"/>
              <w:bottom w:type="dxa" w:w="70"/>
              <w:right w:type="dxa" w:w="110"/>
            </w:tcMar>
          </w:tcPr>
          <w:p>
            <w:pPr>
              <w:spacing w:after="20"/>
            </w:pPr>
            <w:r>
              <w:rPr>
                <w:b/>
                <w:bCs/>
                <w:color w:val="1F2A2A"/>
                <w:sz w:val="19"/>
                <w:szCs w:val="19"/>
              </w:rPr>
              <w:t xml:space="preserve">Applies? (ask counsel)</w:t>
            </w:r>
          </w:p>
        </w:tc>
      </w:tr>
      <w:tr>
        <w:trPr>
          <w:cantSplit/>
        </w:trPr>
        <w:tc>
          <w:tcPr>
            <w:tcW w:type="dxa" w:w="33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ServiceOntario / Ontario Business Registry</w:t>
            </w:r>
          </w:p>
        </w:tc>
        <w:tc>
          <w:tcPr>
            <w:tcW w:type="dxa" w:w="49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Ontario incorporation or business name registration</w:t>
            </w:r>
          </w:p>
        </w:tc>
        <w:tc>
          <w:tcPr>
            <w:tcW w:type="dxa" w:w="18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p>
        </w:tc>
      </w:tr>
      <w:tr>
        <w:trPr>
          <w:cantSplit/>
        </w:trPr>
        <w:tc>
          <w:tcPr>
            <w:tcW w:type="dxa" w:w="33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Corporations Canada</w:t>
            </w:r>
          </w:p>
        </w:tc>
        <w:tc>
          <w:tcPr>
            <w:tcW w:type="dxa" w:w="49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Federal incorporation, if chosen</w:t>
            </w:r>
          </w:p>
        </w:tc>
        <w:tc>
          <w:tcPr>
            <w:tcW w:type="dxa" w:w="18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p>
        </w:tc>
      </w:tr>
      <w:tr>
        <w:trPr>
          <w:cantSplit/>
        </w:trPr>
        <w:tc>
          <w:tcPr>
            <w:tcW w:type="dxa" w:w="33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Canada Revenue Agency (CRA)</w:t>
            </w:r>
          </w:p>
        </w:tc>
        <w:tc>
          <w:tcPr>
            <w:tcW w:type="dxa" w:w="49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Business Number, GST/HST, payroll accounts, digital platform reporting</w:t>
            </w:r>
          </w:p>
        </w:tc>
        <w:tc>
          <w:tcPr>
            <w:tcW w:type="dxa" w:w="18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p>
        </w:tc>
      </w:tr>
      <w:tr>
        <w:trPr>
          <w:cantSplit/>
        </w:trPr>
        <w:tc>
          <w:tcPr>
            <w:tcW w:type="dxa" w:w="33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Ontario Ministry of Education</w:t>
            </w:r>
          </w:p>
        </w:tc>
        <w:tc>
          <w:tcPr>
            <w:tcW w:type="dxa" w:w="49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Child care licensing under the Child Care and Early Years Act, 2014</w:t>
            </w:r>
          </w:p>
        </w:tc>
        <w:tc>
          <w:tcPr>
            <w:tcW w:type="dxa" w:w="18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p>
        </w:tc>
      </w:tr>
      <w:tr>
        <w:trPr>
          <w:cantSplit/>
        </w:trPr>
        <w:tc>
          <w:tcPr>
            <w:tcW w:type="dxa" w:w="33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Ontario Ministry of Labour, Immigration, Training and Skills Development</w:t>
            </w:r>
          </w:p>
        </w:tc>
        <w:tc>
          <w:tcPr>
            <w:tcW w:type="dxa" w:w="49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Employment standards and worker classification</w:t>
            </w:r>
          </w:p>
        </w:tc>
        <w:tc>
          <w:tcPr>
            <w:tcW w:type="dxa" w:w="18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p>
        </w:tc>
      </w:tr>
      <w:tr>
        <w:trPr>
          <w:cantSplit/>
        </w:trPr>
        <w:tc>
          <w:tcPr>
            <w:tcW w:type="dxa" w:w="33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WSIB</w:t>
            </w:r>
          </w:p>
        </w:tc>
        <w:tc>
          <w:tcPr>
            <w:tcW w:type="dxa" w:w="49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Workplace safety insurance for Go Sit staff and possibly caregivers</w:t>
            </w:r>
          </w:p>
        </w:tc>
        <w:tc>
          <w:tcPr>
            <w:tcW w:type="dxa" w:w="18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p>
        </w:tc>
      </w:tr>
      <w:tr>
        <w:trPr>
          <w:cantSplit/>
        </w:trPr>
        <w:tc>
          <w:tcPr>
            <w:tcW w:type="dxa" w:w="33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Office of the Privacy Commissioner of Canada</w:t>
            </w:r>
          </w:p>
        </w:tc>
        <w:tc>
          <w:tcPr>
            <w:tcW w:type="dxa" w:w="49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PIPEDA compliance and breach reporting</w:t>
            </w:r>
          </w:p>
        </w:tc>
        <w:tc>
          <w:tcPr>
            <w:tcW w:type="dxa" w:w="18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p>
        </w:tc>
      </w:tr>
      <w:tr>
        <w:trPr>
          <w:cantSplit/>
        </w:trPr>
        <w:tc>
          <w:tcPr>
            <w:tcW w:type="dxa" w:w="33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Bank of Canada</w:t>
            </w:r>
          </w:p>
        </w:tc>
        <w:tc>
          <w:tcPr>
            <w:tcW w:type="dxa" w:w="49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Retail Payment Activities Act registration</w:t>
            </w:r>
          </w:p>
        </w:tc>
        <w:tc>
          <w:tcPr>
            <w:tcW w:type="dxa" w:w="18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p>
        </w:tc>
      </w:tr>
      <w:tr>
        <w:trPr>
          <w:cantSplit/>
        </w:trPr>
        <w:tc>
          <w:tcPr>
            <w:tcW w:type="dxa" w:w="33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Competition Bureau</w:t>
            </w:r>
          </w:p>
        </w:tc>
        <w:tc>
          <w:tcPr>
            <w:tcW w:type="dxa" w:w="49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Price display, marketing claims and reviews</w:t>
            </w:r>
          </w:p>
        </w:tc>
        <w:tc>
          <w:tcPr>
            <w:tcW w:type="dxa" w:w="18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p>
        </w:tc>
      </w:tr>
      <w:tr>
        <w:trPr>
          <w:cantSplit/>
        </w:trPr>
        <w:tc>
          <w:tcPr>
            <w:tcW w:type="dxa" w:w="33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Canadian Intellectual Property Office (CIPO)</w:t>
            </w:r>
          </w:p>
        </w:tc>
        <w:tc>
          <w:tcPr>
            <w:tcW w:type="dxa" w:w="49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Trademark for the Go Sit name and logo</w:t>
            </w:r>
          </w:p>
        </w:tc>
        <w:tc>
          <w:tcPr>
            <w:tcW w:type="dxa" w:w="18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p>
        </w:tc>
      </w:tr>
      <w:tr>
        <w:trPr>
          <w:cantSplit/>
        </w:trPr>
        <w:tc>
          <w:tcPr>
            <w:tcW w:type="dxa" w:w="33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Accessibility Directorate of Ontario</w:t>
            </w:r>
          </w:p>
        </w:tc>
        <w:tc>
          <w:tcPr>
            <w:tcW w:type="dxa" w:w="49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AODA obligations and compliance reporting</w:t>
            </w:r>
          </w:p>
        </w:tc>
        <w:tc>
          <w:tcPr>
            <w:tcW w:type="dxa" w:w="18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p>
        </w:tc>
      </w:tr>
      <w:tr>
        <w:trPr>
          <w:cantSplit/>
        </w:trPr>
        <w:tc>
          <w:tcPr>
            <w:tcW w:type="dxa" w:w="33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Municipal licensing offices (e.g. City of Toronto)</w:t>
            </w:r>
          </w:p>
        </w:tc>
        <w:tc>
          <w:tcPr>
            <w:tcW w:type="dxa" w:w="49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Business licences; vehicle-for-hire rules if caregivers drive clients</w:t>
            </w:r>
          </w:p>
        </w:tc>
        <w:tc>
          <w:tcPr>
            <w:tcW w:type="dxa" w:w="18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p>
        </w:tc>
      </w:tr>
      <w:tr>
        <w:trPr>
          <w:cantSplit/>
        </w:trPr>
        <w:tc>
          <w:tcPr>
            <w:tcW w:type="dxa" w:w="33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Municipal animal services</w:t>
            </w:r>
          </w:p>
        </w:tc>
        <w:tc>
          <w:tcPr>
            <w:tcW w:type="dxa" w:w="49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Dog licensing, rules for walking dogs in parks, kennel and animal-keeping bylaws for boarding at caregivers' homes</w:t>
            </w:r>
          </w:p>
        </w:tc>
        <w:tc>
          <w:tcPr>
            <w:tcW w:type="dxa" w:w="18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p>
        </w:tc>
      </w:tr>
      <w:tr>
        <w:trPr>
          <w:cantSplit/>
        </w:trPr>
        <w:tc>
          <w:tcPr>
            <w:tcW w:type="dxa" w:w="33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Local police services</w:t>
            </w:r>
          </w:p>
        </w:tc>
        <w:tc>
          <w:tcPr>
            <w:tcW w:type="dxa" w:w="49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How caregivers obtain vulnerable sector and police checks</w:t>
            </w:r>
          </w:p>
        </w:tc>
        <w:tc>
          <w:tcPr>
            <w:tcW w:type="dxa" w:w="18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p>
        </w:tc>
      </w:tr>
      <w:tr>
        <w:trPr>
          <w:cantSplit/>
        </w:trPr>
        <w:tc>
          <w:tcPr>
            <w:tcW w:type="dxa" w:w="33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Oversight authority for personal support workers (Ontario)</w:t>
            </w:r>
          </w:p>
        </w:tc>
        <w:tc>
          <w:tcPr>
            <w:tcW w:type="dxa" w:w="49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If caregivers are, or present themselves as, PSWs</w:t>
            </w:r>
          </w:p>
        </w:tc>
        <w:tc>
          <w:tcPr>
            <w:tcW w:type="dxa" w:w="18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p>
        </w:tc>
      </w:tr>
      <w:tr>
        <w:trPr>
          <w:cantSplit/>
        </w:trPr>
        <w:tc>
          <w:tcPr>
            <w:tcW w:type="dxa" w:w="33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College of Psychologists and Behaviour Analysts of Ontario</w:t>
            </w:r>
          </w:p>
        </w:tc>
        <w:tc>
          <w:tcPr>
            <w:tcW w:type="dxa" w:w="49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If Behavioural or Autism Support overlaps with regulated behaviour analysis</w:t>
            </w:r>
          </w:p>
        </w:tc>
        <w:tc>
          <w:tcPr>
            <w:tcW w:type="dxa" w:w="18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p>
        </w:tc>
      </w:tr>
    </w:tbl>
    <w:p>
      <w:pPr>
        <w:pStyle w:val="Heading1"/>
        <w:pageBreakBefore/>
      </w:pPr>
      <w:r>
        <w:t xml:space="preserve">7. After the meeting</w:t>
      </w:r>
    </w:p>
    <w:p>
      <w:pPr>
        <w:spacing w:after="120"/>
      </w:pPr>
      <w:r>
        <w:t xml:space="preserve">Fill this in during or right after the meeting. Answers here will change the product — several features in Section 2 may need to change once the lawyer has advised.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3980"/>
        <w:gridCol w:w="2800"/>
        <w:gridCol w:w="1200"/>
        <w:gridCol w:w="1100"/>
      </w:tblGrid>
      <w:tr>
        <w:trPr>
          <w:tblHeader/>
        </w:trPr>
        <w:tc>
          <w:tcPr>
            <w:tcW w:type="dxa" w:w="1000"/>
            <w:tcBorders>
              <w:top w:val="single" w:color="C9D6D6" w:sz="4"/>
              <w:left w:val="single" w:color="C9D6D6" w:sz="4"/>
              <w:bottom w:val="single" w:color="C9D6D6" w:sz="4"/>
              <w:right w:val="single" w:color="C9D6D6" w:sz="4"/>
            </w:tcBorders>
            <w:shd w:fill="E3F1F1" w:color="auto" w:val="clear"/>
            <w:tcMar>
              <w:top w:type="dxa" w:w="70"/>
              <w:left w:type="dxa" w:w="110"/>
              <w:bottom w:type="dxa" w:w="70"/>
              <w:right w:type="dxa" w:w="110"/>
            </w:tcMar>
          </w:tcPr>
          <w:p>
            <w:pPr>
              <w:spacing w:after="20"/>
            </w:pPr>
            <w:r>
              <w:rPr>
                <w:b/>
                <w:bCs/>
                <w:color w:val="1F2A2A"/>
                <w:sz w:val="19"/>
                <w:szCs w:val="19"/>
              </w:rPr>
              <w:t xml:space="preserve">Q# / D#</w:t>
            </w:r>
          </w:p>
        </w:tc>
        <w:tc>
          <w:tcPr>
            <w:tcW w:type="dxa" w:w="3980"/>
            <w:tcBorders>
              <w:top w:val="single" w:color="C9D6D6" w:sz="4"/>
              <w:left w:val="single" w:color="C9D6D6" w:sz="4"/>
              <w:bottom w:val="single" w:color="C9D6D6" w:sz="4"/>
              <w:right w:val="single" w:color="C9D6D6" w:sz="4"/>
            </w:tcBorders>
            <w:shd w:fill="E3F1F1" w:color="auto" w:val="clear"/>
            <w:tcMar>
              <w:top w:type="dxa" w:w="70"/>
              <w:left w:type="dxa" w:w="110"/>
              <w:bottom w:type="dxa" w:w="70"/>
              <w:right w:type="dxa" w:w="110"/>
            </w:tcMar>
          </w:tcPr>
          <w:p>
            <w:pPr>
              <w:spacing w:after="20"/>
            </w:pPr>
            <w:r>
              <w:rPr>
                <w:b/>
                <w:bCs/>
                <w:color w:val="1F2A2A"/>
                <w:sz w:val="19"/>
                <w:szCs w:val="19"/>
              </w:rPr>
              <w:t xml:space="preserve">Answer or advice</w:t>
            </w:r>
          </w:p>
        </w:tc>
        <w:tc>
          <w:tcPr>
            <w:tcW w:type="dxa" w:w="2800"/>
            <w:tcBorders>
              <w:top w:val="single" w:color="C9D6D6" w:sz="4"/>
              <w:left w:val="single" w:color="C9D6D6" w:sz="4"/>
              <w:bottom w:val="single" w:color="C9D6D6" w:sz="4"/>
              <w:right w:val="single" w:color="C9D6D6" w:sz="4"/>
            </w:tcBorders>
            <w:shd w:fill="E3F1F1" w:color="auto" w:val="clear"/>
            <w:tcMar>
              <w:top w:type="dxa" w:w="70"/>
              <w:left w:type="dxa" w:w="110"/>
              <w:bottom w:type="dxa" w:w="70"/>
              <w:right w:type="dxa" w:w="110"/>
            </w:tcMar>
          </w:tcPr>
          <w:p>
            <w:pPr>
              <w:spacing w:after="20"/>
            </w:pPr>
            <w:r>
              <w:rPr>
                <w:b/>
                <w:bCs/>
                <w:color w:val="1F2A2A"/>
                <w:sz w:val="19"/>
                <w:szCs w:val="19"/>
              </w:rPr>
              <w:t xml:space="preserve">Action</w:t>
            </w:r>
          </w:p>
        </w:tc>
        <w:tc>
          <w:tcPr>
            <w:tcW w:type="dxa" w:w="1200"/>
            <w:tcBorders>
              <w:top w:val="single" w:color="C9D6D6" w:sz="4"/>
              <w:left w:val="single" w:color="C9D6D6" w:sz="4"/>
              <w:bottom w:val="single" w:color="C9D6D6" w:sz="4"/>
              <w:right w:val="single" w:color="C9D6D6" w:sz="4"/>
            </w:tcBorders>
            <w:shd w:fill="E3F1F1" w:color="auto" w:val="clear"/>
            <w:tcMar>
              <w:top w:type="dxa" w:w="70"/>
              <w:left w:type="dxa" w:w="110"/>
              <w:bottom w:type="dxa" w:w="70"/>
              <w:right w:type="dxa" w:w="110"/>
            </w:tcMar>
          </w:tcPr>
          <w:p>
            <w:pPr>
              <w:spacing w:after="20"/>
            </w:pPr>
            <w:r>
              <w:rPr>
                <w:b/>
                <w:bCs/>
                <w:color w:val="1F2A2A"/>
                <w:sz w:val="19"/>
                <w:szCs w:val="19"/>
              </w:rPr>
              <w:t xml:space="preserve">Owner</w:t>
            </w:r>
          </w:p>
        </w:tc>
        <w:tc>
          <w:tcPr>
            <w:tcW w:type="dxa" w:w="1100"/>
            <w:tcBorders>
              <w:top w:val="single" w:color="C9D6D6" w:sz="4"/>
              <w:left w:val="single" w:color="C9D6D6" w:sz="4"/>
              <w:bottom w:val="single" w:color="C9D6D6" w:sz="4"/>
              <w:right w:val="single" w:color="C9D6D6" w:sz="4"/>
            </w:tcBorders>
            <w:shd w:fill="E3F1F1" w:color="auto" w:val="clear"/>
            <w:tcMar>
              <w:top w:type="dxa" w:w="70"/>
              <w:left w:type="dxa" w:w="110"/>
              <w:bottom w:type="dxa" w:w="70"/>
              <w:right w:type="dxa" w:w="110"/>
            </w:tcMar>
          </w:tcPr>
          <w:p>
            <w:pPr>
              <w:spacing w:after="20"/>
            </w:pPr>
            <w:r>
              <w:rPr>
                <w:b/>
                <w:bCs/>
                <w:color w:val="1F2A2A"/>
                <w:sz w:val="19"/>
                <w:szCs w:val="19"/>
              </w:rPr>
              <w:t xml:space="preserve">Due</w:t>
            </w:r>
          </w:p>
        </w:tc>
      </w:tr>
      <w:tr>
        <w:trPr>
          <w:cantSplit/>
        </w:trPr>
        <w:tc>
          <w:tcPr>
            <w:tcW w:type="dxa" w:w="10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 </w:t>
            </w:r>
          </w:p>
        </w:tc>
        <w:tc>
          <w:tcPr>
            <w:tcW w:type="dxa" w:w="39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 </w:t>
            </w:r>
          </w:p>
        </w:tc>
        <w:tc>
          <w:tcPr>
            <w:tcW w:type="dxa" w:w="28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 </w:t>
            </w:r>
          </w:p>
        </w:tc>
        <w:tc>
          <w:tcPr>
            <w:tcW w:type="dxa" w:w="12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 </w:t>
            </w:r>
          </w:p>
        </w:tc>
        <w:tc>
          <w:tcPr>
            <w:tcW w:type="dxa" w:w="11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 </w:t>
            </w:r>
          </w:p>
        </w:tc>
      </w:tr>
      <w:tr>
        <w:trPr>
          <w:cantSplit/>
        </w:trPr>
        <w:tc>
          <w:tcPr>
            <w:tcW w:type="dxa" w:w="10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 </w:t>
            </w:r>
          </w:p>
        </w:tc>
        <w:tc>
          <w:tcPr>
            <w:tcW w:type="dxa" w:w="39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 </w:t>
            </w:r>
          </w:p>
        </w:tc>
        <w:tc>
          <w:tcPr>
            <w:tcW w:type="dxa" w:w="28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 </w:t>
            </w:r>
          </w:p>
        </w:tc>
        <w:tc>
          <w:tcPr>
            <w:tcW w:type="dxa" w:w="12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 </w:t>
            </w:r>
          </w:p>
        </w:tc>
        <w:tc>
          <w:tcPr>
            <w:tcW w:type="dxa" w:w="11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 </w:t>
            </w:r>
          </w:p>
        </w:tc>
      </w:tr>
      <w:tr>
        <w:trPr>
          <w:cantSplit/>
        </w:trPr>
        <w:tc>
          <w:tcPr>
            <w:tcW w:type="dxa" w:w="10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 </w:t>
            </w:r>
          </w:p>
        </w:tc>
        <w:tc>
          <w:tcPr>
            <w:tcW w:type="dxa" w:w="39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 </w:t>
            </w:r>
          </w:p>
        </w:tc>
        <w:tc>
          <w:tcPr>
            <w:tcW w:type="dxa" w:w="28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 </w:t>
            </w:r>
          </w:p>
        </w:tc>
        <w:tc>
          <w:tcPr>
            <w:tcW w:type="dxa" w:w="12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 </w:t>
            </w:r>
          </w:p>
        </w:tc>
        <w:tc>
          <w:tcPr>
            <w:tcW w:type="dxa" w:w="11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 </w:t>
            </w:r>
          </w:p>
        </w:tc>
      </w:tr>
      <w:tr>
        <w:trPr>
          <w:cantSplit/>
        </w:trPr>
        <w:tc>
          <w:tcPr>
            <w:tcW w:type="dxa" w:w="10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 </w:t>
            </w:r>
          </w:p>
        </w:tc>
        <w:tc>
          <w:tcPr>
            <w:tcW w:type="dxa" w:w="39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 </w:t>
            </w:r>
          </w:p>
        </w:tc>
        <w:tc>
          <w:tcPr>
            <w:tcW w:type="dxa" w:w="28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 </w:t>
            </w:r>
          </w:p>
        </w:tc>
        <w:tc>
          <w:tcPr>
            <w:tcW w:type="dxa" w:w="12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 </w:t>
            </w:r>
          </w:p>
        </w:tc>
        <w:tc>
          <w:tcPr>
            <w:tcW w:type="dxa" w:w="11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 </w:t>
            </w:r>
          </w:p>
        </w:tc>
      </w:tr>
      <w:tr>
        <w:trPr>
          <w:cantSplit/>
        </w:trPr>
        <w:tc>
          <w:tcPr>
            <w:tcW w:type="dxa" w:w="10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 </w:t>
            </w:r>
          </w:p>
        </w:tc>
        <w:tc>
          <w:tcPr>
            <w:tcW w:type="dxa" w:w="39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 </w:t>
            </w:r>
          </w:p>
        </w:tc>
        <w:tc>
          <w:tcPr>
            <w:tcW w:type="dxa" w:w="28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 </w:t>
            </w:r>
          </w:p>
        </w:tc>
        <w:tc>
          <w:tcPr>
            <w:tcW w:type="dxa" w:w="12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 </w:t>
            </w:r>
          </w:p>
        </w:tc>
        <w:tc>
          <w:tcPr>
            <w:tcW w:type="dxa" w:w="11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 </w:t>
            </w:r>
          </w:p>
        </w:tc>
      </w:tr>
      <w:tr>
        <w:trPr>
          <w:cantSplit/>
        </w:trPr>
        <w:tc>
          <w:tcPr>
            <w:tcW w:type="dxa" w:w="10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 </w:t>
            </w:r>
          </w:p>
        </w:tc>
        <w:tc>
          <w:tcPr>
            <w:tcW w:type="dxa" w:w="39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 </w:t>
            </w:r>
          </w:p>
        </w:tc>
        <w:tc>
          <w:tcPr>
            <w:tcW w:type="dxa" w:w="28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 </w:t>
            </w:r>
          </w:p>
        </w:tc>
        <w:tc>
          <w:tcPr>
            <w:tcW w:type="dxa" w:w="12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 </w:t>
            </w:r>
          </w:p>
        </w:tc>
        <w:tc>
          <w:tcPr>
            <w:tcW w:type="dxa" w:w="11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 </w:t>
            </w:r>
          </w:p>
        </w:tc>
      </w:tr>
      <w:tr>
        <w:trPr>
          <w:cantSplit/>
        </w:trPr>
        <w:tc>
          <w:tcPr>
            <w:tcW w:type="dxa" w:w="10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 </w:t>
            </w:r>
          </w:p>
        </w:tc>
        <w:tc>
          <w:tcPr>
            <w:tcW w:type="dxa" w:w="39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 </w:t>
            </w:r>
          </w:p>
        </w:tc>
        <w:tc>
          <w:tcPr>
            <w:tcW w:type="dxa" w:w="28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 </w:t>
            </w:r>
          </w:p>
        </w:tc>
        <w:tc>
          <w:tcPr>
            <w:tcW w:type="dxa" w:w="12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 </w:t>
            </w:r>
          </w:p>
        </w:tc>
        <w:tc>
          <w:tcPr>
            <w:tcW w:type="dxa" w:w="11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 </w:t>
            </w:r>
          </w:p>
        </w:tc>
      </w:tr>
      <w:tr>
        <w:trPr>
          <w:cantSplit/>
        </w:trPr>
        <w:tc>
          <w:tcPr>
            <w:tcW w:type="dxa" w:w="10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 </w:t>
            </w:r>
          </w:p>
        </w:tc>
        <w:tc>
          <w:tcPr>
            <w:tcW w:type="dxa" w:w="39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 </w:t>
            </w:r>
          </w:p>
        </w:tc>
        <w:tc>
          <w:tcPr>
            <w:tcW w:type="dxa" w:w="28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 </w:t>
            </w:r>
          </w:p>
        </w:tc>
        <w:tc>
          <w:tcPr>
            <w:tcW w:type="dxa" w:w="12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 </w:t>
            </w:r>
          </w:p>
        </w:tc>
        <w:tc>
          <w:tcPr>
            <w:tcW w:type="dxa" w:w="11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 </w:t>
            </w:r>
          </w:p>
        </w:tc>
      </w:tr>
      <w:tr>
        <w:trPr>
          <w:cantSplit/>
        </w:trPr>
        <w:tc>
          <w:tcPr>
            <w:tcW w:type="dxa" w:w="10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 </w:t>
            </w:r>
          </w:p>
        </w:tc>
        <w:tc>
          <w:tcPr>
            <w:tcW w:type="dxa" w:w="39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 </w:t>
            </w:r>
          </w:p>
        </w:tc>
        <w:tc>
          <w:tcPr>
            <w:tcW w:type="dxa" w:w="28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 </w:t>
            </w:r>
          </w:p>
        </w:tc>
        <w:tc>
          <w:tcPr>
            <w:tcW w:type="dxa" w:w="12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 </w:t>
            </w:r>
          </w:p>
        </w:tc>
        <w:tc>
          <w:tcPr>
            <w:tcW w:type="dxa" w:w="11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 </w:t>
            </w:r>
          </w:p>
        </w:tc>
      </w:tr>
      <w:tr>
        <w:trPr>
          <w:cantSplit/>
        </w:trPr>
        <w:tc>
          <w:tcPr>
            <w:tcW w:type="dxa" w:w="10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 </w:t>
            </w:r>
          </w:p>
        </w:tc>
        <w:tc>
          <w:tcPr>
            <w:tcW w:type="dxa" w:w="39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 </w:t>
            </w:r>
          </w:p>
        </w:tc>
        <w:tc>
          <w:tcPr>
            <w:tcW w:type="dxa" w:w="28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 </w:t>
            </w:r>
          </w:p>
        </w:tc>
        <w:tc>
          <w:tcPr>
            <w:tcW w:type="dxa" w:w="12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 </w:t>
            </w:r>
          </w:p>
        </w:tc>
        <w:tc>
          <w:tcPr>
            <w:tcW w:type="dxa" w:w="11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 </w:t>
            </w:r>
          </w:p>
        </w:tc>
      </w:tr>
      <w:tr>
        <w:trPr>
          <w:cantSplit/>
        </w:trPr>
        <w:tc>
          <w:tcPr>
            <w:tcW w:type="dxa" w:w="10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 </w:t>
            </w:r>
          </w:p>
        </w:tc>
        <w:tc>
          <w:tcPr>
            <w:tcW w:type="dxa" w:w="39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 </w:t>
            </w:r>
          </w:p>
        </w:tc>
        <w:tc>
          <w:tcPr>
            <w:tcW w:type="dxa" w:w="28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 </w:t>
            </w:r>
          </w:p>
        </w:tc>
        <w:tc>
          <w:tcPr>
            <w:tcW w:type="dxa" w:w="12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 </w:t>
            </w:r>
          </w:p>
        </w:tc>
        <w:tc>
          <w:tcPr>
            <w:tcW w:type="dxa" w:w="11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 </w:t>
            </w:r>
          </w:p>
        </w:tc>
      </w:tr>
      <w:tr>
        <w:trPr>
          <w:cantSplit/>
        </w:trPr>
        <w:tc>
          <w:tcPr>
            <w:tcW w:type="dxa" w:w="10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 </w:t>
            </w:r>
          </w:p>
        </w:tc>
        <w:tc>
          <w:tcPr>
            <w:tcW w:type="dxa" w:w="39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 </w:t>
            </w:r>
          </w:p>
        </w:tc>
        <w:tc>
          <w:tcPr>
            <w:tcW w:type="dxa" w:w="28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 </w:t>
            </w:r>
          </w:p>
        </w:tc>
        <w:tc>
          <w:tcPr>
            <w:tcW w:type="dxa" w:w="12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 </w:t>
            </w:r>
          </w:p>
        </w:tc>
        <w:tc>
          <w:tcPr>
            <w:tcW w:type="dxa" w:w="11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 </w:t>
            </w:r>
          </w:p>
        </w:tc>
      </w:tr>
      <w:tr>
        <w:trPr>
          <w:cantSplit/>
        </w:trPr>
        <w:tc>
          <w:tcPr>
            <w:tcW w:type="dxa" w:w="10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 </w:t>
            </w:r>
          </w:p>
        </w:tc>
        <w:tc>
          <w:tcPr>
            <w:tcW w:type="dxa" w:w="39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 </w:t>
            </w:r>
          </w:p>
        </w:tc>
        <w:tc>
          <w:tcPr>
            <w:tcW w:type="dxa" w:w="28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 </w:t>
            </w:r>
          </w:p>
        </w:tc>
        <w:tc>
          <w:tcPr>
            <w:tcW w:type="dxa" w:w="12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 </w:t>
            </w:r>
          </w:p>
        </w:tc>
        <w:tc>
          <w:tcPr>
            <w:tcW w:type="dxa" w:w="11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 </w:t>
            </w:r>
          </w:p>
        </w:tc>
      </w:tr>
      <w:tr>
        <w:trPr>
          <w:cantSplit/>
        </w:trPr>
        <w:tc>
          <w:tcPr>
            <w:tcW w:type="dxa" w:w="10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 </w:t>
            </w:r>
          </w:p>
        </w:tc>
        <w:tc>
          <w:tcPr>
            <w:tcW w:type="dxa" w:w="39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 </w:t>
            </w:r>
          </w:p>
        </w:tc>
        <w:tc>
          <w:tcPr>
            <w:tcW w:type="dxa" w:w="28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 </w:t>
            </w:r>
          </w:p>
        </w:tc>
        <w:tc>
          <w:tcPr>
            <w:tcW w:type="dxa" w:w="12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 </w:t>
            </w:r>
          </w:p>
        </w:tc>
        <w:tc>
          <w:tcPr>
            <w:tcW w:type="dxa" w:w="11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 </w:t>
            </w:r>
          </w:p>
        </w:tc>
      </w:tr>
    </w:tbl>
    <w:p>
      <w:pPr>
        <w:spacing w:after="120"/>
      </w:pPr>
    </w:p>
    <w:p>
      <w:pPr>
        <w:pStyle w:val="Heading2"/>
      </w:pPr>
      <w:r>
        <w:t xml:space="preserve">Items that will likely change the product</w:t>
      </w:r>
    </w:p>
    <w:p>
      <w:pPr>
        <w:spacing w:after="120"/>
      </w:pPr>
      <w:r>
        <w:rPr>
          <w:i/>
          <w:iCs/>
          <w:color w:val="5B6666"/>
          <w:sz w:val="18"/>
          <w:szCs w:val="18"/>
        </w:rPr>
        <w:t xml:space="preserve">Share the lawyer's answers to these with whoever maintains the app — each one maps to something built.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C9D6D6" w:sz="4"/>
              <w:left w:val="single" w:color="C9D6D6" w:sz="4"/>
              <w:bottom w:val="single" w:color="C9D6D6" w:sz="4"/>
              <w:right w:val="single" w:color="C9D6D6" w:sz="4"/>
            </w:tcBorders>
            <w:shd w:fill="E3F1F1" w:color="auto" w:val="clear"/>
            <w:tcMar>
              <w:top w:type="dxa" w:w="70"/>
              <w:left w:type="dxa" w:w="110"/>
              <w:bottom w:type="dxa" w:w="70"/>
              <w:right w:type="dxa" w:w="110"/>
            </w:tcMar>
          </w:tcPr>
          <w:p>
            <w:pPr>
              <w:spacing w:after="20"/>
            </w:pPr>
            <w:r>
              <w:rPr>
                <w:b/>
                <w:bCs/>
                <w:color w:val="1F2A2A"/>
                <w:sz w:val="19"/>
                <w:szCs w:val="19"/>
              </w:rPr>
              <w:t xml:space="preserve">Question</w:t>
            </w:r>
          </w:p>
        </w:tc>
        <w:tc>
          <w:tcPr>
            <w:tcW w:type="dxa" w:w="6880"/>
            <w:tcBorders>
              <w:top w:val="single" w:color="C9D6D6" w:sz="4"/>
              <w:left w:val="single" w:color="C9D6D6" w:sz="4"/>
              <w:bottom w:val="single" w:color="C9D6D6" w:sz="4"/>
              <w:right w:val="single" w:color="C9D6D6" w:sz="4"/>
            </w:tcBorders>
            <w:shd w:fill="E3F1F1" w:color="auto" w:val="clear"/>
            <w:tcMar>
              <w:top w:type="dxa" w:w="70"/>
              <w:left w:type="dxa" w:w="110"/>
              <w:bottom w:type="dxa" w:w="70"/>
              <w:right w:type="dxa" w:w="110"/>
            </w:tcMar>
          </w:tcPr>
          <w:p>
            <w:pPr>
              <w:spacing w:after="20"/>
            </w:pPr>
            <w:r>
              <w:rPr>
                <w:b/>
                <w:bCs/>
                <w:color w:val="1F2A2A"/>
                <w:sz w:val="19"/>
                <w:szCs w:val="19"/>
              </w:rPr>
              <w:t xml:space="preserve">What in the product it affects</w:t>
            </w:r>
          </w:p>
        </w:tc>
      </w:tr>
      <w:tr>
        <w:trPr>
          <w:cantSplit/>
        </w:trPr>
        <w:tc>
          <w:tcPr>
            <w:tcW w:type="dxa" w:w="32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Q5–Q8 regulated services</w:t>
            </w:r>
          </w:p>
        </w:tc>
        <w:tc>
          <w:tcPr>
            <w:tcW w:type="dxa" w:w="68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Which of the 20 services launch, their names, and descriptions</w:t>
            </w:r>
          </w:p>
        </w:tc>
      </w:tr>
      <w:tr>
        <w:trPr>
          <w:cantSplit/>
        </w:trPr>
        <w:tc>
          <w:tcPr>
            <w:tcW w:type="dxa" w:w="32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Q10–Q16 caregiver status</w:t>
            </w:r>
          </w:p>
        </w:tc>
        <w:tc>
          <w:tcPr>
            <w:tcW w:type="dxa" w:w="68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Minimum rate floor, payout holds, suspension, dispute handling, Pro subscription</w:t>
            </w:r>
          </w:p>
        </w:tc>
      </w:tr>
      <w:tr>
        <w:trPr>
          <w:cantSplit/>
        </w:trPr>
        <w:tc>
          <w:tcPr>
            <w:tcW w:type="dxa" w:w="32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Q17–Q23 screening</w:t>
            </w:r>
          </w:p>
        </w:tc>
        <w:tc>
          <w:tcPr>
            <w:tcW w:type="dxa" w:w="68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Required checks per service, document retention, verified badge wording</w:t>
            </w:r>
          </w:p>
        </w:tc>
      </w:tr>
      <w:tr>
        <w:trPr>
          <w:cantSplit/>
        </w:trPr>
        <w:tc>
          <w:tcPr>
            <w:tcW w:type="dxa" w:w="32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Q24–Q34 privacy</w:t>
            </w:r>
          </w:p>
        </w:tc>
        <w:tc>
          <w:tcPr>
            <w:tcW w:type="dxa" w:w="68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Consent screens, Privacy Policy, flagged message access, interview recording consent and retention, arrival check, account deletion, retention jobs</w:t>
            </w:r>
          </w:p>
        </w:tc>
      </w:tr>
      <w:tr>
        <w:trPr>
          <w:cantSplit/>
        </w:trPr>
        <w:tc>
          <w:tcPr>
            <w:tcW w:type="dxa" w:w="32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Q32–Q38 money and tax</w:t>
            </w:r>
          </w:p>
        </w:tc>
        <w:tc>
          <w:tcPr>
            <w:tcW w:type="dxa" w:w="68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Tax calculation, receipts and statements, cancellation fees, refund recovery</w:t>
            </w:r>
          </w:p>
        </w:tc>
      </w:tr>
      <w:tr>
        <w:trPr>
          <w:cantSplit/>
        </w:trPr>
        <w:tc>
          <w:tcPr>
            <w:tcW w:type="dxa" w:w="32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Q39–Q42 consumer</w:t>
            </w:r>
          </w:p>
        </w:tc>
        <w:tc>
          <w:tcPr>
            <w:tcW w:type="dxa" w:w="68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Price display, subscription renewal and cancellation flow, referral and promo terms</w:t>
            </w:r>
          </w:p>
        </w:tc>
      </w:tr>
      <w:tr>
        <w:trPr>
          <w:cantSplit/>
        </w:trPr>
        <w:tc>
          <w:tcPr>
            <w:tcW w:type="dxa" w:w="32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Q43–Q48 safety</w:t>
            </w:r>
          </w:p>
        </w:tc>
        <w:tc>
          <w:tcPr>
            <w:tcW w:type="dxa" w:w="68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Incident reporting flow, record keeping, appeals</w:t>
            </w:r>
          </w:p>
        </w:tc>
      </w:tr>
      <w:tr>
        <w:trPr>
          <w:cantSplit/>
        </w:trPr>
        <w:tc>
          <w:tcPr>
            <w:tcW w:type="dxa" w:w="32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Q56–Q62 pet care</w:t>
            </w:r>
          </w:p>
        </w:tc>
        <w:tc>
          <w:tcPr>
            <w:tcW w:type="dxa" w:w="68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Which pet services launch, sitter insurance, medication rules, boarding rules and address disclosure</w:t>
            </w:r>
          </w:p>
        </w:tc>
      </w:tr>
    </w:tbl>
    <w:p>
      <w:pPr>
        <w:pStyle w:val="Heading1"/>
        <w:pageBreakBefore/>
      </w:pPr>
      <w:r>
        <w:t xml:space="preserve">Appendix A — Services and current screening requirements</w:t>
      </w:r>
    </w:p>
    <w:p>
      <w:pPr>
        <w:spacing w:after="120"/>
      </w:pPr>
      <w:r>
        <w:rPr>
          <w:i/>
          <w:iCs/>
          <w:color w:val="5B6666"/>
          <w:sz w:val="18"/>
          <w:szCs w:val="18"/>
        </w:rPr>
        <w:t xml:space="preserve">Anyone caring for people also needs photo ID and a vulnerable sector check before appearing in search; someone offering only pet care needs photo ID and a criminal record check. The per-service requirements below were set as an engineering starting point and have not been reviewed by anyone qualified — ask the lawyer (Q17–Q23) whether they are appropriate.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3100"/>
        <w:gridCol w:w="1500"/>
        <w:gridCol w:w="3580"/>
      </w:tblGrid>
      <w:tr>
        <w:trPr>
          <w:tblHeader/>
        </w:trPr>
        <w:tc>
          <w:tcPr>
            <w:tcW w:type="dxa" w:w="1900"/>
            <w:tcBorders>
              <w:top w:val="single" w:color="C9D6D6" w:sz="4"/>
              <w:left w:val="single" w:color="C9D6D6" w:sz="4"/>
              <w:bottom w:val="single" w:color="C9D6D6" w:sz="4"/>
              <w:right w:val="single" w:color="C9D6D6" w:sz="4"/>
            </w:tcBorders>
            <w:shd w:fill="E3F1F1" w:color="auto" w:val="clear"/>
            <w:tcMar>
              <w:top w:type="dxa" w:w="70"/>
              <w:left w:type="dxa" w:w="110"/>
              <w:bottom w:type="dxa" w:w="70"/>
              <w:right w:type="dxa" w:w="110"/>
            </w:tcMar>
          </w:tcPr>
          <w:p>
            <w:pPr>
              <w:spacing w:after="20"/>
            </w:pPr>
            <w:r>
              <w:rPr>
                <w:b/>
                <w:bCs/>
                <w:color w:val="1F2A2A"/>
                <w:sz w:val="19"/>
                <w:szCs w:val="19"/>
              </w:rPr>
              <w:t xml:space="preserve">Category</w:t>
            </w:r>
          </w:p>
        </w:tc>
        <w:tc>
          <w:tcPr>
            <w:tcW w:type="dxa" w:w="3100"/>
            <w:tcBorders>
              <w:top w:val="single" w:color="C9D6D6" w:sz="4"/>
              <w:left w:val="single" w:color="C9D6D6" w:sz="4"/>
              <w:bottom w:val="single" w:color="C9D6D6" w:sz="4"/>
              <w:right w:val="single" w:color="C9D6D6" w:sz="4"/>
            </w:tcBorders>
            <w:shd w:fill="E3F1F1" w:color="auto" w:val="clear"/>
            <w:tcMar>
              <w:top w:type="dxa" w:w="70"/>
              <w:left w:type="dxa" w:w="110"/>
              <w:bottom w:type="dxa" w:w="70"/>
              <w:right w:type="dxa" w:w="110"/>
            </w:tcMar>
          </w:tcPr>
          <w:p>
            <w:pPr>
              <w:spacing w:after="20"/>
            </w:pPr>
            <w:r>
              <w:rPr>
                <w:b/>
                <w:bCs/>
                <w:color w:val="1F2A2A"/>
                <w:sz w:val="19"/>
                <w:szCs w:val="19"/>
              </w:rPr>
              <w:t xml:space="preserve">Service</w:t>
            </w:r>
          </w:p>
        </w:tc>
        <w:tc>
          <w:tcPr>
            <w:tcW w:type="dxa" w:w="1500"/>
            <w:tcBorders>
              <w:top w:val="single" w:color="C9D6D6" w:sz="4"/>
              <w:left w:val="single" w:color="C9D6D6" w:sz="4"/>
              <w:bottom w:val="single" w:color="C9D6D6" w:sz="4"/>
              <w:right w:val="single" w:color="C9D6D6" w:sz="4"/>
            </w:tcBorders>
            <w:shd w:fill="E3F1F1" w:color="auto" w:val="clear"/>
            <w:tcMar>
              <w:top w:type="dxa" w:w="70"/>
              <w:left w:type="dxa" w:w="110"/>
              <w:bottom w:type="dxa" w:w="70"/>
              <w:right w:type="dxa" w:w="110"/>
            </w:tcMar>
          </w:tcPr>
          <w:p>
            <w:pPr>
              <w:spacing w:after="20"/>
            </w:pPr>
            <w:r>
              <w:rPr>
                <w:b/>
                <w:bCs/>
                <w:color w:val="1F2A2A"/>
                <w:sz w:val="19"/>
                <w:szCs w:val="19"/>
              </w:rPr>
              <w:t xml:space="preserve">For</w:t>
            </w:r>
          </w:p>
        </w:tc>
        <w:tc>
          <w:tcPr>
            <w:tcW w:type="dxa" w:w="3580"/>
            <w:tcBorders>
              <w:top w:val="single" w:color="C9D6D6" w:sz="4"/>
              <w:left w:val="single" w:color="C9D6D6" w:sz="4"/>
              <w:bottom w:val="single" w:color="C9D6D6" w:sz="4"/>
              <w:right w:val="single" w:color="C9D6D6" w:sz="4"/>
            </w:tcBorders>
            <w:shd w:fill="E3F1F1" w:color="auto" w:val="clear"/>
            <w:tcMar>
              <w:top w:type="dxa" w:w="70"/>
              <w:left w:type="dxa" w:w="110"/>
              <w:bottom w:type="dxa" w:w="70"/>
              <w:right w:type="dxa" w:w="110"/>
            </w:tcMar>
          </w:tcPr>
          <w:p>
            <w:pPr>
              <w:spacing w:after="20"/>
            </w:pPr>
            <w:r>
              <w:rPr>
                <w:b/>
                <w:bCs/>
                <w:color w:val="1F2A2A"/>
                <w:sz w:val="19"/>
                <w:szCs w:val="19"/>
              </w:rPr>
              <w:t xml:space="preserve">Current requirement</w:t>
            </w:r>
          </w:p>
        </w:tc>
      </w:tr>
      <w:tr>
        <w:trPr>
          <w:cantSplit/>
        </w:trPr>
        <w:tc>
          <w:tcPr>
            <w:tcW w:type="dxa" w:w="19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Child Care</w:t>
            </w:r>
          </w:p>
        </w:tc>
        <w:tc>
          <w:tcPr>
            <w:tcW w:type="dxa" w:w="31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Babysitting</w:t>
            </w:r>
          </w:p>
        </w:tc>
        <w:tc>
          <w:tcPr>
            <w:tcW w:type="dxa" w:w="15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Children</w:t>
            </w:r>
          </w:p>
        </w:tc>
        <w:tc>
          <w:tcPr>
            <w:tcW w:type="dxa" w:w="35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Vulnerable sector check</w:t>
            </w:r>
          </w:p>
        </w:tc>
      </w:tr>
      <w:tr>
        <w:trPr>
          <w:cantSplit/>
        </w:trPr>
        <w:tc>
          <w:tcPr>
            <w:tcW w:type="dxa" w:w="19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Child Care</w:t>
            </w:r>
          </w:p>
        </w:tc>
        <w:tc>
          <w:tcPr>
            <w:tcW w:type="dxa" w:w="31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Nanny Care</w:t>
            </w:r>
          </w:p>
        </w:tc>
        <w:tc>
          <w:tcPr>
            <w:tcW w:type="dxa" w:w="15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Children</w:t>
            </w:r>
          </w:p>
        </w:tc>
        <w:tc>
          <w:tcPr>
            <w:tcW w:type="dxa" w:w="35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Vulnerable sector check, First Aid</w:t>
            </w:r>
          </w:p>
        </w:tc>
      </w:tr>
      <w:tr>
        <w:trPr>
          <w:cantSplit/>
        </w:trPr>
        <w:tc>
          <w:tcPr>
            <w:tcW w:type="dxa" w:w="19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Child Care</w:t>
            </w:r>
          </w:p>
        </w:tc>
        <w:tc>
          <w:tcPr>
            <w:tcW w:type="dxa" w:w="31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After-School Care</w:t>
            </w:r>
          </w:p>
        </w:tc>
        <w:tc>
          <w:tcPr>
            <w:tcW w:type="dxa" w:w="15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Children</w:t>
            </w:r>
          </w:p>
        </w:tc>
        <w:tc>
          <w:tcPr>
            <w:tcW w:type="dxa" w:w="35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Vulnerable sector check</w:t>
            </w:r>
          </w:p>
        </w:tc>
      </w:tr>
      <w:tr>
        <w:trPr>
          <w:cantSplit/>
        </w:trPr>
        <w:tc>
          <w:tcPr>
            <w:tcW w:type="dxa" w:w="19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Child Care</w:t>
            </w:r>
          </w:p>
        </w:tc>
        <w:tc>
          <w:tcPr>
            <w:tcW w:type="dxa" w:w="31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Overnight Child Care</w:t>
            </w:r>
          </w:p>
        </w:tc>
        <w:tc>
          <w:tcPr>
            <w:tcW w:type="dxa" w:w="15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Children</w:t>
            </w:r>
          </w:p>
        </w:tc>
        <w:tc>
          <w:tcPr>
            <w:tcW w:type="dxa" w:w="35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Vulnerable sector check, First Aid, CPR</w:t>
            </w:r>
          </w:p>
        </w:tc>
      </w:tr>
      <w:tr>
        <w:trPr>
          <w:cantSplit/>
        </w:trPr>
        <w:tc>
          <w:tcPr>
            <w:tcW w:type="dxa" w:w="19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Senior Care</w:t>
            </w:r>
          </w:p>
        </w:tc>
        <w:tc>
          <w:tcPr>
            <w:tcW w:type="dxa" w:w="31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Senior Companionship</w:t>
            </w:r>
          </w:p>
        </w:tc>
        <w:tc>
          <w:tcPr>
            <w:tcW w:type="dxa" w:w="15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Seniors</w:t>
            </w:r>
          </w:p>
        </w:tc>
        <w:tc>
          <w:tcPr>
            <w:tcW w:type="dxa" w:w="35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Police check</w:t>
            </w:r>
          </w:p>
        </w:tc>
      </w:tr>
      <w:tr>
        <w:trPr>
          <w:cantSplit/>
        </w:trPr>
        <w:tc>
          <w:tcPr>
            <w:tcW w:type="dxa" w:w="19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Senior Care</w:t>
            </w:r>
          </w:p>
        </w:tc>
        <w:tc>
          <w:tcPr>
            <w:tcW w:type="dxa" w:w="31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Meal Support</w:t>
            </w:r>
          </w:p>
        </w:tc>
        <w:tc>
          <w:tcPr>
            <w:tcW w:type="dxa" w:w="15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Adults, seniors</w:t>
            </w:r>
          </w:p>
        </w:tc>
        <w:tc>
          <w:tcPr>
            <w:tcW w:type="dxa" w:w="35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Police check</w:t>
            </w:r>
          </w:p>
        </w:tc>
      </w:tr>
      <w:tr>
        <w:trPr>
          <w:cantSplit/>
        </w:trPr>
        <w:tc>
          <w:tcPr>
            <w:tcW w:type="dxa" w:w="19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Senior Care</w:t>
            </w:r>
          </w:p>
        </w:tc>
        <w:tc>
          <w:tcPr>
            <w:tcW w:type="dxa" w:w="31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Errand Assistance</w:t>
            </w:r>
          </w:p>
        </w:tc>
        <w:tc>
          <w:tcPr>
            <w:tcW w:type="dxa" w:w="15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Adults, seniors</w:t>
            </w:r>
          </w:p>
        </w:tc>
        <w:tc>
          <w:tcPr>
            <w:tcW w:type="dxa" w:w="35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Police check</w:t>
            </w:r>
          </w:p>
        </w:tc>
      </w:tr>
      <w:tr>
        <w:trPr>
          <w:cantSplit/>
        </w:trPr>
        <w:tc>
          <w:tcPr>
            <w:tcW w:type="dxa" w:w="19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Senior Care</w:t>
            </w:r>
          </w:p>
        </w:tc>
        <w:tc>
          <w:tcPr>
            <w:tcW w:type="dxa" w:w="31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Mobility Assistance</w:t>
            </w:r>
          </w:p>
        </w:tc>
        <w:tc>
          <w:tcPr>
            <w:tcW w:type="dxa" w:w="15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Adults, seniors</w:t>
            </w:r>
          </w:p>
        </w:tc>
        <w:tc>
          <w:tcPr>
            <w:tcW w:type="dxa" w:w="35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Police check, mobility support training</w:t>
            </w:r>
          </w:p>
        </w:tc>
      </w:tr>
      <w:tr>
        <w:trPr>
          <w:cantSplit/>
        </w:trPr>
        <w:tc>
          <w:tcPr>
            <w:tcW w:type="dxa" w:w="19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Senior Care</w:t>
            </w:r>
          </w:p>
        </w:tc>
        <w:tc>
          <w:tcPr>
            <w:tcW w:type="dxa" w:w="31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Appointment Companion</w:t>
            </w:r>
          </w:p>
        </w:tc>
        <w:tc>
          <w:tcPr>
            <w:tcW w:type="dxa" w:w="15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Adults, seniors</w:t>
            </w:r>
          </w:p>
        </w:tc>
        <w:tc>
          <w:tcPr>
            <w:tcW w:type="dxa" w:w="35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Police check</w:t>
            </w:r>
          </w:p>
        </w:tc>
      </w:tr>
      <w:tr>
        <w:trPr>
          <w:cantSplit/>
        </w:trPr>
        <w:tc>
          <w:tcPr>
            <w:tcW w:type="dxa" w:w="19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Senior Care</w:t>
            </w:r>
          </w:p>
        </w:tc>
        <w:tc>
          <w:tcPr>
            <w:tcW w:type="dxa" w:w="31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Dementia Companion Care</w:t>
            </w:r>
          </w:p>
        </w:tc>
        <w:tc>
          <w:tcPr>
            <w:tcW w:type="dxa" w:w="15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Seniors</w:t>
            </w:r>
          </w:p>
        </w:tc>
        <w:tc>
          <w:tcPr>
            <w:tcW w:type="dxa" w:w="35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Police check, dementia care training</w:t>
            </w:r>
          </w:p>
        </w:tc>
      </w:tr>
      <w:tr>
        <w:trPr>
          <w:cantSplit/>
        </w:trPr>
        <w:tc>
          <w:tcPr>
            <w:tcW w:type="dxa" w:w="19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Specialized Support</w:t>
            </w:r>
          </w:p>
        </w:tc>
        <w:tc>
          <w:tcPr>
            <w:tcW w:type="dxa" w:w="31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Autism Support</w:t>
            </w:r>
          </w:p>
        </w:tc>
        <w:tc>
          <w:tcPr>
            <w:tcW w:type="dxa" w:w="15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All ages</w:t>
            </w:r>
          </w:p>
        </w:tc>
        <w:tc>
          <w:tcPr>
            <w:tcW w:type="dxa" w:w="35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Vulnerable sector check, autism support training</w:t>
            </w:r>
          </w:p>
        </w:tc>
      </w:tr>
      <w:tr>
        <w:trPr>
          <w:cantSplit/>
        </w:trPr>
        <w:tc>
          <w:tcPr>
            <w:tcW w:type="dxa" w:w="19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Specialized Support</w:t>
            </w:r>
          </w:p>
        </w:tc>
        <w:tc>
          <w:tcPr>
            <w:tcW w:type="dxa" w:w="31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Developmental Disability Support</w:t>
            </w:r>
          </w:p>
        </w:tc>
        <w:tc>
          <w:tcPr>
            <w:tcW w:type="dxa" w:w="15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All ages</w:t>
            </w:r>
          </w:p>
        </w:tc>
        <w:tc>
          <w:tcPr>
            <w:tcW w:type="dxa" w:w="35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Vulnerable sector check</w:t>
            </w:r>
          </w:p>
        </w:tc>
      </w:tr>
      <w:tr>
        <w:trPr>
          <w:cantSplit/>
        </w:trPr>
        <w:tc>
          <w:tcPr>
            <w:tcW w:type="dxa" w:w="19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Specialized Support</w:t>
            </w:r>
          </w:p>
        </w:tc>
        <w:tc>
          <w:tcPr>
            <w:tcW w:type="dxa" w:w="31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Special-Needs Respite</w:t>
            </w:r>
          </w:p>
        </w:tc>
        <w:tc>
          <w:tcPr>
            <w:tcW w:type="dxa" w:w="15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All ages</w:t>
            </w:r>
          </w:p>
        </w:tc>
        <w:tc>
          <w:tcPr>
            <w:tcW w:type="dxa" w:w="35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Vulnerable sector check, First Aid</w:t>
            </w:r>
          </w:p>
        </w:tc>
      </w:tr>
      <w:tr>
        <w:trPr>
          <w:cantSplit/>
        </w:trPr>
        <w:tc>
          <w:tcPr>
            <w:tcW w:type="dxa" w:w="19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Specialized Support</w:t>
            </w:r>
          </w:p>
        </w:tc>
        <w:tc>
          <w:tcPr>
            <w:tcW w:type="dxa" w:w="31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Communication Support</w:t>
            </w:r>
          </w:p>
        </w:tc>
        <w:tc>
          <w:tcPr>
            <w:tcW w:type="dxa" w:w="15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All ages</w:t>
            </w:r>
          </w:p>
        </w:tc>
        <w:tc>
          <w:tcPr>
            <w:tcW w:type="dxa" w:w="35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Vulnerable sector check</w:t>
            </w:r>
          </w:p>
        </w:tc>
      </w:tr>
      <w:tr>
        <w:trPr>
          <w:cantSplit/>
        </w:trPr>
        <w:tc>
          <w:tcPr>
            <w:tcW w:type="dxa" w:w="19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Specialized Support</w:t>
            </w:r>
          </w:p>
        </w:tc>
        <w:tc>
          <w:tcPr>
            <w:tcW w:type="dxa" w:w="31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Mobility Support</w:t>
            </w:r>
          </w:p>
        </w:tc>
        <w:tc>
          <w:tcPr>
            <w:tcW w:type="dxa" w:w="15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All ages</w:t>
            </w:r>
          </w:p>
        </w:tc>
        <w:tc>
          <w:tcPr>
            <w:tcW w:type="dxa" w:w="35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Vulnerable sector check, mobility support training</w:t>
            </w:r>
          </w:p>
        </w:tc>
      </w:tr>
      <w:tr>
        <w:trPr>
          <w:cantSplit/>
        </w:trPr>
        <w:tc>
          <w:tcPr>
            <w:tcW w:type="dxa" w:w="19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Specialized Support</w:t>
            </w:r>
          </w:p>
        </w:tc>
        <w:tc>
          <w:tcPr>
            <w:tcW w:type="dxa" w:w="31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Behavioural Support</w:t>
            </w:r>
          </w:p>
        </w:tc>
        <w:tc>
          <w:tcPr>
            <w:tcW w:type="dxa" w:w="15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All ages</w:t>
            </w:r>
          </w:p>
        </w:tc>
        <w:tc>
          <w:tcPr>
            <w:tcW w:type="dxa" w:w="35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Vulnerable sector check, behaviour support training</w:t>
            </w:r>
          </w:p>
        </w:tc>
      </w:tr>
      <w:tr>
        <w:trPr>
          <w:cantSplit/>
        </w:trPr>
        <w:tc>
          <w:tcPr>
            <w:tcW w:type="dxa" w:w="19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Family Support</w:t>
            </w:r>
          </w:p>
        </w:tc>
        <w:tc>
          <w:tcPr>
            <w:tcW w:type="dxa" w:w="31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Respite Care</w:t>
            </w:r>
          </w:p>
        </w:tc>
        <w:tc>
          <w:tcPr>
            <w:tcW w:type="dxa" w:w="15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All ages</w:t>
            </w:r>
          </w:p>
        </w:tc>
        <w:tc>
          <w:tcPr>
            <w:tcW w:type="dxa" w:w="35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Vulnerable sector check</w:t>
            </w:r>
          </w:p>
        </w:tc>
      </w:tr>
      <w:tr>
        <w:trPr>
          <w:cantSplit/>
        </w:trPr>
        <w:tc>
          <w:tcPr>
            <w:tcW w:type="dxa" w:w="19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Family Support</w:t>
            </w:r>
          </w:p>
        </w:tc>
        <w:tc>
          <w:tcPr>
            <w:tcW w:type="dxa" w:w="31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Transportation Assistance</w:t>
            </w:r>
          </w:p>
        </w:tc>
        <w:tc>
          <w:tcPr>
            <w:tcW w:type="dxa" w:w="15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All ages</w:t>
            </w:r>
          </w:p>
        </w:tc>
        <w:tc>
          <w:tcPr>
            <w:tcW w:type="dxa" w:w="35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Police check</w:t>
            </w:r>
          </w:p>
        </w:tc>
      </w:tr>
      <w:tr>
        <w:trPr>
          <w:cantSplit/>
        </w:trPr>
        <w:tc>
          <w:tcPr>
            <w:tcW w:type="dxa" w:w="19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Family Support</w:t>
            </w:r>
          </w:p>
        </w:tc>
        <w:tc>
          <w:tcPr>
            <w:tcW w:type="dxa" w:w="31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Care-Related Light Household Support</w:t>
            </w:r>
          </w:p>
        </w:tc>
        <w:tc>
          <w:tcPr>
            <w:tcW w:type="dxa" w:w="15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All ages</w:t>
            </w:r>
          </w:p>
        </w:tc>
        <w:tc>
          <w:tcPr>
            <w:tcW w:type="dxa" w:w="35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Police check</w:t>
            </w:r>
          </w:p>
        </w:tc>
      </w:tr>
      <w:tr>
        <w:trPr>
          <w:cantSplit/>
        </w:trPr>
        <w:tc>
          <w:tcPr>
            <w:tcW w:type="dxa" w:w="19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Family Support</w:t>
            </w:r>
          </w:p>
        </w:tc>
        <w:tc>
          <w:tcPr>
            <w:tcW w:type="dxa" w:w="31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Routine and Companionship Support</w:t>
            </w:r>
          </w:p>
        </w:tc>
        <w:tc>
          <w:tcPr>
            <w:tcW w:type="dxa" w:w="15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All ages</w:t>
            </w:r>
          </w:p>
        </w:tc>
        <w:tc>
          <w:tcPr>
            <w:tcW w:type="dxa" w:w="35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Police check</w:t>
            </w:r>
          </w:p>
        </w:tc>
      </w:tr>
      <w:tr>
        <w:trPr>
          <w:cantSplit/>
        </w:trPr>
        <w:tc>
          <w:tcPr>
            <w:tcW w:type="dxa" w:w="19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Pet Care</w:t>
            </w:r>
          </w:p>
        </w:tc>
        <w:tc>
          <w:tcPr>
            <w:tcW w:type="dxa" w:w="31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Dog Walking</w:t>
            </w:r>
          </w:p>
        </w:tc>
        <w:tc>
          <w:tcPr>
            <w:tcW w:type="dxa" w:w="15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Dogs</w:t>
            </w:r>
          </w:p>
        </w:tc>
        <w:tc>
          <w:tcPr>
            <w:tcW w:type="dxa" w:w="35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None beyond the pet-care screening</w:t>
            </w:r>
          </w:p>
        </w:tc>
      </w:tr>
      <w:tr>
        <w:trPr>
          <w:cantSplit/>
        </w:trPr>
        <w:tc>
          <w:tcPr>
            <w:tcW w:type="dxa" w:w="19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Pet Care</w:t>
            </w:r>
          </w:p>
        </w:tc>
        <w:tc>
          <w:tcPr>
            <w:tcW w:type="dxa" w:w="31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Drop-In Pet Visits</w:t>
            </w:r>
          </w:p>
        </w:tc>
        <w:tc>
          <w:tcPr>
            <w:tcW w:type="dxa" w:w="15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All pets</w:t>
            </w:r>
          </w:p>
        </w:tc>
        <w:tc>
          <w:tcPr>
            <w:tcW w:type="dxa" w:w="35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None beyond the pet-care screening</w:t>
            </w:r>
          </w:p>
        </w:tc>
      </w:tr>
      <w:tr>
        <w:trPr>
          <w:cantSplit/>
        </w:trPr>
        <w:tc>
          <w:tcPr>
            <w:tcW w:type="dxa" w:w="19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Pet Care</w:t>
            </w:r>
          </w:p>
        </w:tc>
        <w:tc>
          <w:tcPr>
            <w:tcW w:type="dxa" w:w="31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In-Home Pet Sitting (family's home, per night)</w:t>
            </w:r>
          </w:p>
        </w:tc>
        <w:tc>
          <w:tcPr>
            <w:tcW w:type="dxa" w:w="15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All pets</w:t>
            </w:r>
          </w:p>
        </w:tc>
        <w:tc>
          <w:tcPr>
            <w:tcW w:type="dxa" w:w="35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None beyond the pet-care screening; a nightly rate</w:t>
            </w:r>
          </w:p>
        </w:tc>
      </w:tr>
      <w:tr>
        <w:trPr>
          <w:cantSplit/>
        </w:trPr>
        <w:tc>
          <w:tcPr>
            <w:tcW w:type="dxa" w:w="19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Pet Care</w:t>
            </w:r>
          </w:p>
        </w:tc>
        <w:tc>
          <w:tcPr>
            <w:tcW w:type="dxa" w:w="31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Pet Boarding (caregiver's home, per night)</w:t>
            </w:r>
          </w:p>
        </w:tc>
        <w:tc>
          <w:tcPr>
            <w:tcW w:type="dxa" w:w="15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All pets</w:t>
            </w:r>
          </w:p>
        </w:tc>
        <w:tc>
          <w:tcPr>
            <w:tcW w:type="dxa" w:w="35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None beyond the pet-care screening; a nightly rate</w:t>
            </w:r>
          </w:p>
        </w:tc>
      </w:tr>
    </w:tbl>
    <w:p>
      <w:pPr>
        <w:pStyle w:val="Heading1"/>
        <w:pageBreakBefore/>
      </w:pPr>
      <w:r>
        <w:t xml:space="preserve">Appendix B — Data inventory</w:t>
      </w:r>
    </w:p>
    <w:p>
      <w:pPr>
        <w:spacing w:after="120"/>
      </w:pPr>
      <w:r>
        <w:rPr>
          <w:i/>
          <w:iCs/>
          <w:color w:val="5B6666"/>
          <w:sz w:val="18"/>
          <w:szCs w:val="18"/>
        </w:rPr>
        <w:t xml:space="preserve">What the product stores, who it comes from, and who can see it. All data is hosted on Microsoft Azure in Canada unless noted. Nothing in this table is logged in application logs.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2300"/>
        <w:gridCol w:w="3380"/>
      </w:tblGrid>
      <w:tr>
        <w:trPr>
          <w:tblHeader/>
        </w:trPr>
        <w:tc>
          <w:tcPr>
            <w:tcW w:type="dxa" w:w="2900"/>
            <w:tcBorders>
              <w:top w:val="single" w:color="C9D6D6" w:sz="4"/>
              <w:left w:val="single" w:color="C9D6D6" w:sz="4"/>
              <w:bottom w:val="single" w:color="C9D6D6" w:sz="4"/>
              <w:right w:val="single" w:color="C9D6D6" w:sz="4"/>
            </w:tcBorders>
            <w:shd w:fill="E3F1F1" w:color="auto" w:val="clear"/>
            <w:tcMar>
              <w:top w:type="dxa" w:w="70"/>
              <w:left w:type="dxa" w:w="110"/>
              <w:bottom w:type="dxa" w:w="70"/>
              <w:right w:type="dxa" w:w="110"/>
            </w:tcMar>
          </w:tcPr>
          <w:p>
            <w:pPr>
              <w:spacing w:after="20"/>
            </w:pPr>
            <w:r>
              <w:rPr>
                <w:b/>
                <w:bCs/>
                <w:color w:val="1F2A2A"/>
                <w:sz w:val="19"/>
                <w:szCs w:val="19"/>
              </w:rPr>
              <w:t xml:space="preserve">Data</w:t>
            </w:r>
          </w:p>
        </w:tc>
        <w:tc>
          <w:tcPr>
            <w:tcW w:type="dxa" w:w="1500"/>
            <w:tcBorders>
              <w:top w:val="single" w:color="C9D6D6" w:sz="4"/>
              <w:left w:val="single" w:color="C9D6D6" w:sz="4"/>
              <w:bottom w:val="single" w:color="C9D6D6" w:sz="4"/>
              <w:right w:val="single" w:color="C9D6D6" w:sz="4"/>
            </w:tcBorders>
            <w:shd w:fill="E3F1F1" w:color="auto" w:val="clear"/>
            <w:tcMar>
              <w:top w:type="dxa" w:w="70"/>
              <w:left w:type="dxa" w:w="110"/>
              <w:bottom w:type="dxa" w:w="70"/>
              <w:right w:type="dxa" w:w="110"/>
            </w:tcMar>
          </w:tcPr>
          <w:p>
            <w:pPr>
              <w:spacing w:after="20"/>
            </w:pPr>
            <w:r>
              <w:rPr>
                <w:b/>
                <w:bCs/>
                <w:color w:val="1F2A2A"/>
                <w:sz w:val="19"/>
                <w:szCs w:val="19"/>
              </w:rPr>
              <w:t xml:space="preserve">From</w:t>
            </w:r>
          </w:p>
        </w:tc>
        <w:tc>
          <w:tcPr>
            <w:tcW w:type="dxa" w:w="2300"/>
            <w:tcBorders>
              <w:top w:val="single" w:color="C9D6D6" w:sz="4"/>
              <w:left w:val="single" w:color="C9D6D6" w:sz="4"/>
              <w:bottom w:val="single" w:color="C9D6D6" w:sz="4"/>
              <w:right w:val="single" w:color="C9D6D6" w:sz="4"/>
            </w:tcBorders>
            <w:shd w:fill="E3F1F1" w:color="auto" w:val="clear"/>
            <w:tcMar>
              <w:top w:type="dxa" w:w="70"/>
              <w:left w:type="dxa" w:w="110"/>
              <w:bottom w:type="dxa" w:w="70"/>
              <w:right w:type="dxa" w:w="110"/>
            </w:tcMar>
          </w:tcPr>
          <w:p>
            <w:pPr>
              <w:spacing w:after="20"/>
            </w:pPr>
            <w:r>
              <w:rPr>
                <w:b/>
                <w:bCs/>
                <w:color w:val="1F2A2A"/>
                <w:sz w:val="19"/>
                <w:szCs w:val="19"/>
              </w:rPr>
              <w:t xml:space="preserve">Purpose</w:t>
            </w:r>
          </w:p>
        </w:tc>
        <w:tc>
          <w:tcPr>
            <w:tcW w:type="dxa" w:w="3380"/>
            <w:tcBorders>
              <w:top w:val="single" w:color="C9D6D6" w:sz="4"/>
              <w:left w:val="single" w:color="C9D6D6" w:sz="4"/>
              <w:bottom w:val="single" w:color="C9D6D6" w:sz="4"/>
              <w:right w:val="single" w:color="C9D6D6" w:sz="4"/>
            </w:tcBorders>
            <w:shd w:fill="E3F1F1" w:color="auto" w:val="clear"/>
            <w:tcMar>
              <w:top w:type="dxa" w:w="70"/>
              <w:left w:type="dxa" w:w="110"/>
              <w:bottom w:type="dxa" w:w="70"/>
              <w:right w:type="dxa" w:w="110"/>
            </w:tcMar>
          </w:tcPr>
          <w:p>
            <w:pPr>
              <w:spacing w:after="20"/>
            </w:pPr>
            <w:r>
              <w:rPr>
                <w:b/>
                <w:bCs/>
                <w:color w:val="1F2A2A"/>
                <w:sz w:val="19"/>
                <w:szCs w:val="19"/>
              </w:rPr>
              <w:t xml:space="preserve">Who can see it</w:t>
            </w:r>
          </w:p>
        </w:tc>
      </w:tr>
      <w:tr>
        <w:trPr>
          <w:cantSplit/>
        </w:trPr>
        <w:tc>
          <w:tcPr>
            <w:tcW w:type="dxa" w:w="29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Name, email, hashed password, role</w:t>
            </w:r>
          </w:p>
        </w:tc>
        <w:tc>
          <w:tcPr>
            <w:tcW w:type="dxa" w:w="15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All users</w:t>
            </w:r>
          </w:p>
        </w:tc>
        <w:tc>
          <w:tcPr>
            <w:tcW w:type="dxa" w:w="23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Account and sign-in</w:t>
            </w:r>
          </w:p>
        </w:tc>
        <w:tc>
          <w:tcPr>
            <w:tcW w:type="dxa" w:w="33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The user; staff</w:t>
            </w:r>
          </w:p>
        </w:tc>
      </w:tr>
      <w:tr>
        <w:trPr>
          <w:cantSplit/>
        </w:trPr>
        <w:tc>
          <w:tcPr>
            <w:tcW w:type="dxa" w:w="29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Home address (geocoded to coordinates)</w:t>
            </w:r>
          </w:p>
        </w:tc>
        <w:tc>
          <w:tcPr>
            <w:tcW w:type="dxa" w:w="15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Families, caregivers</w:t>
            </w:r>
          </w:p>
        </w:tc>
        <w:tc>
          <w:tcPr>
            <w:tcW w:type="dxa" w:w="23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Matching by distance; the booking location</w:t>
            </w:r>
          </w:p>
        </w:tc>
        <w:tc>
          <w:tcPr>
            <w:tcW w:type="dxa" w:w="33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A caregiver sees a family's exact address only after accepting a booking. A family sees a caregiver's address only for boarding, once the caregiver accepts. Search shows area only.</w:t>
            </w:r>
          </w:p>
        </w:tc>
      </w:tr>
      <w:tr>
        <w:trPr>
          <w:cantSplit/>
        </w:trPr>
        <w:tc>
          <w:tcPr>
            <w:tcW w:type="dxa" w:w="29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Care recipient: first name, age, type</w:t>
            </w:r>
          </w:p>
        </w:tc>
        <w:tc>
          <w:tcPr>
            <w:tcW w:type="dxa" w:w="15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Family</w:t>
            </w:r>
          </w:p>
        </w:tc>
        <w:tc>
          <w:tcPr>
            <w:tcW w:type="dxa" w:w="23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Booking the right care</w:t>
            </w:r>
          </w:p>
        </w:tc>
        <w:tc>
          <w:tcPr>
            <w:tcW w:type="dxa" w:w="33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Caregivers on the family's bookings</w:t>
            </w:r>
          </w:p>
        </w:tc>
      </w:tr>
      <w:tr>
        <w:trPr>
          <w:cantSplit/>
        </w:trPr>
        <w:tc>
          <w:tcPr>
            <w:tcW w:type="dxa" w:w="29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Care needs: mobility, communication, sensory, behaviour notes, diet, allergies, toileting, feeding, routines, triggers, calming strategies, emergency instructions</w:t>
            </w:r>
          </w:p>
        </w:tc>
        <w:tc>
          <w:tcPr>
            <w:tcW w:type="dxa" w:w="15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Family</w:t>
            </w:r>
          </w:p>
        </w:tc>
        <w:tc>
          <w:tcPr>
            <w:tcW w:type="dxa" w:w="23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Safe, appropriate care</w:t>
            </w:r>
          </w:p>
        </w:tc>
        <w:tc>
          <w:tcPr>
            <w:tcW w:type="dxa" w:w="33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Only a caregiver on an </w:t>
            </w:r>
            <w:r>
              <w:rPr>
                <w:b/>
                <w:bCs/>
                <w:sz w:val="19"/>
                <w:szCs w:val="19"/>
              </w:rPr>
              <w:t xml:space="preserve">accepted</w:t>
            </w:r>
            <w:r>
              <w:rPr>
                <w:sz w:val="19"/>
                <w:szCs w:val="19"/>
              </w:rPr>
              <w:t xml:space="preserve"> booking; every read is recorded</w:t>
            </w:r>
          </w:p>
        </w:tc>
      </w:tr>
      <w:tr>
        <w:trPr>
          <w:cantSplit/>
        </w:trPr>
        <w:tc>
          <w:tcPr>
            <w:tcW w:type="dxa" w:w="29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Emergency contacts</w:t>
            </w:r>
          </w:p>
        </w:tc>
        <w:tc>
          <w:tcPr>
            <w:tcW w:type="dxa" w:w="15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Family</w:t>
            </w:r>
          </w:p>
        </w:tc>
        <w:tc>
          <w:tcPr>
            <w:tcW w:type="dxa" w:w="23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Emergencies during care</w:t>
            </w:r>
          </w:p>
        </w:tc>
        <w:tc>
          <w:tcPr>
            <w:tcW w:type="dxa" w:w="33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Only a caregiver on an accepted or completed booking; every read is recorded</w:t>
            </w:r>
          </w:p>
        </w:tc>
      </w:tr>
      <w:tr>
        <w:trPr>
          <w:cantSplit/>
        </w:trPr>
        <w:tc>
          <w:tcPr>
            <w:tcW w:type="dxa" w:w="29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Booking notes (e.g. door codes, when a home will be empty)</w:t>
            </w:r>
          </w:p>
        </w:tc>
        <w:tc>
          <w:tcPr>
            <w:tcW w:type="dxa" w:w="15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Family</w:t>
            </w:r>
          </w:p>
        </w:tc>
        <w:tc>
          <w:tcPr>
            <w:tcW w:type="dxa" w:w="23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Arranging a specific booking</w:t>
            </w:r>
          </w:p>
        </w:tc>
        <w:tc>
          <w:tcPr>
            <w:tcW w:type="dxa" w:w="33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Only a caregiver who has </w:t>
            </w:r>
            <w:r>
              <w:rPr>
                <w:b/>
                <w:bCs/>
                <w:sz w:val="19"/>
                <w:szCs w:val="19"/>
              </w:rPr>
              <w:t xml:space="preserve">accepted</w:t>
            </w:r>
            <w:r>
              <w:rPr>
                <w:sz w:val="19"/>
                <w:szCs w:val="19"/>
              </w:rPr>
              <w:t xml:space="preserve"> the booking; never for a declined or lapsed request</w:t>
            </w:r>
          </w:p>
        </w:tc>
      </w:tr>
      <w:tr>
        <w:trPr>
          <w:cantSplit/>
        </w:trPr>
        <w:tc>
          <w:tcPr>
            <w:tcW w:type="dxa" w:w="29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Pets: name, species, breed, size, and care notes (feeding, medication, temperament, vet)</w:t>
            </w:r>
          </w:p>
        </w:tc>
        <w:tc>
          <w:tcPr>
            <w:tcW w:type="dxa" w:w="15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Family</w:t>
            </w:r>
          </w:p>
        </w:tc>
        <w:tc>
          <w:tcPr>
            <w:tcW w:type="dxa" w:w="23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Safe pet care</w:t>
            </w:r>
          </w:p>
        </w:tc>
        <w:tc>
          <w:tcPr>
            <w:tcW w:type="dxa" w:w="33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Name, species, breed and size on any request; care notes only to a caregiver who has accepted</w:t>
            </w:r>
          </w:p>
        </w:tc>
      </w:tr>
      <w:tr>
        <w:trPr>
          <w:cantSplit/>
        </w:trPr>
        <w:tc>
          <w:tcPr>
            <w:tcW w:type="dxa" w:w="29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Photo ID, police and vulnerable sector check documents, certificates</w:t>
            </w:r>
          </w:p>
        </w:tc>
        <w:tc>
          <w:tcPr>
            <w:tcW w:type="dxa" w:w="15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Caregivers</w:t>
            </w:r>
          </w:p>
        </w:tc>
        <w:tc>
          <w:tcPr>
            <w:tcW w:type="dxa" w:w="23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Verification</w:t>
            </w:r>
          </w:p>
        </w:tc>
        <w:tc>
          <w:tcPr>
            <w:tcW w:type="dxa" w:w="33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Staff only; every opening is recorded; never available by link</w:t>
            </w:r>
          </w:p>
        </w:tc>
      </w:tr>
      <w:tr>
        <w:trPr>
          <w:cantSplit/>
        </w:trPr>
        <w:tc>
          <w:tcPr>
            <w:tcW w:type="dxa" w:w="29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Messages</w:t>
            </w:r>
          </w:p>
        </w:tc>
        <w:tc>
          <w:tcPr>
            <w:tcW w:type="dxa" w:w="15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Families, caregivers</w:t>
            </w:r>
          </w:p>
        </w:tc>
        <w:tc>
          <w:tcPr>
            <w:tcW w:type="dxa" w:w="23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Arranging care</w:t>
            </w:r>
          </w:p>
        </w:tc>
        <w:tc>
          <w:tcPr>
            <w:tcW w:type="dxa" w:w="33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The two participants. Staff only if flagged, and every read is recorded</w:t>
            </w:r>
          </w:p>
        </w:tc>
      </w:tr>
      <w:tr>
        <w:trPr>
          <w:cantSplit/>
        </w:trPr>
        <w:tc>
          <w:tcPr>
            <w:tcW w:type="dxa" w:w="29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Arrival status and rounded distance</w:t>
            </w:r>
          </w:p>
        </w:tc>
        <w:tc>
          <w:tcPr>
            <w:tcW w:type="dxa" w:w="15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Caregiver's phone</w:t>
            </w:r>
          </w:p>
        </w:tc>
        <w:tc>
          <w:tcPr>
            <w:tcW w:type="dxa" w:w="23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Evidence the caregiver arrived</w:t>
            </w:r>
          </w:p>
        </w:tc>
        <w:tc>
          <w:tcPr>
            <w:tcW w:type="dxa" w:w="33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Both parties. </w:t>
            </w:r>
            <w:r>
              <w:rPr>
                <w:b/>
                <w:bCs/>
                <w:sz w:val="19"/>
                <w:szCs w:val="19"/>
              </w:rPr>
              <w:t xml:space="preserve">Raw location is discarded</w:t>
            </w:r>
          </w:p>
        </w:tc>
      </w:tr>
      <w:tr>
        <w:trPr>
          <w:cantSplit/>
        </w:trPr>
        <w:tc>
          <w:tcPr>
            <w:tcW w:type="dxa" w:w="29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Card details</w:t>
            </w:r>
          </w:p>
        </w:tc>
        <w:tc>
          <w:tcPr>
            <w:tcW w:type="dxa" w:w="15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Families</w:t>
            </w:r>
          </w:p>
        </w:tc>
        <w:tc>
          <w:tcPr>
            <w:tcW w:type="dxa" w:w="23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Payment</w:t>
            </w:r>
          </w:p>
        </w:tc>
        <w:tc>
          <w:tcPr>
            <w:tcW w:type="dxa" w:w="33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Held by Stripe (data may be processed in the United States); Go Sit never sees card numbers</w:t>
            </w:r>
          </w:p>
        </w:tc>
      </w:tr>
      <w:tr>
        <w:trPr>
          <w:cantSplit/>
        </w:trPr>
        <w:tc>
          <w:tcPr>
            <w:tcW w:type="dxa" w:w="29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Bank account for payouts</w:t>
            </w:r>
          </w:p>
        </w:tc>
        <w:tc>
          <w:tcPr>
            <w:tcW w:type="dxa" w:w="15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Caregivers</w:t>
            </w:r>
          </w:p>
        </w:tc>
        <w:tc>
          <w:tcPr>
            <w:tcW w:type="dxa" w:w="23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Paying caregivers</w:t>
            </w:r>
          </w:p>
        </w:tc>
        <w:tc>
          <w:tcPr>
            <w:tcW w:type="dxa" w:w="33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Held by Stripe; not by Go Sit</w:t>
            </w:r>
          </w:p>
        </w:tc>
      </w:tr>
      <w:tr>
        <w:trPr>
          <w:cantSplit/>
        </w:trPr>
        <w:tc>
          <w:tcPr>
            <w:tcW w:type="dxa" w:w="29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Reviews and ratings</w:t>
            </w:r>
          </w:p>
        </w:tc>
        <w:tc>
          <w:tcPr>
            <w:tcW w:type="dxa" w:w="15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Families, caregivers</w:t>
            </w:r>
          </w:p>
        </w:tc>
        <w:tc>
          <w:tcPr>
            <w:tcW w:type="dxa" w:w="23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Trust</w:t>
            </w:r>
          </w:p>
        </w:tc>
        <w:tc>
          <w:tcPr>
            <w:tcW w:type="dxa" w:w="33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Reviews of caregivers are public to signed-in users once published</w:t>
            </w:r>
          </w:p>
        </w:tc>
      </w:tr>
      <w:tr>
        <w:trPr>
          <w:cantSplit/>
        </w:trPr>
        <w:tc>
          <w:tcPr>
            <w:tcW w:type="dxa" w:w="29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Incident reports</w:t>
            </w:r>
          </w:p>
        </w:tc>
        <w:tc>
          <w:tcPr>
            <w:tcW w:type="dxa" w:w="15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Any user</w:t>
            </w:r>
          </w:p>
        </w:tc>
        <w:tc>
          <w:tcPr>
            <w:tcW w:type="dxa" w:w="23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Safety</w:t>
            </w:r>
          </w:p>
        </w:tc>
        <w:tc>
          <w:tcPr>
            <w:tcW w:type="dxa" w:w="33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The reporter and staff; never the person reported</w:t>
            </w:r>
          </w:p>
        </w:tc>
      </w:tr>
      <w:tr>
        <w:trPr>
          <w:cantSplit/>
        </w:trPr>
        <w:tc>
          <w:tcPr>
            <w:tcW w:type="dxa" w:w="29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Search appearance counts</w:t>
            </w:r>
          </w:p>
        </w:tc>
        <w:tc>
          <w:tcPr>
            <w:tcW w:type="dxa" w:w="15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System</w:t>
            </w:r>
          </w:p>
        </w:tc>
        <w:tc>
          <w:tcPr>
            <w:tcW w:type="dxa" w:w="23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Caregiver insights</w:t>
            </w:r>
          </w:p>
        </w:tc>
        <w:tc>
          <w:tcPr>
            <w:tcW w:type="dxa" w:w="33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Counts per caregiver per day, with no record of who searched; deleted after 180 days</w:t>
            </w:r>
          </w:p>
        </w:tc>
      </w:tr>
      <w:tr>
        <w:trPr>
          <w:cantSplit/>
        </w:trPr>
        <w:tc>
          <w:tcPr>
            <w:tcW w:type="dxa" w:w="29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Audit log of staff and booking actions</w:t>
            </w:r>
          </w:p>
        </w:tc>
        <w:tc>
          <w:tcPr>
            <w:tcW w:type="dxa" w:w="15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System</w:t>
            </w:r>
          </w:p>
        </w:tc>
        <w:tc>
          <w:tcPr>
            <w:tcW w:type="dxa" w:w="23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Accountability</w:t>
            </w:r>
          </w:p>
        </w:tc>
        <w:tc>
          <w:tcPr>
            <w:tcW w:type="dxa" w:w="33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Staff</w:t>
            </w:r>
          </w:p>
        </w:tc>
      </w:tr>
      <w:tr>
        <w:trPr>
          <w:cantSplit/>
        </w:trPr>
        <w:tc>
          <w:tcPr>
            <w:tcW w:type="dxa" w:w="29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Email notifications</w:t>
            </w:r>
          </w:p>
        </w:tc>
        <w:tc>
          <w:tcPr>
            <w:tcW w:type="dxa" w:w="15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System</w:t>
            </w:r>
          </w:p>
        </w:tc>
        <w:tc>
          <w:tcPr>
            <w:tcW w:type="dxa" w:w="23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Telling users something changed</w:t>
            </w:r>
          </w:p>
        </w:tc>
        <w:tc>
          <w:tcPr>
            <w:tcW w:type="dxa" w:w="33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Sent through Brevo (France); summaries only, no care or message content</w:t>
            </w:r>
          </w:p>
        </w:tc>
      </w:tr>
    </w:tbl>
    <w:p>
      <w:pPr>
        <w:pStyle w:val="Heading1"/>
      </w:pPr>
      <w:r>
        <w:t xml:space="preserve">Appendix C — Worked money-flow example</w:t>
      </w:r>
    </w:p>
    <w:p>
      <w:pPr>
        <w:spacing w:after="120"/>
      </w:pPr>
      <w:r>
        <w:t xml:space="preserve">A family books a caregiver who charges </w:t>
      </w:r>
      <w:r>
        <w:rPr>
          <w:b/>
          <w:bCs/>
        </w:rPr>
        <w:t xml:space="preserve">$30.00/hour</w:t>
      </w:r>
      <w:r>
        <w:t xml:space="preserve"> for </w:t>
      </w:r>
      <w:r>
        <w:rPr>
          <w:b/>
          <w:bCs/>
        </w:rPr>
        <w:t xml:space="preserve">4 hours</w:t>
      </w:r>
      <w:r>
        <w:t xml:space="preserve">, and the caregiver is on the free plan.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6480"/>
        <w:gridCol w:w="2800"/>
      </w:tblGrid>
      <w:tr>
        <w:trPr>
          <w:tblHeader/>
        </w:trPr>
        <w:tc>
          <w:tcPr>
            <w:tcW w:type="dxa" w:w="800"/>
            <w:tcBorders>
              <w:top w:val="single" w:color="C9D6D6" w:sz="4"/>
              <w:left w:val="single" w:color="C9D6D6" w:sz="4"/>
              <w:bottom w:val="single" w:color="C9D6D6" w:sz="4"/>
              <w:right w:val="single" w:color="C9D6D6" w:sz="4"/>
            </w:tcBorders>
            <w:shd w:fill="E3F1F1" w:color="auto" w:val="clear"/>
            <w:tcMar>
              <w:top w:type="dxa" w:w="70"/>
              <w:left w:type="dxa" w:w="110"/>
              <w:bottom w:type="dxa" w:w="70"/>
              <w:right w:type="dxa" w:w="110"/>
            </w:tcMar>
          </w:tcPr>
          <w:p>
            <w:pPr>
              <w:spacing w:after="20"/>
            </w:pPr>
            <w:r>
              <w:rPr>
                <w:b/>
                <w:bCs/>
                <w:color w:val="1F2A2A"/>
                <w:sz w:val="19"/>
                <w:szCs w:val="19"/>
              </w:rPr>
              <w:t xml:space="preserve">Step</w:t>
            </w:r>
          </w:p>
        </w:tc>
        <w:tc>
          <w:tcPr>
            <w:tcW w:type="dxa" w:w="6480"/>
            <w:tcBorders>
              <w:top w:val="single" w:color="C9D6D6" w:sz="4"/>
              <w:left w:val="single" w:color="C9D6D6" w:sz="4"/>
              <w:bottom w:val="single" w:color="C9D6D6" w:sz="4"/>
              <w:right w:val="single" w:color="C9D6D6" w:sz="4"/>
            </w:tcBorders>
            <w:shd w:fill="E3F1F1" w:color="auto" w:val="clear"/>
            <w:tcMar>
              <w:top w:type="dxa" w:w="70"/>
              <w:left w:type="dxa" w:w="110"/>
              <w:bottom w:type="dxa" w:w="70"/>
              <w:right w:type="dxa" w:w="110"/>
            </w:tcMar>
          </w:tcPr>
          <w:p>
            <w:pPr>
              <w:spacing w:after="20"/>
            </w:pPr>
            <w:r>
              <w:rPr>
                <w:b/>
                <w:bCs/>
                <w:color w:val="1F2A2A"/>
                <w:sz w:val="19"/>
                <w:szCs w:val="19"/>
              </w:rPr>
              <w:t xml:space="preserve">What happens</w:t>
            </w:r>
          </w:p>
        </w:tc>
        <w:tc>
          <w:tcPr>
            <w:tcW w:type="dxa" w:w="2800"/>
            <w:tcBorders>
              <w:top w:val="single" w:color="C9D6D6" w:sz="4"/>
              <w:left w:val="single" w:color="C9D6D6" w:sz="4"/>
              <w:bottom w:val="single" w:color="C9D6D6" w:sz="4"/>
              <w:right w:val="single" w:color="C9D6D6" w:sz="4"/>
            </w:tcBorders>
            <w:shd w:fill="E3F1F1" w:color="auto" w:val="clear"/>
            <w:tcMar>
              <w:top w:type="dxa" w:w="70"/>
              <w:left w:type="dxa" w:w="110"/>
              <w:bottom w:type="dxa" w:w="70"/>
              <w:right w:type="dxa" w:w="110"/>
            </w:tcMar>
          </w:tcPr>
          <w:p>
            <w:pPr>
              <w:spacing w:after="20"/>
            </w:pPr>
            <w:r>
              <w:rPr>
                <w:b/>
                <w:bCs/>
                <w:color w:val="1F2A2A"/>
                <w:sz w:val="19"/>
                <w:szCs w:val="19"/>
              </w:rPr>
              <w:t xml:space="preserve">Amount</w:t>
            </w:r>
          </w:p>
        </w:tc>
      </w:tr>
      <w:tr>
        <w:trPr>
          <w:cantSplit/>
        </w:trPr>
        <w:tc>
          <w:tcPr>
            <w:tcW w:type="dxa" w:w="8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1</w:t>
            </w:r>
          </w:p>
        </w:tc>
        <w:tc>
          <w:tcPr>
            <w:tcW w:type="dxa" w:w="64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Booking completes; family is billed for time actually worked</w:t>
            </w:r>
          </w:p>
        </w:tc>
        <w:tc>
          <w:tcPr>
            <w:tcW w:type="dxa" w:w="28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$120.00</w:t>
            </w:r>
          </w:p>
        </w:tc>
      </w:tr>
      <w:tr>
        <w:trPr>
          <w:cantSplit/>
        </w:trPr>
        <w:tc>
          <w:tcPr>
            <w:tcW w:type="dxa" w:w="8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2</w:t>
            </w:r>
          </w:p>
        </w:tc>
        <w:tc>
          <w:tcPr>
            <w:tcW w:type="dxa" w:w="64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Family pays by card through Stripe</w:t>
            </w:r>
          </w:p>
        </w:tc>
        <w:tc>
          <w:tcPr>
            <w:tcW w:type="dxa" w:w="28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$120.00 charged</w:t>
            </w:r>
          </w:p>
        </w:tc>
      </w:tr>
      <w:tr>
        <w:trPr>
          <w:cantSplit/>
        </w:trPr>
        <w:tc>
          <w:tcPr>
            <w:tcW w:type="dxa" w:w="8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3</w:t>
            </w:r>
          </w:p>
        </w:tc>
        <w:tc>
          <w:tcPr>
            <w:tcW w:type="dxa" w:w="64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Go Sit commission (15%)</w:t>
            </w:r>
          </w:p>
        </w:tc>
        <w:tc>
          <w:tcPr>
            <w:tcW w:type="dxa" w:w="28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$18.00 kept by Go Sit</w:t>
            </w:r>
          </w:p>
        </w:tc>
      </w:tr>
      <w:tr>
        <w:trPr>
          <w:cantSplit/>
        </w:trPr>
        <w:tc>
          <w:tcPr>
            <w:tcW w:type="dxa" w:w="8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4</w:t>
            </w:r>
          </w:p>
        </w:tc>
        <w:tc>
          <w:tcPr>
            <w:tcW w:type="dxa" w:w="64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Caregiver payout is created and </w:t>
            </w:r>
            <w:r>
              <w:rPr>
                <w:b/>
                <w:bCs/>
                <w:sz w:val="19"/>
                <w:szCs w:val="19"/>
              </w:rPr>
              <w:t xml:space="preserve">held for the 14-day dispute window</w:t>
            </w:r>
          </w:p>
        </w:tc>
        <w:tc>
          <w:tcPr>
            <w:tcW w:type="dxa" w:w="28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$102.00 held</w:t>
            </w:r>
          </w:p>
        </w:tc>
      </w:tr>
      <w:tr>
        <w:trPr>
          <w:cantSplit/>
        </w:trPr>
        <w:tc>
          <w:tcPr>
            <w:tcW w:type="dxa" w:w="8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5a</w:t>
            </w:r>
          </w:p>
        </w:tc>
        <w:tc>
          <w:tcPr>
            <w:tcW w:type="dxa" w:w="64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No dispute: payout is sent to the caregiver's bank account</w:t>
            </w:r>
          </w:p>
        </w:tc>
        <w:tc>
          <w:tcPr>
            <w:tcW w:type="dxa" w:w="28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$102.00 paid</w:t>
            </w:r>
          </w:p>
        </w:tc>
      </w:tr>
      <w:tr>
        <w:trPr>
          <w:cantSplit/>
        </w:trPr>
        <w:tc>
          <w:tcPr>
            <w:tcW w:type="dxa" w:w="8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5b</w:t>
            </w:r>
          </w:p>
        </w:tc>
        <w:tc>
          <w:tcPr>
            <w:tcW w:type="dxa" w:w="648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Dispute: staff refund the family, e.g. $40; commission is recalculated on what remains</w:t>
            </w:r>
          </w:p>
        </w:tc>
        <w:tc>
          <w:tcPr>
            <w:tcW w:type="dxa" w:w="2800"/>
            <w:tcBorders>
              <w:top w:val="single" w:color="C9D6D6" w:sz="4"/>
              <w:left w:val="single" w:color="C9D6D6" w:sz="4"/>
              <w:bottom w:val="single" w:color="C9D6D6" w:sz="4"/>
              <w:right w:val="single" w:color="C9D6D6" w:sz="4"/>
            </w:tcBorders>
            <w:tcMar>
              <w:top w:type="dxa" w:w="70"/>
              <w:left w:type="dxa" w:w="110"/>
              <w:bottom w:type="dxa" w:w="70"/>
              <w:right w:type="dxa" w:w="110"/>
            </w:tcMar>
          </w:tcPr>
          <w:p>
            <w:pPr>
              <w:spacing w:after="20"/>
            </w:pPr>
            <w:r>
              <w:rPr>
                <w:sz w:val="19"/>
                <w:szCs w:val="19"/>
              </w:rPr>
              <w:t xml:space="preserve">$40.00 refunded · $80.00 remains · $12.00 commission · $68.00 paid</w:t>
            </w:r>
          </w:p>
        </w:tc>
      </w:tr>
    </w:tbl>
    <w:p>
      <w:pPr>
        <w:spacing w:after="120"/>
      </w:pPr>
    </w:p>
    <w:p>
      <w:pPr>
        <w:spacing w:after="120"/>
      </w:pPr>
      <w:r>
        <w:rPr>
          <w:i/>
          <w:iCs/>
          <w:color w:val="5B6666"/>
          <w:sz w:val="18"/>
          <w:szCs w:val="18"/>
        </w:rPr>
        <w:t xml:space="preserve">Simplified: card processing fees and GST/HST are not shown — neither has a final treatment yet (see Q34). On Go Sit Pro the commission would be 10% ($12.00) instead of 15%.</w:t>
      </w:r>
    </w:p>
    <w:sectPr>
      <w:headerReference w:type="default" r:id="rId7"/>
      <w:headerReference w:type="first" r:id="rId8"/>
      <w:footerReference w:type="default" r:id="rId9"/>
      <w:footerReference w:type="first" r:id="rId10"/>
      <w:pgSz w:w="12240" w:h="15840" w:orient="portrait"/>
      <w:pgMar w:top="1080" w:right="1080" w:bottom="1080" w:left="1080" w:header="5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666"/>
        <w:sz w:val="16"/>
        <w:szCs w:val="16"/>
      </w:rPr>
      <w:t xml:space="preserve">Confidential — prepared to obtain legal advice · Page </w:t>
    </w:r>
    <w:r>
      <w:rPr>
        <w:color w:val="5B666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666"/>
        <w:sz w:val="16"/>
        <w:szCs w:val="16"/>
      </w:rPr>
      <w:t xml:space="preserve">Go Sit — Legal consultation preparation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60"/>
      </w:pPr>
    </w:lvl>
  </w:abstractNum>
  <w:abstractNum w:abstractNumId="3" w15:restartNumberingAfterBreak="0">
    <w:multiLevelType w:val="hybridMultilevel"/>
    <w:lvl w:ilvl="0" w15:tentative="1">
      <w:start w:val="1"/>
      <w:numFmt w:val="bullet"/>
      <w:lvlText w:val="☐"/>
      <w:lvlJc w:val="left"/>
      <w:pPr>
        <w:ind w:left="420" w:hanging="320"/>
      </w:pPr>
      <w:rPr>
        <w:rFonts w:ascii="Segoe UI Symbol" w:cs="Segoe UI Symbol" w:eastAsia="Segoe UI Symbol" w:hAnsi="Segoe UI Symbol"/>
        <w:sz w:val="22"/>
        <w:szCs w:val="22"/>
      </w:rPr>
    </w:lvl>
  </w:abstractNum>
  <w:abstractNum w:abstractNumId="4" w15:restartNumberingAfterBreak="0">
    <w:multiLevelType w:val="hybridMultilevel"/>
    <w:lvl w:ilvl="0" w15:tentative="1">
      <w:start w:val="1"/>
      <w:numFmt w:val="decimal"/>
      <w:lvlText w:val="Q%1."/>
      <w:lvlJc w:val="left"/>
      <w:pPr>
        <w:ind w:left="620" w:hanging="620"/>
      </w:pPr>
      <w:rPr>
        <w:b/>
        <w:bCs/>
        <w:color w:val="1F6F7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40"/>
      <w:outlineLvl w:val="0"/>
    </w:pPr>
    <w:rPr>
      <w:rFonts w:ascii="Calibri" w:cs="Calibri" w:eastAsia="Calibri" w:hAnsi="Calibri"/>
      <w:b/>
      <w:bCs/>
      <w:color w:val="1F6F70"/>
      <w:sz w:val="34"/>
      <w:szCs w:val="34"/>
    </w:rPr>
  </w:style>
  <w:style w:type="paragraph" w:styleId="Heading2">
    <w:name w:val="Heading 2"/>
    <w:basedOn w:val="Normal"/>
    <w:next w:val="Normal"/>
    <w:qFormat/>
    <w:pPr>
      <w:keepNext/>
      <w:spacing w:after="100" w:before="280"/>
      <w:outlineLvl w:val="1"/>
    </w:pPr>
    <w:rPr>
      <w:rFonts w:ascii="Calibri" w:cs="Calibri" w:eastAsia="Calibri" w:hAnsi="Calibri"/>
      <w:b/>
      <w:bCs/>
      <w:color w:val="1F2A2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 Sit — Legal Consultation Preparation Pack</dc:title>
  <dc:creator>Go Sit</dc:creator>
  <dc:description>What to bring, decide and ask before meeting a lawyer about licensing and compliance.</dc:description>
  <cp:lastModifiedBy>Un-named</cp:lastModifiedBy>
  <cp:revision>1</cp:revision>
  <dcterms:created xsi:type="dcterms:W3CDTF">2026-09-10T20:23:13.486Z</dcterms:created>
  <dcterms:modified xsi:type="dcterms:W3CDTF">2026-09-10T20:23:13.499Z</dcterms:modified>
</cp:coreProperties>
</file>

<file path=docProps/custom.xml><?xml version="1.0" encoding="utf-8"?>
<Properties xmlns="http://schemas.openxmlformats.org/officeDocument/2006/custom-properties" xmlns:vt="http://schemas.openxmlformats.org/officeDocument/2006/docPropsVTypes"/>
</file>