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6F70"/>
          <w:sz w:val="32"/>
          <w:szCs w:val="32"/>
        </w:rPr>
        <w:t xml:space="preserve">GO SIT</w:t>
      </w:r>
    </w:p>
    <w:p>
      <w:pPr>
        <w:spacing w:after="600"/>
        <w:jc w:val="center"/>
      </w:pPr>
      <w:r>
        <w:rPr>
          <w:b/>
          <w:bCs/>
          <w:color w:val="1F2A2A"/>
          <w:sz w:val="56"/>
          <w:szCs w:val="56"/>
        </w:rPr>
        <w:t xml:space="preserve">Privacy Policy</w:t>
      </w:r>
    </w:p>
    <w:p>
      <w:pPr>
        <w:spacing w:after="1200"/>
        <w:jc w:val="center"/>
      </w:pPr>
      <w:r>
        <w:rPr>
          <w:color w:val="5B6666"/>
          <w:sz w:val="24"/>
          <w:szCs w:val="24"/>
        </w:rPr>
        <w:t xml:space="preserve">Draft — 11419056 Canada Inc., operating as Go Sit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Draft status</w:t>
            </w:r>
          </w:p>
          <w:p>
            <w:r>
              <w:rPr>
                <w:color w:val="1F2A2A"/>
                <w:sz w:val="20"/>
                <w:szCs w:val="20"/>
              </w:rPr>
              <w:t xml:space="preserve">This document is a working draft, prepared to give counsel a complete, accurate picture of what the product actually does. It has not been reviewed by a lawyer and must not be published to users, included in a build, or linked from the app until qualified Canadian counsel has reviewed and revised it.</w:t>
            </w:r>
          </w:p>
        </w:tc>
      </w:tr>
    </w:tbl>
    <w:p>
      <w:pPr>
        <w:spacing w:after="120"/>
      </w:pPr>
    </w:p>
    <w:p>
      <w:r>
        <w:rPr>
          <w:color w:val="5B6666"/>
          <w:sz w:val="20"/>
          <w:szCs w:val="20"/>
        </w:rPr>
        <w:t xml:space="preserve">Prepared for: legal counsel review, alongside the companion Go Sit legal drafts and “Go-Sit-Legal-Consultation-Prep.docx.”</w:t>
      </w:r>
    </w:p>
    <w:p>
      <w:pPr>
        <w:pageBreakBefore/>
      </w:pPr>
    </w:p>
    <w:p>
      <w:pPr>
        <w:pStyle w:val="Heading1"/>
      </w:pPr>
      <w:r>
        <w:t xml:space="preserve">1. Scope and framework</w:t>
      </w:r>
    </w:p>
    <w:p>
      <w:pPr>
        <w:spacing w:after="160"/>
      </w:pPr>
      <w:r>
        <w:rPr>
          <w:color w:val="1F2A2A"/>
          <w:sz w:val="21"/>
          <w:szCs w:val="21"/>
        </w:rPr>
        <w:t xml:space="preserve">This policy describes how 11419056 Canada Inc., carrying on business as “Go Sit” (“Go Sit,” “we,” “us”), a corporation incorporated under the Canada Business Corporations Act, with its registered office at 1977 Northway Avenue, Windsor, Ontario, Canada N9B 0A3 and extra-provincially registered in Ontario collects, uses, discloses, and retains personal information through the Go Sit platform. Go Sit operates primarily in Ontario, Canada, and this policy is drafted against the federal Personal Information Protection and Electronic Documents Act (PIPEDA).</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Confirm the applicable framework</w:t>
            </w:r>
          </w:p>
          <w:p>
            <w:r>
              <w:rPr>
                <w:color w:val="1F2A2A"/>
                <w:sz w:val="20"/>
                <w:szCs w:val="20"/>
              </w:rPr>
              <w:t xml:space="preserve">Ontario has no general private-sector privacy statute of its own, so PIPEDA governs as drafted — please confirm that remains correct as the product expands, and flag any sector-specific overlay (for example, whether the care-needs data collected here could ever bring Ontario's PHIPA into scope, given Go Sit is not a health information custodian but does store health-adjacent notes about care recipients).</w:t>
            </w:r>
          </w:p>
        </w:tc>
      </w:tr>
    </w:tbl>
    <w:p>
      <w:pPr>
        <w:pStyle w:val="Heading1"/>
      </w:pPr>
      <w:r>
        <w:t xml:space="preserve">2. Personal information we collect</w:t>
      </w:r>
    </w:p>
    <w:p>
      <w:pPr>
        <w:spacing w:after="160"/>
      </w:pPr>
      <w:r>
        <w:rPr>
          <w:color w:val="1F2A2A"/>
          <w:sz w:val="21"/>
          <w:szCs w:val="21"/>
        </w:rPr>
        <w:t xml:space="preserve">Go Sit collects the categories of information below. Some of it is about the account holder; some is about a third party (a Care Recipient or a pet) that the account holder provides on that person's or animal's behalf.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Category</w:t>
            </w:r>
          </w:p>
        </w:tc>
        <w:tc>
          <w:tcPr>
            <w:tcW w:type="dxa" w:w="540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Examples</w:t>
            </w:r>
          </w:p>
        </w:tc>
        <w:tc>
          <w:tcPr>
            <w:tcW w:type="dxa" w:w="228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From whom</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Account</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Name, email, phone, password (hashed), role</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The account holder</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Identity &amp; screening</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Government ID verification result; criminal record check or vulnerable sector check result; screening documents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Caregiver, via a third-party screening vendor</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 Requester profile</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Home address, phone number, “about me,” emergency contacts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 Requester</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 Recipient details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First name, date of birth, recipient type; care-needs notes: mobility, communication style, sensory needs, behaviour support, dietary restrictions, allergies, toileting/feeding assistance, routines, triggers, calming strategies, emergency instructions, required skills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 Requester, about a child, senior, or adult who does not hold an account</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Pet details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Name, species, breed, size, feeding instructions, medication, behaviour, vet clinic, other notes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 Requester, about their pet</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Caregiver profile</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Bio, experience, rates, service radius, home address, certifications, availability, verification status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Caregiver</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Booking records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Schedule, address, instructions, price, check-in/check-out time and device-location match</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Both parties, and the device at check-in/out</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Payments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Payment method and transaction records (held by Stripe); payout account details (held by Stripe Connect)</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Payer, via Stripe</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Messages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Content of private messages between a Care Requester and a Caregiver</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Both parties</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Video interviews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Video, audio, and in-call chat of a recorded interview; consent and join timestamps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Both parties, captured by the video service</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Reviews</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Rating and written review of the other party after a completed booking</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Both parties</w:t>
            </w:r>
          </w:p>
        </w:tc>
      </w:tr>
      <w:tr>
        <w:tc>
          <w:tcPr>
            <w:tcW w:type="dxa" w:w="2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Device &amp; usage</w:t>
            </w:r>
          </w:p>
        </w:tc>
        <w:tc>
          <w:tcPr>
            <w:tcW w:type="dxa" w:w="54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IP address, browser, device type, log and error data, cookies</w:t>
            </w:r>
          </w:p>
        </w:tc>
        <w:tc>
          <w:tcPr>
            <w:tcW w:type="dxa" w:w="22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Automatically, from your device</w:t>
            </w:r>
          </w:p>
        </w:tc>
      </w:tr>
    </w:tbl>
    <w:p>
      <w:pPr>
        <w:pStyle w:val="Heading1"/>
      </w:pPr>
      <w:r>
        <w:t xml:space="preserve">3. How we use personal information</w:t>
      </w:r>
    </w:p>
    <w:p>
      <w:pPr>
        <w:pStyle w:val="ListParagraph"/>
        <w:numPr>
          <w:ilvl w:val="0"/>
          <w:numId w:val="2"/>
        </w:numPr>
        <w:spacing w:after="80"/>
      </w:pPr>
      <w:r>
        <w:rPr>
          <w:color w:val="1F2A2A"/>
          <w:sz w:val="21"/>
          <w:szCs w:val="21"/>
        </w:rPr>
        <w:t xml:space="preserve">Operating the marketplace: matching, search, bookings, scheduling, and payment.</w:t>
      </w:r>
    </w:p>
    <w:p>
      <w:pPr>
        <w:pStyle w:val="ListParagraph"/>
        <w:numPr>
          <w:ilvl w:val="0"/>
          <w:numId w:val="2"/>
        </w:numPr>
        <w:spacing w:after="80"/>
      </w:pPr>
      <w:r>
        <w:rPr>
          <w:color w:val="1F2A2A"/>
          <w:sz w:val="21"/>
          <w:szCs w:val="21"/>
        </w:rPr>
        <w:t xml:space="preserve">Verifying identity and screening Caregivers before they can be booked.</w:t>
      </w:r>
    </w:p>
    <w:p>
      <w:pPr>
        <w:pStyle w:val="ListParagraph"/>
        <w:numPr>
          <w:ilvl w:val="0"/>
          <w:numId w:val="2"/>
        </w:numPr>
        <w:spacing w:after="80"/>
      </w:pPr>
      <w:r>
        <w:rPr>
          <w:color w:val="1F2A2A"/>
          <w:sz w:val="21"/>
          <w:szCs w:val="21"/>
        </w:rPr>
        <w:t xml:space="preserve">Enabling communication between parties to a booking, including video interviews.</w:t>
      </w:r>
    </w:p>
    <w:p>
      <w:pPr>
        <w:pStyle w:val="ListParagraph"/>
        <w:numPr>
          <w:ilvl w:val="0"/>
          <w:numId w:val="2"/>
        </w:numPr>
        <w:spacing w:after="80"/>
      </w:pPr>
      <w:r>
        <w:rPr>
          <w:color w:val="1F2A2A"/>
          <w:sz w:val="21"/>
          <w:szCs w:val="21"/>
        </w:rPr>
        <w:t xml:space="preserve">Trust &amp; Safety: investigating reports, moderating flagged messages and reported reviews, resolving disputes, and reviewing interview recordings when a concern is raised.</w:t>
      </w:r>
    </w:p>
    <w:p>
      <w:pPr>
        <w:pStyle w:val="ListParagraph"/>
        <w:numPr>
          <w:ilvl w:val="0"/>
          <w:numId w:val="2"/>
        </w:numPr>
        <w:spacing w:after="80"/>
      </w:pPr>
      <w:r>
        <w:rPr>
          <w:color w:val="1F2A2A"/>
          <w:sz w:val="21"/>
          <w:szCs w:val="21"/>
        </w:rPr>
        <w:t xml:space="preserve">Sending booking, message, certification, and dispute notifications.</w:t>
      </w:r>
    </w:p>
    <w:p>
      <w:pPr>
        <w:pStyle w:val="ListParagraph"/>
        <w:numPr>
          <w:ilvl w:val="0"/>
          <w:numId w:val="2"/>
        </w:numPr>
        <w:spacing w:after="80"/>
      </w:pPr>
      <w:r>
        <w:rPr>
          <w:color w:val="1F2A2A"/>
          <w:sz w:val="21"/>
          <w:szCs w:val="21"/>
        </w:rPr>
        <w:t xml:space="preserve">Complying with legal obligations, including responding to lawful requests from authorities.</w:t>
      </w:r>
    </w:p>
    <w:p>
      <w:pPr>
        <w:pStyle w:val="ListParagraph"/>
        <w:numPr>
          <w:ilvl w:val="0"/>
          <w:numId w:val="2"/>
        </w:numPr>
        <w:spacing w:after="80"/>
      </w:pPr>
      <w:r>
        <w:rPr>
          <w:color w:val="1F2A2A"/>
          <w:sz w:val="21"/>
          <w:szCs w:val="21"/>
        </w:rPr>
        <w:t xml:space="preserve">Improving the platform, including aggregate, de-identified analytics.</w:t>
      </w:r>
    </w:p>
    <w:p>
      <w:pPr>
        <w:pStyle w:val="Heading1"/>
      </w:pPr>
      <w:r>
        <w:t xml:space="preserve">4. Consent</w:t>
      </w:r>
    </w:p>
    <w:p>
      <w:pPr>
        <w:spacing w:after="160"/>
      </w:pPr>
      <w:r>
        <w:rPr>
          <w:color w:val="1F2A2A"/>
          <w:sz w:val="21"/>
          <w:szCs w:val="21"/>
        </w:rPr>
        <w:t xml:space="preserve">By creating an account, you consent to the collection, use, and disclosure of personal information as described in this policy. Certain uses require a separate, specific consent at the time — most notably, joining a video interview, which requires agreeing to the recording before the call connects. You may withdraw consent for optional uses at any time, subject to the effect that has on your ability to use the platform (for example, a Caregiver cannot be listed without completing verification).</w:t>
      </w:r>
    </w:p>
    <w:p>
      <w:pPr>
        <w:pStyle w:val="Heading1"/>
      </w:pPr>
      <w:r>
        <w:t xml:space="preserve">5. Video interview recordings</w:t>
      </w:r>
    </w:p>
    <w:p>
      <w:pPr>
        <w:spacing w:after="160"/>
      </w:pPr>
      <w:r>
        <w:rPr>
          <w:color w:val="1F2A2A"/>
          <w:sz w:val="21"/>
          <w:szCs w:val="21"/>
        </w:rPr>
        <w:t xml:space="preserve">This category is sensitive enough to describe on its own. A video interview may capture a family's home and anyone present in view of the camera, including a child, senior, or other household member who is not the account holder.</w:t>
      </w:r>
    </w:p>
    <w:p>
      <w:pPr>
        <w:pStyle w:val="ListParagraph"/>
        <w:numPr>
          <w:ilvl w:val="0"/>
          <w:numId w:val="2"/>
        </w:numPr>
        <w:spacing w:after="80"/>
      </w:pPr>
      <w:r>
        <w:rPr>
          <w:color w:val="1F2A2A"/>
          <w:sz w:val="21"/>
          <w:szCs w:val="21"/>
        </w:rPr>
        <w:t xml:space="preserve">Recordings exist for one purpose: giving Trust &amp; Safety a record if either participant raises a concern about what happened on a call.</w:t>
      </w:r>
    </w:p>
    <w:p>
      <w:pPr>
        <w:pStyle w:val="ListParagraph"/>
        <w:numPr>
          <w:ilvl w:val="0"/>
          <w:numId w:val="2"/>
        </w:numPr>
        <w:spacing w:after="80"/>
      </w:pPr>
      <w:r>
        <w:rPr>
          <w:color w:val="1F2A2A"/>
          <w:sz w:val="21"/>
          <w:szCs w:val="21"/>
        </w:rPr>
        <w:t xml:space="preserve">Only Trust &amp; Safety staff can access a recording. Every access is logged with the staff member's identity and the time.</w:t>
      </w:r>
    </w:p>
    <w:p>
      <w:pPr>
        <w:pStyle w:val="ListParagraph"/>
        <w:numPr>
          <w:ilvl w:val="0"/>
          <w:numId w:val="2"/>
        </w:numPr>
        <w:spacing w:after="80"/>
      </w:pPr>
      <w:r>
        <w:rPr>
          <w:color w:val="1F2A2A"/>
          <w:sz w:val="21"/>
          <w:szCs w:val="21"/>
        </w:rPr>
        <w:t xml:space="preserve">A recording is never shown to the other participant, made public, or used for any purpose other than Trust &amp; Safety review.</w:t>
      </w:r>
    </w:p>
    <w:p>
      <w:pPr>
        <w:pStyle w:val="ListParagraph"/>
        <w:numPr>
          <w:ilvl w:val="0"/>
          <w:numId w:val="2"/>
        </w:numPr>
        <w:spacing w:after="80"/>
      </w:pPr>
      <w:r>
        <w:rPr>
          <w:color w:val="1F2A2A"/>
          <w:sz w:val="21"/>
          <w:szCs w:val="21"/>
        </w:rPr>
        <w:t xml:space="preserve">Recordings are automatically deleted 90 days after the interview, unless a Trust &amp; Safety hold has been placed for an active dispute or incident.</w:t>
      </w:r>
    </w:p>
    <w:p>
      <w:pPr>
        <w:pStyle w:val="ListParagraph"/>
        <w:numPr>
          <w:ilvl w:val="0"/>
          <w:numId w:val="2"/>
        </w:numPr>
        <w:spacing w:after="80"/>
      </w:pPr>
      <w:r>
        <w:rPr>
          <w:color w:val="1F2A2A"/>
          <w:sz w:val="21"/>
          <w:szCs w:val="21"/>
        </w:rPr>
        <w:t xml:space="preserve">Recordings are not used to train any machine-learning or AI model.</w:t>
      </w:r>
    </w:p>
    <w:p>
      <w:pPr>
        <w:pStyle w:val="Heading1"/>
      </w:pPr>
      <w:r>
        <w:t xml:space="preserve">6. How we share personal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Recipient</w:t>
            </w:r>
          </w:p>
        </w:tc>
        <w:tc>
          <w:tcPr>
            <w:tcW w:type="dxa" w:w="460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What they receive</w:t>
            </w:r>
          </w:p>
        </w:tc>
        <w:tc>
          <w:tcPr>
            <w:tcW w:type="dxa" w:w="288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Why</w:t>
            </w:r>
          </w:p>
        </w:tc>
      </w:tr>
      <w:tr>
        <w:tc>
          <w:tcPr>
            <w:tcW w:type="dxa" w:w="2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The other party to a booking</w:t>
            </w:r>
          </w:p>
        </w:tc>
        <w:tc>
          <w:tcPr>
            <w:tcW w:type="dxa" w:w="4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Before acceptance: first name, last initial, approximate area. After acceptance: full name, exact address, booking instructions, and (for people) care-needs details or (for pets) pet-care notes.</w:t>
            </w:r>
          </w:p>
        </w:tc>
        <w:tc>
          <w:tcPr>
            <w:tcW w:type="dxa" w:w="2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So the parties can safely arrange and carry out the booking</w:t>
            </w:r>
          </w:p>
        </w:tc>
      </w:tr>
      <w:tr>
        <w:tc>
          <w:tcPr>
            <w:tcW w:type="dxa" w:w="2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Stripe, Inc.</w:t>
            </w:r>
          </w:p>
        </w:tc>
        <w:tc>
          <w:tcPr>
            <w:tcW w:type="dxa" w:w="4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Payment details, payout account information</w:t>
            </w:r>
          </w:p>
        </w:tc>
        <w:tc>
          <w:tcPr>
            <w:tcW w:type="dxa" w:w="2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Payment processing and Caregiver payouts</w:t>
            </w:r>
          </w:p>
        </w:tc>
      </w:tr>
      <w:tr>
        <w:tc>
          <w:tcPr>
            <w:tcW w:type="dxa" w:w="2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[Video service provider — name pending]</w:t>
            </w:r>
          </w:p>
        </w:tc>
        <w:tc>
          <w:tcPr>
            <w:tcW w:type="dxa" w:w="4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Audio/video stream and, transiently, the recording before it lands in Go Sit's own storage</w:t>
            </w:r>
          </w:p>
        </w:tc>
        <w:tc>
          <w:tcPr>
            <w:tcW w:type="dxa" w:w="2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Hosting the video interview and its recording</w:t>
            </w:r>
          </w:p>
        </w:tc>
      </w:tr>
      <w:tr>
        <w:tc>
          <w:tcPr>
            <w:tcW w:type="dxa" w:w="2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Microsoft Azure (cloud hosting)</w:t>
            </w:r>
          </w:p>
        </w:tc>
        <w:tc>
          <w:tcPr>
            <w:tcW w:type="dxa" w:w="4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All platform data, at rest</w:t>
            </w:r>
          </w:p>
        </w:tc>
        <w:tc>
          <w:tcPr>
            <w:tcW w:type="dxa" w:w="2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Hosting the application, database, and file storage</w:t>
            </w:r>
          </w:p>
        </w:tc>
      </w:tr>
      <w:tr>
        <w:tc>
          <w:tcPr>
            <w:tcW w:type="dxa" w:w="2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[Background-check vendor — not yet selected]</w:t>
            </w:r>
          </w:p>
        </w:tc>
        <w:tc>
          <w:tcPr>
            <w:tcW w:type="dxa" w:w="4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Identity and screening information a Caregiver submits</w:t>
            </w:r>
          </w:p>
        </w:tc>
        <w:tc>
          <w:tcPr>
            <w:tcW w:type="dxa" w:w="2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Running the identity and background checks described in Section 2</w:t>
            </w:r>
          </w:p>
        </w:tc>
      </w:tr>
      <w:tr>
        <w:tc>
          <w:tcPr>
            <w:tcW w:type="dxa" w:w="2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Law enforcement / courts</w:t>
            </w:r>
          </w:p>
        </w:tc>
        <w:tc>
          <w:tcPr>
            <w:tcW w:type="dxa" w:w="46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Information responsive to a valid legal request</w:t>
            </w:r>
          </w:p>
        </w:tc>
        <w:tc>
          <w:tcPr>
            <w:tcW w:type="dxa" w:w="2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Legal compliance, or protecting someone's safety</w:t>
            </w:r>
          </w:p>
        </w:tc>
      </w:tr>
    </w:tbl>
    <w:p>
      <w:pPr>
        <w:spacing w:after="160"/>
      </w:pPr>
      <w:r>
        <w:rPr>
          <w:color w:val="1F2A2A"/>
          <w:sz w:val="21"/>
          <w:szCs w:val="21"/>
        </w:rPr>
        <w:t xml:space="preserve">Go Sit does not sell personal information.</w:t>
      </w:r>
    </w:p>
    <w:p>
      <w:pPr>
        <w:pStyle w:val="Heading1"/>
      </w:pPr>
      <w:r>
        <w:t xml:space="preserve">7. Cross-border data transfers</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This needs a decision, not just a disclosure</w:t>
            </w:r>
          </w:p>
          <w:p>
            <w:r>
              <w:rPr>
                <w:color w:val="1F2A2A"/>
                <w:sz w:val="20"/>
                <w:szCs w:val="20"/>
              </w:rPr>
              <w:t xml:space="preserve">As currently configured, the video interview provider's project runs in a US data region, while recording storage and the rest of the platform run in a Canadian Azure region. For a product positioned as Canada-first, counsel and the product team should decide whether to (a) move the video provider's region to Canada, if the vendor offers it, or (b) keep the current setup and add an explicit cross-border transfer disclosure and safeguard assessment here. This policy should not be finalized until that's settled, since the answer changes what this section says.</w:t>
            </w:r>
          </w:p>
        </w:tc>
      </w:tr>
    </w:tbl>
    <w:p>
      <w:pPr>
        <w:pStyle w:val="Heading1"/>
      </w:pPr>
      <w:r>
        <w:t xml:space="preserve">8. Retention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What</w:t>
            </w:r>
          </w:p>
        </w:tc>
        <w:tc>
          <w:tcPr>
            <w:tcW w:type="dxa" w:w="5880"/>
            <w:tcBorders>
              <w:top w:val="single" w:color="C9D6D6" w:sz="4"/>
              <w:left w:val="single" w:color="C9D6D6" w:sz="4"/>
              <w:bottom w:val="single" w:color="C9D6D6" w:sz="4"/>
              <w:right w:val="single" w:color="C9D6D6" w:sz="4"/>
            </w:tcBorders>
            <w:shd w:fill="E8F1F1" w:val="clear"/>
            <w:tcMar>
              <w:top w:type="dxa" w:w="80"/>
              <w:left w:type="dxa" w:w="120"/>
              <w:bottom w:type="dxa" w:w="80"/>
              <w:right w:type="dxa" w:w="120"/>
            </w:tcMar>
          </w:tcPr>
          <w:p>
            <w:r>
              <w:rPr>
                <w:b/>
                <w:bCs/>
                <w:color w:val="1F6F70"/>
                <w:sz w:val="19"/>
                <w:szCs w:val="19"/>
              </w:rPr>
              <w:t xml:space="preserve">Retained for</w:t>
            </w:r>
          </w:p>
        </w:tc>
      </w:tr>
      <w:tr>
        <w:tc>
          <w:tcPr>
            <w:tcW w:type="dxa" w:w="42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Video interview recordings</w:t>
            </w:r>
          </w:p>
        </w:tc>
        <w:tc>
          <w:tcPr>
            <w:tcW w:type="dxa" w:w="5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90 days from the interview, then deleted — unless placed on hold by Trust &amp; Safety for a dispute or incident, in which case indefinitely until released</w:t>
            </w:r>
          </w:p>
        </w:tc>
      </w:tr>
      <w:tr>
        <w:tc>
          <w:tcPr>
            <w:tcW w:type="dxa" w:w="42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Search exposure analytics (aggregate, no message content)</w:t>
            </w:r>
          </w:p>
        </w:tc>
        <w:tc>
          <w:tcPr>
            <w:tcW w:type="dxa" w:w="5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180 days</w:t>
            </w:r>
          </w:p>
        </w:tc>
      </w:tr>
      <w:tr>
        <w:tc>
          <w:tcPr>
            <w:tcW w:type="dxa" w:w="42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Background-check / certification documents</w:t>
            </w:r>
          </w:p>
        </w:tc>
        <w:tc>
          <w:tcPr>
            <w:tcW w:type="dxa" w:w="5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For as long as the certification or account is active, plus [retention period — confirm against the vendor's and any regulatory requirement]</w:t>
            </w:r>
          </w:p>
        </w:tc>
      </w:tr>
      <w:tr>
        <w:tc>
          <w:tcPr>
            <w:tcW w:type="dxa" w:w="42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Messages, bookings, reviews, payment records</w:t>
            </w:r>
          </w:p>
        </w:tc>
        <w:tc>
          <w:tcPr>
            <w:tcW w:type="dxa" w:w="5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For the life of the account, and afterward as required by law (e.g., tax and financial record-keeping obligations, typically several years under CRA rules — confirm exact period)</w:t>
            </w:r>
          </w:p>
        </w:tc>
      </w:tr>
      <w:tr>
        <w:tc>
          <w:tcPr>
            <w:tcW w:type="dxa" w:w="420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Account data after closure</w:t>
            </w:r>
          </w:p>
        </w:tc>
        <w:tc>
          <w:tcPr>
            <w:tcW w:type="dxa" w:w="5880"/>
            <w:tcBorders>
              <w:top w:val="single" w:color="C9D6D6" w:sz="4"/>
              <w:left w:val="single" w:color="C9D6D6" w:sz="4"/>
              <w:bottom w:val="single" w:color="C9D6D6" w:sz="4"/>
              <w:right w:val="single" w:color="C9D6D6" w:sz="4"/>
            </w:tcBorders>
            <w:tcMar>
              <w:top w:type="dxa" w:w="80"/>
              <w:left w:type="dxa" w:w="120"/>
              <w:bottom w:type="dxa" w:w="80"/>
              <w:right w:type="dxa" w:w="120"/>
            </w:tcMar>
          </w:tcPr>
          <w:p>
            <w:r>
              <w:rPr>
                <w:color w:val="1F2A2A"/>
                <w:sz w:val="19"/>
                <w:szCs w:val="19"/>
              </w:rPr>
              <w:t xml:space="preserve">[Retention period after account closure — TBD]</w:t>
            </w:r>
          </w:p>
        </w:tc>
      </w:tr>
    </w:tbl>
    <w:p>
      <w:pPr>
        <w:pStyle w:val="Heading1"/>
      </w:pPr>
      <w:r>
        <w:t xml:space="preserve">9. Security</w:t>
      </w:r>
    </w:p>
    <w:p>
      <w:pPr>
        <w:pStyle w:val="ListParagraph"/>
        <w:numPr>
          <w:ilvl w:val="0"/>
          <w:numId w:val="2"/>
        </w:numPr>
        <w:spacing w:after="80"/>
      </w:pPr>
      <w:r>
        <w:rPr>
          <w:color w:val="1F2A2A"/>
          <w:sz w:val="21"/>
          <w:szCs w:val="21"/>
        </w:rPr>
        <w:t xml:space="preserve">Sensitive documents (background-check evidence, interview recordings) are stored in private cloud storage, never publicly accessible, with access restricted to authorized staff.</w:t>
      </w:r>
    </w:p>
    <w:p>
      <w:pPr>
        <w:pStyle w:val="ListParagraph"/>
        <w:numPr>
          <w:ilvl w:val="0"/>
          <w:numId w:val="2"/>
        </w:numPr>
        <w:spacing w:after="80"/>
      </w:pPr>
      <w:r>
        <w:rPr>
          <w:color w:val="1F2A2A"/>
          <w:sz w:val="21"/>
          <w:szCs w:val="21"/>
        </w:rPr>
        <w:t xml:space="preserve">Every access to a background-check document or an interview recording is logged.</w:t>
      </w:r>
    </w:p>
    <w:p>
      <w:pPr>
        <w:pStyle w:val="ListParagraph"/>
        <w:numPr>
          <w:ilvl w:val="0"/>
          <w:numId w:val="2"/>
        </w:numPr>
        <w:spacing w:after="80"/>
      </w:pPr>
      <w:r>
        <w:rPr>
          <w:color w:val="1F2A2A"/>
          <w:sz w:val="21"/>
          <w:szCs w:val="21"/>
        </w:rPr>
        <w:t xml:space="preserve">Payment card data is handled by Stripe and never stored by Go Sit.</w:t>
      </w:r>
    </w:p>
    <w:p>
      <w:pPr>
        <w:pStyle w:val="ListParagraph"/>
        <w:numPr>
          <w:ilvl w:val="0"/>
          <w:numId w:val="2"/>
        </w:numPr>
        <w:spacing w:after="80"/>
      </w:pPr>
      <w:r>
        <w:rPr>
          <w:color w:val="1F2A2A"/>
          <w:sz w:val="21"/>
          <w:szCs w:val="21"/>
        </w:rPr>
        <w:t xml:space="preserve">Passwords are stored hashed, never in plain text.</w:t>
      </w:r>
    </w:p>
    <w:p>
      <w:pPr>
        <w:pStyle w:val="Heading1"/>
      </w:pPr>
      <w:r>
        <w:t xml:space="preserve">10. Children's information</w:t>
      </w:r>
    </w:p>
    <w:p>
      <w:pPr>
        <w:spacing w:after="160"/>
      </w:pPr>
      <w:r>
        <w:rPr>
          <w:color w:val="1F2A2A"/>
          <w:sz w:val="21"/>
          <w:szCs w:val="21"/>
        </w:rPr>
        <w:t xml:space="preserve">Go Sit accounts may only be created by adults 18 or older. A child may be named as a Care Recipient, but only by the adult Care Requester responsible for them — Go Sit does not knowingly collect information directly from a child, and a child does not interact with Go Sit's systems on their own account.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Incidental capture during video interviews</w:t>
            </w:r>
          </w:p>
          <w:p>
            <w:r>
              <w:rPr>
                <w:color w:val="1F2A2A"/>
                <w:sz w:val="20"/>
                <w:szCs w:val="20"/>
              </w:rPr>
              <w:t xml:space="preserve">A video interview's camera can incidentally show a child who is present in the home but not the subject of the call. Counsel should confirm whether this policy's language adequately covers that incidental capture, and whether any additional notice or safeguard is warranted, particularly if Go Sit ever expands to the United States, where COPPA's stricter rules for children's data would need a fresh look.</w:t>
            </w:r>
          </w:p>
        </w:tc>
      </w:tr>
    </w:tbl>
    <w:p>
      <w:pPr>
        <w:pStyle w:val="Heading1"/>
      </w:pPr>
      <w:r>
        <w:t xml:space="preserve">11. Your rights</w:t>
      </w:r>
    </w:p>
    <w:p>
      <w:pPr>
        <w:spacing w:after="160"/>
      </w:pPr>
      <w:r>
        <w:rPr>
          <w:color w:val="1F2A2A"/>
          <w:sz w:val="21"/>
          <w:szCs w:val="21"/>
        </w:rPr>
        <w:t xml:space="preserve">Subject to legal exceptions, you may ask to access, correct, or request deletion of your personal information, and to withdraw consent for optional processing. Contact [privacy contact — TBD]. You may also complain to the Office of the Privacy Commissioner of Canada if you believe your rights under PIPEDA have not been respected.</w:t>
      </w:r>
    </w:p>
    <w:p>
      <w:pPr>
        <w:pStyle w:val="Heading1"/>
      </w:pPr>
      <w:r>
        <w:t xml:space="preserve">12. Cookies</w:t>
      </w:r>
    </w:p>
    <w:p>
      <w:pPr>
        <w:spacing w:after="160"/>
      </w:pPr>
      <w:r>
        <w:rPr>
          <w:color w:val="1F2A2A"/>
          <w:sz w:val="21"/>
          <w:szCs w:val="21"/>
        </w:rPr>
        <w:t xml:space="preserve">The Go Sit website uses cookies necessary for signing in and maintaining your session. [Confirm whether any analytics or marketing cookies are in use, which would require additional disclosure and, depending on classification, consent.]</w:t>
      </w:r>
    </w:p>
    <w:p>
      <w:pPr>
        <w:pStyle w:val="Heading1"/>
      </w:pPr>
      <w:r>
        <w:t xml:space="preserve">13. Automated decision-making</w:t>
      </w:r>
    </w:p>
    <w:p>
      <w:pPr>
        <w:spacing w:after="160"/>
      </w:pPr>
      <w:r>
        <w:rPr>
          <w:color w:val="1F2A2A"/>
          <w:sz w:val="21"/>
          <w:szCs w:val="21"/>
        </w:rPr>
        <w:t xml:space="preserve">Go Sit does not currently use automated decision-making or profiling that produces a legal or similarly significant effect on a user. Search ranking and matching are based on the filters and criteria a user sets directly.</w:t>
      </w:r>
    </w:p>
    <w:p>
      <w:pPr>
        <w:pStyle w:val="Heading1"/>
      </w:pPr>
      <w:r>
        <w:t xml:space="preserve">14. Changes to this policy</w:t>
      </w:r>
    </w:p>
    <w:p>
      <w:pPr>
        <w:spacing w:after="160"/>
      </w:pPr>
      <w:r>
        <w:rPr>
          <w:color w:val="1F2A2A"/>
          <w:sz w:val="21"/>
          <w:szCs w:val="21"/>
        </w:rPr>
        <w:t xml:space="preserve">Go Sit may update this policy from time to time. Material changes will be notified in advance through the platform or by email.</w:t>
      </w:r>
    </w:p>
    <w:p>
      <w:pPr>
        <w:pStyle w:val="Heading1"/>
      </w:pPr>
      <w:r>
        <w:t xml:space="preserve">15. Contact us</w:t>
      </w:r>
    </w:p>
    <w:p>
      <w:pPr>
        <w:spacing w:after="160"/>
      </w:pPr>
      <w:r>
        <w:rPr>
          <w:color w:val="1F2A2A"/>
          <w:sz w:val="21"/>
          <w:szCs w:val="21"/>
        </w:rPr>
        <w:t xml:space="preserve">Questions about this policy, or to exercise a privacy right described above: [privacy contact — TBD].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6"/>
        <w:sz w:val="16"/>
        <w:szCs w:val="16"/>
      </w:rPr>
      <w:t xml:space="preserve">Draft — not for publication — page </w:t>
    </w:r>
    <w:r>
      <w:rPr>
        <w:color w:val="5B6666"/>
        <w:sz w:val="16"/>
        <w:szCs w:val="16"/>
      </w:rPr>
      <w:fldChar w:fldCharType="begin"/>
      <w:instrText xml:space="preserve">PAGE</w:instrText>
      <w:fldChar w:fldCharType="separate"/>
      <w:fldChar w:fldCharType="end"/>
    </w:r>
    <w:r>
      <w:rPr>
        <w:color w:val="5B6666"/>
        <w:sz w:val="16"/>
        <w:szCs w:val="16"/>
      </w:rPr>
      <w:t xml:space="preserve"> of </w:t>
    </w:r>
    <w:r>
      <w:rPr>
        <w:color w:val="5B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jc w:val="right"/>
    </w:pPr>
    <w:r>
      <w:rPr>
        <w:color w:val="5B6666"/>
        <w:sz w:val="16"/>
        <w:szCs w:val="16"/>
      </w:rPr>
      <w:t xml:space="preserve">GO SIT — Privacy Policy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7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6F70"/>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F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2026-09-16T01:14:27.348Z</dcterms:created>
  <dcterms:modified xsi:type="dcterms:W3CDTF">2026-09-16T01:14:27.348Z</dcterms:modified>
</cp:coreProperties>
</file>

<file path=docProps/custom.xml><?xml version="1.0" encoding="utf-8"?>
<Properties xmlns="http://schemas.openxmlformats.org/officeDocument/2006/custom-properties" xmlns:vt="http://schemas.openxmlformats.org/officeDocument/2006/docPropsVTypes"/>
</file>