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PLAN DE PRUEBAS </w:t>
      </w:r>
      <w:r>
        <w:rPr>
          <w:u w:val="single"/>
        </w:rPr>
        <w:t>REGRES.IN</w:t>
      </w:r>
      <w:r>
        <w:rPr/>
        <w:t xml:space="preserve"> (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ASSURE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ALCANCE DE PRUEBAS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El alcance de pruebas incluye la HU-001 y la HU-002. Para ello se probaran cada uno de los criterios de aceptación como vemos a continuación.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Alcance de las pruebas HU-001 – Login exitoso en la pagina.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Alcance de las pruebas HU-002 – Login no exitoso por ausencia de contraseña.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ESTRATEGIA DE PRUEBAS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HU-001: Login de usuario exitoso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CA-1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deberá contar con una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aplicación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que permita hacer el registro, la cual deberá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recibir el usuario y la contraseña ingresada para consumir 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numPr>
          <w:ilvl w:val="1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CA-2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La aplicación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deberá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enviar al cliente un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n-US" w:eastAsia="zh-CN" w:bidi="hi-IN"/>
        </w:rPr>
        <w:t>token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en caso de que la cuenta se haya registrado exitosamente.</w:t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HU-002: Login de usuario fallido.</w:t>
      </w:r>
    </w:p>
    <w:p>
      <w:pPr>
        <w:pStyle w:val="Contenidodelatabla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La aplicación deberá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enviar al cliente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un mensaje de error en caso de errar el usuario o la contraseña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al consumir 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4"/>
        </w:numPr>
        <w:bidi w:val="0"/>
        <w:jc w:val="left"/>
        <w:rPr/>
      </w:pPr>
      <w:r>
        <w:rPr/>
        <w:t>ANÁLISIS DE RIESGOS</w:t>
      </w:r>
    </w:p>
    <w:p>
      <w:pPr>
        <w:pStyle w:val="Contenidodelatabla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tbl>
      <w:tblPr>
        <w:tblW w:w="8279" w:type="dxa"/>
        <w:jc w:val="left"/>
        <w:tblInd w:w="3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1"/>
        <w:gridCol w:w="1385"/>
        <w:gridCol w:w="939"/>
        <w:gridCol w:w="966"/>
        <w:gridCol w:w="1358"/>
      </w:tblGrid>
      <w:tr>
        <w:trPr/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Criterio de Aceptación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Probabilidad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Impacto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Nivel de Riesgo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 de Ejecución</w:t>
            </w:r>
          </w:p>
        </w:tc>
      </w:tr>
      <w:tr>
        <w:trPr/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numPr>
                <w:ilvl w:val="0"/>
                <w:numId w:val="0"/>
              </w:numPr>
              <w:bidi w:val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El servicio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deberá contar con una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aplicación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que permita hacer el registro, la cual deberá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recibir el usuario y la contraseña ingresada para consumir el servicio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Manual</w:t>
            </w:r>
          </w:p>
        </w:tc>
      </w:tr>
      <w:tr>
        <w:trPr/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numPr>
                <w:ilvl w:val="0"/>
                <w:numId w:val="0"/>
              </w:numPr>
              <w:bidi w:val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La aplicación deberá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enviar al cliente un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token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 en caso de que la cuenta se haya registrado exitosamente.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Manual</w:t>
            </w:r>
          </w:p>
        </w:tc>
      </w:tr>
      <w:tr>
        <w:trPr/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numPr>
                <w:ilvl w:val="0"/>
                <w:numId w:val="0"/>
              </w:numPr>
              <w:bidi w:val="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La aplicación deberá enviar al cliente un mensaje de error en caso de errar el usuario o la contraseña al consumir el servicio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Manual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ESTRATEGIA DE PRUEBA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ind w:left="680" w:right="0" w:hanging="0"/>
        <w:jc w:val="left"/>
        <w:rPr/>
      </w:pPr>
      <w:r>
        <w:rPr/>
        <w:t>De acuerdo a la identificación de los riesgos en la matriz de riesgos, se abordaran primero las historias de usuario con mayor riesgo. Por lo tanto se probara inicialmente la HU-001 y posterior se probara la HU-002.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bidi w:val="0"/>
        <w:ind w:left="680" w:right="0" w:hanging="0"/>
        <w:jc w:val="left"/>
        <w:rPr/>
      </w:pPr>
      <w:r>
        <w:rPr/>
        <w:t>HU-001: Login de usuario exitoso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before="0" w:after="0"/>
        <w:ind w:left="1134" w:right="0" w:hanging="454"/>
        <w:jc w:val="left"/>
        <w:rPr/>
      </w:pPr>
      <w:r>
        <w:rPr/>
        <w:t>CA-1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107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verificar que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el servicio cuente con una aplicación adecuada para recibir los datos del usuario (usuario y contraseña)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numPr>
          <w:ilvl w:val="1"/>
          <w:numId w:val="6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1077" w:right="0" w:hanging="0"/>
        <w:jc w:val="left"/>
        <w:rPr/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Se debe verificar que se recibe en el cliente un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n-US" w:eastAsia="zh-CN" w:bidi="hi-IN"/>
        </w:rPr>
        <w:t>token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indicando su autenticación correcta en 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HU-002: Login de usuario fallido.</w:t>
      </w:r>
    </w:p>
    <w:p>
      <w:pPr>
        <w:pStyle w:val="Contenidodelatabla"/>
        <w:numPr>
          <w:ilvl w:val="1"/>
          <w:numId w:val="7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107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e debe verificar que la aplicación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envíe al cliente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un mensaje de error en caso de errar el usuario o la contraseña en la sección de login.</w:t>
      </w:r>
    </w:p>
    <w:p>
      <w:pPr>
        <w:pStyle w:val="Contenidodelatabla"/>
        <w:suppressLineNumbers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suppressLineNumbers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Estrategia de datos</w:t>
      </w:r>
    </w:p>
    <w:p>
      <w:pPr>
        <w:pStyle w:val="Contenidodelatabla"/>
        <w:suppressLineNumbers/>
        <w:bidi w:val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debe contar con al menos un nombre de usuario y contraseña validos para realizar la verificación. De preferencia seria ideal contar con una base de datos dummy de usuarios y contraseñas previamente registrados en la aplicación.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8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CRONOGRAMA DE ENTREGAS O DESPLIEGUE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entregar la aplicación y los datos de usuario a QA por lo menos tres días antes de la finalización del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sprint.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8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OTROS TIPOS DE PRUEBAS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recomienda también realizar los siguientes tipos de pruebas:</w:t>
      </w:r>
    </w:p>
    <w:p>
      <w:pPr>
        <w:pStyle w:val="Contenidodelatabla"/>
        <w:numPr>
          <w:ilvl w:val="0"/>
          <w:numId w:val="9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rendimiento</w:t>
      </w:r>
    </w:p>
    <w:p>
      <w:pPr>
        <w:pStyle w:val="Contenidodelatabla"/>
        <w:numPr>
          <w:ilvl w:val="0"/>
          <w:numId w:val="9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seguridad</w:t>
      </w:r>
    </w:p>
    <w:p>
      <w:pPr>
        <w:pStyle w:val="Contenidodelatabla"/>
        <w:suppressLineNumbers/>
        <w:bidi w:val="0"/>
        <w:ind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10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REQUERIMIENTOS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requiere para la ejecución la base de datos dummy con los datos de usuario (nombre de usuario y contraseña), o en su defecto al menos un usuario debidamente registrado en la aplicación.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11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ACUERDOS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Tan pronto se detecte un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adicional, este sera ingresado de forma inmediata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tracker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para su respectiva corrección. Adicionalmente se enviara un correo electrónico indicando detalles del error al equipo de desarrollo y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Product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Owner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en caso de revisiones administrativas</w:t>
      </w:r>
    </w:p>
    <w:sectPr>
      <w:type w:val="nextPage"/>
      <w:pgSz w:w="12240" w:h="15840"/>
      <w:pgMar w:left="1206" w:right="1142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10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535</Words>
  <Characters>2618</Characters>
  <CharactersWithSpaces>3083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2022-03-21T11:38:36Z</dcterms:created>
  <dc:creator/>
  <dc:description/>
  <dc:language>es-CO</dc:language>
  <cp:lastModifiedBy/>
  <dcterms:modified xsi:type="dcterms:W3CDTF">2022-03-21T14:57:02Z</dcterms:modified>
  <cp:revision>3</cp:revision>
  <dc:subject/>
  <dc:title/>
</cp:coreProperties>
</file>