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0"/>
        </w:rPr>
        <w:t xml:space="preserve">Planning de lancement Dark Kitchen - ProKitchens</w:t>
      </w:r>
    </w:p>
    <w:p w:rsidR="00000000" w:rsidDel="00000000" w:rsidP="00000000" w:rsidRDefault="00000000" w:rsidRPr="00000000" w14:paraId="00000002">
      <w:pPr>
        <w:jc w:val="center"/>
        <w:rPr>
          <w:rFonts w:ascii="Rubik" w:cs="Rubik" w:eastAsia="Rubik" w:hAnsi="Rubik"/>
          <w:i w:val="1"/>
          <w:iCs w:val="1"/>
          <w:sz w:val="20"/>
          <w:szCs w:val="20"/>
        </w:rPr>
      </w:pPr>
      <w:r w:rsidDel="00000000" w:rsidR="00000000" w:rsidRPr="00000000">
        <w:rPr>
          <w:rFonts w:ascii="Rubik" w:cs="Rubik" w:eastAsia="Rubik" w:hAnsi="Rubik"/>
          <w:i w:val="1"/>
          <w:iCs w:val="1"/>
          <w:sz w:val="20"/>
          <w:szCs w:val="20"/>
          <w:rtl w:val="0"/>
        </w:rPr>
        <w:t xml:space="preserve">Ces informations sont fournies à titre indicatif</w:t>
      </w:r>
    </w:p>
    <w:p w:rsidR="00000000" w:rsidDel="00000000" w:rsidP="00000000" w:rsidRDefault="00000000" w:rsidRPr="00000000" w14:paraId="00000003">
      <w:pPr>
        <w:jc w:val="center"/>
        <w:rPr>
          <w:rFonts w:ascii="Rubik" w:cs="Rubik" w:eastAsia="Rubik" w:hAnsi="Rubik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415"/>
        <w:gridCol w:w="1875"/>
        <w:gridCol w:w="1485"/>
        <w:gridCol w:w="1620"/>
        <w:tblGridChange w:id="0">
          <w:tblGrid>
            <w:gridCol w:w="1965"/>
            <w:gridCol w:w="2415"/>
            <w:gridCol w:w="1875"/>
            <w:gridCol w:w="1485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1f3d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du projet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f3d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Étape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f3d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Calendrier / 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Délai indicatif / Durée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f3d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1f3d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596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Préparation du projet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Définition du concept (marque, offre, zone de livraison, positionnement)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Avant signature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Concept insuffisamment cadré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596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Élaboration du prévisionnel économique (chiffre d’affaires, charges, équipe, rentabilité)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Avant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Hypothèses non </w:t>
            </w: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réalistes</w:t>
            </w: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596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Validation du budget de lancement et de la trésorerie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Avant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Sous-</w:t>
            </w:r>
          </w:p>
          <w:p w:rsidR="00000000" w:rsidDel="00000000" w:rsidP="00000000" w:rsidRDefault="00000000" w:rsidRPr="00000000" w14:paraId="0000001A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capitalisation / Non-obtention financement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596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Choix du site et validation de l’emplacement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Avant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 + ProKitchens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Clientèle cible non conforme à la zone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596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Validation finale du projet par les décideurs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Avant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Mauvais alignement entre décideurs / manque de communication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596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Vérification finale de l’ensemble du projet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Juste avant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 + ProKitchens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7098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Mise en place contractuelle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Signature du contrat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2 mois avant lancement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Client + ProKitchens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7098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Règlement du Forfait Remboursable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Sous 3 jours après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Trésorerie / validation interne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7098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Règlement des Frais d’Intégration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Sous 3 jours après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Trésorerie / validation interne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7098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Réunion de lancement du projet avec le Responsable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Dès règlement du Forfait Remboursable et des Frais d’Intégration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 + ProKitchens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Réunion trop tardive vis-à-vis de la date de lancement souhaitée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7098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Règlement de la première Redevance de licence mensuelle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Au plus tard 10 jours avant la date d'accès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Trésorerie / validation interne/ alignement date de démarrage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  <w:rtl w:val="0"/>
              </w:rPr>
              <w:t xml:space="preserve">Formalités administratives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Création de la société (si nécessaire)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Avant signature, si possible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Durées différentes en fonction des greffes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Création d’un établissement secondaire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10 jours à 6 semaines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Durées différentes en fonction des greffes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Souscription de l’assurance multirisques professionnelle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jour à 1 semaine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Dépend du broker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Transmission des documents administratifs à notre Responsable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à 2 semaines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Retard / omission document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4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  <w:rtl w:val="0"/>
              </w:rPr>
              <w:t xml:space="preserve">Conformité réglementaire</w:t>
            </w:r>
          </w:p>
          <w:p w:rsidR="00000000" w:rsidDel="00000000" w:rsidP="00000000" w:rsidRDefault="00000000" w:rsidRPr="00000000" w14:paraId="00000058">
            <w:pPr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Déclaration DDPP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2 à 4 semaines avant ouverture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4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Formation hygiène alimentaire HACCP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2 à 4 semaines avant ouverture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4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Mise en place du tableau des allergènes / informations consommateurs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Avant ouverture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1eb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  <w:rtl w:val="0"/>
              </w:rPr>
              <w:t xml:space="preserve">Travaux et installation de la cuisine</w:t>
            </w:r>
          </w:p>
          <w:p w:rsidR="00000000" w:rsidDel="00000000" w:rsidP="00000000" w:rsidRDefault="00000000" w:rsidRPr="00000000" w14:paraId="00000068">
            <w:pPr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Transmission de la liste de l’équipement souhaité + plan de la future cuisine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Sous 1 semaine après la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Manque de précision des informations transmises pouvant causer du retard</w:t>
            </w:r>
          </w:p>
          <w:p w:rsidR="00000000" w:rsidDel="00000000" w:rsidP="00000000" w:rsidRDefault="00000000" w:rsidRPr="00000000" w14:paraId="0000006D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1eb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Validation technique des équipements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Sous 1 semaine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ProKitchens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Conformité / puissance électrique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1eb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Validation du devis et paiement des travaux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jour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Trésorerie / validation interne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1eb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Achat ou location du matériel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à 2 semaines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Délais fournisseurs / coûts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1eb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Livraison des équipements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à 12 semaines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 + fournisseur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Dépend livraison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1eb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Réalisation des travaux éventuels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10 jours</w:t>
            </w: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à 3 semaines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ProKitchens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Dépend délai réception des pièces et complexité des travaux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1eb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Signature du PV de réception des travaux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heure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ProKitchens +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1eb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Installation et mise en service du maté</w:t>
            </w: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riel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3 à 6 semaines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1eb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Etat des lieux d’entrée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heure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 + ProKitchens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1f3d45"/>
                <w:sz w:val="20"/>
                <w:szCs w:val="20"/>
                <w:rtl w:val="0"/>
              </w:rPr>
              <w:t xml:space="preserve">Préparation de l’activité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Finalisation de la carte / des menus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Offre non stabilisée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Choix des emballages et consommables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Problèmes qualité / coûts / délais livraison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Choix des fournisseurs alimentaires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Délais fournisseurs / coûts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Recrutement ou mobilisation de l’équipe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Nombre ETP insuffisant / mauvais profils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Formation des équipes aux procédures internes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 de formation inadapté ou incomplet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9a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Mise en ligne livraison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Création ou activation des comptes sur les plateformes de livraison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2 à 6 semaines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Dépend Uber / Deliveroo et délais de réponse du client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9a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Intégration des comptes sur les plateformes de livraison dans notre logiciel interne Otter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à 2 jours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 + ProKitchens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9a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Création des menus </w:t>
            </w: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et ajout des photos </w:t>
            </w: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sur les plateformes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ubik" w:cs="Rubik" w:eastAsia="Rubik" w:hAnsi="Rubik"/>
                <w:color w:val="21212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à 2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Menu peu fourni ou mal pensé / photos peu attrayantes / peu de possibilités d’upsell, etc.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ec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Ouverture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Tests matériels et premières commandes 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1 semaine à </w:t>
            </w: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3 jours avant le lancement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Rubik" w:cs="Rubik" w:eastAsia="Rubik" w:hAnsi="Rubik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12121"/>
                <w:sz w:val="20"/>
                <w:szCs w:val="20"/>
                <w:rtl w:val="0"/>
              </w:rPr>
              <w:t xml:space="preserve">Pas de phase de test, ou trop tardive pour rectifier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ec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rPr>
                <w:rFonts w:ascii="Rubik" w:cs="Rubik" w:eastAsia="Rubik" w:hAnsi="Rubik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Lancement officiel de l’activité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Entre 2 semaines et 2 mois après la signature du contrat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//</w:t>
            </w:r>
          </w:p>
        </w:tc>
      </w:tr>
    </w:tbl>
    <w:p w:rsidR="00000000" w:rsidDel="00000000" w:rsidP="00000000" w:rsidRDefault="00000000" w:rsidRPr="00000000" w14:paraId="000000C9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981200" cy="19050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120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6105525</wp:posOffset>
          </wp:positionH>
          <wp:positionV relativeFrom="paragraph">
            <wp:posOffset>-209549</wp:posOffset>
          </wp:positionV>
          <wp:extent cx="190500" cy="1905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between w:color="auto" w:space="0" w:sz="0" w:val="none"/>
      </w:pBdr>
      <w:shd w:fill="ffffff" w:val="clear"/>
      <w:spacing w:after="240" w:before="360" w:line="360" w:lineRule="auto"/>
    </w:pPr>
    <w:rPr>
      <w:b w:val="1"/>
      <w:bCs w:val="1"/>
      <w:sz w:val="39"/>
      <w:szCs w:val="3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