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License / Usage Terms (EN/JA)</w:t>
        <w:br/>
        <w:br/>
        <w:t>## English</w:t>
        <w:br/>
        <w:t>- This deliverable is provided for internal use and the client’s use.</w:t>
        <w:br/>
        <w:t>- Redistribution or resale requires written approval.</w:t>
        <w:br/>
        <w:t>- The client may modify the source code for their own projects.</w:t>
        <w:br/>
        <w:br/>
        <w:t xml:space="preserve">## </w:t>
      </w:r>
      <w:r>
        <w:rPr/>
        <w:t>日本語</w:t>
      </w:r>
      <w:r>
        <w:rPr/>
        <w:br/>
        <w:t xml:space="preserve">- </w:t>
      </w:r>
      <w:r>
        <w:rPr/>
        <w:t>本成果物は社内およびクライアント利用のために提供されます。</w:t>
      </w:r>
      <w:r>
        <w:rPr/>
        <w:br/>
        <w:t xml:space="preserve">- </w:t>
      </w:r>
      <w:r>
        <w:rPr/>
        <w:t>再配布・再販売は書面の承認が必要です。</w:t>
      </w:r>
      <w:r>
        <w:rPr/>
        <w:br/>
        <w:t xml:space="preserve">- </w:t>
      </w:r>
      <w:r>
        <w:rPr/>
        <w:t>クライアントは自社用途の範囲で改変可能です。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