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2026-07-28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Exp 7 — Cartographie bord→centre : CLOSE (2026-07-28).</w:t>
      </w:r>
      <w:r>
        <w:t xml:space="preserve"> </w:t>
      </w:r>
      <w:r>
        <w:t xml:space="preserve">Campagne aux</w:t>
      </w:r>
      <w:r>
        <w:t xml:space="preserve"> </w:t>
      </w:r>
      <w:r>
        <w:rPr>
          <w:b/>
          <w:bCs/>
        </w:rPr>
        <w:t xml:space="preserve">5 courants</w:t>
      </w:r>
      <w:r>
        <w:rPr>
          <w:b/>
          <w:bCs/>
        </w:rPr>
        <w:t xml:space="preserve"> </w:t>
      </w:r>
      <w:r>
        <w:rPr>
          <w:b/>
          <w:bCs/>
        </w:rPr>
        <w:t xml:space="preserve">(150 / 176 / 200 / 225 / 250 A, avec céramique ; 3 essais aux 150/200/250, 1 aux 176/225)</w:t>
      </w:r>
      <w:r>
        <w:t xml:space="preserve">.</w:t>
      </w:r>
      <w:r>
        <w:t xml:space="preserve"> </w:t>
      </w:r>
      <w:r>
        <w:t xml:space="preserve">Le profil en « M » est</w:t>
      </w:r>
      <w:r>
        <w:t xml:space="preserve"> </w:t>
      </w:r>
      <w:r>
        <w:rPr>
          <w:b/>
          <w:bCs/>
        </w:rPr>
        <w:t xml:space="preserve">symétrique et de bonne forme d’équilibre</w:t>
      </w:r>
      <w:r>
        <w:t xml:space="preserve"> </w:t>
      </w:r>
      <w:r>
        <w:t xml:space="preserve">(contraste mesuré ~2,0-2,2</w:t>
      </w:r>
      <w:r>
        <w:t xml:space="preserve"> </w:t>
      </w:r>
      <w:r>
        <w:t xml:space="preserve">vs modèle 2,4-2,55) ; seul résidu =</w:t>
      </w:r>
      <w:r>
        <w:t xml:space="preserve"> </w:t>
      </w:r>
      <w:r>
        <w:rPr>
          <w:b/>
          <w:bCs/>
        </w:rPr>
        <w:t xml:space="preserve">transitoire</w:t>
      </w:r>
      <w:r>
        <w:t xml:space="preserve"> </w:t>
      </w:r>
      <w:r>
        <w:t xml:space="preserve">(le centre du modèle se remplit trop</w:t>
      </w:r>
      <w:r>
        <w:t xml:space="preserve"> </w:t>
      </w:r>
      <w:r>
        <w:t xml:space="preserve">lentement, indépendant du courant). Levier source-adoucie testé → flag off ; cp/k_plan/placement</w:t>
      </w:r>
      <w:r>
        <w:t xml:space="preserve"> </w:t>
      </w:r>
      <w:r>
        <w:t xml:space="preserve">TC écartés ; 3D confirme le mécanisme mais surchauffe l’interface → 2D lumpé conservé avec limite</w:t>
      </w:r>
      <w:r>
        <w:t xml:space="preserve"> </w:t>
      </w:r>
      <w:r>
        <w:t xml:space="preserve">documentée.</w:t>
      </w:r>
      <w:r>
        <w:t xml:space="preserve"> </w:t>
      </w:r>
      <w:r>
        <w:rPr>
          <w:b/>
          <w:bCs/>
        </w:rPr>
        <w:t xml:space="preserve">Loi taux-courant</w:t>
      </w:r>
      <w:r>
        <w:t xml:space="preserve"> </w:t>
      </w:r>
      <w:r>
        <w:t xml:space="preserve">: le taux de chauffe au chant croît</w:t>
      </w:r>
      <w:r>
        <w:t xml:space="preserve"> </w:t>
      </w:r>
      <w:r>
        <w:rPr>
          <w:b/>
          <w:bCs/>
        </w:rPr>
        <w:t xml:space="preserve">∝ I^2,4</w:t>
      </w:r>
      <w:r>
        <w:t xml:space="preserve"> </w:t>
      </w:r>
      <w:r>
        <w:t xml:space="preserve">(un peu plus</w:t>
      </w:r>
      <w:r>
        <w:t xml:space="preserve"> </w:t>
      </w:r>
      <w:r>
        <w:t xml:space="preserve">vite que I² ; candidat = fréquence générateur montant avec I). Détail :</w:t>
      </w:r>
      <w:r>
        <w:t xml:space="preserve"> </w:t>
      </w:r>
      <w:r>
        <w:rPr>
          <w:rStyle w:val="VerbatimChar"/>
        </w:rPr>
        <w:t xml:space="preserve">data/exp7_bord-centre_2026-07-28_avec-ceramique/README.md</w:t>
      </w:r>
      <w:r>
        <w:t xml:space="preserve">. Figures :</w:t>
      </w:r>
      <w:r>
        <w:t xml:space="preserve"> </w:t>
      </w:r>
      <w:r>
        <w:rPr>
          <w:rStyle w:val="VerbatimChar"/>
        </w:rPr>
        <w:t xml:space="preserve">docs/figures_presentation/</w:t>
      </w:r>
      <w:r>
        <w:t xml:space="preserve"> </w:t>
      </w:r>
      <w:r>
        <w:t xml:space="preserve">(fig1-5).</w:t>
      </w:r>
    </w:p>
    <w:p>
      <w:r>
        <w:pict>
          <v:rect style="width:0;height:1.5pt" o:hralign="center" o:hrstd="t" o:hr="t"/>
        </w:pict>
      </w:r>
    </w:p>
    <w:bookmarkStart w:id="14" w:name="à-faire-par-priorité"/>
    <w:p>
      <w:pPr>
        <w:pStyle w:val="Heading2"/>
      </w:pPr>
      <w:r>
        <w:t xml:space="preserve">À faire — par priorité</w:t>
      </w:r>
    </w:p>
    <w:bookmarkStart w:id="10" w:name="Xc8b8f394d32c9886f26180670e10cb34e625d40"/>
    <w:p>
      <w:pPr>
        <w:pStyle w:val="Heading3"/>
      </w:pPr>
      <w:r>
        <w:t xml:space="preserve">1.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0"/>
    <w:bookmarkStart w:id="11" w:name="Xfe243462107251bb9d0358a4a665fccc3e012f5"/>
    <w:p>
      <w:pPr>
        <w:pStyle w:val="Heading3"/>
      </w:pPr>
      <w:r>
        <w:t xml:space="preserve">2.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1"/>
    <w:bookmarkStart w:id="12" w:name="Xe2593bb5cf4f10e3375cd3a973efa99c3adaa70"/>
    <w:p>
      <w:pPr>
        <w:pStyle w:val="Heading3"/>
      </w:pPr>
      <w:r>
        <w:t xml:space="preserve">3. Exp 6 — Diffusivité latérale (optionnel, non prioritaire)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 Depuis la correction de</w:t>
      </w:r>
      <w:r>
        <w:t xml:space="preserve"> </w:t>
      </w:r>
      <w:r>
        <w:t xml:space="preserve">géométrie, le 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 </w:t>
      </w:r>
      <w:r>
        <w:t xml:space="preserve">(physique) : cette mesure ne tranche plus</w:t>
      </w:r>
      <w:r>
        <w:t xml:space="preserve"> </w:t>
      </w:r>
      <w:r>
        <w:t xml:space="preserve">un écart ouvert, elle</w:t>
      </w:r>
      <w:r>
        <w:t xml:space="preserve"> </w:t>
      </w:r>
      <w:r>
        <w:rPr>
          <w:b/>
          <w:bCs/>
        </w:rPr>
        <w:t xml:space="preserve">vérifie</w:t>
      </w:r>
      <w:r>
        <w:t xml:space="preserve"> </w:t>
      </w:r>
      <w:r>
        <w:t xml:space="preserve">une propriété assumée. Protocole caméra détaillé dans</w:t>
      </w:r>
      <w:r>
        <w:t xml:space="preserve"> </w:t>
      </w:r>
      <w:r>
        <w:t xml:space="preserve">l’archive. Un essai, sous Tf, échantillons réutilisables.</w:t>
      </w:r>
    </w:p>
    <w:bookmarkEnd w:id="12"/>
    <w:bookmarkStart w:id="13" w:name="Xe64e2534bde4dc347a04e8b1b2630333f71be38"/>
    <w:p>
      <w:pPr>
        <w:pStyle w:val="Heading3"/>
      </w:pPr>
      <w:r>
        <w:t xml:space="preserve">4. Mesures de propriété au labo (optionnel, si les niveaux 1-3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). La reprise</w:t>
      </w:r>
      <w:r>
        <w:t xml:space="preserve"> </w:t>
      </w:r>
      <w:r>
        <w:t xml:space="preserve">exp 7 étant close, ces corrections ne sont plus bloquées et peuvent être recalibrées ensemble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Fréquence A-3 (200 A) 388 → 383 kHz</w:t>
      </w:r>
      <w:r>
        <w:t xml:space="preserve"> </w:t>
      </w:r>
      <w:r>
        <w:t xml:space="preserve">— fréquence par essai à ajouter.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Lissage de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--source-sigma-mm</w:t>
      </w:r>
      <w:r>
        <w:t xml:space="preserve">, défaut off) — testé exp 7 : remplit le centre mais</w:t>
      </w:r>
      <w:r>
        <w:t xml:space="preserve"> </w:t>
      </w:r>
      <w:r>
        <w:t xml:space="preserve">abaisse les pics →</w:t>
      </w:r>
      <w:r>
        <w:t xml:space="preserve"> </w:t>
      </w:r>
      <w:r>
        <w:rPr>
          <w:b/>
          <w:bCs/>
        </w:rPr>
        <w:t xml:space="preserve">non retenu</w:t>
      </w:r>
      <w:r>
        <w:t xml:space="preserve"> </w:t>
      </w:r>
      <w:r>
        <w:t xml:space="preserve">tel quel ; à ré-arbitrer seulement si le centre-fill devient</w:t>
      </w:r>
      <w:r>
        <w:t xml:space="preserve"> </w:t>
      </w:r>
      <w:r>
        <w:t xml:space="preserve">prioritaire.</w:t>
      </w:r>
    </w:p>
    <w:p>
      <w:r>
        <w:pict>
          <v:rect style="width:0;height:1.5pt" o:hralign="center" o:hrstd="t" o:hr="t"/>
        </w:pict>
      </w:r>
    </w:p>
    <w:bookmarkEnd w:id="15"/>
    <w:bookmarkStart w:id="16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basse (vérif.)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 7</w:t>
      </w:r>
      <w:r>
        <w:rPr>
          <w:i/>
          <w:iCs/>
        </w:rPr>
        <w:t xml:space="preserve">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et les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data/exp*/README.md</w:t>
      </w:r>
      <w:r>
        <w:rPr>
          <w:i/>
          <w:iCs/>
        </w:rP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2026-07-28T19:35:13Z</dcterms:created>
  <dcterms:modified xsi:type="dcterms:W3CDTF">2026-07-28T19:35:13Z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