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Destinataire</w:t>
      </w:r>
      <w:r>
        <w:t xml:space="preserve"> </w:t>
      </w:r>
      <w:r>
        <w:t xml:space="preserve">: directrice de recherche  · </w:t>
      </w:r>
      <w:r>
        <w:t xml:space="preserve"> </w:t>
      </w:r>
      <w:r>
        <w:rPr>
          <w:b/>
          <w:bCs/>
        </w:rPr>
        <w:t xml:space="preserve">Dépôt logiciel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Jumeau_Soudage_Induction</w:t>
      </w:r>
      <w:r>
        <w:t xml:space="preserve"> </w:t>
      </w:r>
      <w:r>
        <w:t xml:space="preserve">(Python, 34 tests automatisés)  · </w:t>
      </w:r>
      <w:r>
        <w:t xml:space="preserve"> </w:t>
      </w:r>
      <w:r>
        <w:rPr>
          <w:b/>
          <w:bCs/>
        </w:rPr>
        <w:t xml:space="preserve">État au</w:t>
      </w:r>
      <w:r>
        <w:t xml:space="preserve"> </w:t>
      </w:r>
      <w:r>
        <w:t xml:space="preserve">: 2026-07-24</w:t>
      </w:r>
    </w:p>
    <w:p>
      <w:r>
        <w:pict>
          <v:rect style="width:0;height:1.5pt" o:hralign="center" o:hrstd="t" o:hr="t"/>
        </w:pict>
      </w:r>
    </w:p>
    <w:bookmarkStart w:id="9" w:name="résumé-exécutif"/>
    <w:p>
      <w:pPr>
        <w:pStyle w:val="Heading2"/>
      </w:pPr>
      <w:r>
        <w:t xml:space="preserve">Résumé exécutif</w:t>
      </w:r>
    </w:p>
    <w:p>
      <w:pPr>
        <w:pStyle w:val="FirstParagraph"/>
      </w:pPr>
      <w:r>
        <w:t xml:space="preserve">Ce document décrit le jumeau numérique développé en soutien de la campagne expérimentale de</w:t>
      </w:r>
      <w:r>
        <w:t xml:space="preserve"> </w:t>
      </w:r>
      <w:r>
        <w:t xml:space="preserve">soudage par induction semi-statique de composites carbone/PEKK. Le modèle prédit l’empreinte</w:t>
      </w:r>
      <w:r>
        <w:t xml:space="preserve"> </w:t>
      </w:r>
      <w:r>
        <w:t xml:space="preserve">thermique, la carte de température à l’interface de soudure que crée l’ensemble bobine</w:t>
      </w:r>
      <w:r>
        <w:t xml:space="preserve"> </w:t>
      </w:r>
      <w:r>
        <w:t xml:space="preserve">d’induction et concentrateur de flux. Les thermocouples ne donnent que quelques points de</w:t>
      </w:r>
      <w:r>
        <w:t xml:space="preserve"> </w:t>
      </w:r>
      <w:r>
        <w:t xml:space="preserve">mesure ; le jumeau reconstruit la distribution complète, puis se confronte aux essais réels</w:t>
      </w:r>
      <w:r>
        <w:t xml:space="preserve"> </w:t>
      </w:r>
      <w:r>
        <w:t xml:space="preserve">pour établir sa validité.</w:t>
      </w:r>
    </w:p>
    <w:p>
      <w:pPr>
        <w:pStyle w:val="BodyText"/>
      </w:pPr>
      <w:r>
        <w:t xml:space="preserve">Le calcul enchaîne trois maillons physiques. D’abord le champ magnétique de la bobine et de</w:t>
      </w:r>
      <w:r>
        <w:t xml:space="preserve"> </w:t>
      </w:r>
      <w:r>
        <w:t xml:space="preserve">son concentrateur de flux. Ensuite les courants de Foucault induits dans le laminé et son</w:t>
      </w:r>
      <w:r>
        <w:t xml:space="preserve"> </w:t>
      </w:r>
      <w:r>
        <w:t xml:space="preserve">pli suscepteur. Enfin le transfert thermique transitoire avec fusion du PEKK. Trois</w:t>
      </w:r>
      <w:r>
        <w:t xml:space="preserve"> </w:t>
      </w:r>
      <w:r>
        <w:t xml:space="preserve">paramètres physiques mal connus sont calibrés sur un seul essai, puis le modèle est validé</w:t>
      </w:r>
      <w:r>
        <w:t xml:space="preserve"> </w:t>
      </w:r>
      <w:r>
        <w:t xml:space="preserve">en aveugle sur les autres, y compris à un courant différent (200 A au lieu de 250 A). Le</w:t>
      </w:r>
      <w:r>
        <w:t xml:space="preserve"> </w:t>
      </w:r>
      <w:r>
        <w:t xml:space="preserve">jumeau reproduit les niveaux de température à 30 à 65 °C près en moyenne et capture la</w:t>
      </w:r>
      <w:r>
        <w:t xml:space="preserve"> </w:t>
      </w:r>
      <w:r>
        <w:t xml:space="preserve">séquence spatio-temporelle du procédé.</w:t>
      </w:r>
    </w:p>
    <w:p>
      <w:pPr>
        <w:pStyle w:val="BodyText"/>
      </w:pPr>
      <w:r>
        <w:t xml:space="preserve">Un épisode de juillet 2026 mérite d’être signalé d’emblée, car il oriente la suite du</w:t>
      </w:r>
      <w:r>
        <w:t xml:space="preserve"> </w:t>
      </w:r>
      <w:r>
        <w:t xml:space="preserve">travail. L’écart le plus tenace du modèle, un dépassement de pic présenté jusqu’ici comme un</w:t>
      </w:r>
      <w:r>
        <w:t xml:space="preserve"> </w:t>
      </w:r>
      <w:r>
        <w:t xml:space="preserve">déficit de physique, s’est révélé provenir de</w:t>
      </w:r>
      <w:r>
        <w:t xml:space="preserve"> </w:t>
      </w:r>
      <w:r>
        <w:rPr>
          <w:b/>
          <w:bCs/>
        </w:rPr>
        <w:t xml:space="preserve">cotes de bobine fausses</w:t>
      </w:r>
      <w:r>
        <w:t xml:space="preserve">, non de mécanismes</w:t>
      </w:r>
      <w:r>
        <w:t xml:space="preserve"> </w:t>
      </w:r>
      <w:r>
        <w:t xml:space="preserve">manquants : d’abord l’entraxe des brins (19 mm supposés contre 12,35 mm réels), puis leur</w:t>
      </w:r>
      <w:r>
        <w:t xml:space="preserve"> </w:t>
      </w:r>
      <w:r>
        <w:t xml:space="preserve">hauteur au-dessus du laminé (6,8 contre 5,0 mm), toutes deux dérivées d’un diamètre de tube</w:t>
      </w:r>
      <w:r>
        <w:t xml:space="preserve"> </w:t>
      </w:r>
      <w:r>
        <w:t xml:space="preserve">erroné plutôt que mesurées. Une fois la géométrie électromagnétique rendue correcte — cotes</w:t>
      </w:r>
      <w:r>
        <w:t xml:space="preserve"> </w:t>
      </w:r>
      <w:r>
        <w:t xml:space="preserve">et plan image du concentrateur vérifiés sur la CAO — l’écart résiduel ne se recale plus par</w:t>
      </w:r>
      <w:r>
        <w:t xml:space="preserve"> </w:t>
      </w:r>
      <w:r>
        <w:t xml:space="preserve">un simple facteur d’échelle : il tient à la</w:t>
      </w:r>
      <w:r>
        <w:t xml:space="preserve"> </w:t>
      </w:r>
      <w:r>
        <w:rPr>
          <w:b/>
          <w:bCs/>
        </w:rPr>
        <w:t xml:space="preserve">forme</w:t>
      </w:r>
      <w:r>
        <w:t xml:space="preserve"> </w:t>
      </w:r>
      <w:r>
        <w:t xml:space="preserve">de la source, trop concentrée. La</w:t>
      </w:r>
      <w:r>
        <w:t xml:space="preserve"> </w:t>
      </w:r>
      <w:r>
        <w:t xml:space="preserve">section 9 en tire la leçon de méthode et situe ce résidu.</w:t>
      </w:r>
    </w:p>
    <w:p>
      <w:pPr>
        <w:pStyle w:val="BodyText"/>
      </w:pPr>
      <w:r>
        <w:t xml:space="preserve">Le document précise chaque hypothèse simplificatrice avec sa source bibliographique, ce que</w:t>
      </w:r>
      <w:r>
        <w:t xml:space="preserve"> </w:t>
      </w:r>
      <w:r>
        <w:t xml:space="preserve">le modèle simule et ce qu’il laisse de côté (bobine, concentrateur, céramique, laminé,</w:t>
      </w:r>
      <w:r>
        <w:t xml:space="preserve"> </w:t>
      </w:r>
      <w:r>
        <w:t xml:space="preserve">suscepteur), les méthodes numériques, la démarche de calibration et de validation, les</w:t>
      </w:r>
      <w:r>
        <w:t xml:space="preserve"> </w:t>
      </w:r>
      <w:r>
        <w:t xml:space="preserve">limites identifiées, et l’ensemble des outils d’intelligence artificielle mobilisés pour le</w:t>
      </w:r>
      <w:r>
        <w:t xml:space="preserve"> </w:t>
      </w:r>
      <w:r>
        <w:t xml:space="preserve">développement. Il se termine sur les mesures et les développements de modélisation à venir.</w:t>
      </w:r>
    </w:p>
    <w:p>
      <w:r>
        <w:pict>
          <v:rect style="width:0;height:1.5pt" o:hralign="center" o:hrstd="t" o:hr="t"/>
        </w:pict>
      </w:r>
    </w:p>
    <w:bookmarkEnd w:id="9"/>
    <w:bookmarkStart w:id="10" w:name="contexte-et-objectifs"/>
    <w:p>
      <w:pPr>
        <w:pStyle w:val="Heading2"/>
      </w:pPr>
      <w:r>
        <w:t xml:space="preserve">1. Contexte et objectifs</w:t>
      </w:r>
    </w:p>
    <w:p>
      <w:pPr>
        <w:pStyle w:val="FirstParagraph"/>
      </w:pPr>
      <w:r>
        <w:t xml:space="preserve">Le soudage par induction assemble les composites à matrice thermoplastique (CFRTP) sans</w:t>
      </w:r>
      <w:r>
        <w:t xml:space="preserve"> </w:t>
      </w:r>
      <w:r>
        <w:t xml:space="preserve">apport de matière étrangère durable, en continu, et rapidement. Il atteint aujourd’hui un</w:t>
      </w:r>
      <w:r>
        <w:t xml:space="preserve"> </w:t>
      </w:r>
      <w:r>
        <w:t xml:space="preserve">niveau de maturité élevé pour les grandes pièces (Bayerl, Duhovic, Mitschang &amp;</w:t>
      </w:r>
      <w:r>
        <w:t xml:space="preserve"> </w:t>
      </w:r>
      <w:r>
        <w:t xml:space="preserve">Bhattacharyya, 2014). Le procédé repose sur une chaîne multiphysique : un champ magnétique</w:t>
      </w:r>
      <w:r>
        <w:t xml:space="preserve"> </w:t>
      </w:r>
      <w:r>
        <w:t xml:space="preserve">alternatif induit des courants de Foucault dans le réseau de fibres de carbone conductrices,</w:t>
      </w:r>
      <w:r>
        <w:t xml:space="preserve"> </w:t>
      </w:r>
      <w:r>
        <w:t xml:space="preserve">dont les pertes résistives (effet Joule) échauffent le matériau jusqu’à la fusion de la</w:t>
      </w:r>
      <w:r>
        <w:t xml:space="preserve"> </w:t>
      </w:r>
      <w:r>
        <w:t xml:space="preserve">matrice à l’interface de soudure.</w:t>
      </w:r>
    </w:p>
    <w:p>
      <w:pPr>
        <w:pStyle w:val="BodyText"/>
      </w:pPr>
      <w:r>
        <w:t xml:space="preserve">Le pilotage se heurte à une fenêtre de mise en œuvre étroite. Le PEKK fond à 337 °C, la cible</w:t>
      </w:r>
      <w:r>
        <w:t xml:space="preserve"> </w:t>
      </w:r>
      <w:r>
        <w:t xml:space="preserve">de soudage se situe entre 355 et 390 °C, et la dégradation commence vers 450 °C. Quelques</w:t>
      </w:r>
      <w:r>
        <w:t xml:space="preserve"> </w:t>
      </w:r>
      <w:r>
        <w:t xml:space="preserve">thermocouples ne donnent accès qu’à un petit nombre de points. La distribution spatiale</w:t>
      </w:r>
      <w:r>
        <w:t xml:space="preserve"> </w:t>
      </w:r>
      <w:r>
        <w:t xml:space="preserve">complète de la température, celle qui gouverne la qualité de la soudure sur toute la surface,</w:t>
      </w:r>
      <w:r>
        <w:t xml:space="preserve"> </w:t>
      </w:r>
      <w:r>
        <w:t xml:space="preserve">reste hors de portée de l’instrumentation.</w:t>
      </w:r>
    </w:p>
    <w:p>
      <w:pPr>
        <w:pStyle w:val="BodyText"/>
      </w:pPr>
      <w:r>
        <w:t xml:space="preserve">Le jumeau numérique poursuit trois objectifs :</w:t>
      </w:r>
    </w:p>
    <w:p>
      <w:pPr>
        <w:pStyle w:val="Compact"/>
        <w:numPr>
          <w:ilvl w:val="0"/>
          <w:numId w:val="1001"/>
        </w:numPr>
      </w:pPr>
      <w:r>
        <w:t xml:space="preserve">Prédire la carte de température (l’empreinte thermique) sur toute la zone de soudure, là</w:t>
      </w:r>
      <w:r>
        <w:t xml:space="preserve"> </w:t>
      </w:r>
      <w:r>
        <w:t xml:space="preserve">où aucun capteur ne se trouve.</w:t>
      </w:r>
    </w:p>
    <w:p>
      <w:pPr>
        <w:pStyle w:val="Compact"/>
        <w:numPr>
          <w:ilvl w:val="0"/>
          <w:numId w:val="1001"/>
        </w:numPr>
      </w:pPr>
      <w:r>
        <w:t xml:space="preserve">Servir de modèle de procédé (« plant model ») en vue d’un futur contrôle prédictif du</w:t>
      </w:r>
      <w:r>
        <w:t xml:space="preserve"> </w:t>
      </w:r>
      <w:r>
        <w:t xml:space="preserve">courant en temps réel.</w:t>
      </w:r>
    </w:p>
    <w:p>
      <w:pPr>
        <w:pStyle w:val="Compact"/>
        <w:numPr>
          <w:ilvl w:val="0"/>
          <w:numId w:val="1001"/>
        </w:numPr>
      </w:pPr>
      <w:r>
        <w:t xml:space="preserve">Documenter la démarche de modélisation et de validation pour un chapitre du mémoire.</w:t>
      </w:r>
    </w:p>
    <w:p>
      <w:pPr>
        <w:pStyle w:val="FirstParagraph"/>
      </w:pPr>
      <w:r>
        <w:t xml:space="preserve">Le jumeau s’appuie sur la campagne expérimentale. Il s’y calibre, s’y valide, et produit des</w:t>
      </w:r>
      <w:r>
        <w:t xml:space="preserve"> </w:t>
      </w:r>
      <w:r>
        <w:t xml:space="preserve">prédictions falsifiables qui orientent les prochaines mesures.</w:t>
      </w:r>
    </w:p>
    <w:p>
      <w:r>
        <w:pict>
          <v:rect style="width:0;height:1.5pt" o:hralign="center" o:hrstd="t" o:hr="t"/>
        </w:pict>
      </w:r>
    </w:p>
    <w:bookmarkEnd w:id="10"/>
    <w:bookmarkStart w:id="11" w:name="X1f509bc14f740da1fe154cb464203a2fd473ace"/>
    <w:p>
      <w:pPr>
        <w:pStyle w:val="Heading2"/>
      </w:pPr>
      <w:r>
        <w:t xml:space="preserve">2. Le problème physique et le montage modélisé</w:t>
      </w:r>
    </w:p>
    <w:p>
      <w:pPr>
        <w:pStyle w:val="FirstParagraph"/>
      </w:pPr>
      <w:r>
        <w:t xml:space="preserve">Le montage de référence est le banc de soudage par induction semi-statique du laboratoire,</w:t>
      </w:r>
      <w:r>
        <w:t xml:space="preserve"> </w:t>
      </w:r>
      <w:r>
        <w:t xml:space="preserve">hérité et instrumenté par plusieurs générations de travaux (O’Shaughnessey, 2014 ; Côté,</w:t>
      </w:r>
      <w:r>
        <w:t xml:space="preserve"> </w:t>
      </w:r>
      <w:r>
        <w:t xml:space="preserve">2018). La chaîne d’efforts et la géométrie se lisent de haut en bas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Rôle physique</w:t>
            </w:r>
          </w:p>
        </w:tc>
        <w:tc>
          <w:tcPr/>
          <w:p>
            <w:pPr>
              <w:pStyle w:val="Compact"/>
            </w:pPr>
            <w:r>
              <w:t xml:space="preserve">Dimensions / propriétés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Bobine hairpin (épingle)</w:t>
            </w:r>
          </w:p>
        </w:tc>
        <w:tc>
          <w:tcPr/>
          <w:p>
            <w:pPr>
              <w:pStyle w:val="Compact"/>
            </w:pPr>
            <w:r>
              <w:t xml:space="preserve">Génère le champ magnétique alternatif</w:t>
            </w:r>
          </w:p>
        </w:tc>
        <w:tc>
          <w:tcPr/>
          <w:p>
            <w:pPr>
              <w:pStyle w:val="Compact"/>
            </w:pPr>
            <w:r>
              <w:t xml:space="preserve">Deux brins de cuivre parallèles,</w:t>
            </w:r>
            <w:r>
              <w:t xml:space="preserve"> </w:t>
            </w:r>
            <w:r>
              <w:rPr>
                <w:b/>
                <w:bCs/>
              </w:rPr>
              <w:t xml:space="preserve">section carrée de 6 mm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gap de 6,35 mm</w:t>
            </w:r>
            <w:r>
              <w:t xml:space="preserve"> </w:t>
            </w:r>
            <w:r>
              <w:t xml:space="preserve">entre brins, soit un</w:t>
            </w:r>
            <w:r>
              <w:t xml:space="preserve"> </w:t>
            </w:r>
            <w:r>
              <w:rPr>
                <w:b/>
                <w:bCs/>
              </w:rPr>
              <w:t xml:space="preserve">entraxe centre-à-centre de 12,35 mm</w:t>
            </w:r>
            <w:r>
              <w:t xml:space="preserve"> </w:t>
            </w:r>
            <w:r>
              <w:t xml:space="preserve">; axe des brins à</w:t>
            </w:r>
            <w:r>
              <w:t xml:space="preserve"> </w:t>
            </w:r>
            <w:r>
              <w:rPr>
                <w:b/>
                <w:bCs/>
              </w:rPr>
              <w:t xml:space="preserve">5,0 mm</w:t>
            </w:r>
            <w:r>
              <w:t xml:space="preserve"> </w:t>
            </w:r>
            <w:r>
              <w:t xml:space="preserve">au-dessus du laminé (céramique 2 mm + demi-tube 3 mm) ; générateur Ambrell EASYHEAT 4,2 kW ; 388 kHz (relevé machine), 200 à 250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Concentrateur de flux (CFC)</w:t>
            </w:r>
          </w:p>
        </w:tc>
        <w:tc>
          <w:tcPr/>
          <w:p>
            <w:pPr>
              <w:pStyle w:val="Compact"/>
            </w:pPr>
            <w:r>
              <w:t xml:space="preserve">Canalise le flux magnétique vers l’échantillon</w:t>
            </w:r>
          </w:p>
        </w:tc>
        <w:tc>
          <w:tcPr/>
          <w:p>
            <w:pPr>
              <w:pStyle w:val="Compact"/>
            </w:pPr>
            <w:r>
              <w:t xml:space="preserve">Fluxtrol Ferrotron 559H, µr ≈ 16 ; 55 × 31,5 × 12 mm ; grand côté (55 mm) parallèle à la largeur de l’échantillon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Céramique d’espacement</w:t>
            </w:r>
          </w:p>
        </w:tc>
        <w:tc>
          <w:tcPr/>
          <w:p>
            <w:pPr>
              <w:pStyle w:val="Compact"/>
            </w:pPr>
            <w:r>
              <w:t xml:space="preserve">Fixe le gap bobine–laminé ; transparente au champ</w:t>
            </w:r>
          </w:p>
        </w:tc>
        <w:tc>
          <w:tcPr/>
          <w:p>
            <w:pPr>
              <w:pStyle w:val="Compact"/>
            </w:pPr>
            <w:r>
              <w:t xml:space="preserve">Pamitherm, 2 mm ; sert aussi de chemin de pression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Laminé supérieur</w:t>
            </w:r>
          </w:p>
        </w:tc>
        <w:tc>
          <w:tcPr/>
          <w:p>
            <w:pPr>
              <w:pStyle w:val="Compact"/>
            </w:pPr>
            <w:r>
              <w:t xml:space="preserve">Adhérent à souder ; porte le suscepteur</w:t>
            </w:r>
          </w:p>
        </w:tc>
        <w:tc>
          <w:tcPr/>
          <w:p>
            <w:pPr>
              <w:pStyle w:val="Compact"/>
            </w:pPr>
            <w:r>
              <w:t xml:space="preserve">CF/PEKK</w:t>
            </w:r>
            <w:r>
              <w:t xml:space="preserve"> </w:t>
            </w:r>
            <w:r>
              <w:rPr>
                <w:rStyle w:val="VerbatimChar"/>
              </w:rPr>
              <w:t xml:space="preserve">[45/-45/0/90]₃ₛ</w:t>
            </w:r>
            <w:r>
              <w:t xml:space="preserve">, 120 × 40 × 3,36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Pli twill (sergé) suscepteur</w:t>
            </w:r>
          </w:p>
        </w:tc>
        <w:tc>
          <w:tcPr/>
          <w:p>
            <w:pPr>
              <w:pStyle w:val="Compact"/>
            </w:pPr>
            <w:r>
              <w:t xml:space="preserve">Concentre les courants de Foucault à l’interface</w:t>
            </w:r>
          </w:p>
        </w:tc>
        <w:tc>
          <w:tcPr/>
          <w:p>
            <w:pPr>
              <w:pStyle w:val="Compact"/>
            </w:pPr>
            <w:r>
              <w:t xml:space="preserve">Tissu carbone à l’interface de soudure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Film PEKK</w:t>
            </w:r>
          </w:p>
        </w:tc>
        <w:tc>
          <w:tcPr/>
          <w:p>
            <w:pPr>
              <w:pStyle w:val="Compact"/>
            </w:pPr>
            <w:r>
              <w:t xml:space="preserve">Apport de matrice à l’interface</w:t>
            </w:r>
          </w:p>
        </w:tc>
        <w:tc>
          <w:tcPr/>
          <w:p>
            <w:pPr>
              <w:pStyle w:val="Compact"/>
            </w:pPr>
            <w:r>
              <w:t xml:space="preserve">environ 0,10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Laminé inférieur</w:t>
            </w:r>
          </w:p>
        </w:tc>
        <w:tc>
          <w:tcPr/>
          <w:p>
            <w:pPr>
              <w:pStyle w:val="Compact"/>
            </w:pPr>
            <w:r>
              <w:t xml:space="preserve">Second adhérent</w:t>
            </w:r>
          </w:p>
        </w:tc>
        <w:tc>
          <w:tcPr/>
          <w:p>
            <w:pPr>
              <w:pStyle w:val="Compact"/>
            </w:pPr>
            <w:r>
              <w:t xml:space="preserve">CF/PEKK</w:t>
            </w:r>
            <w:r>
              <w:t xml:space="preserve"> </w:t>
            </w:r>
            <w:r>
              <w:rPr>
                <w:rStyle w:val="VerbatimChar"/>
              </w:rPr>
              <w:t xml:space="preserve">[45/-45/0/90]₃ₛ</w:t>
            </w:r>
            <w:r>
              <w:t xml:space="preserve">, 120 × 40 × 3,36 mm</w:t>
            </w:r>
          </w:p>
        </w:tc>
      </w:tr>
    </w:tbl>
    <w:p>
      <w:pPr>
        <w:pStyle w:val="BodyText"/>
      </w:pPr>
      <w:r>
        <w:t xml:space="preserve">Deux faits géométriques gouvernent tout le comportement thermique.</w:t>
      </w:r>
    </w:p>
    <w:p>
      <w:pPr>
        <w:pStyle w:val="BodyText"/>
      </w:pPr>
      <w:r>
        <w:t xml:space="preserve">La bobine et le concentrateur débordent de la largeur de l’échantillon. Le grand côté du CFC</w:t>
      </w:r>
      <w:r>
        <w:t xml:space="preserve"> </w:t>
      </w:r>
      <w:r>
        <w:t xml:space="preserve">(55 mm) et les brins de la bobine dépassent des deux côtés du plan de l’échantillon (40 mm de</w:t>
      </w:r>
      <w:r>
        <w:t xml:space="preserve"> </w:t>
      </w:r>
      <w:r>
        <w:t xml:space="preserve">large). Le champ magnétique devient alors quasi uniforme sur toute la largeur, une</w:t>
      </w:r>
      <w:r>
        <w:t xml:space="preserve"> </w:t>
      </w:r>
      <w:r>
        <w:t xml:space="preserve">configuration qui pèse sur la forme de l’empreinte thermique (section 9).</w:t>
      </w:r>
    </w:p>
    <w:p>
      <w:pPr>
        <w:pStyle w:val="BodyText"/>
      </w:pPr>
      <w:r>
        <w:t xml:space="preserve">Le pli twill conduit l’électricité dans le plan environ 40 fois mieux que le laminé. Il porte</w:t>
      </w:r>
      <w:r>
        <w:t xml:space="preserve"> </w:t>
      </w:r>
      <w:r>
        <w:t xml:space="preserve">l’essentiel des courants de Foucault et concentre la chaleur à l’interface de soudure. Le</w:t>
      </w:r>
      <w:r>
        <w:t xml:space="preserve"> </w:t>
      </w:r>
      <w:r>
        <w:t xml:space="preserve">choix d’un tissu plutôt qu’un pli unidirectionnel a une raison physique : un renfort tissé</w:t>
      </w:r>
      <w:r>
        <w:t xml:space="preserve"> </w:t>
      </w:r>
      <w:r>
        <w:t xml:space="preserve">referme les boucles de courant dans les deux directions du plan, alors que dans un</w:t>
      </w:r>
      <w:r>
        <w:t xml:space="preserve"> </w:t>
      </w:r>
      <w:r>
        <w:t xml:space="preserve">unidirectionnel la formation des boucles reste largement stochastique (van den Berg,</w:t>
      </w:r>
      <w:r>
        <w:t xml:space="preserve"> </w:t>
      </w:r>
      <w:r>
        <w:t xml:space="preserve">Luckabauer, Wijskamp &amp; Akkerman, 2024 ; Fink, McCullough &amp; Gillespie, 1992).</w:t>
      </w:r>
    </w:p>
    <w:p>
      <w:pPr>
        <w:pStyle w:val="BodyText"/>
      </w:pPr>
      <w:r>
        <w:t xml:space="preserve">Le procédé est semi-statique. La bobine reste fixe, la table translate, et l’opérateur réalise</w:t>
      </w:r>
      <w:r>
        <w:t xml:space="preserve"> </w:t>
      </w:r>
      <w:r>
        <w:t xml:space="preserve">la soudure par quatre empreintes successives le long des 120 mm de longueur (pas de 30 mm).</w:t>
      </w:r>
      <w:r>
        <w:t xml:space="preserve"> </w:t>
      </w:r>
      <w:r>
        <w:t xml:space="preserve">Entre deux empreintes, le générateur est coupé le temps du repositionnement.</w:t>
      </w:r>
    </w:p>
    <w:p>
      <w:r>
        <w:pict>
          <v:rect style="width:0;height:1.5pt" o:hralign="center" o:hrstd="t" o:hr="t"/>
        </w:pict>
      </w:r>
    </w:p>
    <w:bookmarkEnd w:id="11"/>
    <w:bookmarkStart w:id="16" w:name="la-chaîne-physique-en-trois-maillons"/>
    <w:p>
      <w:pPr>
        <w:pStyle w:val="Heading2"/>
      </w:pPr>
      <w:r>
        <w:t xml:space="preserve">3. La chaîne physique en trois maillons</w:t>
      </w:r>
    </w:p>
    <w:p>
      <w:pPr>
        <w:pStyle w:val="FirstParagraph"/>
      </w:pPr>
      <w:r>
        <w:t xml:space="preserve">Le jumeau résout les trois maillons ci-dessous à la suite. Chacun forme un module logiciel</w:t>
      </w:r>
      <w:r>
        <w:t xml:space="preserve"> </w:t>
      </w:r>
      <w:r>
        <w:t xml:space="preserve">indépendant, vérifié séparément par des tests analytiques.</w:t>
      </w:r>
    </w:p>
    <w:bookmarkStart w:id="12" w:name="X2310ee3881e3c2c8f8b9ef9758c4ed0c636f8cc"/>
    <w:p>
      <w:pPr>
        <w:pStyle w:val="Heading3"/>
      </w:pPr>
      <w:r>
        <w:t xml:space="preserve">3.1 Champ magnétique : bobine hairpin et concentrateur de flux</w:t>
      </w:r>
    </w:p>
    <w:p>
      <w:pPr>
        <w:pStyle w:val="FirstParagraph"/>
      </w:pPr>
      <w:r>
        <w:t xml:space="preserve">Ce maillon calcule le champ magnétique alternatif</w:t>
      </w:r>
      <w:r>
        <w:t xml:space="preserve"> </w:t>
      </w:r>
      <w:r>
        <w:rPr>
          <w:rStyle w:val="VerbatimChar"/>
        </w:rPr>
        <w:t xml:space="preserve">Bz(x, y)</w:t>
      </w:r>
      <w:r>
        <w:t xml:space="preserve"> </w:t>
      </w:r>
      <w:r>
        <w:t xml:space="preserve">que la bobine crée dans le plan</w:t>
      </w:r>
      <w:r>
        <w:t xml:space="preserve"> </w:t>
      </w:r>
      <w:r>
        <w:t xml:space="preserve">de chaque couche conductrice du laminé.</w:t>
      </w:r>
    </w:p>
    <w:p>
      <w:pPr>
        <w:pStyle w:val="BodyText"/>
      </w:pPr>
      <w:r>
        <w:t xml:space="preserve">La bobine hairpin devient une polyligne de segments de courant, et le calcul emploie la loi</w:t>
      </w:r>
      <w:r>
        <w:t xml:space="preserve"> </w:t>
      </w:r>
      <w:r>
        <w:t xml:space="preserve">de Biot–Savart. L’entraxe des deux brins constitue l’entrée géométrique dominante de ce</w:t>
      </w:r>
      <w:r>
        <w:t xml:space="preserve"> </w:t>
      </w:r>
      <w:r>
        <w:t xml:space="preserve">maillon : il fixe la position des deux filaments de courant, donc la forme de</w:t>
      </w:r>
      <w:r>
        <w:t xml:space="preserve"> </w:t>
      </w:r>
      <w:r>
        <w:rPr>
          <w:rStyle w:val="VerbatimChar"/>
        </w:rPr>
        <w:t xml:space="preserve">Bz</w:t>
      </w:r>
      <w:r>
        <w:t xml:space="preserve"> </w:t>
      </w:r>
      <w:r>
        <w:t xml:space="preserve">et, en</w:t>
      </w:r>
      <w:r>
        <w:t xml:space="preserve"> </w:t>
      </w:r>
      <w:r>
        <w:t xml:space="preserve">cascade, celle de la source Joule. La section 9 documente ce qu’a coûté une erreur sur</w:t>
      </w:r>
      <w:r>
        <w:t xml:space="preserve"> </w:t>
      </w:r>
      <w:r>
        <w:t xml:space="preserve">cette seule cote. Le champ d’un segment rectiligne fini</w:t>
      </w:r>
      <w:r>
        <w:t xml:space="preserve"> </w:t>
      </w:r>
      <w:r>
        <w:rPr>
          <w:rStyle w:val="VerbatimChar"/>
        </w:rPr>
        <w:t xml:space="preserve">a → b</w:t>
      </w:r>
      <w:r>
        <w:t xml:space="preserve"> </w:t>
      </w:r>
      <w:r>
        <w:t xml:space="preserve">parcouru par un courant</w:t>
      </w:r>
      <w:r>
        <w:t xml:space="preserve"> </w:t>
      </w:r>
      <w:r>
        <w:rPr>
          <w:rStyle w:val="VerbatimChar"/>
        </w:rPr>
        <w:t xml:space="preserve">I</w:t>
      </w:r>
      <w:r>
        <w:t xml:space="preserve">, au</w:t>
      </w:r>
      <w:r>
        <w:t xml:space="preserve"> </w:t>
      </w:r>
      <w:r>
        <w:t xml:space="preserve">point d’observation</w:t>
      </w:r>
      <w:r>
        <w:t xml:space="preserve"> </w:t>
      </w:r>
      <w:r>
        <w:rPr>
          <w:rStyle w:val="VerbatimChar"/>
        </w:rPr>
        <w:t xml:space="preserve">P</w:t>
      </w:r>
      <w:r>
        <w:t xml:space="preserve">, s’écrit :</w:t>
      </w:r>
    </w:p>
    <w:p>
      <w:pPr>
        <w:pStyle w:val="SourceCode"/>
      </w:pPr>
      <w:r>
        <w:rPr>
          <w:rStyle w:val="VerbatimChar"/>
        </w:rPr>
        <w:t xml:space="preserve">B = (µ₀·I / 4π) · (û × r₁) / |û × r₁|²  · (û·r̂₁ − û·r̂₂)</w:t>
      </w:r>
    </w:p>
    <w:p>
      <w:pPr>
        <w:pStyle w:val="FirstParagraph"/>
      </w:pPr>
      <w:r>
        <w:t xml:space="preserve">où</w:t>
      </w:r>
      <w:r>
        <w:t xml:space="preserve"> </w:t>
      </w:r>
      <w:r>
        <w:rPr>
          <w:rStyle w:val="VerbatimChar"/>
        </w:rPr>
        <w:t xml:space="preserve">û</w:t>
      </w:r>
      <w:r>
        <w:t xml:space="preserve"> </w:t>
      </w:r>
      <w:r>
        <w:t xml:space="preserve">est le vecteur unitaire du segment,</w:t>
      </w:r>
      <w:r>
        <w:t xml:space="preserve"> </w:t>
      </w:r>
      <w:r>
        <w:rPr>
          <w:rStyle w:val="VerbatimChar"/>
        </w:rPr>
        <w:t xml:space="preserve">r₁ = P − a</w:t>
      </w:r>
      <w:r>
        <w:t xml:space="preserve">,</w:t>
      </w:r>
      <w:r>
        <w:t xml:space="preserve"> </w:t>
      </w:r>
      <w:r>
        <w:rPr>
          <w:rStyle w:val="VerbatimChar"/>
        </w:rPr>
        <w:t xml:space="preserve">r₂ = P − b</w:t>
      </w:r>
      <w:r>
        <w:t xml:space="preserve">. Le calcul se vectorise</w:t>
      </w:r>
      <w:r>
        <w:t xml:space="preserve"> </w:t>
      </w:r>
      <w:r>
        <w:t xml:space="preserve">sur l’ensemble des points de la grille. Vérification : le champ au centre d’une boucle</w:t>
      </w:r>
      <w:r>
        <w:t xml:space="preserve"> </w:t>
      </w:r>
      <w:r>
        <w:t xml:space="preserve">circulaire discrétisée en 200 côtés reproduit la formule analytique</w:t>
      </w:r>
      <w:r>
        <w:t xml:space="preserve"> </w:t>
      </w:r>
      <w:r>
        <w:rPr>
          <w:rStyle w:val="VerbatimChar"/>
        </w:rPr>
        <w:t xml:space="preserve">B_centre = µ₀·I / 2R</w:t>
      </w:r>
      <w:r>
        <w:t xml:space="preserve"> </w:t>
      </w:r>
      <w:r>
        <w:t xml:space="preserve">à</w:t>
      </w:r>
      <w:r>
        <w:t xml:space="preserve"> </w:t>
      </w:r>
      <w:r>
        <w:t xml:space="preserve">10⁻³ près, et le champ sur l’axe reproduit</w:t>
      </w:r>
      <w:r>
        <w:t xml:space="preserve"> </w:t>
      </w:r>
      <w:r>
        <w:rPr>
          <w:rStyle w:val="VerbatimChar"/>
        </w:rPr>
        <w:t xml:space="preserve">B = µ₀·I·R² / [2(R² + d²)^{3/2}]</w:t>
      </w:r>
      <w:r>
        <w:t xml:space="preserve"> </w:t>
      </w:r>
      <w:r>
        <w:t xml:space="preserve">(tests</w:t>
      </w:r>
      <w:r>
        <w:t xml:space="preserve"> </w:t>
      </w:r>
      <w:r>
        <w:rPr>
          <w:rStyle w:val="VerbatimChar"/>
        </w:rPr>
        <w:t xml:space="preserve">test_champ_coil.py</w:t>
      </w:r>
      <w:r>
        <w:t xml:space="preserve">).</w:t>
      </w:r>
    </w:p>
    <w:p>
      <w:pPr>
        <w:pStyle w:val="BodyText"/>
      </w:pPr>
      <w:r>
        <w:t xml:space="preserve">Le concentrateur de flux (CFC) passe par la méthode des courants images. Le bloc de Ferrotron</w:t>
      </w:r>
      <w:r>
        <w:t xml:space="preserve"> </w:t>
      </w:r>
      <w:r>
        <w:t xml:space="preserve">559H (µr ≈ 16) devient un demi-espace perméable : chaque segment de la bobine se réfléchit à</w:t>
      </w:r>
      <w:r>
        <w:t xml:space="preserve"> </w:t>
      </w:r>
      <w:r>
        <w:t xml:space="preserve">travers le plan inférieur du CFC avec un courant</w:t>
      </w:r>
      <w:r>
        <w:t xml:space="preserve"> </w:t>
      </w:r>
      <w:r>
        <w:rPr>
          <w:rStyle w:val="VerbatimChar"/>
        </w:rPr>
        <w:t xml:space="preserve">η·I</w:t>
      </w:r>
      <w:r>
        <w:t xml:space="preserve">, où le coefficient de raccord aux</w:t>
      </w:r>
      <w:r>
        <w:t xml:space="preserve"> </w:t>
      </w:r>
      <w:r>
        <w:t xml:space="preserve">interfaces vaut :</w:t>
      </w:r>
    </w:p>
    <w:p>
      <w:pPr>
        <w:pStyle w:val="SourceCode"/>
      </w:pPr>
      <w:r>
        <w:rPr>
          <w:rStyle w:val="VerbatimChar"/>
        </w:rPr>
        <w:t xml:space="preserve">η = (µr − 1) / (µr + 1) ≈ 0,88   pour µr = 16</w:t>
      </w:r>
    </w:p>
    <w:p>
      <w:pPr>
        <w:pStyle w:val="FirstParagraph"/>
      </w:pPr>
      <w:r>
        <w:t xml:space="preserve">Cette approximation capture au premier ordre l’intensification du champ sous l’empreinte du</w:t>
      </w:r>
      <w:r>
        <w:t xml:space="preserve"> </w:t>
      </w:r>
      <w:r>
        <w:t xml:space="preserve">concentrateur, l’effet même pour lequel on utilise un CFC. Elle laisse de côté la géométrie</w:t>
      </w:r>
      <w:r>
        <w:t xml:space="preserve"> </w:t>
      </w:r>
      <w:r>
        <w:t xml:space="preserve">exacte du bloc fini, une limite assumée (section 9).</w:t>
      </w:r>
    </w:p>
    <w:p>
      <w:pPr>
        <w:pStyle w:val="BodyText"/>
      </w:pPr>
      <w:r>
        <w:rPr>
          <w:b/>
          <w:bCs/>
        </w:rPr>
        <w:t xml:space="preserve">Sources.</w:t>
      </w:r>
      <w:r>
        <w:t xml:space="preserve"> </w:t>
      </w:r>
      <w:r>
        <w:t xml:space="preserve">O’Shaughnessey (2014) établit le principe du concentrateur de flux magnétique et</w:t>
      </w:r>
      <w:r>
        <w:t xml:space="preserve"> </w:t>
      </w:r>
      <w:r>
        <w:t xml:space="preserve">son intérêt pour homogénéiser le chauffage. Il note qu’aucun modèle de la littérature</w:t>
      </w:r>
      <w:r>
        <w:t xml:space="preserve"> </w:t>
      </w:r>
      <w:r>
        <w:t xml:space="preserve">antérieure ne prend en compte l’effet d’un concentrateur de flux magnétique. Les travaux</w:t>
      </w:r>
      <w:r>
        <w:t xml:space="preserve"> </w:t>
      </w:r>
      <w:r>
        <w:t xml:space="preserve">COMPAAM (Martin et al., 2024) recommandent de dimensionner le concentrateur plus étroit que la</w:t>
      </w:r>
      <w:r>
        <w:t xml:space="preserve"> </w:t>
      </w:r>
      <w:r>
        <w:t xml:space="preserve">zone de soudure pour limiter les effets de bord. Les propriétés du Ferrotron 559H viennent de</w:t>
      </w:r>
      <w:r>
        <w:t xml:space="preserve"> </w:t>
      </w:r>
      <w:r>
        <w:t xml:space="preserve">la fiche technique constructeur (Fluxtrol Inc.).</w:t>
      </w:r>
    </w:p>
    <w:p>
      <w:pPr>
        <w:pStyle w:val="BodyText"/>
      </w:pPr>
      <w:r>
        <w:rPr>
          <w:b/>
          <w:bCs/>
        </w:rPr>
        <w:t xml:space="preserve">Auto-échauffement du concentrateur.</w:t>
      </w:r>
      <w:r>
        <w:t xml:space="preserve"> </w:t>
      </w:r>
      <w:r>
        <w:t xml:space="preserve">Le modèle laisse de côté les pertes propres du CFC</w:t>
      </w:r>
      <w:r>
        <w:t xml:space="preserve"> </w:t>
      </w:r>
      <w:r>
        <w:t xml:space="preserve">(Joule et hystérésis dans le Ferrotron). Un chiffrage justifie cette omission. À partir de la</w:t>
      </w:r>
      <w:r>
        <w:t xml:space="preserve"> </w:t>
      </w:r>
      <w:r>
        <w:t xml:space="preserve">courbe de pertes constructeur (</w:t>
      </w:r>
      <w:r>
        <w:rPr>
          <w:rStyle w:val="VerbatimChar"/>
        </w:rPr>
        <w:t xml:space="preserve">Pv = 4,1·f^{1,1}·B^{2,5}</w:t>
      </w:r>
      <w:r>
        <w:t xml:space="preserve"> </w:t>
      </w:r>
      <w:r>
        <w:t xml:space="preserve">W/cm³) et du champ calculé dans le</w:t>
      </w:r>
      <w:r>
        <w:t xml:space="preserve"> </w:t>
      </w:r>
      <w:r>
        <w:t xml:space="preserve">volume du bloc à 250 A et 388 kHz, la puissance totale dissipée dans tout le concentrateur</w:t>
      </w:r>
      <w:r>
        <w:t xml:space="preserve"> </w:t>
      </w:r>
      <w:r>
        <w:t xml:space="preserve">(20,8 cm³) ne dépasse pas 0,6 à 1,4 W, soit 1 à 2 ordres de grandeur en dessous du seuil qui</w:t>
      </w:r>
      <w:r>
        <w:t xml:space="preserve"> </w:t>
      </w:r>
      <w:r>
        <w:t xml:space="preserve">influencerait le bilan thermique. Le mécanisme existe mais reste négligeable à cette échelle.</w:t>
      </w:r>
    </w:p>
    <w:bookmarkEnd w:id="12"/>
    <w:bookmarkStart w:id="13" w:name="X9ac5e3b155eeeaffc271b0bae191ff5a5e47e56"/>
    <w:p>
      <w:pPr>
        <w:pStyle w:val="Heading3"/>
      </w:pPr>
      <w:r>
        <w:t xml:space="preserve">3.2 Courants de Foucault : formulation plaque mince</w:t>
      </w:r>
    </w:p>
    <w:p>
      <w:pPr>
        <w:pStyle w:val="FirstParagraph"/>
      </w:pPr>
      <w:r>
        <w:t xml:space="preserve">Ce maillon calcule la densité de courants de Foucault que le champ</w:t>
      </w:r>
      <w:r>
        <w:t xml:space="preserve"> </w:t>
      </w:r>
      <w:r>
        <w:rPr>
          <w:rStyle w:val="VerbatimChar"/>
        </w:rPr>
        <w:t xml:space="preserve">Bz</w:t>
      </w:r>
      <w:r>
        <w:t xml:space="preserve"> </w:t>
      </w:r>
      <w:r>
        <w:t xml:space="preserve">variable induit dans</w:t>
      </w:r>
      <w:r>
        <w:t xml:space="preserve"> </w:t>
      </w:r>
      <w:r>
        <w:t xml:space="preserve">chaque couche conductrice.</w:t>
      </w:r>
    </w:p>
    <w:p>
      <w:pPr>
        <w:pStyle w:val="BodyText"/>
      </w:pPr>
      <w:r>
        <w:rPr>
          <w:b/>
          <w:bCs/>
        </w:rPr>
        <w:t xml:space="preserve">Le régime « plaque mince ».</w:t>
      </w:r>
      <w:r>
        <w:t xml:space="preserve"> </w:t>
      </w:r>
      <w:r>
        <w:t xml:space="preserve">À 388 kHz, la profondeur de pénétration du champ (effet de</w:t>
      </w:r>
      <w:r>
        <w:t xml:space="preserve"> </w:t>
      </w:r>
      <w:r>
        <w:t xml:space="preserve">peau) dans le laminé,</w:t>
      </w:r>
      <w:r>
        <w:t xml:space="preserve"> </w:t>
      </w:r>
      <w:r>
        <w:rPr>
          <w:rStyle w:val="VerbatimChar"/>
        </w:rPr>
        <w:t xml:space="preserve">δ = √(2ρ / µ₀ω) ≈ 6 mm</w:t>
      </w:r>
      <w:r>
        <w:t xml:space="preserve">, dépasse l’épaisseur du laminé (3,36 mm). Le</w:t>
      </w:r>
      <w:r>
        <w:t xml:space="preserve"> </w:t>
      </w:r>
      <w:r>
        <w:t xml:space="preserve">champ reste donc quasi uniforme dans l’épaisseur de chaque couche, et les courants induits</w:t>
      </w:r>
      <w:r>
        <w:t xml:space="preserve"> </w:t>
      </w:r>
      <w:r>
        <w:t xml:space="preserve">deviennent plans. Cette hypothèse justifie une analyse bidimensionnelle par couche. Lin</w:t>
      </w:r>
      <w:r>
        <w:t xml:space="preserve"> </w:t>
      </w:r>
      <w:r>
        <w:t xml:space="preserve">(1993) la formule ainsi : si le composite est mince et si la convection reste bien plus lente</w:t>
      </w:r>
      <w:r>
        <w:t xml:space="preserve"> </w:t>
      </w:r>
      <w:r>
        <w:t xml:space="preserve">que la conduction à travers l’épaisseur, on peut supposer la température uniforme dans</w:t>
      </w:r>
      <w:r>
        <w:t xml:space="preserve"> </w:t>
      </w:r>
      <w:r>
        <w:t xml:space="preserve">l’épaisseur, ce qui autorise une analyse en deux dimensions. Duhovic et al. (2012) fournissent</w:t>
      </w:r>
      <w:r>
        <w:t xml:space="preserve"> </w:t>
      </w:r>
      <w:r>
        <w:t xml:space="preserve">la valeur de la profondeur de peau pour du CF/PEEK et la règle pratique associée (au moins</w:t>
      </w:r>
      <w:r>
        <w:t xml:space="preserve"> </w:t>
      </w:r>
      <w:r>
        <w:t xml:space="preserve">deux éléments de maillage dans l’épaisseur de peau pour une erreur inférieure à 5 %).</w:t>
      </w:r>
    </w:p>
    <w:p>
      <w:pPr>
        <w:pStyle w:val="BodyText"/>
      </w:pPr>
      <w:r>
        <w:rPr>
          <w:b/>
          <w:bCs/>
        </w:rPr>
        <w:t xml:space="preserve">Formulation par fonction de courant.</w:t>
      </w:r>
      <w:r>
        <w:t xml:space="preserve"> </w:t>
      </w:r>
      <w:r>
        <w:t xml:space="preserve">Pour garantir que le courant induit reste à</w:t>
      </w:r>
      <w:r>
        <w:t xml:space="preserve"> </w:t>
      </w:r>
      <w:r>
        <w:t xml:space="preserve">divergence nulle (conservation de la charge,</w:t>
      </w:r>
      <w:r>
        <w:t xml:space="preserve"> </w:t>
      </w:r>
      <w:r>
        <w:rPr>
          <w:rStyle w:val="VerbatimChar"/>
        </w:rPr>
        <w:t xml:space="preserve">∇·J = 0</w:t>
      </w:r>
      <w:r>
        <w:t xml:space="preserve">), le calcul introduit une fonction de</w:t>
      </w:r>
      <w:r>
        <w:t xml:space="preserve"> </w:t>
      </w:r>
      <w:r>
        <w:t xml:space="preserve">courant</w:t>
      </w:r>
      <w:r>
        <w:t xml:space="preserve"> </w:t>
      </w:r>
      <w:r>
        <w:rPr>
          <w:rStyle w:val="VerbatimChar"/>
        </w:rPr>
        <w:t xml:space="preserve">ψ</w:t>
      </w:r>
      <w:r>
        <w:t xml:space="preserve"> </w:t>
      </w:r>
      <w:r>
        <w:t xml:space="preserve">telle que</w:t>
      </w:r>
      <w:r>
        <w:t xml:space="preserve"> </w:t>
      </w:r>
      <w:r>
        <w:rPr>
          <w:rStyle w:val="VerbatimChar"/>
        </w:rPr>
        <w:t xml:space="preserve">J = ∇×(ψ ẑ)</w:t>
      </w:r>
      <w:r>
        <w:t xml:space="preserve">, c’est-à-dire</w:t>
      </w:r>
      <w:r>
        <w:t xml:space="preserve"> </w:t>
      </w:r>
      <w:r>
        <w:rPr>
          <w:rStyle w:val="VerbatimChar"/>
        </w:rPr>
        <w:t xml:space="preserve">Jx = ∂ψ/∂y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Jy = −∂ψ/∂x</w:t>
      </w:r>
      <w:r>
        <w:t xml:space="preserve">. La loi de</w:t>
      </w:r>
      <w:r>
        <w:t xml:space="preserve"> </w:t>
      </w:r>
      <w:r>
        <w:t xml:space="preserve">Faraday en régime harmonique, combinée à la loi d’Ohm anisotrope</w:t>
      </w:r>
      <w:r>
        <w:t xml:space="preserve"> </w:t>
      </w:r>
      <w:r>
        <w:rPr>
          <w:rStyle w:val="VerbatimChar"/>
        </w:rPr>
        <w:t xml:space="preserve">E = ρ̃·J</w:t>
      </w:r>
      <w:r>
        <w:t xml:space="preserve">, donne l’équation</w:t>
      </w:r>
      <w:r>
        <w:t xml:space="preserve"> </w:t>
      </w:r>
      <w:r>
        <w:t xml:space="preserve">aux dérivées partielles que vérifie</w:t>
      </w:r>
      <w:r>
        <w:t xml:space="preserve"> </w:t>
      </w:r>
      <w:r>
        <w:rPr>
          <w:rStyle w:val="VerbatimChar"/>
        </w:rPr>
        <w:t xml:space="preserve">ψ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∂/∂x (ρyy · ∂ψ/∂x) + ∂/∂y (ρxx · ∂ψ/∂y) = ω · Bz</w:t>
      </w:r>
    </w:p>
    <w:p>
      <w:pPr>
        <w:pStyle w:val="FirstParagraph"/>
      </w:pPr>
      <w:r>
        <w:t xml:space="preserve">avec la condition aux limites</w:t>
      </w:r>
      <w:r>
        <w:t xml:space="preserve"> </w:t>
      </w:r>
      <w:r>
        <w:rPr>
          <w:rStyle w:val="VerbatimChar"/>
        </w:rPr>
        <w:t xml:space="preserve">ψ = 0</w:t>
      </w:r>
      <w:r>
        <w:t xml:space="preserve"> </w:t>
      </w:r>
      <w:r>
        <w:t xml:space="preserve">sur tout le pourtour de la plaque. Cette condition</w:t>
      </w:r>
      <w:r>
        <w:t xml:space="preserve"> </w:t>
      </w:r>
      <w:r>
        <w:t xml:space="preserve">traduit un fait simple : aucun courant ne traverse le chant de l’échantillon, les boucles de</w:t>
      </w:r>
      <w:r>
        <w:t xml:space="preserve"> </w:t>
      </w:r>
      <w:r>
        <w:t xml:space="preserve">Foucault se referment à l’intérieur du matériau.</w:t>
      </w:r>
      <w:r>
        <w:t xml:space="preserve"> </w:t>
      </w:r>
      <w:r>
        <w:rPr>
          <w:rStyle w:val="VerbatimChar"/>
        </w:rPr>
        <w:t xml:space="preserve">ρxx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ρyy</w:t>
      </w:r>
      <w:r>
        <w:t xml:space="preserve"> </w:t>
      </w:r>
      <w:r>
        <w:t xml:space="preserve">désignent les résistivités du</w:t>
      </w:r>
      <w:r>
        <w:t xml:space="preserve"> </w:t>
      </w:r>
      <w:r>
        <w:t xml:space="preserve">plan de la couche considérée,</w:t>
      </w:r>
      <w:r>
        <w:t xml:space="preserve"> </w:t>
      </w:r>
      <w:r>
        <w:rPr>
          <w:rStyle w:val="VerbatimChar"/>
        </w:rPr>
        <w:t xml:space="preserve">ω = 2πf</w:t>
      </w:r>
      <w:r>
        <w:t xml:space="preserve"> </w:t>
      </w:r>
      <w:r>
        <w:t xml:space="preserve">la pulsation,</w:t>
      </w:r>
      <w:r>
        <w:t xml:space="preserve"> </w:t>
      </w:r>
      <w:r>
        <w:rPr>
          <w:rStyle w:val="VerbatimChar"/>
        </w:rPr>
        <w:t xml:space="preserve">Bz</w:t>
      </w:r>
      <w:r>
        <w:t xml:space="preserve"> </w:t>
      </w:r>
      <w:r>
        <w:t xml:space="preserve">le champ (valeur efficace).</w:t>
      </w:r>
      <w:r>
        <w:t xml:space="preserve"> </w:t>
      </w:r>
      <w:r>
        <w:t xml:space="preserve">L’équation se résout par différences finies sur la grille du plan, avec un système linéaire</w:t>
      </w:r>
      <w:r>
        <w:t xml:space="preserve"> </w:t>
      </w:r>
      <w:r>
        <w:t xml:space="preserve">creux (</w:t>
      </w:r>
      <w:r>
        <w:rPr>
          <w:rStyle w:val="VerbatimChar"/>
        </w:rPr>
        <w:t xml:space="preserve">scipy.sparse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Sources.</w:t>
      </w:r>
      <w:r>
        <w:t xml:space="preserve"> </w:t>
      </w:r>
      <w:r>
        <w:t xml:space="preserve">Lin (1993) établit la formulation par pertes résistives (</w:t>
      </w:r>
      <w:r>
        <w:rPr>
          <w:rStyle w:val="VerbatimChar"/>
        </w:rPr>
        <w:t xml:space="preserve">q = J·E</w:t>
      </w:r>
      <w:r>
        <w:t xml:space="preserve">,</w:t>
      </w:r>
      <w:r>
        <w:t xml:space="preserve"> </w:t>
      </w:r>
      <w:r>
        <w:rPr>
          <w:rStyle w:val="VerbatimChar"/>
        </w:rPr>
        <w:t xml:space="preserve">J = σE</w:t>
      </w:r>
      <w:r>
        <w:t xml:space="preserve">,</w:t>
      </w:r>
      <w:r>
        <w:t xml:space="preserve"> </w:t>
      </w:r>
      <w:r>
        <w:rPr>
          <w:rStyle w:val="VerbatimChar"/>
        </w:rPr>
        <w:t xml:space="preserve">∇·J = 0</w:t>
      </w:r>
      <w:r>
        <w:t xml:space="preserve">) et la résolution par différences finies 2D de la répartition des courants de</w:t>
      </w:r>
      <w:r>
        <w:t xml:space="preserve"> </w:t>
      </w:r>
      <w:r>
        <w:t xml:space="preserve">Foucault sous une bobine de forme quelconque. Il montre aussi que les fibres de graphite</w:t>
      </w:r>
      <w:r>
        <w:t xml:space="preserve"> </w:t>
      </w:r>
      <w:r>
        <w:t xml:space="preserve">portent tous les courants de Foucault (leur conductivité, σ ≈ 10⁵ S/m, dépasse infiniment</w:t>
      </w:r>
      <w:r>
        <w:t xml:space="preserve"> </w:t>
      </w:r>
      <w:r>
        <w:t xml:space="preserve">celle de la matrice, σ ≈ 10⁻¹⁵ S/m), et qu’un circuit fermé de fibres reste nécessaire.</w:t>
      </w:r>
      <w:r>
        <w:t xml:space="preserve"> </w:t>
      </w:r>
      <w:r>
        <w:t xml:space="preserve">L’application au tenseur de conductivité anisotrope mesuré d’un laminé C/PEKK, avec</w:t>
      </w:r>
      <w:r>
        <w:t xml:space="preserve"> </w:t>
      </w:r>
      <w:r>
        <w:rPr>
          <w:rStyle w:val="VerbatimChar"/>
        </w:rPr>
        <w:t xml:space="preserve">µr = 1</w:t>
      </w:r>
      <w:r>
        <w:t xml:space="preserve"> </w:t>
      </w:r>
      <w:r>
        <w:t xml:space="preserve">pour le laminé, suit Grouve et al. (2020).</w:t>
      </w:r>
    </w:p>
    <w:p>
      <w:pPr>
        <w:pStyle w:val="BodyText"/>
      </w:pPr>
      <w:r>
        <w:rPr>
          <w:b/>
          <w:bCs/>
        </w:rPr>
        <w:t xml:space="preserve">Le champ de réaction (blindage).</w:t>
      </w:r>
      <w:r>
        <w:t xml:space="preserve"> </w:t>
      </w:r>
      <w:r>
        <w:t xml:space="preserve">Le champ que les courants induits créent en retour, et</w:t>
      </w:r>
      <w:r>
        <w:t xml:space="preserve"> </w:t>
      </w:r>
      <w:r>
        <w:t xml:space="preserve">qui s’oppose au champ excitateur, reste négligé par défaut. Une implémentation explicite l’a</w:t>
      </w:r>
      <w:r>
        <w:t xml:space="preserve"> </w:t>
      </w:r>
      <w:r>
        <w:t xml:space="preserve">ensuite évalué (section 9 et annexe) : son effet propre reste faible (0,2 à 0,6 % par couche),</w:t>
      </w:r>
      <w:r>
        <w:t xml:space="preserve"> </w:t>
      </w:r>
      <w:r>
        <w:t xml:space="preserve">et le facteur d’échelle calibré absorbe l’écart résiduel.</w:t>
      </w:r>
    </w:p>
    <w:p>
      <w:pPr>
        <w:pStyle w:val="BodyText"/>
      </w:pPr>
      <w:r>
        <w:rPr>
          <w:b/>
          <w:bCs/>
        </w:rPr>
        <w:t xml:space="preserve">Vérification.</w:t>
      </w:r>
      <w:r>
        <w:t xml:space="preserve"> </w:t>
      </w:r>
      <w:r>
        <w:t xml:space="preserve">Cinq tests couvrent le solveur de fonction de courant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test_foucault.py</w:t>
      </w:r>
      <w:r>
        <w:t xml:space="preserve">) : nullité de</w:t>
      </w:r>
      <w:r>
        <w:t xml:space="preserve"> </w:t>
      </w:r>
      <w:r>
        <w:rPr>
          <w:rStyle w:val="VerbatimChar"/>
        </w:rPr>
        <w:t xml:space="preserve">ψ</w:t>
      </w:r>
      <w:r>
        <w:t xml:space="preserve"> </w:t>
      </w:r>
      <w:r>
        <w:t xml:space="preserve">au bord, conservation des symétries dans le cas isotrope,</w:t>
      </w:r>
      <w:r>
        <w:t xml:space="preserve"> </w:t>
      </w:r>
      <w:r>
        <w:t xml:space="preserve">lois d’échelle exactes en</w:t>
      </w:r>
      <w:r>
        <w:t xml:space="preserve"> </w:t>
      </w:r>
      <w:r>
        <w:rPr>
          <w:rStyle w:val="VerbatimChar"/>
        </w:rPr>
        <w:t xml:space="preserve">ω</w:t>
      </w:r>
      <w:r>
        <w:t xml:space="preserve"> </w:t>
      </w:r>
      <w:r>
        <w:t xml:space="preserve">et en</w:t>
      </w:r>
      <w:r>
        <w:t xml:space="preserve"> </w:t>
      </w:r>
      <w:r>
        <w:rPr>
          <w:rStyle w:val="VerbatimChar"/>
        </w:rPr>
        <w:t xml:space="preserve">ρ</w:t>
      </w:r>
      <w:r>
        <w:t xml:space="preserve">, positivité de la dissipation, et satisfaction de</w:t>
      </w:r>
      <w:r>
        <w:t xml:space="preserve"> </w:t>
      </w:r>
      <w:r>
        <w:t xml:space="preserve">l’équation aux nœuds intérieurs.</w:t>
      </w:r>
    </w:p>
    <w:bookmarkEnd w:id="13"/>
    <w:bookmarkStart w:id="14" w:name="source-de-chaleur-effet-joule-par-couche"/>
    <w:p>
      <w:pPr>
        <w:pStyle w:val="Heading3"/>
      </w:pPr>
      <w:r>
        <w:t xml:space="preserve">3.3 Source de chaleur : effet Joule par couche</w:t>
      </w:r>
    </w:p>
    <w:p>
      <w:pPr>
        <w:pStyle w:val="FirstParagraph"/>
      </w:pPr>
      <w:r>
        <w:t xml:space="preserve">Ce maillon calcule la puissance volumique dissipée</w:t>
      </w:r>
      <w:r>
        <w:t xml:space="preserve"> </w:t>
      </w:r>
      <w:r>
        <w:rPr>
          <w:rStyle w:val="VerbatimChar"/>
        </w:rPr>
        <w:t xml:space="preserve">q(x, y)</w:t>
      </w:r>
      <w:r>
        <w:t xml:space="preserve"> </w:t>
      </w:r>
      <w:r>
        <w:t xml:space="preserve">dans chaque couche, à partir de</w:t>
      </w:r>
      <w:r>
        <w:t xml:space="preserve"> </w:t>
      </w:r>
      <w:r>
        <w:t xml:space="preserve">la fonction de courant.</w:t>
      </w:r>
    </w:p>
    <w:p>
      <w:pPr>
        <w:pStyle w:val="BodyText"/>
      </w:pPr>
      <w:r>
        <w:t xml:space="preserve">Une fois</w:t>
      </w:r>
      <w:r>
        <w:t xml:space="preserve"> </w:t>
      </w:r>
      <w:r>
        <w:rPr>
          <w:rStyle w:val="VerbatimChar"/>
        </w:rPr>
        <w:t xml:space="preserve">ψ</w:t>
      </w:r>
      <w:r>
        <w:t xml:space="preserve"> </w:t>
      </w:r>
      <w:r>
        <w:t xml:space="preserve">connu, la dissipation Joule moyenne (valeur efficace) s’écrit :</w:t>
      </w:r>
    </w:p>
    <w:p>
      <w:pPr>
        <w:pStyle w:val="SourceCode"/>
      </w:pPr>
      <w:r>
        <w:rPr>
          <w:rStyle w:val="VerbatimChar"/>
        </w:rPr>
        <w:t xml:space="preserve">q(x, y) = ρxx · Jx²  +  ρyy · Jy²     [W/m³]</w:t>
      </w:r>
    </w:p>
    <w:p>
      <w:pPr>
        <w:pStyle w:val="FirstParagraph"/>
      </w:pPr>
      <w:r>
        <w:t xml:space="preserve">Le calcul traite trois couches conductrices séparément, chacune avec son propre tenseur de</w:t>
      </w:r>
      <w:r>
        <w:t xml:space="preserve"> </w:t>
      </w:r>
      <w:r>
        <w:t xml:space="preserve">résistivité : le pli twill suscepteur (à l’interface, le plus conducteur, qui domine la</w:t>
      </w:r>
      <w:r>
        <w:t xml:space="preserve"> </w:t>
      </w:r>
      <w:r>
        <w:t xml:space="preserve">chaleur), le laminé supérieur et le laminé inférieur (homogénéisés). Un facteur d’atténuation</w:t>
      </w:r>
      <w:r>
        <w:t xml:space="preserve"> </w:t>
      </w:r>
      <w:r>
        <w:t xml:space="preserve">par effet de peau</w:t>
      </w:r>
      <w:r>
        <w:t xml:space="preserve"> </w:t>
      </w:r>
      <w:r>
        <w:rPr>
          <w:rStyle w:val="VerbatimChar"/>
        </w:rPr>
        <w:t xml:space="preserve">e^{−2t/δ}</w:t>
      </w:r>
      <w:r>
        <w:t xml:space="preserve"> </w:t>
      </w:r>
      <w:r>
        <w:t xml:space="preserve">s’applique aux couches situées sous une couche écran, pour</w:t>
      </w:r>
      <w:r>
        <w:t xml:space="preserve"> </w:t>
      </w:r>
      <w:r>
        <w:t xml:space="preserve">représenter le blindage inter-couches. La source volumique totale</w:t>
      </w:r>
      <w:r>
        <w:t xml:space="preserve"> </w:t>
      </w:r>
      <w:r>
        <w:rPr>
          <w:rStyle w:val="VerbatimChar"/>
        </w:rPr>
        <w:t xml:space="preserve">Q(x, y, z)</w:t>
      </w:r>
      <w:r>
        <w:t xml:space="preserve"> </w:t>
      </w:r>
      <w:r>
        <w:t xml:space="preserve">se dépose sur</w:t>
      </w:r>
      <w:r>
        <w:t xml:space="preserve"> </w:t>
      </w:r>
      <w:r>
        <w:t xml:space="preserve">la grille avec conservation de la puissance surfacique.</w:t>
      </w:r>
    </w:p>
    <w:p>
      <w:pPr>
        <w:pStyle w:val="BodyText"/>
      </w:pPr>
      <w:r>
        <w:t xml:space="preserve">Un facteur d’échelle unique,</w:t>
      </w:r>
      <w:r>
        <w:t xml:space="preserve"> </w:t>
      </w:r>
      <w:r>
        <w:rPr>
          <w:rStyle w:val="VerbatimChar"/>
        </w:rPr>
        <w:t xml:space="preserve">facteur_couplage</w:t>
      </w:r>
      <w:r>
        <w:t xml:space="preserve">, multiplie l’ensemble de la source. Il</w:t>
      </w:r>
      <w:r>
        <w:t xml:space="preserve"> </w:t>
      </w:r>
      <w:r>
        <w:t xml:space="preserve">absorbe les incertitudes physiques non résolues : blindage négligé, qualité des contacts</w:t>
      </w:r>
      <w:r>
        <w:t xml:space="preserve"> </w:t>
      </w:r>
      <w:r>
        <w:t xml:space="preserve">fibre-fibre, incertitude sur la conductivité effective. C’est l’un des trois paramètres</w:t>
      </w:r>
      <w:r>
        <w:t xml:space="preserve"> </w:t>
      </w:r>
      <w:r>
        <w:t xml:space="preserve">calibrés (section 7). Ce choix suit la logique du jumeau 1D antérieur et de son test de</w:t>
      </w:r>
      <w:r>
        <w:t xml:space="preserve"> </w:t>
      </w:r>
      <w:r>
        <w:t xml:space="preserve">vérification « boîte noire » (Samanis et al., 2026), qui a montré une contrainte : calibrer</w:t>
      </w:r>
      <w:r>
        <w:t xml:space="preserve"> </w:t>
      </w:r>
      <w:r>
        <w:t xml:space="preserve">la fréquence et le facteur d’échelle ensemble ne fonctionne pas, ils sont totalement corrélés.</w:t>
      </w:r>
      <w:r>
        <w:t xml:space="preserve"> </w:t>
      </w:r>
      <w:r>
        <w:t xml:space="preserve">La fréquence reste donc figée à sa valeur mesurée.</w:t>
      </w:r>
    </w:p>
    <w:p>
      <w:pPr>
        <w:pStyle w:val="BodyText"/>
      </w:pPr>
      <w:r>
        <w:rPr>
          <w:b/>
          <w:bCs/>
        </w:rPr>
        <w:t xml:space="preserve">Vérification.</w:t>
      </w:r>
      <w:r>
        <w:t xml:space="preserve"> </w:t>
      </w:r>
      <w:r>
        <w:t xml:space="preserve">La source croît bien en</w:t>
      </w:r>
      <w:r>
        <w:t xml:space="preserve"> </w:t>
      </w:r>
      <w:r>
        <w:rPr>
          <w:rStyle w:val="VerbatimChar"/>
        </w:rPr>
        <w:t xml:space="preserve">I²</w:t>
      </w:r>
      <w:r>
        <w:t xml:space="preserve"> </w:t>
      </w:r>
      <w:r>
        <w:t xml:space="preserve">(linéarité de Biot–Savart multipliée par la</w:t>
      </w:r>
      <w:r>
        <w:t xml:space="preserve"> </w:t>
      </w:r>
      <w:r>
        <w:t xml:space="preserve">dépendance quadratique de la dissipation), le pli twill porte plus de puissance que la face</w:t>
      </w:r>
      <w:r>
        <w:t xml:space="preserve"> </w:t>
      </w:r>
      <w:r>
        <w:t xml:space="preserve">opposée, et la source se localise sous l’empreinte active (</w:t>
      </w:r>
      <w:r>
        <w:rPr>
          <w:rStyle w:val="VerbatimChar"/>
        </w:rPr>
        <w:t xml:space="preserve">test_source_et_procede.py</w:t>
      </w:r>
      <w:r>
        <w:t xml:space="preserve">).</w:t>
      </w:r>
    </w:p>
    <w:bookmarkEnd w:id="14"/>
    <w:bookmarkStart w:id="15" w:name="X9cc5062b13935c271c5f6136e2d5c352176bd6d"/>
    <w:p>
      <w:pPr>
        <w:pStyle w:val="Heading3"/>
      </w:pPr>
      <w:r>
        <w:t xml:space="preserve">3.4 Transfert thermique transitoire avec fusion</w:t>
      </w:r>
    </w:p>
    <w:p>
      <w:pPr>
        <w:pStyle w:val="FirstParagraph"/>
      </w:pPr>
      <w:r>
        <w:t xml:space="preserve">Ce maillon calcule l’évolution du champ de température</w:t>
      </w:r>
      <w:r>
        <w:t xml:space="preserve"> </w:t>
      </w:r>
      <w:r>
        <w:rPr>
          <w:rStyle w:val="VerbatimChar"/>
        </w:rPr>
        <w:t xml:space="preserve">T(x, y, t)</w:t>
      </w:r>
      <w:r>
        <w:t xml:space="preserve"> </w:t>
      </w:r>
      <w:r>
        <w:t xml:space="preserve">sous l’effet de la source</w:t>
      </w:r>
      <w:r>
        <w:t xml:space="preserve"> </w:t>
      </w:r>
      <w:r>
        <w:t xml:space="preserve">Joule, de la conduction, des pertes de surface, et de la fusion.</w:t>
      </w:r>
    </w:p>
    <w:p>
      <w:pPr>
        <w:pStyle w:val="BodyText"/>
      </w:pPr>
      <w:r>
        <w:t xml:space="preserve">L’équation de la chaleur résolue s’écrit :</w:t>
      </w:r>
    </w:p>
    <w:p>
      <w:pPr>
        <w:pStyle w:val="SourceCode"/>
      </w:pPr>
      <w:r>
        <w:rPr>
          <w:rStyle w:val="VerbatimChar"/>
        </w:rPr>
        <w:t xml:space="preserve">ρ·cp(T) · ∂T/∂t = ∇·(k·∇T) + Q(x, y, z, t)</w:t>
      </w:r>
    </w:p>
    <w:p>
      <w:pPr>
        <w:pStyle w:val="FirstParagraph"/>
      </w:pPr>
      <w:r>
        <w:t xml:space="preserve">avec les termes de perte aux frontières : convection et rayonnement sur les faces libres (loi</w:t>
      </w:r>
      <w:r>
        <w:t xml:space="preserve"> </w:t>
      </w:r>
      <w:r>
        <w:t xml:space="preserve">de Stefan–Boltzmann, en kelvins), et conductance vers un puits thermique sous l’empreinte du</w:t>
      </w:r>
      <w:r>
        <w:t xml:space="preserve"> </w:t>
      </w:r>
      <w:r>
        <w:t xml:space="preserve">concentrateur, là où la bobine et le CFC refroidis à l’eau maintiennent une température basse.</w:t>
      </w:r>
      <w:r>
        <w:t xml:space="preserve"> </w:t>
      </w:r>
      <w:r>
        <w:t xml:space="preserve">Le modèle COMSOL d’O’Shaughnessey (2014) traite cette zone comme une température imposée ; le</w:t>
      </w:r>
      <w:r>
        <w:t xml:space="preserve"> </w:t>
      </w:r>
      <w:r>
        <w:t xml:space="preserve">jumeau la représente par une conductance de contact.</w:t>
      </w:r>
    </w:p>
    <w:p>
      <w:pPr>
        <w:pStyle w:val="BodyText"/>
      </w:pPr>
      <w:r>
        <w:rPr>
          <w:b/>
          <w:bCs/>
        </w:rPr>
        <w:t xml:space="preserve">La fusion du PEKK passe par une capacité thermique apparente.</w:t>
      </w:r>
      <w:r>
        <w:t xml:space="preserve"> </w:t>
      </w:r>
      <w:r>
        <w:t xml:space="preserve">Le pic endothermique de</w:t>
      </w:r>
      <w:r>
        <w:t xml:space="preserve"> </w:t>
      </w:r>
      <w:r>
        <w:t xml:space="preserve">fusion devient une gaussienne ajoutée à la capacité thermique de base :</w:t>
      </w:r>
    </w:p>
    <w:p>
      <w:pPr>
        <w:pStyle w:val="SourceCode"/>
      </w:pPr>
      <w:r>
        <w:rPr>
          <w:rStyle w:val="VerbatimChar"/>
        </w:rPr>
        <w:t xml:space="preserve">cp(T) = cp_base + (L_f / (σ_f·√(2π))) · exp[ −½·((T − Tf)/σ_f)² ]</w:t>
      </w:r>
    </w:p>
    <w:p>
      <w:pPr>
        <w:pStyle w:val="FirstParagraph"/>
      </w:pPr>
      <w:r>
        <w:t xml:space="preserve">avec</w:t>
      </w:r>
      <w:r>
        <w:t xml:space="preserve"> </w:t>
      </w:r>
      <w:r>
        <w:rPr>
          <w:rStyle w:val="VerbatimChar"/>
        </w:rPr>
        <w:t xml:space="preserve">Tf = 337 °C</w:t>
      </w:r>
      <w:r>
        <w:t xml:space="preserve"> </w:t>
      </w:r>
      <w:r>
        <w:t xml:space="preserve">(fusion PEKK),</w:t>
      </w:r>
      <w:r>
        <w:t xml:space="preserve"> </w:t>
      </w:r>
      <w:r>
        <w:rPr>
          <w:rStyle w:val="VerbatimChar"/>
        </w:rPr>
        <w:t xml:space="preserve">L_f = 130 kJ/kg</w:t>
      </w:r>
      <w:r>
        <w:t xml:space="preserve"> </w:t>
      </w:r>
      <w:r>
        <w:t xml:space="preserve">(chaleur latente) et</w:t>
      </w:r>
      <w:r>
        <w:t xml:space="preserve"> </w:t>
      </w:r>
      <w:r>
        <w:rPr>
          <w:rStyle w:val="VerbatimChar"/>
        </w:rPr>
        <w:t xml:space="preserve">σ_f = ΔT_fusion / 2</w:t>
      </w:r>
      <w:r>
        <w:t xml:space="preserve">. Cette approche « statistique » du pic de fusion (distribution de températures de fusion</w:t>
      </w:r>
      <w:r>
        <w:t xml:space="preserve"> </w:t>
      </w:r>
      <w:r>
        <w:t xml:space="preserve">des lamelles cristallines) suit Greco &amp; Maffezzoli, telle que Lionetto et al. (2017, éq. 8-9)</w:t>
      </w:r>
      <w:r>
        <w:t xml:space="preserve"> </w:t>
      </w:r>
      <w:r>
        <w:t xml:space="preserve">et le jumeau 1D antérieur (Samanis et al., 2026) l’implémentent. Le degré de fusion</w:t>
      </w:r>
      <w:r>
        <w:t xml:space="preserve"> </w:t>
      </w:r>
      <w:r>
        <w:rPr>
          <w:rStyle w:val="VerbatimChar"/>
        </w:rPr>
        <w:t xml:space="preserve">Xm(T)</w:t>
      </w:r>
      <w:r>
        <w:t xml:space="preserve"> </w:t>
      </w:r>
      <w:r>
        <w:t xml:space="preserve">s’en déduit comme la fonction de répartition de cette gaussienne. C’est la grandeur qui permet</w:t>
      </w:r>
      <w:r>
        <w:t xml:space="preserve"> </w:t>
      </w:r>
      <w:r>
        <w:t xml:space="preserve">de tracer, comme dans la Figure 5 de Lionetto et al. (2017), l’évolution du degré de fusion et</w:t>
      </w:r>
      <w:r>
        <w:t xml:space="preserve"> </w:t>
      </w:r>
      <w:r>
        <w:t xml:space="preserve">le « temps à l’état fondu ».</w:t>
      </w:r>
    </w:p>
    <w:p>
      <w:pPr>
        <w:pStyle w:val="BodyText"/>
      </w:pPr>
      <w:r>
        <w:rPr>
          <w:b/>
          <w:bCs/>
        </w:rPr>
        <w:t xml:space="preserve">La méthode des lignes.</w:t>
      </w:r>
      <w:r>
        <w:t xml:space="preserve"> </w:t>
      </w:r>
      <w:r>
        <w:t xml:space="preserve">Le domaine se discrétise en espace par différences finies, ce qui</w:t>
      </w:r>
      <w:r>
        <w:t xml:space="preserve"> </w:t>
      </w:r>
      <w:r>
        <w:t xml:space="preserve">transforme l’équation aux dérivées partielles en un grand système d’équations différentielles</w:t>
      </w:r>
      <w:r>
        <w:t xml:space="preserve"> </w:t>
      </w:r>
      <w:r>
        <w:t xml:space="preserve">ordinaires en temps. Un schéma implicite BDF (adapté aux problèmes raides) intègre ce système</w:t>
      </w:r>
      <w:r>
        <w:t xml:space="preserve"> </w:t>
      </w:r>
      <w:r>
        <w:t xml:space="preserve">avec jacobien creux (</w:t>
      </w:r>
      <w:r>
        <w:rPr>
          <w:rStyle w:val="VerbatimChar"/>
        </w:rPr>
        <w:t xml:space="preserve">scipy.integrate.solve_ivp</w:t>
      </w:r>
      <w:r>
        <w:t xml:space="preserve">, méthode</w:t>
      </w:r>
      <w:r>
        <w:t xml:space="preserve"> </w:t>
      </w:r>
      <w:r>
        <w:rPr>
          <w:rStyle w:val="VerbatimChar"/>
        </w:rPr>
        <w:t xml:space="preserve">BDF</w:t>
      </w:r>
      <w:r>
        <w:t xml:space="preserve">). Le jumeau 1D validé</w:t>
      </w:r>
      <w:r>
        <w:t xml:space="preserve"> </w:t>
      </w:r>
      <w:r>
        <w:t xml:space="preserve">antérieurement et la référence de procédé (Samanis et al., 2026, éq. 2-3) emploient la même</w:t>
      </w:r>
      <w:r>
        <w:t xml:space="preserve"> </w:t>
      </w:r>
      <w:r>
        <w:t xml:space="preserve">approche.</w:t>
      </w:r>
    </w:p>
    <w:p>
      <w:pPr>
        <w:pStyle w:val="BodyText"/>
      </w:pPr>
      <w:r>
        <w:rPr>
          <w:b/>
          <w:bCs/>
        </w:rPr>
        <w:t xml:space="preserve">Deux variantes de solveur coexistent</w:t>
      </w:r>
      <w:r>
        <w:t xml:space="preserve"> </w:t>
      </w:r>
      <w:r>
        <w:t xml:space="preserve">dans le code :</w:t>
      </w:r>
    </w:p>
    <w:p>
      <w:pPr>
        <w:pStyle w:val="Compact"/>
        <w:numPr>
          <w:ilvl w:val="0"/>
          <w:numId w:val="1002"/>
        </w:numPr>
      </w:pPr>
      <w:r>
        <w:t xml:space="preserve">Un solveur 3D (plan et épaisseur) qui résout le gradient dans l’épaisseur du stack. Il sert</w:t>
      </w:r>
      <w:r>
        <w:t xml:space="preserve"> </w:t>
      </w:r>
      <w:r>
        <w:t xml:space="preserve">à produire les cartes d’empreinte et à étudier le gradient d’épaisseur.</w:t>
      </w:r>
    </w:p>
    <w:p>
      <w:pPr>
        <w:pStyle w:val="Compact"/>
        <w:numPr>
          <w:ilvl w:val="0"/>
          <w:numId w:val="1002"/>
        </w:numPr>
      </w:pPr>
      <w:r>
        <w:t xml:space="preserve">Un solveur 2D « lumpé » (le modèle de travail quotidien) qui réduit le stack à une seule</w:t>
      </w:r>
      <w:r>
        <w:t xml:space="preserve"> </w:t>
      </w:r>
      <w:r>
        <w:t xml:space="preserve">maille dans l’épaisseur et ne résout que la température de l’interface. Une raison le</w:t>
      </w:r>
      <w:r>
        <w:t xml:space="preserve"> </w:t>
      </w:r>
      <w:r>
        <w:t xml:space="preserve">justifie : tous les thermocouples des essais se trouvent à l’interface. Résoudre l’épaisseur</w:t>
      </w:r>
      <w:r>
        <w:t xml:space="preserve"> </w:t>
      </w:r>
      <w:r>
        <w:t xml:space="preserve">ne servirait qu’à alimenter un écart structurel non corrigeable (le déficit de chauffe en</w:t>
      </w:r>
      <w:r>
        <w:t xml:space="preserve"> </w:t>
      </w:r>
      <w:r>
        <w:t xml:space="preserve">surface, section 9), au prix d’un facteur environ 10 sur le temps de calcul (2 à 4 min par</w:t>
      </w:r>
      <w:r>
        <w:t xml:space="preserve"> </w:t>
      </w:r>
      <w:r>
        <w:t xml:space="preserve">essai en 2D contre environ 30 min en 3D).</w:t>
      </w:r>
    </w:p>
    <w:p>
      <w:pPr>
        <w:pStyle w:val="FirstParagraph"/>
      </w:pPr>
      <w:r>
        <w:rPr>
          <w:b/>
          <w:bCs/>
        </w:rPr>
        <w:t xml:space="preserve">Vérification.</w:t>
      </w:r>
      <w:r>
        <w:t xml:space="preserve"> </w:t>
      </w:r>
      <w:r>
        <w:t xml:space="preserve">Des bilans exacts couvrent le solveur thermique : équilibre sans source,</w:t>
      </w:r>
      <w:r>
        <w:t xml:space="preserve"> </w:t>
      </w:r>
      <w:r>
        <w:t xml:space="preserve">conservation de l’énergie en régime adiabatique (ΔT = ∫Q·dt / ρcp, à 10⁻⁴ près), et une</w:t>
      </w:r>
      <w:r>
        <w:t xml:space="preserve"> </w:t>
      </w:r>
      <w:r>
        <w:t xml:space="preserve">régression du modèle 3D contre le modèle 1D antérieur (colonne centrale d’une grande plaque,</w:t>
      </w:r>
      <w:r>
        <w:t xml:space="preserve"> </w:t>
      </w:r>
      <w:r>
        <w:t xml:space="preserve">écart inférieur à 1,5 °C sur les deux faces). Voir</w:t>
      </w:r>
      <w:r>
        <w:t xml:space="preserve"> </w:t>
      </w:r>
      <w:r>
        <w:rPr>
          <w:rStyle w:val="VerbatimChar"/>
        </w:rPr>
        <w:t xml:space="preserve">test_thermique.py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c70902363a3084697359a20585ecefc5db1fb82"/>
    <w:p>
      <w:pPr>
        <w:pStyle w:val="Heading2"/>
      </w:pPr>
      <w:r>
        <w:t xml:space="preserve">4. Ce que le modèle simule, et ce qu’il laisse de côté</w:t>
      </w:r>
    </w:p>
    <w:p>
      <w:pPr>
        <w:pStyle w:val="FirstParagraph"/>
      </w:pPr>
      <w:r>
        <w:t xml:space="preserve">Le périmètre exact du jumeau se répartit en trois catégories.</w:t>
      </w:r>
    </w:p>
    <w:p>
      <w:pPr>
        <w:pStyle w:val="BodyText"/>
      </w:pPr>
      <w:r>
        <w:rPr>
          <w:b/>
          <w:bCs/>
        </w:rPr>
        <w:t xml:space="preserve">Éléments simulés explicitement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Modélisation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 bobine (coil)</w:t>
            </w:r>
          </w:p>
        </w:tc>
        <w:tc>
          <w:tcPr/>
          <w:p>
            <w:pPr>
              <w:pStyle w:val="Compact"/>
            </w:pPr>
            <w:r>
              <w:t xml:space="preserve">Polyligne de segments de courant ; champ par Biot–Savart. Dimensions mesurées sur la CAO du montage.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 concentrateur de flux (CFC)</w:t>
            </w:r>
          </w:p>
        </w:tc>
        <w:tc>
          <w:tcPr/>
          <w:p>
            <w:pPr>
              <w:pStyle w:val="Compact"/>
            </w:pPr>
            <w:r>
              <w:t xml:space="preserve">Courants images d’un demi-espace perméable (µr = 16), qui intensifient le champ sous l’empreinte.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 laminé (2 adhérents)</w:t>
            </w:r>
          </w:p>
        </w:tc>
        <w:tc>
          <w:tcPr/>
          <w:p>
            <w:pPr>
              <w:pStyle w:val="Compact"/>
            </w:pPr>
            <w:r>
              <w:t xml:space="preserve">Milieu conducteur homogénéisé (tenseurs σ et k) pour l’EM et la thermique ; siège de courants de Foucault et de conduction thermique.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 pli twill suscepteur</w:t>
            </w:r>
          </w:p>
        </w:tc>
        <w:tc>
          <w:tcPr/>
          <w:p>
            <w:pPr>
              <w:pStyle w:val="Compact"/>
            </w:pPr>
            <w:r>
              <w:t xml:space="preserve">Couche conductrice distincte à l’interface, la plus conductrice, siège principal de la chaleur.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 fusion du PEKK</w:t>
            </w:r>
          </w:p>
        </w:tc>
        <w:tc>
          <w:tcPr/>
          <w:p>
            <w:pPr>
              <w:pStyle w:val="Compact"/>
            </w:pPr>
            <w:r>
              <w:t xml:space="preserve">Capacité thermique apparente (pic gaussien), d’où le degré de fusion.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 procédé</w:t>
            </w:r>
          </w:p>
        </w:tc>
        <w:tc>
          <w:tcPr/>
          <w:p>
            <w:pPr>
              <w:pStyle w:val="Compact"/>
            </w:pPr>
            <w:r>
              <w:t xml:space="preserve">4 empreintes successives, coupure de source sur consigne de température.</w:t>
            </w:r>
          </w:p>
        </w:tc>
      </w:tr>
    </w:tbl>
    <w:p>
      <w:pPr>
        <w:pStyle w:val="BodyText"/>
      </w:pPr>
      <w:r>
        <w:rPr>
          <w:b/>
          <w:bCs/>
        </w:rPr>
        <w:t xml:space="preserve">Éléments modélisés de façon simplifiée (effectif, pas résolu)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Traitement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 céramique d’espacement</w:t>
            </w:r>
          </w:p>
        </w:tc>
        <w:tc>
          <w:tcPr/>
          <w:p>
            <w:pPr>
              <w:pStyle w:val="Compact"/>
            </w:pPr>
            <w:r>
              <w:t xml:space="preserve">Le modèle ne la traite pas comme un domaine de calcul. Elle reste électromagnétiquement transparente (elle fixe seulement le gap de 2 mm) et n’intervient qu’à travers la conductance de contact vers le puits thermique froid (bobine et CFC refroidis). Ce choix a un fondement physique : la céramique Pamitherm a une perméabilité négligeable et une faible conductivité, et le modèle COMSOL de référence (O’Shaughnessey, 2014) la traite de même.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 refroidissement bobine/CFC</w:t>
            </w:r>
          </w:p>
        </w:tc>
        <w:tc>
          <w:tcPr/>
          <w:p>
            <w:pPr>
              <w:pStyle w:val="Compact"/>
            </w:pPr>
            <w:r>
              <w:t xml:space="preserve">Un puits thermique à température imposée (20 °C) sous l’empreinte le représente.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Les pertes de convection/rayonnement</w:t>
            </w:r>
          </w:p>
        </w:tc>
        <w:tc>
          <w:tcPr/>
          <w:p>
            <w:pPr>
              <w:pStyle w:val="Compact"/>
            </w:pPr>
            <w:r>
              <w:t xml:space="preserve">Coefficients effectifs calibrés (les valeurs de la littérature vont de 5 à 15 W/m²·K).</w:t>
            </w:r>
          </w:p>
        </w:tc>
      </w:tr>
    </w:tbl>
    <w:p>
      <w:pPr>
        <w:pStyle w:val="BodyText"/>
      </w:pPr>
      <w:r>
        <w:rPr>
          <w:b/>
          <w:bCs/>
        </w:rPr>
        <w:t xml:space="preserve">Éléments hors périmètre actuel :</w:t>
      </w:r>
    </w:p>
    <w:p>
      <w:pPr>
        <w:pStyle w:val="Compact"/>
        <w:numPr>
          <w:ilvl w:val="0"/>
          <w:numId w:val="1003"/>
        </w:numPr>
      </w:pPr>
      <w:r>
        <w:t xml:space="preserve">Les pertes propres du concentrateur (chiffrées négligeables, section 3.1).</w:t>
      </w:r>
    </w:p>
    <w:p>
      <w:pPr>
        <w:pStyle w:val="Compact"/>
        <w:numPr>
          <w:ilvl w:val="0"/>
          <w:numId w:val="1003"/>
        </w:numPr>
      </w:pPr>
      <w:r>
        <w:t xml:space="preserve">La mécanique : pression de consolidation, squeeze-out, déformation.</w:t>
      </w:r>
    </w:p>
    <w:p>
      <w:pPr>
        <w:pStyle w:val="Compact"/>
        <w:numPr>
          <w:ilvl w:val="0"/>
          <w:numId w:val="1003"/>
        </w:numPr>
      </w:pPr>
      <w:r>
        <w:t xml:space="preserve">La cinétique de cristallisation au refroidissement. Le modèle traite le degré de fusion, pas</w:t>
      </w:r>
      <w:r>
        <w:t xml:space="preserve"> </w:t>
      </w:r>
      <w:r>
        <w:t xml:space="preserve">le degré de cristallinité (une extension possible via le modèle d’Ozawa, comme chez Lionetto</w:t>
      </w:r>
      <w:r>
        <w:t xml:space="preserve"> </w:t>
      </w:r>
      <w:r>
        <w:t xml:space="preserve">et al., 2017).</w:t>
      </w:r>
    </w:p>
    <w:p>
      <w:pPr>
        <w:pStyle w:val="Compact"/>
        <w:numPr>
          <w:ilvl w:val="0"/>
          <w:numId w:val="1003"/>
        </w:numPr>
      </w:pPr>
      <w:r>
        <w:t xml:space="preserve">La dépendance en température des propriétés (σ, cp restent constants ; voir la limite et la</w:t>
      </w:r>
      <w:r>
        <w:t xml:space="preserve"> </w:t>
      </w:r>
      <w:r>
        <w:t xml:space="preserve">piste en sections 9 et 11).</w:t>
      </w:r>
    </w:p>
    <w:p>
      <w:pPr>
        <w:pStyle w:val="Compact"/>
        <w:numPr>
          <w:ilvl w:val="0"/>
          <w:numId w:val="1003"/>
        </w:numPr>
      </w:pPr>
      <w:r>
        <w:t xml:space="preserve">Les pertes diélectriques (négligées, conformément à O’Shaughnessey, 2014, §3.1.3).</w:t>
      </w:r>
    </w:p>
    <w:p>
      <w:r>
        <w:pict>
          <v:rect style="width:0;height:1.5pt" o:hralign="center" o:hrstd="t" o:hr="t"/>
        </w:pict>
      </w:r>
    </w:p>
    <w:bookmarkEnd w:id="17"/>
    <w:bookmarkStart w:id="18" w:name="propriétés-matériaux-et-leurs-sources"/>
    <w:p>
      <w:pPr>
        <w:pStyle w:val="Heading2"/>
      </w:pPr>
      <w:r>
        <w:t xml:space="preserve">5. Propriétés matériaux et leurs sources</w:t>
      </w:r>
    </w:p>
    <w:p>
      <w:pPr>
        <w:pStyle w:val="FirstParagraph"/>
      </w:pPr>
      <w:r>
        <w:t xml:space="preserve">Un fichier de configuration unique (</w:t>
      </w:r>
      <w:r>
        <w:rPr>
          <w:rStyle w:val="VerbatimChar"/>
        </w:rPr>
        <w:t xml:space="preserve">config/materiaux.yaml</w:t>
      </w:r>
      <w:r>
        <w:t xml:space="preserve">) consigne toutes les propriétés,</w:t>
      </w:r>
      <w:r>
        <w:t xml:space="preserve"> </w:t>
      </w:r>
      <w:r>
        <w:t xml:space="preserve">chaque valeur portant sa source. Les valeurs marquées « incertain » entrent dans la</w:t>
      </w:r>
      <w:r>
        <w:t xml:space="preserve"> </w:t>
      </w:r>
      <w:r>
        <w:t xml:space="preserve">calibration.</w:t>
      </w:r>
    </w:p>
    <w:p>
      <w:pPr>
        <w:pStyle w:val="BodyText"/>
      </w:pPr>
      <w:r>
        <w:rPr>
          <w:b/>
          <w:bCs/>
        </w:rPr>
        <w:t xml:space="preserve">CF/PEKK (laminé homogénéisé)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Propriété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Densité</w:t>
            </w:r>
          </w:p>
        </w:tc>
        <w:tc>
          <w:tcPr/>
          <w:p>
            <w:pPr>
              <w:pStyle w:val="Compact"/>
            </w:pPr>
            <w:r>
              <w:t xml:space="preserve">1600 kg/m³</w:t>
            </w:r>
          </w:p>
        </w:tc>
        <w:tc>
          <w:tcPr/>
          <w:p>
            <w:pPr>
              <w:pStyle w:val="Compact"/>
            </w:pPr>
            <w:r>
              <w:t xml:space="preserve">CF/PEKK Solvay APC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Capacité thermique (hors fusion)</w:t>
            </w:r>
          </w:p>
        </w:tc>
        <w:tc>
          <w:tcPr/>
          <w:p>
            <w:pPr>
              <w:pStyle w:val="Compact"/>
            </w:pPr>
            <w:r>
              <w:t xml:space="preserve">1200 J/kg·K</w:t>
            </w:r>
          </w:p>
        </w:tc>
        <w:tc>
          <w:tcPr/>
          <w:p>
            <w:pPr>
              <w:pStyle w:val="Compact"/>
            </w:pPr>
            <w:r>
              <w:t xml:space="preserve">jumeau 1D antérieur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Température de fusion Tf</w:t>
            </w:r>
          </w:p>
        </w:tc>
        <w:tc>
          <w:tcPr/>
          <w:p>
            <w:pPr>
              <w:pStyle w:val="Compact"/>
            </w:pPr>
            <w:r>
              <w:t xml:space="preserve">337 °C</w:t>
            </w:r>
          </w:p>
        </w:tc>
        <w:tc>
          <w:tcPr/>
          <w:p>
            <w:pPr>
              <w:pStyle w:val="Compact"/>
            </w:pPr>
            <w:r>
              <w:t xml:space="preserve">PEKK Solvay APC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Chaleur latente de fusion L_f</w:t>
            </w:r>
          </w:p>
        </w:tc>
        <w:tc>
          <w:tcPr/>
          <w:p>
            <w:pPr>
              <w:pStyle w:val="Compact"/>
            </w:pPr>
            <w:r>
              <w:t xml:space="preserve">130 kJ/kg</w:t>
            </w:r>
          </w:p>
        </w:tc>
        <w:tc>
          <w:tcPr/>
          <w:p>
            <w:pPr>
              <w:pStyle w:val="Compact"/>
            </w:pPr>
            <w:r>
              <w:t xml:space="preserve">Lionetto et al. (2017)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Température de transition vitreuse Tg</w:t>
            </w:r>
          </w:p>
        </w:tc>
        <w:tc>
          <w:tcPr/>
          <w:p>
            <w:pPr>
              <w:pStyle w:val="Compact"/>
            </w:pPr>
            <w:r>
              <w:t xml:space="preserve">159 °C</w:t>
            </w:r>
          </w:p>
        </w:tc>
        <w:tc>
          <w:tcPr/>
          <w:p>
            <w:pPr>
              <w:pStyle w:val="Compact"/>
            </w:pPr>
            <w:r>
              <w:t xml:space="preserve">(repère)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Conductivité thermique, plan</w:t>
            </w:r>
          </w:p>
        </w:tc>
        <w:tc>
          <w:tcPr/>
          <w:p>
            <w:pPr>
              <w:pStyle w:val="Compact"/>
            </w:pPr>
            <w:r>
              <w:t xml:space="preserve">3 W/m·K (incertain)</w:t>
            </w:r>
          </w:p>
        </w:tc>
        <w:tc>
          <w:tcPr/>
          <w:p>
            <w:pPr>
              <w:pStyle w:val="Compact"/>
            </w:pPr>
            <w:r>
              <w:t xml:space="preserve">homogénéisation quasi-iso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Conductivité thermique, transverse</w:t>
            </w:r>
          </w:p>
        </w:tc>
        <w:tc>
          <w:tcPr/>
          <w:p>
            <w:pPr>
              <w:pStyle w:val="Compact"/>
            </w:pPr>
            <w:r>
              <w:t xml:space="preserve">0,64 W/m·K</w:t>
            </w:r>
          </w:p>
        </w:tc>
        <w:tc>
          <w:tcPr/>
          <w:p>
            <w:pPr>
              <w:pStyle w:val="Compact"/>
            </w:pPr>
            <w:r>
              <w:t xml:space="preserve">Buser (thèse Twente)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Conductivité électrique, sens fibre σ₀</w:t>
            </w:r>
          </w:p>
        </w:tc>
        <w:tc>
          <w:tcPr/>
          <w:p>
            <w:pPr>
              <w:pStyle w:val="Compact"/>
            </w:pPr>
            <w:r>
              <w:t xml:space="preserve">2,2·10⁴ S/m</w:t>
            </w:r>
          </w:p>
        </w:tc>
        <w:tc>
          <w:tcPr/>
          <w:p>
            <w:pPr>
              <w:pStyle w:val="Compact"/>
            </w:pPr>
            <w:r>
              <w:t xml:space="preserve">Grouve et al. (2020), Table 1 (Solvay)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Conductivité électrique, travers σ₉₀</w:t>
            </w:r>
          </w:p>
        </w:tc>
        <w:tc>
          <w:tcPr/>
          <w:p>
            <w:pPr>
              <w:pStyle w:val="Compact"/>
            </w:pPr>
            <w:r>
              <w:t xml:space="preserve">3,4 S/m</w:t>
            </w:r>
          </w:p>
        </w:tc>
        <w:tc>
          <w:tcPr/>
          <w:p>
            <w:pPr>
              <w:pStyle w:val="Compact"/>
            </w:pPr>
            <w:r>
              <w:t xml:space="preserve">Grouve et al. (2020), Table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Conductivité électrique, transverse σz</w:t>
            </w:r>
          </w:p>
        </w:tc>
        <w:tc>
          <w:tcPr/>
          <w:p>
            <w:pPr>
              <w:pStyle w:val="Compact"/>
            </w:pPr>
            <w:r>
              <w:t xml:space="preserve">0,64 S/m</w:t>
            </w:r>
          </w:p>
        </w:tc>
        <w:tc>
          <w:tcPr/>
          <w:p>
            <w:pPr>
              <w:pStyle w:val="Compact"/>
            </w:pPr>
            <w:r>
              <w:t xml:space="preserve">Grouve et al. (2020), Table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Perméabilité relative µr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Grouve et al. (2020) ; Lionetto et al. (2017)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Émissivité</w:t>
            </w:r>
          </w:p>
        </w:tc>
        <w:tc>
          <w:tcPr/>
          <w:p>
            <w:pPr>
              <w:pStyle w:val="Compact"/>
            </w:pPr>
            <w:r>
              <w:t xml:space="preserve">0,96</w:t>
            </w:r>
          </w:p>
        </w:tc>
        <w:tc>
          <w:tcPr/>
          <w:p>
            <w:pPr>
              <w:pStyle w:val="Compact"/>
            </w:pPr>
            <w:r>
              <w:t xml:space="preserve">émissivité d’un composite carbone</w:t>
            </w:r>
          </w:p>
        </w:tc>
      </w:tr>
    </w:tbl>
    <w:p>
      <w:pPr>
        <w:pStyle w:val="BodyText"/>
      </w:pPr>
      <w:r>
        <w:t xml:space="preserve">Pour la conductivité électrique de boucle du laminé quasi-isotrope, le modèle emploie la</w:t>
      </w:r>
      <w:r>
        <w:t xml:space="preserve"> </w:t>
      </w:r>
      <w:r>
        <w:t xml:space="preserve">moyenne géométrique</w:t>
      </w:r>
      <w:r>
        <w:t xml:space="preserve"> </w:t>
      </w:r>
      <w:r>
        <w:rPr>
          <w:rStyle w:val="VerbatimChar"/>
        </w:rPr>
        <w:t xml:space="preserve">√(σ₀·σ₉₀)</w:t>
      </w:r>
      <w:r>
        <w:t xml:space="preserve"> </w:t>
      </w:r>
      <w:r>
        <w:t xml:space="preserve">des conductivités de pli plutôt que la moyenne arithmétique.</w:t>
      </w:r>
      <w:r>
        <w:t xml:space="preserve"> </w:t>
      </w:r>
      <w:r>
        <w:t xml:space="preserve">Une boucle de courant dans un empilement croisé a besoin d’un trajet aller et retour, donc la</w:t>
      </w:r>
      <w:r>
        <w:t xml:space="preserve"> </w:t>
      </w:r>
      <w:r>
        <w:t xml:space="preserve">conductivité effective tombe bien en dessous de la moyenne directe. Cette hypothèse</w:t>
      </w:r>
      <w:r>
        <w:t xml:space="preserve"> </w:t>
      </w:r>
      <w:r>
        <w:t xml:space="preserve">d’homogénéisation s’accorde avec la faible sensibilité à σ₉₀ que note Grouve et al. (2020) et</w:t>
      </w:r>
      <w:r>
        <w:t xml:space="preserve"> </w:t>
      </w:r>
      <w:r>
        <w:t xml:space="preserve">avec le rôle dominant du twill dans la chaleur.</w:t>
      </w:r>
    </w:p>
    <w:p>
      <w:pPr>
        <w:pStyle w:val="BodyText"/>
      </w:pPr>
      <w:r>
        <w:rPr>
          <w:b/>
          <w:bCs/>
        </w:rPr>
        <w:t xml:space="preserve">Pli twill suscepteur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Propriété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Épaisseur</w:t>
            </w:r>
          </w:p>
        </w:tc>
        <w:tc>
          <w:tcPr/>
          <w:p>
            <w:pPr>
              <w:pStyle w:val="Compact"/>
            </w:pPr>
            <w:r>
              <w:t xml:space="preserve">environ 0,28 mm (incertain)</w:t>
            </w:r>
          </w:p>
        </w:tc>
        <w:tc>
          <w:tcPr/>
          <w:p>
            <w:pPr>
              <w:pStyle w:val="Compact"/>
            </w:pPr>
            <w:r>
              <w:t xml:space="preserve">environ 2 CPT tissé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Conductivité plan σ</w:t>
            </w:r>
          </w:p>
        </w:tc>
        <w:tc>
          <w:tcPr/>
          <w:p>
            <w:pPr>
              <w:pStyle w:val="Compact"/>
            </w:pPr>
            <w:r>
              <w:t xml:space="preserve">1,1·10⁴ S/m (incertain)</w:t>
            </w:r>
          </w:p>
        </w:tc>
        <w:tc>
          <w:tcPr/>
          <w:p>
            <w:pPr>
              <w:pStyle w:val="Compact"/>
            </w:pPr>
            <w:r>
              <w:t xml:space="preserve">ordre σ₀/2 (tissé équilibré)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Concentrateur de flux</w:t>
      </w:r>
      <w:r>
        <w:t xml:space="preserve"> </w:t>
      </w:r>
      <w:r>
        <w:t xml:space="preserve">: Ferrotron 559H, µr ≈ 16, ρ &gt; 15 kΩ·cm (fiche Fluxtrol Inc.).</w:t>
      </w:r>
    </w:p>
    <w:p>
      <w:pPr>
        <w:pStyle w:val="BodyText"/>
      </w:pPr>
      <w:r>
        <w:rPr>
          <w:b/>
          <w:bCs/>
        </w:rPr>
        <w:t xml:space="preserve">Céramique</w:t>
      </w:r>
      <w:r>
        <w:t xml:space="preserve"> </w:t>
      </w:r>
      <w:r>
        <w:t xml:space="preserve">: Pamitherm, 2 mm, électromagnétiquement transparente ; intervient seulement via</w:t>
      </w:r>
      <w:r>
        <w:t xml:space="preserve"> </w:t>
      </w:r>
      <w:r>
        <w:t xml:space="preserve">la conductance de contact vers le puits froid.</w:t>
      </w:r>
    </w:p>
    <w:p>
      <w:r>
        <w:pict>
          <v:rect style="width:0;height:1.5pt" o:hralign="center" o:hrstd="t" o:hr="t"/>
        </w:pict>
      </w:r>
    </w:p>
    <w:bookmarkEnd w:id="18"/>
    <w:bookmarkStart w:id="19" w:name="X53cba7396b389803e741305d40540aac7b81373"/>
    <w:p>
      <w:pPr>
        <w:pStyle w:val="Heading2"/>
      </w:pPr>
      <w:r>
        <w:t xml:space="preserve">6. Le procédé semi-statique : passes successives et asservissement</w:t>
      </w:r>
    </w:p>
    <w:p>
      <w:pPr>
        <w:pStyle w:val="FirstParagraph"/>
      </w:pPr>
      <w:r>
        <w:t xml:space="preserve">Le procédé réel n’enchaîne pas une chauffe unique. L’opérateur indexe la tête (bobine et CFC)</w:t>
      </w:r>
      <w:r>
        <w:t xml:space="preserve"> </w:t>
      </w:r>
      <w:r>
        <w:t xml:space="preserve">sur quatre empreintes successives le long des 120 mm, avec un pas de 30 mm, chaque empreinte</w:t>
      </w:r>
      <w:r>
        <w:t xml:space="preserve"> </w:t>
      </w:r>
      <w:r>
        <w:t xml:space="preserve">restant entièrement sur la zone de soudure. Le générateur coupe entre les passes le temps du</w:t>
      </w:r>
      <w:r>
        <w:t xml:space="preserve"> </w:t>
      </w:r>
      <w:r>
        <w:t xml:space="preserve">repositionnement de la table.</w:t>
      </w:r>
    </w:p>
    <w:p>
      <w:pPr>
        <w:pStyle w:val="BodyText"/>
      </w:pPr>
      <w:r>
        <w:t xml:space="preserve">Le jumeau reproduit ce déroulé. Le calcul précalcule la source Joule de chaque empreinte (le</w:t>
      </w:r>
      <w:r>
        <w:t xml:space="preserve"> </w:t>
      </w:r>
      <w:r>
        <w:t xml:space="preserve">champ EM reste quasi statique à l’échelle des temps thermiques), puis l’active par morceaux</w:t>
      </w:r>
      <w:r>
        <w:t xml:space="preserve"> </w:t>
      </w:r>
      <w:r>
        <w:t xml:space="preserve">selon les fenêtres d’impulsion réelles, lues sur les courbes de thermocouples. Le masque du</w:t>
      </w:r>
      <w:r>
        <w:t xml:space="preserve"> </w:t>
      </w:r>
      <w:r>
        <w:t xml:space="preserve">puits thermique (là où le concentrateur appuie) suit l’empreinte active.</w:t>
      </w:r>
    </w:p>
    <w:p>
      <w:pPr>
        <w:pStyle w:val="BodyText"/>
      </w:pPr>
      <w:r>
        <w:rPr>
          <w:b/>
          <w:bCs/>
        </w:rPr>
        <w:t xml:space="preserve">L’asservissement sur consigne.</w:t>
      </w:r>
      <w:r>
        <w:t xml:space="preserve"> </w:t>
      </w:r>
      <w:r>
        <w:t xml:space="preserve">Dans la réalité, le générateur chauffe jusqu’à la</w:t>
      </w:r>
      <w:r>
        <w:t xml:space="preserve"> </w:t>
      </w:r>
      <w:r>
        <w:t xml:space="preserve">température de mise en œuvre, puis coupe. Le modèle reproduit cette coupure de source sur une</w:t>
      </w:r>
      <w:r>
        <w:t xml:space="preserve"> </w:t>
      </w:r>
      <w:r>
        <w:t xml:space="preserve">consigne de température à l’interface (400 °C pour les essais Série A, 360 °C pour l’essai</w:t>
      </w:r>
      <w:r>
        <w:t xml:space="preserve"> </w:t>
      </w:r>
      <w:r>
        <w:t xml:space="preserve">B-2). Cette caractéristique s’est révélée indispensable. Sans elle, appliquer le courant</w:t>
      </w:r>
      <w:r>
        <w:t xml:space="preserve"> </w:t>
      </w:r>
      <w:r>
        <w:t xml:space="preserve">pendant toute la fenêtre d’impulsion faisait diverger la température simulée (environ 1000 °C</w:t>
      </w:r>
      <w:r>
        <w:t xml:space="preserve"> </w:t>
      </w:r>
      <w:r>
        <w:t xml:space="preserve">simulés contre environ 400 °C mesurés). La fidélité au procédé a ici plus d’effet que le</w:t>
      </w:r>
      <w:r>
        <w:t xml:space="preserve"> </w:t>
      </w:r>
      <w:r>
        <w:t xml:space="preserve">réglage fin des paramètres.</w:t>
      </w:r>
    </w:p>
    <w:p>
      <w:r>
        <w:pict>
          <v:rect style="width:0;height:1.5pt" o:hralign="center" o:hrstd="t" o:hr="t"/>
        </w:pict>
      </w:r>
    </w:p>
    <w:bookmarkEnd w:id="19"/>
    <w:bookmarkStart w:id="20" w:name="X05c69ec6269aa3715151387d7a9914d5be235da"/>
    <w:p>
      <w:pPr>
        <w:pStyle w:val="Heading2"/>
      </w:pPr>
      <w:r>
        <w:t xml:space="preserve">7. Calibration et validation : la démarche de crédibilité</w:t>
      </w:r>
    </w:p>
    <w:p>
      <w:pPr>
        <w:pStyle w:val="FirstParagraph"/>
      </w:pPr>
      <w:r>
        <w:t xml:space="preserve">La crédibilité du jumeau tient à un principe strict : calibrer sur un seul essai, valider en</w:t>
      </w:r>
      <w:r>
        <w:t xml:space="preserve"> </w:t>
      </w:r>
      <w:r>
        <w:t xml:space="preserve">aveugle sur les autres, sans jamais y retoucher.</w:t>
      </w:r>
    </w:p>
    <w:p>
      <w:pPr>
        <w:pStyle w:val="BodyText"/>
      </w:pPr>
      <w:r>
        <w:rPr>
          <w:b/>
          <w:bCs/>
        </w:rPr>
        <w:t xml:space="preserve">Trois paramètres seulement entrent dans la calibration</w:t>
      </w:r>
      <w:r>
        <w:t xml:space="preserve">, les entrées physiques mal connues 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facteur_couplage</w:t>
      </w:r>
      <w:r>
        <w:t xml:space="preserve">, le facteur d’échelle de la source Joule (blindage, contacts, σ) 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h_haut</w:t>
      </w:r>
      <w:r>
        <w:t xml:space="preserve">, la conductance de perte vers le puits céramique/concentrateur 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h_bas_2d</w:t>
      </w:r>
      <w:r>
        <w:t xml:space="preserve">, la conductance de perte vers la face opposée / le bâti.</w:t>
      </w:r>
    </w:p>
    <w:p>
      <w:pPr>
        <w:pStyle w:val="FirstParagraph"/>
      </w:pPr>
      <w:r>
        <w:t xml:space="preserve">Deux paramètres restent figés faute de mesure :</w:t>
      </w:r>
      <w:r>
        <w:t xml:space="preserve"> </w:t>
      </w:r>
      <w:r>
        <w:rPr>
          <w:rStyle w:val="VerbatimChar"/>
        </w:rPr>
        <w:t xml:space="preserve">decalage_x</w:t>
      </w:r>
      <w:r>
        <w:t xml:space="preserve"> </w:t>
      </w:r>
      <w:r>
        <w:t xml:space="preserve">(position relative</w:t>
      </w:r>
      <w:r>
        <w:t xml:space="preserve"> </w:t>
      </w:r>
      <w:r>
        <w:t xml:space="preserve">bobine/montage, non mesurée) et</w:t>
      </w:r>
      <w:r>
        <w:t xml:space="preserve"> </w:t>
      </w:r>
      <w:r>
        <w:rPr>
          <w:rStyle w:val="VerbatimChar"/>
        </w:rPr>
        <w:t xml:space="preserve">h_bord_x0</w:t>
      </w:r>
      <w:r>
        <w:t xml:space="preserve"> </w:t>
      </w:r>
      <w:r>
        <w:t xml:space="preserve">(puits conductif au chant bridé du montage).</w:t>
      </w:r>
    </w:p>
    <w:p>
      <w:pPr>
        <w:pStyle w:val="BodyText"/>
      </w:pPr>
      <w:r>
        <w:rPr>
          <w:b/>
          <w:bCs/>
        </w:rPr>
        <w:t xml:space="preserve">Méthode.</w:t>
      </w:r>
      <w:r>
        <w:t xml:space="preserve"> </w:t>
      </w:r>
      <w:r>
        <w:t xml:space="preserve">Un hypercube latin échantillonne l’espace des paramètres pour trouver un bon</w:t>
      </w:r>
      <w:r>
        <w:t xml:space="preserve"> </w:t>
      </w:r>
      <w:r>
        <w:t xml:space="preserve">point de départ, puis un ajustement par moindres carrés non linéaires (algorithme de</w:t>
      </w:r>
      <w:r>
        <w:t xml:space="preserve"> </w:t>
      </w:r>
      <w:r>
        <w:t xml:space="preserve">Gauss–Newton) affine la solution, avec des résidus pondérés par le bruit capteur (</w:t>
      </w:r>
      <w:r>
        <w:rPr>
          <w:rStyle w:val="VerbatimChar"/>
        </w:rPr>
        <w:t xml:space="preserve">σ = écart-type(différences)/√2</w:t>
      </w:r>
      <w:r>
        <w:t xml:space="preserve">). Ce pipeline reprend celui du jumeau 1D et de son test « boîte</w:t>
      </w:r>
      <w:r>
        <w:t xml:space="preserve"> </w:t>
      </w:r>
      <w:r>
        <w:t xml:space="preserve">noire » (Samanis et al., 2026).</w:t>
      </w:r>
    </w:p>
    <w:p>
      <w:pPr>
        <w:pStyle w:val="BodyText"/>
      </w:pPr>
      <w:r>
        <w:rPr>
          <w:b/>
          <w:bCs/>
        </w:rPr>
        <w:t xml:space="preserve">Résultat de la calibration</w:t>
      </w:r>
      <w:r>
        <w:t xml:space="preserve"> </w:t>
      </w:r>
      <w:r>
        <w:t xml:space="preserve">(sur l’essai A-1, modèle 2D, 5 thermocouples)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Paramètre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  <w:tc>
          <w:tcPr/>
          <w:p>
            <w:pPr>
              <w:pStyle w:val="Compact"/>
            </w:pPr>
            <w:r>
              <w:t xml:space="preserve">Écart-type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facteur_couplage</w:t>
            </w:r>
          </w:p>
        </w:tc>
        <w:tc>
          <w:tcPr/>
          <w:p>
            <w:pPr>
              <w:pStyle w:val="Compact"/>
            </w:pPr>
            <w:r>
              <w:t xml:space="preserve">6,01</w:t>
            </w:r>
          </w:p>
        </w:tc>
        <w:tc>
          <w:tcPr/>
          <w:p>
            <w:pPr>
              <w:pStyle w:val="Compact"/>
            </w:pPr>
            <w:r>
              <w:t xml:space="preserve">± 0,07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h_haut</w:t>
            </w:r>
          </w:p>
        </w:tc>
        <w:tc>
          <w:tcPr/>
          <w:p>
            <w:pPr>
              <w:pStyle w:val="Compact"/>
            </w:pPr>
            <w:r>
              <w:t xml:space="preserve">30,1 W/m²·K</w:t>
            </w:r>
          </w:p>
        </w:tc>
        <w:tc>
          <w:tcPr/>
          <w:p>
            <w:pPr>
              <w:pStyle w:val="Compact"/>
            </w:pPr>
            <w:r>
              <w:t xml:space="preserve">± 1,3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h_bas_2d</w:t>
            </w:r>
          </w:p>
        </w:tc>
        <w:tc>
          <w:tcPr/>
          <w:p>
            <w:pPr>
              <w:pStyle w:val="Compact"/>
            </w:pPr>
            <w:r>
              <w:t xml:space="preserve">37,4 W/m²·K</w:t>
            </w:r>
          </w:p>
        </w:tc>
        <w:tc>
          <w:tcPr/>
          <w:p>
            <w:pPr>
              <w:pStyle w:val="Compact"/>
            </w:pPr>
            <w:r>
              <w:t xml:space="preserve">± 0,5</w:t>
            </w:r>
          </w:p>
        </w:tc>
      </w:tr>
    </w:tbl>
    <w:p>
      <w:pPr>
        <w:pStyle w:val="BodyText"/>
      </w:pPr>
      <w:r>
        <w:t xml:space="preserve">Ce jeu de valeurs date du 2026-07-27. Il succède à deux recalibrations liées aux corrections</w:t>
      </w:r>
      <w:r>
        <w:t xml:space="preserve"> </w:t>
      </w:r>
      <w:r>
        <w:t xml:space="preserve">de géométrie de bobine (entraxe puis hauteur, section 9) et remplace les jeux antérieurs</w:t>
      </w:r>
      <w:r>
        <w:t xml:space="preserve"> </w:t>
      </w:r>
      <w:r>
        <w:t xml:space="preserve">(7,42 / 26,4 / 41,9 à hauteur 6,8 mm ; 4,10 / 11,3 / 51,6 en géométrie encore antérieure).</w:t>
      </w:r>
      <w:r>
        <w:t xml:space="preserve"> </w:t>
      </w:r>
      <w:r>
        <w:t xml:space="preserve">Le</w:t>
      </w:r>
      <w:r>
        <w:t xml:space="preserve"> </w:t>
      </w:r>
      <w:r>
        <w:rPr>
          <w:rStyle w:val="VerbatimChar"/>
        </w:rPr>
        <w:t xml:space="preserve">h_haut</w:t>
      </w:r>
      <w:r>
        <w:t xml:space="preserve"> </w:t>
      </w:r>
      <w:r>
        <w:t xml:space="preserve">de 30 W/m²·K correspond à une conductance de contact réaliste, là où la valeur</w:t>
      </w:r>
      <w:r>
        <w:t xml:space="preserve"> </w:t>
      </w:r>
      <w:r>
        <w:t xml:space="preserve">la plus ancienne de 11 W/m²·K était artificiellement basse : les recalibrations successives</w:t>
      </w:r>
      <w:r>
        <w:t xml:space="preserve"> </w:t>
      </w:r>
      <w:r>
        <w:t xml:space="preserve">ont rendu le modèle plus juste et plus physique à mesure que la géométrie se corrigeait.</w:t>
      </w:r>
    </w:p>
    <w:p>
      <w:pPr>
        <w:pStyle w:val="BodyText"/>
      </w:pPr>
      <w:r>
        <w:rPr>
          <w:b/>
          <w:bCs/>
        </w:rPr>
        <w:t xml:space="preserve">Identifiabilité vérifiée.</w:t>
      </w:r>
      <w:r>
        <w:t xml:space="preserve"> </w:t>
      </w:r>
      <w:r>
        <w:t xml:space="preserve">Les corrélations entre paramètres restent toutes inférieures ou</w:t>
      </w:r>
      <w:r>
        <w:t xml:space="preserve"> </w:t>
      </w:r>
      <w:r>
        <w:t xml:space="preserve">égales à 0,57, sans paramètres redondants : les données déterminent chaque paramètre de façon</w:t>
      </w:r>
      <w:r>
        <w:t xml:space="preserve"> </w:t>
      </w:r>
      <w:r>
        <w:t xml:space="preserve">indépendante. Ce point compte. Le jumeau 1D antérieur avait révélé le piège inverse, deux</w:t>
      </w:r>
      <w:r>
        <w:t xml:space="preserve"> </w:t>
      </w:r>
      <w:r>
        <w:t xml:space="preserve">paramètres</w:t>
      </w:r>
      <w:r>
        <w:t xml:space="preserve"> </w:t>
      </w:r>
      <w:r>
        <w:rPr>
          <w:rStyle w:val="VerbatimChar"/>
        </w:rPr>
        <w:t xml:space="preserve">f_I</w:t>
      </w:r>
      <w:r>
        <w:t xml:space="preserve">/</w:t>
      </w:r>
      <w:r>
        <w:rPr>
          <w:rStyle w:val="VerbatimChar"/>
        </w:rPr>
        <w:t xml:space="preserve">r_I</w:t>
      </w:r>
      <w:r>
        <w:t xml:space="preserve"> </w:t>
      </w:r>
      <w:r>
        <w:t xml:space="preserve">totalement corrélés, « identifiables » avec un excellent ajustement</w:t>
      </w:r>
      <w:r>
        <w:t xml:space="preserve"> </w:t>
      </w:r>
      <w:r>
        <w:t xml:space="preserve">mais faux. Le paramètre</w:t>
      </w:r>
      <w:r>
        <w:t xml:space="preserve"> </w:t>
      </w:r>
      <w:r>
        <w:rPr>
          <w:rStyle w:val="VerbatimChar"/>
        </w:rPr>
        <w:t xml:space="preserve">decalage_x</w:t>
      </w:r>
      <w:r>
        <w:t xml:space="preserve"> </w:t>
      </w:r>
      <w:r>
        <w:t xml:space="preserve">a dû rester figé pour la même raison (corrélation 0,985</w:t>
      </w:r>
      <w:r>
        <w:t xml:space="preserve"> </w:t>
      </w:r>
      <w:r>
        <w:t xml:space="preserve">avec le facteur d’échelle sur un ajustement conjoint). Cette vigilance sur l’identifiabilité</w:t>
      </w:r>
      <w:r>
        <w:t xml:space="preserve"> </w:t>
      </w:r>
      <w:r>
        <w:t xml:space="preserve">offre une garantie méthodologique forte.</w:t>
      </w:r>
    </w:p>
    <w:p>
      <w:r>
        <w:pict>
          <v:rect style="width:0;height:1.5pt" o:hralign="center" o:hrstd="t" o:hr="t"/>
        </w:pict>
      </w:r>
    </w:p>
    <w:bookmarkEnd w:id="20"/>
    <w:bookmarkStart w:id="21" w:name="résultats-obtenus"/>
    <w:p>
      <w:pPr>
        <w:pStyle w:val="Heading2"/>
      </w:pPr>
      <w:r>
        <w:t xml:space="preserve">8. Résultats obtenus</w:t>
      </w:r>
    </w:p>
    <w:p>
      <w:pPr>
        <w:pStyle w:val="FirstParagraph"/>
      </w:pPr>
      <w:r>
        <w:rPr>
          <w:b/>
          <w:bCs/>
        </w:rPr>
        <w:t xml:space="preserve">Validation croisée.</w:t>
      </w:r>
      <w:r>
        <w:t xml:space="preserve"> </w:t>
      </w:r>
      <w:r>
        <w:t xml:space="preserve">θ* calibré sur A-1 uniquement, appliqué tel quel aux essais aveugles</w:t>
      </w:r>
      <w:r>
        <w:t xml:space="preserve"> </w:t>
      </w:r>
      <w:r>
        <w:t xml:space="preserve">(maillage de validation 61 × 21, dx = dy = 2 mm)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Essai</w:t>
            </w:r>
          </w:p>
        </w:tc>
        <w:tc>
          <w:tcPr/>
          <w:p>
            <w:pPr>
              <w:pStyle w:val="Compact"/>
            </w:pPr>
            <w:r>
              <w:t xml:space="preserve">Conditions</w:t>
            </w:r>
          </w:p>
        </w:tc>
        <w:tc>
          <w:tcPr/>
          <w:p>
            <w:pPr>
              <w:pStyle w:val="Compact"/>
            </w:pPr>
            <w:r>
              <w:t xml:space="preserve">RMSE moyen</w:t>
            </w:r>
          </w:p>
        </w:tc>
        <w:tc>
          <w:tcPr/>
          <w:p>
            <w:pPr>
              <w:pStyle w:val="Compact"/>
            </w:pPr>
            <w:r>
              <w:t xml:space="preserve">Écart de pic moyen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(hauteur 6,8 mm, obsolète)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A-1</w:t>
            </w:r>
            <w:r>
              <w:t xml:space="preserve"> </w:t>
            </w:r>
            <w:r>
              <w:t xml:space="preserve">(calibration)</w:t>
            </w:r>
          </w:p>
        </w:tc>
        <w:tc>
          <w:tcPr/>
          <w:p>
            <w:pPr>
              <w:pStyle w:val="Compact"/>
            </w:pPr>
            <w:r>
              <w:t xml:space="preserve">250 A, coupure 400 °C</w:t>
            </w:r>
          </w:p>
        </w:tc>
        <w:tc>
          <w:tcPr/>
          <w:p>
            <w:pPr>
              <w:pStyle w:val="Compact"/>
            </w:pPr>
            <w:r>
              <w:t xml:space="preserve">36 °C</w:t>
            </w:r>
          </w:p>
        </w:tc>
        <w:tc>
          <w:tcPr/>
          <w:p>
            <w:pPr>
              <w:pStyle w:val="Compact"/>
            </w:pPr>
            <w:r>
              <w:t xml:space="preserve">26 °C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37 / 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A-3</w:t>
            </w:r>
            <w:r>
              <w:t xml:space="preserve"> </w:t>
            </w:r>
            <w:r>
              <w:t xml:space="preserve">(aveugle)</w:t>
            </w:r>
          </w:p>
        </w:tc>
        <w:tc>
          <w:tcPr/>
          <w:p>
            <w:pPr>
              <w:pStyle w:val="Compact"/>
            </w:pPr>
            <w:r>
              <w:t xml:space="preserve">200 A, coupure 400 °C</w:t>
            </w:r>
          </w:p>
        </w:tc>
        <w:tc>
          <w:tcPr/>
          <w:p>
            <w:pPr>
              <w:pStyle w:val="Compact"/>
            </w:pPr>
            <w:r>
              <w:t xml:space="preserve">32 °C</w:t>
            </w:r>
          </w:p>
        </w:tc>
        <w:tc>
          <w:tcPr/>
          <w:p>
            <w:pPr>
              <w:pStyle w:val="Compact"/>
            </w:pPr>
            <w:r>
              <w:t xml:space="preserve">41 °C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32 / 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B-2</w:t>
            </w:r>
            <w:r>
              <w:t xml:space="preserve"> </w:t>
            </w:r>
            <w:r>
              <w:t xml:space="preserve">(aveugle)</w:t>
            </w:r>
          </w:p>
        </w:tc>
        <w:tc>
          <w:tcPr/>
          <w:p>
            <w:pPr>
              <w:pStyle w:val="Compact"/>
            </w:pPr>
            <w:r>
              <w:t xml:space="preserve">250 A, coupure 360 °C</w:t>
            </w:r>
          </w:p>
        </w:tc>
        <w:tc>
          <w:tcPr/>
          <w:p>
            <w:pPr>
              <w:pStyle w:val="Compact"/>
            </w:pPr>
            <w:r>
              <w:t xml:space="preserve">65 °C</w:t>
            </w:r>
          </w:p>
        </w:tc>
        <w:tc>
          <w:tcPr/>
          <w:p>
            <w:pPr>
              <w:pStyle w:val="Compact"/>
            </w:pPr>
            <w:r>
              <w:t xml:space="preserve">45 °C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66 / 35</w:t>
            </w:r>
          </w:p>
        </w:tc>
      </w:tr>
    </w:tbl>
    <w:p>
      <w:pPr>
        <w:pStyle w:val="BodyText"/>
      </w:pPr>
      <w:r>
        <w:t xml:space="preserve">Quatre enseignements se dégagent.</w:t>
      </w:r>
    </w:p>
    <w:p>
      <w:pPr>
        <w:pStyle w:val="BodyText"/>
      </w:pPr>
      <w:r>
        <w:t xml:space="preserve">Le modèle transfère à un courant différent sans retouche. L’essai aveugle à 200 A (A-3)</w:t>
      </w:r>
      <w:r>
        <w:t xml:space="preserve"> </w:t>
      </w:r>
      <w:r>
        <w:t xml:space="preserve">obtient le meilleur RMSE, donc la loi en</w:t>
      </w:r>
      <w:r>
        <w:t xml:space="preserve"> </w:t>
      </w:r>
      <w:r>
        <w:rPr>
          <w:rStyle w:val="VerbatimChar"/>
        </w:rPr>
        <w:t xml:space="preserve">I²</w:t>
      </w:r>
      <w:r>
        <w:t xml:space="preserve"> </w:t>
      </w:r>
      <w:r>
        <w:t xml:space="preserve">et l’asservissement sur consigne tiennent hors</w:t>
      </w:r>
      <w:r>
        <w:t xml:space="preserve"> </w:t>
      </w:r>
      <w:r>
        <w:t xml:space="preserve">du point de calibration. Ce résultat pèse le plus lourd pour la validité externe du modèle.</w:t>
      </w:r>
    </w:p>
    <w:p>
      <w:pPr>
        <w:pStyle w:val="BodyText"/>
      </w:pPr>
      <w:r>
        <w:t xml:space="preserve">Les corrections de géométrie de bobine (section 9) ont convergé vers une leçon nette. La</w:t>
      </w:r>
      <w:r>
        <w:t xml:space="preserve"> </w:t>
      </w:r>
      <w:r>
        <w:t xml:space="preserve">première, l’entraxe des brins, améliorait le RMSE et divisait par trois l’écart de pic. La</w:t>
      </w:r>
      <w:r>
        <w:t xml:space="preserve"> </w:t>
      </w:r>
      <w:r>
        <w:t xml:space="preserve">seconde, la hauteur des brins ramenée à sa valeur physique de 5,0 mm, améliore encore</w:t>
      </w:r>
      <w:r>
        <w:t xml:space="preserve"> </w:t>
      </w:r>
      <w:r>
        <w:t xml:space="preserve">légèrement le RMSE mais</w:t>
      </w:r>
      <w:r>
        <w:t xml:space="preserve"> </w:t>
      </w:r>
      <w:r>
        <w:rPr>
          <w:b/>
          <w:bCs/>
        </w:rPr>
        <w:t xml:space="preserve">dégrade</w:t>
      </w:r>
      <w:r>
        <w:t xml:space="preserve"> </w:t>
      </w:r>
      <w:r>
        <w:t xml:space="preserve">l’écart de pic sur les trois essais. Cette régression</w:t>
      </w:r>
      <w:r>
        <w:t xml:space="preserve"> </w:t>
      </w:r>
      <w:r>
        <w:t xml:space="preserve">n’est pas un argument pour revenir à une cote fausse : elle établit qu’une fois la géométrie</w:t>
      </w:r>
      <w:r>
        <w:t xml:space="preserve"> </w:t>
      </w:r>
      <w:r>
        <w:t xml:space="preserve">électromagnétique correcte, le modèle concentre trop sa source, si bien que la calibration</w:t>
      </w:r>
      <w:r>
        <w:t xml:space="preserve"> </w:t>
      </w:r>
      <w:r>
        <w:t xml:space="preserve">doit en réduire l’amplitude pour tenir le RMSE, ce qui fait sous-chauffer les points</w:t>
      </w:r>
      <w:r>
        <w:t xml:space="preserve"> </w:t>
      </w:r>
      <w:r>
        <w:t xml:space="preserve">intérieurs. L’écart résiduel n’est donc plus une affaire d’échelle ni de cote, mais de forme.</w:t>
      </w:r>
      <w:r>
        <w:t xml:space="preserve"> </w:t>
      </w:r>
      <w:r>
        <w:t xml:space="preserve">Aucun paramètre effectif n’a été introduit à aucune étape.</w:t>
      </w:r>
    </w:p>
    <w:p>
      <w:pPr>
        <w:pStyle w:val="BodyText"/>
      </w:pPr>
      <w:r>
        <w:t xml:space="preserve">La séquence spatio-temporelle sort correcte. Sur les courbes de validation, chaque</w:t>
      </w:r>
      <w:r>
        <w:t xml:space="preserve"> </w:t>
      </w:r>
      <w:r>
        <w:t xml:space="preserve">thermocouple devient le plus chaud à son tour, au bon moment, au passage de l’empreinte devant</w:t>
      </w:r>
      <w:r>
        <w:t xml:space="preserve"> </w:t>
      </w:r>
      <w:r>
        <w:t xml:space="preserve">lui. Le modèle suit la position de la tête.</w:t>
      </w:r>
    </w:p>
    <w:p>
      <w:pPr>
        <w:pStyle w:val="BodyText"/>
      </w:pPr>
      <w:r>
        <w:t xml:space="preserve">Deux figures se comparent à la littérature. La première reproduit en semi-statique la Figure 4</w:t>
      </w:r>
      <w:r>
        <w:t xml:space="preserve"> </w:t>
      </w:r>
      <w:r>
        <w:t xml:space="preserve">de Lionetto et al. (2017) : les cartes de température à l’interface à la fin de chaque</w:t>
      </w:r>
      <w:r>
        <w:t xml:space="preserve"> </w:t>
      </w:r>
      <w:r>
        <w:t xml:space="preserve">empreinte. La seconde reprend leur Figure 5 : température et degré de fusion à l’interface,</w:t>
      </w:r>
      <w:r>
        <w:t xml:space="preserve"> </w:t>
      </w:r>
      <w:r>
        <w:t xml:space="preserve">avec un « temps à l’état fondu » mesuré de 19 s, proche des environ 19 s que Lionetto et al.</w:t>
      </w:r>
      <w:r>
        <w:t xml:space="preserve"> </w:t>
      </w:r>
      <w:r>
        <w:t xml:space="preserve">rapportent à 300 A et 2 mm/s. Ce temps de 19 s est déduit de la mesure, donc indépendant du</w:t>
      </w:r>
      <w:r>
        <w:t xml:space="preserve"> </w:t>
      </w:r>
      <w:r>
        <w:t xml:space="preserve">modèle.</w:t>
      </w:r>
    </w:p>
    <w:p>
      <w:pPr>
        <w:pStyle w:val="BodyText"/>
      </w:pPr>
      <w:r>
        <w:t xml:space="preserve">Sur cette seconde figure, tracée au jeu de paramètres de référence sans aucun ajustement</w:t>
      </w:r>
      <w:r>
        <w:t xml:space="preserve"> </w:t>
      </w:r>
      <w:r>
        <w:t xml:space="preserve">propre à l’essai de chauffe, la courbe simulée sous-estime le pic d’interface au point de</w:t>
      </w:r>
      <w:r>
        <w:t xml:space="preserve"> </w:t>
      </w:r>
      <w:r>
        <w:t xml:space="preserve">mesure (environ 292 °C simulés contre 395 °C mesurés) et ne franchit donc pas la fusion. Ce</w:t>
      </w:r>
      <w:r>
        <w:t xml:space="preserve"> </w:t>
      </w:r>
      <w:r>
        <w:t xml:space="preserve">n’est pas un déficit d’énergie global : le thermocouple d’interface de cet essai est au centre</w:t>
      </w:r>
      <w:r>
        <w:t xml:space="preserve"> </w:t>
      </w:r>
      <w:r>
        <w:t xml:space="preserve">de la largeur, exactement dans le creux du profil en « M ». Au même instant, le modèle prédit</w:t>
      </w:r>
      <w:r>
        <w:t xml:space="preserve"> </w:t>
      </w:r>
      <w:r>
        <w:t xml:space="preserve">708 °C sur les bords et 292 °C au centre, tandis que la mesure au centre (395 °C, qui a fondu)</w:t>
      </w:r>
      <w:r>
        <w:t xml:space="preserve"> </w:t>
      </w:r>
      <w:r>
        <w:t xml:space="preserve">tombe entre les deux. Cette donnée ponctuelle indique que le creux central du profil en « M »</w:t>
      </w:r>
      <w:r>
        <w:t xml:space="preserve"> </w:t>
      </w:r>
      <w:r>
        <w:t xml:space="preserve">est trop prononcé — la même conclusion que la réserve du point 9(a), ici étayée par une mesure.</w:t>
      </w:r>
      <w:r>
        <w:t xml:space="preserve"> </w:t>
      </w:r>
      <w:r>
        <w:t xml:space="preserve">La figure antérieure « fondait » parce que son facteur d’échelle avait été calé sur le pic de</w:t>
      </w:r>
      <w:r>
        <w:t xml:space="preserve"> </w:t>
      </w:r>
      <w:r>
        <w:t xml:space="preserve">ce seul essai, un ajustement sur mesure désormais écarté.</w:t>
      </w:r>
    </w:p>
    <w:p>
      <w:pPr>
        <w:pStyle w:val="BodyText"/>
      </w:pPr>
      <w:r>
        <w:t xml:space="preserve">Une réserve s’impose. Un RMSE de 30 à 65 °C sur une fenêtre de mise en œuvre d’environ 35 °C</w:t>
      </w:r>
      <w:r>
        <w:t xml:space="preserve"> </w:t>
      </w:r>
      <w:r>
        <w:t xml:space="preserve">signifie que le modèle ordonne et explique correctement les niveaux de température, sans encore</w:t>
      </w:r>
      <w:r>
        <w:t xml:space="preserve"> </w:t>
      </w:r>
      <w:r>
        <w:t xml:space="preserve">piloter le procédé au degré près.</w:t>
      </w:r>
    </w:p>
    <w:p>
      <w:r>
        <w:pict>
          <v:rect style="width:0;height:1.5pt" o:hralign="center" o:hrstd="t" o:hr="t"/>
        </w:pict>
      </w:r>
    </w:p>
    <w:bookmarkEnd w:id="21"/>
    <w:bookmarkStart w:id="22" w:name="limites-connues-et-questions-ouvertes"/>
    <w:p>
      <w:pPr>
        <w:pStyle w:val="Heading2"/>
      </w:pPr>
      <w:r>
        <w:t xml:space="preserve">9. Limites connues et questions ouvertes</w:t>
      </w:r>
    </w:p>
    <w:p>
      <w:pPr>
        <w:pStyle w:val="FirstParagraph"/>
      </w:pPr>
      <w:r>
        <w:t xml:space="preserve">La démarche a consisté à tester chaque écart, le chiffrer, et l’attribuer, plutôt qu’à</w:t>
      </w:r>
      <w:r>
        <w:t xml:space="preserve"> </w:t>
      </w:r>
      <w:r>
        <w:t xml:space="preserve">recalibrer à l’aveugle. Plusieurs pistes ont été écartées avec des chiffres, ce qui constitue</w:t>
      </w:r>
      <w:r>
        <w:t xml:space="preserve"> </w:t>
      </w:r>
      <w:r>
        <w:t xml:space="preserve">un capital de résultats négatifs documentés.</w:t>
      </w:r>
    </w:p>
    <w:p>
      <w:pPr>
        <w:pStyle w:val="BodyText"/>
      </w:pPr>
      <w:r>
        <w:rPr>
          <w:b/>
          <w:bCs/>
        </w:rPr>
        <w:t xml:space="preserve">(a) Le profil en « M », une prédiction falsifiable.</w:t>
      </w:r>
      <w:r>
        <w:t xml:space="preserve"> </w:t>
      </w:r>
      <w:r>
        <w:t xml:space="preserve">Le modèle prédit une empreinte</w:t>
      </w:r>
      <w:r>
        <w:t xml:space="preserve"> </w:t>
      </w:r>
      <w:r>
        <w:t xml:space="preserve">thermique en forme de « M » : deux lobes chauds sur les chants de l’échantillon (y = 0 et</w:t>
      </w:r>
      <w:r>
        <w:t xml:space="preserve"> </w:t>
      </w:r>
      <w:r>
        <w:t xml:space="preserve">y = 40 mm) et un creux au centre de la largeur. Le mécanisme a été démontré numériquement. La</w:t>
      </w:r>
      <w:r>
        <w:t xml:space="preserve"> </w:t>
      </w:r>
      <w:r>
        <w:t xml:space="preserve">bobine et le concentrateur débordent de la largeur de l’échantillon (section 2), le champ</w:t>
      </w:r>
      <w:r>
        <w:t xml:space="preserve"> </w:t>
      </w:r>
      <w:r>
        <w:rPr>
          <w:rStyle w:val="VerbatimChar"/>
        </w:rPr>
        <w:t xml:space="preserve">Bz</w:t>
      </w:r>
      <w:r>
        <w:t xml:space="preserve"> </w:t>
      </w:r>
      <w:r>
        <w:t xml:space="preserve">reste donc quasi uniforme sur la largeur, et les boucles de courant ne peuvent se refermer</w:t>
      </w:r>
      <w:r>
        <w:t xml:space="preserve"> </w:t>
      </w:r>
      <w:r>
        <w:t xml:space="preserve">qu’en longeant les deux bords. C’est le</w:t>
      </w:r>
      <w:r>
        <w:t xml:space="preserve"> </w:t>
      </w:r>
      <w:r>
        <w:rPr>
          <w:i/>
          <w:iCs/>
        </w:rPr>
        <w:t xml:space="preserve">transverse-flux edge effect</w:t>
      </w:r>
      <w:r>
        <w:t xml:space="preserve"> </w:t>
      </w:r>
      <w:r>
        <w:t xml:space="preserve">classique du chauffage</w:t>
      </w:r>
      <w:r>
        <w:t xml:space="preserve"> </w:t>
      </w:r>
      <w:r>
        <w:t xml:space="preserve">par induction de bandes plus étroites que l’inducteur. Le calcul confirme qu’aucun courant ne</w:t>
      </w:r>
      <w:r>
        <w:t xml:space="preserve"> </w:t>
      </w:r>
      <w:r>
        <w:t xml:space="preserve">traverse le chant (les composantes de courant normales aux bords sont exactement nulles). Ce</w:t>
      </w:r>
      <w:r>
        <w:t xml:space="preserve"> </w:t>
      </w:r>
      <w:r>
        <w:t xml:space="preserve">profil s’accorde avec l’observation : squeeze-out festonné localisé sur les chants,</w:t>
      </w:r>
      <w:r>
        <w:t xml:space="preserve"> </w:t>
      </w:r>
      <w:r>
        <w:t xml:space="preserve">recommandation COMPAAM de réduire le concentrateur pour limiter les effets de bord. Une mesure</w:t>
      </w:r>
      <w:r>
        <w:t xml:space="preserve"> </w:t>
      </w:r>
      <w:r>
        <w:t xml:space="preserve">le falsifierait directement : la cartographie bord→centre proposée au cahier de laboratoire</w:t>
      </w:r>
      <w:r>
        <w:t xml:space="preserve"> </w:t>
      </w:r>
      <w:r>
        <w:t xml:space="preserve">(une ligne de 3 à 5 thermocouples sur la largeur). Un premier point la met déjà en défaut : le</w:t>
      </w:r>
      <w:r>
        <w:t xml:space="preserve"> </w:t>
      </w:r>
      <w:r>
        <w:t xml:space="preserve">thermocouple d’interface de l’essai de chauffe se trouve au centre de la largeur et y mesure</w:t>
      </w:r>
      <w:r>
        <w:t xml:space="preserve"> </w:t>
      </w:r>
      <w:r>
        <w:t xml:space="preserve">395 °C, alors que le modèle y prédit 292 °C (creux) contre 708 °C sur les bords. Le centre réel</w:t>
      </w:r>
      <w:r>
        <w:t xml:space="preserve"> </w:t>
      </w:r>
      <w:r>
        <w:t xml:space="preserve">est donc nettement plus chaud que le creux prédit : l’amplitude du profil en « M » est</w:t>
      </w:r>
      <w:r>
        <w:t xml:space="preserve"> </w:t>
      </w:r>
      <w:r>
        <w:t xml:space="preserve">vraisemblablement surestimée, ce qui reste à confirmer par la cartographie complète.</w:t>
      </w:r>
    </w:p>
    <w:p>
      <w:pPr>
        <w:pStyle w:val="BodyText"/>
      </w:pPr>
      <w:r>
        <w:rPr>
          <w:b/>
          <w:bCs/>
        </w:rPr>
        <w:t xml:space="preserve">(b) Le « déficit structurel » était une donnée d’entrée fausse.</w:t>
      </w:r>
      <w:r>
        <w:t xml:space="preserve"> </w:t>
      </w:r>
      <w:r>
        <w:t xml:space="preserve">Ce rapport présentait</w:t>
      </w:r>
      <w:r>
        <w:t xml:space="preserve"> </w:t>
      </w:r>
      <w:r>
        <w:t xml:space="preserve">jusqu’ici un diagnostic central : le modèle concentrerait trop la puissance, avec des pics</w:t>
      </w:r>
      <w:r>
        <w:t xml:space="preserve"> </w:t>
      </w:r>
      <w:r>
        <w:t xml:space="preserve">simulés trop hauts de 40 à 60 °C, un défaut jugé structurel et non paramétrique. Ce</w:t>
      </w:r>
      <w:r>
        <w:t xml:space="preserve"> </w:t>
      </w:r>
      <w:r>
        <w:t xml:space="preserve">diagnostic était exact dans son constat et faux dans sa cause. Le fichier de configuration</w:t>
      </w:r>
      <w:r>
        <w:t xml:space="preserve"> </w:t>
      </w:r>
      <w:r>
        <w:t xml:space="preserve">géométrique supposait des brins de bobine tubulaires d’environ 9,5 mm, soit un entraxe de</w:t>
      </w:r>
      <w:r>
        <w:t xml:space="preserve"> </w:t>
      </w:r>
      <w:r>
        <w:t xml:space="preserve">19 mm. Les brins réels sont de section carrée de 6 mm, séparés d’un gap de 6,35 mm, soit un</w:t>
      </w:r>
      <w:r>
        <w:t xml:space="preserve"> </w:t>
      </w:r>
      <w:r>
        <w:t xml:space="preserve">entraxe de 12,35 mm : une erreur de 35 % sur l’entrée électromagnétique dominante. Corriger</w:t>
      </w:r>
      <w:r>
        <w:t xml:space="preserve"> </w:t>
      </w:r>
      <w:r>
        <w:t xml:space="preserve">cette cote et recalibrer ramène l’écart de pic sur l’essai de calibration de 46 à 15 °C, à</w:t>
      </w:r>
      <w:r>
        <w:t xml:space="preserve"> </w:t>
      </w:r>
      <w:r>
        <w:t xml:space="preserve">conductivité de plan physique, sans introduire de paramètre effectif. Une longue chaîne de</w:t>
      </w:r>
      <w:r>
        <w:t xml:space="preserve"> </w:t>
      </w:r>
      <w:r>
        <w:t xml:space="preserve">diagnostics (capacité thermique apparente, conductivité de plan, forme de la source</w:t>
      </w:r>
      <w:r>
        <w:t xml:space="preserve"> </w:t>
      </w:r>
      <w:r>
        <w:t xml:space="preserve">électromagnétique, puits thermique de l’outillage, blindage inter-couches, bloc céramique)</w:t>
      </w:r>
      <w:r>
        <w:t xml:space="preserve"> </w:t>
      </w:r>
      <w:r>
        <w:t xml:space="preserve">poursuivait donc un artefact d’entrée. Aucun correctif erroné n’a été inscrit dans le code :</w:t>
      </w:r>
      <w:r>
        <w:t xml:space="preserve"> </w:t>
      </w:r>
      <w:r>
        <w:t xml:space="preserve">toutes ces pistes avaient été testées à paramètres calibrés figés, en mode diagnostic. La</w:t>
      </w:r>
      <w:r>
        <w:t xml:space="preserve"> </w:t>
      </w:r>
      <w:r>
        <w:t xml:space="preserve">leçon vaut le résultat : vérifier les cotes d’entrée avant de postuler un mécanisme</w:t>
      </w:r>
      <w:r>
        <w:t xml:space="preserve"> </w:t>
      </w:r>
      <w:r>
        <w:t xml:space="preserve">manquant, et ne rien graver dans le modèle tant qu’une hypothèse n’est pas tranchée.</w:t>
      </w:r>
    </w:p>
    <w:p>
      <w:pPr>
        <w:pStyle w:val="BodyText"/>
      </w:pPr>
      <w:r>
        <w:t xml:space="preserve">La même leçon s’est vérifiée une seconde fois sur la hauteur des brins au-dessus du laminé.</w:t>
      </w:r>
      <w:r>
        <w:t xml:space="preserve"> </w:t>
      </w:r>
      <w:r>
        <w:t xml:space="preserve">La valeur employée, 6,8 mm, n’avait jamais été mesurée : elle se déduisait du diamètre de</w:t>
      </w:r>
      <w:r>
        <w:t xml:space="preserve"> </w:t>
      </w:r>
      <w:r>
        <w:t xml:space="preserve">tube erroné (2 mm de céramique plus un demi-tube de 4,76 mm). La cote physique, lue sur la</w:t>
      </w:r>
      <w:r>
        <w:t xml:space="preserve"> </w:t>
      </w:r>
      <w:r>
        <w:t xml:space="preserve">photo du montage, est 5,0 mm (2 mm plus un demi-tube de 3 mm). L’appliquer et recalibrer</w:t>
      </w:r>
      <w:r>
        <w:t xml:space="preserve"> </w:t>
      </w:r>
      <w:r>
        <w:t xml:space="preserve">améliore légèrement le RMSE mais dégrade l’écart de pic — signe, cette fois, non d’une</w:t>
      </w:r>
      <w:r>
        <w:t xml:space="preserve"> </w:t>
      </w:r>
      <w:r>
        <w:t xml:space="preserve">nouvelle erreur mais du fait que la source du modèle est trop concentrée une fois la</w:t>
      </w:r>
      <w:r>
        <w:t xml:space="preserve"> </w:t>
      </w:r>
      <w:r>
        <w:t xml:space="preserve">géométrie juste. La position du concentrateur au-dessus des brins, dont dépend le traitement</w:t>
      </w:r>
      <w:r>
        <w:t xml:space="preserve"> </w:t>
      </w:r>
      <w:r>
        <w:t xml:space="preserve">électromagnétique par courants images, a par ailleurs été vérifiée sur la CAO et confirmée :</w:t>
      </w:r>
      <w:r>
        <w:t xml:space="preserve"> </w:t>
      </w:r>
      <w:r>
        <w:t xml:space="preserve">elle reste inchangée. La géométrie électromagnétique est donc désormais entièrement cadrée,</w:t>
      </w:r>
      <w:r>
        <w:t xml:space="preserve"> </w:t>
      </w:r>
      <w:r>
        <w:t xml:space="preserve">et l’écart résiduel pointe sans ambiguïté vers la forme de la source — le profil en « M » du</w:t>
      </w:r>
      <w:r>
        <w:t xml:space="preserve"> </w:t>
      </w:r>
      <w:r>
        <w:t xml:space="preserve">point (a) et le contraste spatial trop marqué qui en découle.</w:t>
      </w:r>
    </w:p>
    <w:p>
      <w:pPr>
        <w:pStyle w:val="BodyText"/>
      </w:pPr>
      <w:r>
        <w:rPr>
          <w:b/>
          <w:bCs/>
        </w:rPr>
        <w:t xml:space="preserve">(b bis) Le résidu ouvert : le régime à basse consigne.</w:t>
      </w:r>
      <w:r>
        <w:t xml:space="preserve"> </w:t>
      </w:r>
      <w:r>
        <w:t xml:space="preserve">L’essai B-2 partage la géométrie</w:t>
      </w:r>
      <w:r>
        <w:t xml:space="preserve"> </w:t>
      </w:r>
      <w:r>
        <w:t xml:space="preserve">d’A-1 ; seule sa consigne de coupure diffère (360 °C au lieu de 400). Le modèle y sous-chauffe</w:t>
      </w:r>
      <w:r>
        <w:t xml:space="preserve"> </w:t>
      </w:r>
      <w:r>
        <w:t xml:space="preserve">les capteurs situés entre deux empreintes de 30 à 55 °C. Le diagnostic est établi : en durée</w:t>
      </w:r>
      <w:r>
        <w:t xml:space="preserve"> </w:t>
      </w:r>
      <w:r>
        <w:t xml:space="preserve">pleine, sans coupure, ces points atteignent bien 530 à 560 °C, donc la chaleur les atteint si</w:t>
      </w:r>
      <w:r>
        <w:t xml:space="preserve"> </w:t>
      </w:r>
      <w:r>
        <w:t xml:space="preserve">on lui laisse le temps. Le modèle coupe la chauffe lorsque le centre de l’empreinte, le point</w:t>
      </w:r>
      <w:r>
        <w:t xml:space="preserve"> </w:t>
      </w:r>
      <w:r>
        <w:t xml:space="preserve">le plus chaud, atteint la consigne ; le procédé réel coupait vraisemblablement sur un</w:t>
      </w:r>
      <w:r>
        <w:t xml:space="preserve"> </w:t>
      </w:r>
      <w:r>
        <w:t xml:space="preserve">thermocouple d’interface plus froid, d’où des impulsions plus longues et un meilleur</w:t>
      </w:r>
      <w:r>
        <w:t xml:space="preserve"> </w:t>
      </w:r>
      <w:r>
        <w:t xml:space="preserve">étalement en longueur. À consigne haute (A-1), les impulsions sont assez longues pour que</w:t>
      </w:r>
      <w:r>
        <w:t xml:space="preserve"> </w:t>
      </w:r>
      <w:r>
        <w:t xml:space="preserve">l’écart ne se voie pas. Trois correctifs ont été prototypés, recalibrés et validés en croisé,</w:t>
      </w:r>
      <w:r>
        <w:t xml:space="preserve"> </w:t>
      </w:r>
      <w:r>
        <w:t xml:space="preserve">puis tous réfutés : déplacer le point de contrôle casse A-1 ; une marge sur la consigne</w:t>
      </w:r>
      <w:r>
        <w:t xml:space="preserve"> </w:t>
      </w:r>
      <w:r>
        <w:t xml:space="preserve">échange A-1 contre B-2, les deux essais exigeant des marges de signes opposés ; la force de</w:t>
      </w:r>
      <w:r>
        <w:t xml:space="preserve"> </w:t>
      </w:r>
      <w:r>
        <w:t xml:space="preserve">contact reste neutralisée par la régulation. La limite est assumée telle quelle. Elle se</w:t>
      </w:r>
      <w:r>
        <w:t xml:space="preserve"> </w:t>
      </w:r>
      <w:r>
        <w:t xml:space="preserve">tranchera par une mesure, celle du point de coupure réel du thermostat, plutôt que par un</w:t>
      </w:r>
      <w:r>
        <w:t xml:space="preserve"> </w:t>
      </w:r>
      <w:r>
        <w:t xml:space="preserve">modèle plus fin.</w:t>
      </w:r>
    </w:p>
    <w:p>
      <w:pPr>
        <w:pStyle w:val="BodyText"/>
      </w:pPr>
      <w:r>
        <w:rPr>
          <w:b/>
          <w:bCs/>
        </w:rPr>
        <w:t xml:space="preserve">(c) Le déficit de chauffe en surface (TC1).</w:t>
      </w:r>
      <w:r>
        <w:t xml:space="preserve"> </w:t>
      </w:r>
      <w:r>
        <w:t xml:space="preserve">Sur l’essai instrumenté en épaisseur, le</w:t>
      </w:r>
      <w:r>
        <w:t xml:space="preserve"> </w:t>
      </w:r>
      <w:r>
        <w:t xml:space="preserve">thermocouple de surface chauffe 5 à 6 fois trop lentement dans le modèle. Quatre explications</w:t>
      </w:r>
      <w:r>
        <w:t xml:space="preserve"> </w:t>
      </w:r>
      <w:r>
        <w:t xml:space="preserve">ont été testées et écartées avec des chiffres : condition limite thermique, diffusion depuis</w:t>
      </w:r>
      <w:r>
        <w:t xml:space="preserve"> </w:t>
      </w:r>
      <w:r>
        <w:t xml:space="preserve">l’interface, auto-échauffement du concentrateur (0,6 à 1,4 W, négligeable), et décalage de</w:t>
      </w:r>
      <w:r>
        <w:t xml:space="preserve"> </w:t>
      </w:r>
      <w:r>
        <w:t xml:space="preserve">position de bobine. L’origine suspectée tient à la répartition de puissance entre couches ou à</w:t>
      </w:r>
      <w:r>
        <w:t xml:space="preserve"> </w:t>
      </w:r>
      <w:r>
        <w:t xml:space="preserve">un effet de champ proche que la plaque mince ne capture pas. Aucune mesure actuelle ne</w:t>
      </w:r>
      <w:r>
        <w:t xml:space="preserve"> </w:t>
      </w:r>
      <w:r>
        <w:t xml:space="preserve">tranche, car aucun essai ne mesure la température du concentrateur lui-même.</w:t>
      </w:r>
    </w:p>
    <w:p>
      <w:pPr>
        <w:pStyle w:val="BodyText"/>
      </w:pPr>
      <w:r>
        <w:rPr>
          <w:b/>
          <w:bCs/>
        </w:rPr>
        <w:t xml:space="preserve">(d) Le champ de réaction EM, implémenté puis écarté.</w:t>
      </w:r>
      <w:r>
        <w:t xml:space="preserve"> </w:t>
      </w:r>
      <w:r>
        <w:t xml:space="preserve">Le champ de réaction (blindage) a été</w:t>
      </w:r>
      <w:r>
        <w:t xml:space="preserve"> </w:t>
      </w:r>
      <w:r>
        <w:t xml:space="preserve">implémenté rigoureusement (auto-cohérent, complexe) et vérifié par 8 tests dédiés. Son effet</w:t>
      </w:r>
      <w:r>
        <w:t xml:space="preserve"> </w:t>
      </w:r>
      <w:r>
        <w:t xml:space="preserve">propre s’est révélé petit (0,2 à 0,6 % par couche), loin de l’ordre de grandeur initialement</w:t>
      </w:r>
      <w:r>
        <w:t xml:space="preserve"> </w:t>
      </w:r>
      <w:r>
        <w:t xml:space="preserve">espéré. Il n’explique donc pas le résidu de pic. Il reste dans le code derrière une option</w:t>
      </w:r>
      <w:r>
        <w:t xml:space="preserve"> </w:t>
      </w:r>
      <w:r>
        <w:t xml:space="preserve">désactivée par défaut, pour archivage et étude ultérieure.</w:t>
      </w:r>
    </w:p>
    <w:p>
      <w:pPr>
        <w:pStyle w:val="BodyText"/>
      </w:pPr>
      <w:r>
        <w:rPr>
          <w:b/>
          <w:bCs/>
        </w:rPr>
        <w:t xml:space="preserve">(e) Artefacts numériques corrigés.</w:t>
      </w:r>
      <w:r>
        <w:t xml:space="preserve"> </w:t>
      </w:r>
      <w:r>
        <w:t xml:space="preserve">Une étude de convergence de maillage a montré que le</w:t>
      </w:r>
      <w:r>
        <w:t xml:space="preserve"> </w:t>
      </w:r>
      <w:r>
        <w:t xml:space="preserve">résidu antérieurement attribué à un thermocouple venait à 85 à 95 % d’un artefact de lecture</w:t>
      </w:r>
      <w:r>
        <w:t xml:space="preserve"> </w:t>
      </w:r>
      <w:r>
        <w:t xml:space="preserve">(interpolation au nœud le plus proche sur une grille grossière), désormais corrigé par</w:t>
      </w:r>
      <w:r>
        <w:t xml:space="preserve"> </w:t>
      </w:r>
      <w:r>
        <w:t xml:space="preserve">interpolation bilinéaire. Avec le point (b), cela fait deux des plus gros écarts du modèle</w:t>
      </w:r>
      <w:r>
        <w:t xml:space="preserve"> </w:t>
      </w:r>
      <w:r>
        <w:t xml:space="preserve">attribués à des artefacts, l’un numérique et l’autre métrologique. Tous les écarts ne sont</w:t>
      </w:r>
      <w:r>
        <w:t xml:space="preserve"> </w:t>
      </w:r>
      <w:r>
        <w:t xml:space="preserve">pas physiques : c’est le principal enseignement de méthode de ces dernières semaines.</w:t>
      </w:r>
    </w:p>
    <w:p>
      <w:pPr>
        <w:pStyle w:val="BodyText"/>
      </w:pPr>
      <w:r>
        <w:rPr>
          <w:b/>
          <w:bCs/>
        </w:rPr>
        <w:t xml:space="preserve">Autres limites assumées.</w:t>
      </w:r>
      <w:r>
        <w:t xml:space="preserve"> </w:t>
      </w:r>
      <w:r>
        <w:t xml:space="preserve">Le modèle prend les propriétés matériaux indépendantes de la</w:t>
      </w:r>
      <w:r>
        <w:t xml:space="preserve"> </w:t>
      </w:r>
      <w:r>
        <w:t xml:space="preserve">température. O’Shaughnessey (2014) et Duhovic et al. (2012) mettent en garde sur ce point ;</w:t>
      </w:r>
      <w:r>
        <w:t xml:space="preserve"> </w:t>
      </w:r>
      <w:r>
        <w:t xml:space="preserve">cela expliquerait qu’un facteur d’échelle unique ne colle pas simultanément à la montée, au</w:t>
      </w:r>
      <w:r>
        <w:t xml:space="preserve"> </w:t>
      </w:r>
      <w:r>
        <w:t xml:space="preserve">pic et à la décroissance. Le modèle laisse aussi de côté la mécanique et la cristallisation.</w:t>
      </w:r>
    </w:p>
    <w:p>
      <w:r>
        <w:pict>
          <v:rect style="width:0;height:1.5pt" o:hralign="center" o:hrstd="t" o:hr="t"/>
        </w:pict>
      </w:r>
    </w:p>
    <w:bookmarkEnd w:id="22"/>
    <w:bookmarkStart w:id="25" w:name="X1d6b83e836bf7431c15a1eee73cfc870758751f"/>
    <w:p>
      <w:pPr>
        <w:pStyle w:val="Heading2"/>
      </w:pPr>
      <w:r>
        <w:t xml:space="preserve">10. Les outils d’intelligence artificielle utilisés</w:t>
      </w:r>
    </w:p>
    <w:p>
      <w:pPr>
        <w:pStyle w:val="FirstParagraph"/>
      </w:pPr>
      <w:r>
        <w:t xml:space="preserve">Le développement du jumeau a mobilisé des outils d’IA à deux niveaux distincts : des agents IA</w:t>
      </w:r>
      <w:r>
        <w:t xml:space="preserve"> </w:t>
      </w:r>
      <w:r>
        <w:t xml:space="preserve">d’assistance au développement (ils ont aidé à écrire, vérifier et documenter le code) et une</w:t>
      </w:r>
      <w:r>
        <w:t xml:space="preserve"> </w:t>
      </w:r>
      <w:r>
        <w:t xml:space="preserve">couche IA embarquée dans le produit (une interface conversationnelle pour piloter le jumeau).</w:t>
      </w:r>
      <w:r>
        <w:t xml:space="preserve"> </w:t>
      </w:r>
      <w:r>
        <w:t xml:space="preserve">Dans les deux cas, les sources scientifiques établissent et valident la physique, les</w:t>
      </w:r>
      <w:r>
        <w:t xml:space="preserve"> </w:t>
      </w:r>
      <w:r>
        <w:t xml:space="preserve">équations et les décisions de modélisation ; les agents assistent, sans faire autorité sur la</w:t>
      </w:r>
      <w:r>
        <w:t xml:space="preserve"> </w:t>
      </w:r>
      <w:r>
        <w:t xml:space="preserve">physique.</w:t>
      </w:r>
    </w:p>
    <w:bookmarkStart w:id="23" w:name="a-agents-ia-dassistance-au-développement"/>
    <w:p>
      <w:pPr>
        <w:pStyle w:val="Heading3"/>
      </w:pPr>
      <w:r>
        <w:t xml:space="preserve">10.A Agents IA d’assistance au développement</w:t>
      </w:r>
    </w:p>
    <w:p>
      <w:pPr>
        <w:pStyle w:val="FirstParagraph"/>
      </w:pPr>
      <w:r>
        <w:t xml:space="preserve">Le projet s’organise autour d’une équipe de dix agents spécialisés (fichiers</w:t>
      </w:r>
      <w:r>
        <w:t xml:space="preserve"> </w:t>
      </w:r>
      <w:r>
        <w:rPr>
          <w:rStyle w:val="VerbatimChar"/>
        </w:rPr>
        <w:t xml:space="preserve">.claude/agents/</w:t>
      </w:r>
      <w:r>
        <w:t xml:space="preserve">), chacun « propriétaire » d’un module et porteur d’un mandat précis, avec sa</w:t>
      </w:r>
      <w:r>
        <w:t xml:space="preserve"> </w:t>
      </w:r>
      <w:r>
        <w:t xml:space="preserve">propre discipline méthodologique. Cette organisation garantit qu’une expertise dédiée raisonne</w:t>
      </w:r>
      <w:r>
        <w:t xml:space="preserve"> </w:t>
      </w:r>
      <w:r>
        <w:t xml:space="preserve">chaque partie du code, et que les décisions transversales restent tracées.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Domaine de responsabilité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induction-em-engineer</w:t>
            </w:r>
          </w:p>
        </w:tc>
        <w:tc>
          <w:tcPr/>
          <w:p>
            <w:pPr>
              <w:pStyle w:val="Compact"/>
            </w:pPr>
            <w:r>
              <w:t xml:space="preserve">Électromagnétisme : Biot–Savart, courants de Foucault en plaque mince, effet de peau, concentrateur, source Joule (modules</w:t>
            </w:r>
            <w:r>
              <w:t xml:space="preserve"> </w:t>
            </w:r>
            <w:r>
              <w:rPr>
                <w:rStyle w:val="VerbatimChar"/>
              </w:rPr>
              <w:t xml:space="preserve">em/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thermal-solver-engineer</w:t>
            </w:r>
          </w:p>
        </w:tc>
        <w:tc>
          <w:tcPr/>
          <w:p>
            <w:pPr>
              <w:pStyle w:val="Compact"/>
            </w:pPr>
            <w:r>
              <w:t xml:space="preserve">Solveur thermique transitoire : méthode des lignes, intégration BDF, jacobien creux, cp apparent, conditions aux limites (module</w:t>
            </w:r>
            <w:r>
              <w:t xml:space="preserve"> </w:t>
            </w:r>
            <w:r>
              <w:rPr>
                <w:rStyle w:val="VerbatimChar"/>
              </w:rPr>
              <w:t xml:space="preserve">thermique/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cf-pekk-thermoplastic-specialist</w:t>
            </w:r>
          </w:p>
        </w:tc>
        <w:tc>
          <w:tcPr/>
          <w:p>
            <w:pPr>
              <w:pStyle w:val="Compact"/>
            </w:pPr>
            <w:r>
              <w:t xml:space="preserve">Thermophysique du CF/PEKK : conductivités homogénéisées, fusion/cristallisation, twill suscepteur, sourçage de chaque propriété (module</w:t>
            </w:r>
            <w:r>
              <w:t xml:space="preserve"> </w:t>
            </w:r>
            <w:r>
              <w:rPr>
                <w:rStyle w:val="VerbatimChar"/>
              </w:rPr>
              <w:t xml:space="preserve">materiaux.py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calibration-uq-specialist</w:t>
            </w:r>
          </w:p>
        </w:tc>
        <w:tc>
          <w:tcPr/>
          <w:p>
            <w:pPr>
              <w:pStyle w:val="Compact"/>
            </w:pPr>
            <w:r>
              <w:t xml:space="preserve">Problème inverse : LHS, moindres carrés pondérés, identifiabilité, quantification d’incertitude (module</w:t>
            </w:r>
            <w:r>
              <w:t xml:space="preserve"> </w:t>
            </w:r>
            <w:r>
              <w:rPr>
                <w:rStyle w:val="VerbatimChar"/>
              </w:rPr>
              <w:t xml:space="preserve">identification/</w:t>
            </w:r>
            <w:r>
              <w:t xml:space="preserve">). Porteur de la règle « ne jamais calibrer fréquence et facteur d’échelle ensemble ».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validation-data-engineer</w:t>
            </w:r>
          </w:p>
        </w:tc>
        <w:tc>
          <w:tcPr/>
          <w:p>
            <w:pPr>
              <w:pStyle w:val="Compact"/>
            </w:pPr>
            <w:r>
              <w:t xml:space="preserve">Données expérimentales : ingestion des thermocouples (CSV/TXT LabVIEW), nettoyage des aberrants, modèle de bruit, confrontation modèle↔mesure (module</w:t>
            </w:r>
            <w:r>
              <w:t xml:space="preserve"> </w:t>
            </w:r>
            <w:r>
              <w:rPr>
                <w:rStyle w:val="VerbatimChar"/>
              </w:rPr>
              <w:t xml:space="preserve">validation/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simulation-verification-engineer</w:t>
            </w:r>
          </w:p>
        </w:tc>
        <w:tc>
          <w:tcPr/>
          <w:p>
            <w:pPr>
              <w:pStyle w:val="Compact"/>
            </w:pPr>
            <w:r>
              <w:t xml:space="preserve">Vérification : bilans de conservation, benchmarks analytiques, solutions manufacturées, tests de régression (dossier</w:t>
            </w:r>
            <w:r>
              <w:t xml:space="preserve"> </w:t>
            </w:r>
            <w:r>
              <w:rPr>
                <w:rStyle w:val="VerbatimChar"/>
              </w:rPr>
              <w:t xml:space="preserve">tests/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scientific-python-reviewer</w:t>
            </w:r>
          </w:p>
        </w:tc>
        <w:tc>
          <w:tcPr/>
          <w:p>
            <w:pPr>
              <w:pStyle w:val="Compact"/>
            </w:pPr>
            <w:r>
              <w:t xml:space="preserve">Revue de code : vectorisation NumPy, matrices creuses, stabilité numérique, performance ; transverse à tout</w:t>
            </w:r>
            <w:r>
              <w:t xml:space="preserve"> </w:t>
            </w:r>
            <w:r>
              <w:rPr>
                <w:rStyle w:val="VerbatimChar"/>
              </w:rPr>
              <w:t xml:space="preserve">src/jumeau/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composites-engineer</w:t>
            </w:r>
          </w:p>
        </w:tc>
        <w:tc>
          <w:tcPr/>
          <w:p>
            <w:pPr>
              <w:pStyle w:val="Compact"/>
            </w:pPr>
            <w:r>
              <w:t xml:space="preserve">Ingénierie des composites FRP : micromécanique des plis, théorie des stratifiés, physique de mise en œuvre.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matagent</w:t>
            </w:r>
          </w:p>
        </w:tc>
        <w:tc>
          <w:tcPr/>
          <w:p>
            <w:pPr>
              <w:pStyle w:val="Compact"/>
            </w:pPr>
            <w:r>
              <w:t xml:space="preserve">Pilote du framework MatAgent (informatique des matériaux) : prédiction de propriétés, revue de littérature, analyse de données.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matclaw-solver</w:t>
            </w:r>
          </w:p>
        </w:tc>
        <w:tc>
          <w:tcPr/>
          <w:p>
            <w:pPr>
              <w:pStyle w:val="Compact"/>
            </w:pPr>
            <w:r>
              <w:t xml:space="preserve">Pilote de calculs de science des matériaux (DFT, MD, MC), disponible pour des besoins ponctuels de propriétés.</w:t>
            </w:r>
          </w:p>
        </w:tc>
      </w:tr>
    </w:tbl>
    <w:p>
      <w:pPr>
        <w:pStyle w:val="BodyText"/>
      </w:pPr>
      <w:r>
        <w:t xml:space="preserve">Ces agents fonctionnent sous contrôle humain. Ils proposent, chiffrent et documentent, et</w:t>
      </w:r>
      <w:r>
        <w:t xml:space="preserve"> </w:t>
      </w:r>
      <w:r>
        <w:t xml:space="preserve">chaque décision de modélisation reste tracée à une source et validée. La rigueur de la</w:t>
      </w:r>
      <w:r>
        <w:t xml:space="preserve"> </w:t>
      </w:r>
      <w:r>
        <w:t xml:space="preserve">démarche (résultats négatifs chiffrés, vérifications analytiques, tests de non-régression)</w:t>
      </w:r>
      <w:r>
        <w:t xml:space="preserve"> </w:t>
      </w:r>
      <w:r>
        <w:t xml:space="preserve">découle de cette organisation.</w:t>
      </w:r>
    </w:p>
    <w:p>
      <w:pPr>
        <w:pStyle w:val="BodyText"/>
      </w:pPr>
      <w:r>
        <w:t xml:space="preserve">Une suite d’agents dédiée à la recherche documentaire (« Academic Research Skills », ARS) a</w:t>
      </w:r>
      <w:r>
        <w:t xml:space="preserve"> </w:t>
      </w:r>
      <w:r>
        <w:t xml:space="preserve">produit la section d’état de l’art (</w:t>
      </w:r>
      <w:r>
        <w:rPr>
          <w:rStyle w:val="VerbatimChar"/>
        </w:rPr>
        <w:t xml:space="preserve">docs/etat_art_induction.md</w:t>
      </w:r>
      <w:r>
        <w:t xml:space="preserve">) : un corpus de 13 sources</w:t>
      </w:r>
      <w:r>
        <w:t xml:space="preserve"> </w:t>
      </w:r>
      <w:r>
        <w:t xml:space="preserve">vérifiées, chaque affirmation attribuée, sans référence hors corpus vérifié, avec vérification</w:t>
      </w:r>
      <w:r>
        <w:t xml:space="preserve"> </w:t>
      </w:r>
      <w:r>
        <w:t xml:space="preserve">de l’existence réelle des citations (protection contre les citations hallucinées). Cette suite</w:t>
      </w:r>
      <w:r>
        <w:t xml:space="preserve"> </w:t>
      </w:r>
      <w:r>
        <w:t xml:space="preserve">comprend des modes de revue de littérature, de vérification des faits, et de revue par les</w:t>
      </w:r>
      <w:r>
        <w:t xml:space="preserve"> </w:t>
      </w:r>
      <w:r>
        <w:t xml:space="preserve">pairs simulée.</w:t>
      </w:r>
    </w:p>
    <w:bookmarkEnd w:id="23"/>
    <w:bookmarkStart w:id="24" w:name="b-couche-ia-embarquée-dans-le-produit"/>
    <w:p>
      <w:pPr>
        <w:pStyle w:val="Heading3"/>
      </w:pPr>
      <w:r>
        <w:t xml:space="preserve">10.B Couche IA embarquée dans le produit</w:t>
      </w:r>
    </w:p>
    <w:p>
      <w:pPr>
        <w:pStyle w:val="FirstParagraph"/>
      </w:pPr>
      <w:r>
        <w:t xml:space="preserve">Une surcouche conversationnelle (dossier</w:t>
      </w:r>
      <w:r>
        <w:t xml:space="preserve"> </w:t>
      </w:r>
      <w:r>
        <w:rPr>
          <w:rStyle w:val="VerbatimChar"/>
        </w:rPr>
        <w:t xml:space="preserve">ai_framework/</w:t>
      </w:r>
      <w:r>
        <w:t xml:space="preserve">) s’ajoute par-dessus le solveur</w:t>
      </w:r>
      <w:r>
        <w:t xml:space="preserve"> </w:t>
      </w:r>
      <w:r>
        <w:t xml:space="preserve">physique, sans le modifier, selon une architecture multi-agents inspirée du framework MatAgent</w:t>
      </w:r>
      <w:r>
        <w:t xml:space="preserve"> </w:t>
      </w:r>
      <w:r>
        <w:t xml:space="preserve">(Purdue). Ses caractéristiques 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100 % locale.</w:t>
      </w:r>
      <w:r>
        <w:t xml:space="preserve"> </w:t>
      </w:r>
      <w:r>
        <w:t xml:space="preserve">Le modèle de langage tourne sur la machine (via Ollama), sans aucun appel</w:t>
      </w:r>
      <w:r>
        <w:t xml:space="preserve"> </w:t>
      </w:r>
      <w:r>
        <w:t xml:space="preserve">réseau externe ni clé API. Les données du projet restent sur le poste.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Trois outils orchestrés.</w:t>
      </w:r>
      <w:r>
        <w:t xml:space="preserve"> </w:t>
      </w:r>
      <w:r>
        <w:t xml:space="preserve">Générer une configuration d’essai, lancer la simulation, tracer</w:t>
      </w:r>
      <w:r>
        <w:t xml:space="preserve"> </w:t>
      </w:r>
      <w:r>
        <w:t xml:space="preserve">les résultats. L’utilisateur formule sa demande en langage naturel et l’orchestrateur</w:t>
      </w:r>
      <w:r>
        <w:t xml:space="preserve"> </w:t>
      </w:r>
      <w:r>
        <w:t xml:space="preserve">enchaîne les étapes.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Vérifications physiques embarquées.</w:t>
      </w:r>
      <w:r>
        <w:t xml:space="preserve"> </w:t>
      </w:r>
      <w:r>
        <w:t xml:space="preserve">Le système contrôle les bornes physiques des</w:t>
      </w:r>
      <w:r>
        <w:t xml:space="preserve"> </w:t>
      </w:r>
      <w:r>
        <w:t xml:space="preserve">paramètres avant tout calcul ; un rejet remonte à l’orchestrateur qui corrige.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Auto-correction.</w:t>
      </w:r>
      <w:r>
        <w:t xml:space="preserve"> </w:t>
      </w:r>
      <w:r>
        <w:t xml:space="preserve">Si un outil renvoie une erreur, le modèle la lit et rappelle l’outil</w:t>
      </w:r>
      <w:r>
        <w:t xml:space="preserve"> </w:t>
      </w:r>
      <w:r>
        <w:t xml:space="preserve">avec des paramètres corrigés.</w:t>
      </w:r>
    </w:p>
    <w:p>
      <w:pPr>
        <w:pStyle w:val="FirstParagraph"/>
      </w:pPr>
      <w:r>
        <w:t xml:space="preserve">Cette couche reste un démonstrateur exploratoire. Elle abaisse la barrière d’usage du jumeau</w:t>
      </w:r>
      <w:r>
        <w:t xml:space="preserve"> </w:t>
      </w:r>
      <w:r>
        <w:t xml:space="preserve">et préfigure un pilotage assisté, sans constituer un résultat scientifique en soi.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885f0c27c3ed3f3c4815318384c2064fd0dfcf1"/>
    <w:p>
      <w:pPr>
        <w:pStyle w:val="Heading2"/>
      </w:pPr>
      <w:r>
        <w:t xml:space="preserve">11. Perspectives : mesures et modélisation à venir</w:t>
      </w:r>
    </w:p>
    <w:p>
      <w:pPr>
        <w:pStyle w:val="FirstParagraph"/>
      </w:pPr>
      <w:r>
        <w:t xml:space="preserve">Le modèle pose désormais des questions expérimentales précises. La priorité passe autant par</w:t>
      </w:r>
      <w:r>
        <w:t xml:space="preserve"> </w:t>
      </w:r>
      <w:r>
        <w:t xml:space="preserve">la mesure que par le code.</w:t>
      </w:r>
    </w:p>
    <w:p>
      <w:pPr>
        <w:pStyle w:val="BodyText"/>
      </w:pPr>
      <w:r>
        <w:rPr>
          <w:b/>
          <w:bCs/>
        </w:rPr>
        <w:t xml:space="preserve">Mesures discriminantes (par rapport valeur/effort décroissant) 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Cartographie bord→centre.</w:t>
      </w:r>
      <w:r>
        <w:t xml:space="preserve"> </w:t>
      </w:r>
      <w:r>
        <w:t xml:space="preserve">Une ligne de 3 à 5 thermocouples sur la largeur de 40 mm, à</w:t>
      </w:r>
      <w:r>
        <w:t xml:space="preserve"> </w:t>
      </w:r>
      <w:r>
        <w:t xml:space="preserve">l’interface. Cette mesure tranche le profil en « M » : le modèle prédit bord chaud / centre</w:t>
      </w:r>
      <w:r>
        <w:t xml:space="preserve"> </w:t>
      </w:r>
      <w:r>
        <w:t xml:space="preserve">froid. Le cahier de laboratoire la décrit déjà.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Température du concentrateur.</w:t>
      </w:r>
      <w:r>
        <w:t xml:space="preserve"> </w:t>
      </w:r>
      <w:r>
        <w:t xml:space="preserve">Un thermocouple ou une caméra infrarouge sur sa face</w:t>
      </w:r>
      <w:r>
        <w:t xml:space="preserve"> </w:t>
      </w:r>
      <w:r>
        <w:t xml:space="preserve">active pendant une chauffe. Seule mesure capable d’attaquer le déficit de surface (TC1).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Relevé métrologique complet de la tête.</w:t>
      </w:r>
      <w:r>
        <w:t xml:space="preserve"> </w:t>
      </w:r>
      <w:r>
        <w:t xml:space="preserve">Position relative bobine / concentrateur /</w:t>
      </w:r>
      <w:r>
        <w:t xml:space="preserve"> </w:t>
      </w:r>
      <w:r>
        <w:t xml:space="preserve">thermocouples, en particulier le décalage longitudinal</w:t>
      </w:r>
      <w:r>
        <w:t xml:space="preserve"> </w:t>
      </w:r>
      <w:r>
        <w:rPr>
          <w:rStyle w:val="VerbatimChar"/>
        </w:rPr>
        <w:t xml:space="preserve">decalage_x</w:t>
      </w:r>
      <w:r>
        <w:t xml:space="preserve">, aujourd’hui figé</w:t>
      </w:r>
      <w:r>
        <w:t xml:space="preserve"> </w:t>
      </w:r>
      <w:r>
        <w:t xml:space="preserve">faute de mesure. Les cotes de section, d’entraxe et de hauteur des brins ont, elles, déjà</w:t>
      </w:r>
      <w:r>
        <w:t xml:space="preserve"> </w:t>
      </w:r>
      <w:r>
        <w:t xml:space="preserve">été corrigées à partir de la CAO et de la photo du montage (section 9) ; un relevé au pied</w:t>
      </w:r>
      <w:r>
        <w:t xml:space="preserve"> </w:t>
      </w:r>
      <w:r>
        <w:t xml:space="preserve">à coulisse les confirmerait et refermerait définitivement le sujet géométrie.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Point de coupure réel du thermostat.</w:t>
      </w:r>
      <w:r>
        <w:t xml:space="preserve"> </w:t>
      </w:r>
      <w:r>
        <w:t xml:space="preserve">Quel capteur pilotait l’arrêt de chauffe, et à</w:t>
      </w:r>
      <w:r>
        <w:t xml:space="preserve"> </w:t>
      </w:r>
      <w:r>
        <w:t xml:space="preserve">quelle position. Cette information tranche le résidu à basse consigne, section 9(b bis).</w:t>
      </w:r>
    </w:p>
    <w:p>
      <w:pPr>
        <w:pStyle w:val="FirstParagraph"/>
      </w:pPr>
      <w:r>
        <w:rPr>
          <w:b/>
          <w:bCs/>
        </w:rPr>
        <w:t xml:space="preserve">Développements de modélisation (par priorité) 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Modèle de concentrateur fini</w:t>
      </w:r>
      <w:r>
        <w:t xml:space="preserve"> </w:t>
      </w:r>
      <w:r>
        <w:t xml:space="preserve">(redistribution du flux par la semelle polaire) en</w:t>
      </w:r>
      <w:r>
        <w:t xml:space="preserve"> </w:t>
      </w:r>
      <w:r>
        <w:t xml:space="preserve">remplacement de l’approximation par courants images. Ce levier change la forme de la source,</w:t>
      </w:r>
      <w:r>
        <w:t xml:space="preserve"> </w:t>
      </w:r>
      <w:r>
        <w:t xml:space="preserve">pas seulement son échelle. Sa priorité a toutefois baissé depuis la correction de géométrie :</w:t>
      </w:r>
      <w:r>
        <w:t xml:space="preserve"> </w:t>
      </w:r>
      <w:r>
        <w:t xml:space="preserve">il devait expliquer l’écart de pic, que la cote corrigée absorbe déjà en grande partie.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Propriétés dépendantes de la température</w:t>
      </w:r>
      <w:r>
        <w:t xml:space="preserve"> </w:t>
      </w:r>
      <w:r>
        <w:t xml:space="preserve">σ(T), cp(T). O’Shaughnessey (2014) et Duhovic</w:t>
      </w:r>
      <w:r>
        <w:t xml:space="preserve"> </w:t>
      </w:r>
      <w:r>
        <w:t xml:space="preserve">et al. (2012) le recommandent explicitement ; cela expliquerait qu’un facteur unique ne</w:t>
      </w:r>
      <w:r>
        <w:t xml:space="preserve"> </w:t>
      </w:r>
      <w:r>
        <w:t xml:space="preserve">colle pas simultanément à la montée, au pic et à la décroissance.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Cinétique de cristallisation</w:t>
      </w:r>
      <w:r>
        <w:t xml:space="preserve"> </w:t>
      </w:r>
      <w:r>
        <w:t xml:space="preserve">(modèle d’Ozawa, comme chez Lionetto et al., 2017) pour</w:t>
      </w:r>
      <w:r>
        <w:t xml:space="preserve"> </w:t>
      </w:r>
      <w:r>
        <w:t xml:space="preserve">compléter la Figure 5 avec le degré de cristallinité au refroidissement, un critère de</w:t>
      </w:r>
      <w:r>
        <w:t xml:space="preserve"> </w:t>
      </w:r>
      <w:r>
        <w:t xml:space="preserve">qualité de joint.</w:t>
      </w:r>
    </w:p>
    <w:p>
      <w:pPr>
        <w:pStyle w:val="FirstParagraph"/>
      </w:pPr>
      <w:r>
        <w:rPr>
          <w:b/>
          <w:bCs/>
        </w:rPr>
        <w:t xml:space="preserve">Horizon.</w:t>
      </w:r>
      <w:r>
        <w:t xml:space="preserve"> </w:t>
      </w:r>
      <w:r>
        <w:t xml:space="preserve">Le simulateur actuel forme déjà le modèle de procédé (« plant model ») d’une</w:t>
      </w:r>
      <w:r>
        <w:t xml:space="preserve"> </w:t>
      </w:r>
      <w:r>
        <w:t xml:space="preserve">future boucle de contrôle prédictif. Il lui manque la fidélité spatiale (point 1 ci-dessus),</w:t>
      </w:r>
      <w:r>
        <w:t xml:space="preserve"> </w:t>
      </w:r>
      <w:r>
        <w:t xml:space="preserve">pas l’architecture. Le coût de calcul (2 à 4 min par essai) constitue un verrou pour le temps</w:t>
      </w:r>
      <w:r>
        <w:t xml:space="preserve"> </w:t>
      </w:r>
      <w:r>
        <w:t xml:space="preserve">réel, à lever par un modèle réduit.</w:t>
      </w:r>
    </w:p>
    <w:p>
      <w:r>
        <w:pict>
          <v:rect style="width:0;height:1.5pt" o:hralign="center" o:hrstd="t" o:hr="t"/>
        </w:pict>
      </w:r>
    </w:p>
    <w:bookmarkEnd w:id="26"/>
    <w:bookmarkStart w:id="27" w:name="bibliographie"/>
    <w:p>
      <w:pPr>
        <w:pStyle w:val="Heading2"/>
      </w:pPr>
      <w:r>
        <w:t xml:space="preserve">12. Bibliographie</w:t>
      </w:r>
    </w:p>
    <w:p>
      <w:pPr>
        <w:pStyle w:val="FirstParagraph"/>
      </w:pPr>
      <w:r>
        <w:t xml:space="preserve">Les sources ci-dessous sont celles effectivement mobilisées dans la modélisation (fichiers de</w:t>
      </w:r>
      <w:r>
        <w:t xml:space="preserve"> </w:t>
      </w:r>
      <w:r>
        <w:t xml:space="preserve">configuration, docstrings du code, section d’état de l’art vérifiée). La section d’état de</w:t>
      </w:r>
      <w:r>
        <w:t xml:space="preserve"> </w:t>
      </w:r>
      <w:r>
        <w:t xml:space="preserve">l’art complète (</w:t>
      </w:r>
      <w:r>
        <w:rPr>
          <w:rStyle w:val="VerbatimChar"/>
        </w:rPr>
        <w:t xml:space="preserve">docs/etat_art_induction.md</w:t>
      </w:r>
      <w:r>
        <w:t xml:space="preserve">) contient le corpus vérifié de 13 sources avec</w:t>
      </w:r>
      <w:r>
        <w:t xml:space="preserve"> </w:t>
      </w:r>
      <w:r>
        <w:t xml:space="preserve">attribution systématique.</w:t>
      </w:r>
    </w:p>
    <w:p>
      <w:pPr>
        <w:pStyle w:val="BodyText"/>
      </w:pPr>
      <w:r>
        <w:rPr>
          <w:b/>
          <w:bCs/>
        </w:rPr>
        <w:t xml:space="preserve">Modélisation électro-thermique du soudage par induction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Lin, W. (1993).</w:t>
      </w:r>
      <w:r>
        <w:t xml:space="preserve"> </w:t>
      </w:r>
      <w:r>
        <w:rPr>
          <w:i/>
          <w:iCs/>
        </w:rPr>
        <w:t xml:space="preserve">Induction heating model of graphite fiber/thermoplastic matrix</w:t>
      </w:r>
      <w:r>
        <w:rPr>
          <w:i/>
          <w:iCs/>
        </w:rPr>
        <w:t xml:space="preserve"> </w:t>
      </w:r>
      <w:r>
        <w:rPr>
          <w:i/>
          <w:iCs/>
        </w:rPr>
        <w:t xml:space="preserve">composites.</w:t>
      </w:r>
      <w:r>
        <w:t xml:space="preserve"> </w:t>
      </w:r>
      <w:r>
        <w:t xml:space="preserve">Modèle par différences finies 2D des courants de Foucault sous une bobine de</w:t>
      </w:r>
      <w:r>
        <w:t xml:space="preserve"> </w:t>
      </w:r>
      <w:r>
        <w:t xml:space="preserve">forme quelconque ; hypothèse de plaque mince ; courants portés par les fibres. Source du</w:t>
      </w:r>
      <w:r>
        <w:t xml:space="preserve"> </w:t>
      </w:r>
      <w:r>
        <w:t xml:space="preserve">maillon « courants de Foucault » (section 3.2).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Lionetto, F., Pappadà, S., Buccoliero, G., &amp; Maffezzoli, A. (2017).</w:t>
      </w:r>
      <w:r>
        <w:t xml:space="preserve"> </w:t>
      </w:r>
      <w:r>
        <w:rPr>
          <w:i/>
          <w:iCs/>
        </w:rPr>
        <w:t xml:space="preserve">Finite element</w:t>
      </w:r>
      <w:r>
        <w:rPr>
          <w:i/>
          <w:iCs/>
        </w:rPr>
        <w:t xml:space="preserve"> </w:t>
      </w:r>
      <w:r>
        <w:rPr>
          <w:i/>
          <w:iCs/>
        </w:rPr>
        <w:t xml:space="preserve">modeling of continuous induction welding of thermoplastic matrix composites.</w:t>
      </w:r>
      <w:r>
        <w:t xml:space="preserve"> </w:t>
      </w:r>
      <w:r>
        <w:t xml:space="preserve">Materials &amp;</w:t>
      </w:r>
      <w:r>
        <w:t xml:space="preserve"> </w:t>
      </w:r>
      <w:r>
        <w:t xml:space="preserve">Design, 120, 212–221. Modèle FE 3D couplant électromagnétisme et transfert thermique avec</w:t>
      </w:r>
      <w:r>
        <w:t xml:space="preserve"> </w:t>
      </w:r>
      <w:r>
        <w:t xml:space="preserve">fusion et cristallisation. Référence des Figures 4 et 5 reproduites ; source du degré de</w:t>
      </w:r>
      <w:r>
        <w:t xml:space="preserve"> </w:t>
      </w:r>
      <w:r>
        <w:t xml:space="preserve">fusion et de la chaleur latente.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O’Shaughnessey, P. G. (2014).</w:t>
      </w:r>
      <w:r>
        <w:t xml:space="preserve"> </w:t>
      </w:r>
      <w:r>
        <w:rPr>
          <w:i/>
          <w:iCs/>
        </w:rPr>
        <w:t xml:space="preserve">Modélisation et investigation expérimentale du soudage</w:t>
      </w:r>
      <w:r>
        <w:rPr>
          <w:i/>
          <w:iCs/>
        </w:rPr>
        <w:t xml:space="preserve"> </w:t>
      </w:r>
      <w:r>
        <w:rPr>
          <w:i/>
          <w:iCs/>
        </w:rPr>
        <w:t xml:space="preserve">par induction de composites thermoplastiques.</w:t>
      </w:r>
      <w:r>
        <w:t xml:space="preserve"> </w:t>
      </w:r>
      <w:r>
        <w:t xml:space="preserve">Mémoire, ÉTS (même laboratoire). Modèle</w:t>
      </w:r>
      <w:r>
        <w:t xml:space="preserve"> </w:t>
      </w:r>
      <w:r>
        <w:t xml:space="preserve">COMSOL 3D avec élément chauffant à l’interface et concentrateur de flux ; homogénéisation ;</w:t>
      </w:r>
      <w:r>
        <w:t xml:space="preserve"> </w:t>
      </w:r>
      <w:r>
        <w:t xml:space="preserve">analyse de sensibilité (courant, fréquence, distance, conductivité). Source des conditions</w:t>
      </w:r>
      <w:r>
        <w:t xml:space="preserve"> </w:t>
      </w:r>
      <w:r>
        <w:t xml:space="preserve">aux limites thermiques, de l’homogénéisation, et de la prise en compte du concentrateur.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Duhovic, M., et al. (2012).</w:t>
      </w:r>
      <w:r>
        <w:t xml:space="preserve"> </w:t>
      </w:r>
      <w:r>
        <w:t xml:space="preserve">Comparaison de modèles (COMSOL / LS-DYNA) du chauffage par</w:t>
      </w:r>
      <w:r>
        <w:t xml:space="preserve"> </w:t>
      </w:r>
      <w:r>
        <w:t xml:space="preserve">induction de CF/PEEK ; profondeur de peau, règles de maillage, coefficients de convection,</w:t>
      </w:r>
      <w:r>
        <w:t xml:space="preserve"> </w:t>
      </w:r>
      <w:r>
        <w:t xml:space="preserve">importance de la dépendance en température de la conductivité électrique. Source de la</w:t>
      </w:r>
      <w:r>
        <w:t xml:space="preserve"> </w:t>
      </w:r>
      <w:r>
        <w:t xml:space="preserve">justification du régime plaque mince et de la mise en garde sur σ(T).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Grouve, W., et al. (2020).</w:t>
      </w:r>
      <w:r>
        <w:t xml:space="preserve"> </w:t>
      </w:r>
      <w:r>
        <w:rPr>
          <w:i/>
          <w:iCs/>
        </w:rPr>
        <w:t xml:space="preserve">Induction heating of cross-ply C/PEKK laminates.</w:t>
      </w:r>
      <w:r>
        <w:t xml:space="preserve"> </w:t>
      </w:r>
      <w:r>
        <w:t xml:space="preserve">Modèle</w:t>
      </w:r>
      <w:r>
        <w:t xml:space="preserve"> </w:t>
      </w:r>
      <w:r>
        <w:t xml:space="preserve">COMSOL ; tenseur de conductivité électrique anisotrope mesuré ; µr = 1 ; coefficient de</w:t>
      </w:r>
      <w:r>
        <w:t xml:space="preserve"> </w:t>
      </w:r>
      <w:r>
        <w:t xml:space="preserve">convection. Source des conductivités électriques du laminé (Table 1).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Samanis, et al. (2026).</w:t>
      </w:r>
      <w:r>
        <w:t xml:space="preserve"> </w:t>
      </w:r>
      <w:r>
        <w:rPr>
          <w:i/>
          <w:iCs/>
        </w:rPr>
        <w:t xml:space="preserve">Digital Twin for the control of induction cure in composites</w:t>
      </w:r>
      <w:r>
        <w:rPr>
          <w:i/>
          <w:iCs/>
        </w:rPr>
        <w:t xml:space="preserve"> </w:t>
      </w:r>
      <w:r>
        <w:rPr>
          <w:i/>
          <w:iCs/>
        </w:rPr>
        <w:t xml:space="preserve">manufacturing.</w:t>
      </w:r>
      <w:r>
        <w:t xml:space="preserve"> </w:t>
      </w:r>
      <w:r>
        <w:t xml:space="preserve">Méthode des lignes 1D, identification LHS et moindres carrés, test de</w:t>
      </w:r>
      <w:r>
        <w:t xml:space="preserve"> </w:t>
      </w:r>
      <w:r>
        <w:t xml:space="preserve">vérification « boîte noire ». Source du pipeline de calibration et de la structure du solveur</w:t>
      </w:r>
      <w:r>
        <w:t xml:space="preserve"> </w:t>
      </w:r>
      <w:r>
        <w:t xml:space="preserve">transitoire.</w:t>
      </w:r>
    </w:p>
    <w:p>
      <w:pPr>
        <w:pStyle w:val="FirstParagraph"/>
      </w:pPr>
      <w:r>
        <w:rPr>
          <w:b/>
          <w:bCs/>
        </w:rPr>
        <w:t xml:space="preserve">Mécanismes de chauffe et architecture des composites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Fink, B. K., McCullough, R. L., &amp; Gillespie, J. W. (1992).</w:t>
      </w:r>
      <w:r>
        <w:t xml:space="preserve"> </w:t>
      </w:r>
      <w:r>
        <w:t xml:space="preserve">Théorie « locale » de la</w:t>
      </w:r>
      <w:r>
        <w:t xml:space="preserve"> </w:t>
      </w:r>
      <w:r>
        <w:t xml:space="preserve">dissipation par induction : conduction le long des fibres, résistance des jonctions, pertes</w:t>
      </w:r>
      <w:r>
        <w:t xml:space="preserve"> </w:t>
      </w:r>
      <w:r>
        <w:t xml:space="preserve">diélectriques. Cadre d’interprétation de l’origine de la chaleur.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Bayerl, T., Duhovic, M., Mitschang, P., &amp; Bhattacharyya, D. (2014).</w:t>
      </w:r>
      <w:r>
        <w:t xml:space="preserve"> </w:t>
      </w:r>
      <w:r>
        <w:t xml:space="preserve">Revue des mécanismes</w:t>
      </w:r>
      <w:r>
        <w:t xml:space="preserve"> </w:t>
      </w:r>
      <w:r>
        <w:t xml:space="preserve">de chauffe par induction des CFRTP. Contexte général du procédé.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van den Berg, Luckabauer, Wijskamp, &amp; Akkerman (2024).</w:t>
      </w:r>
      <w:r>
        <w:t xml:space="preserve"> </w:t>
      </w:r>
      <w:r>
        <w:t xml:space="preserve">Étude expérimentale du chauffage</w:t>
      </w:r>
      <w:r>
        <w:t xml:space="preserve"> </w:t>
      </w:r>
      <w:r>
        <w:t xml:space="preserve">par induction d’un renfort tissé (fabric) à conductivité anisotrope. Justification du rôle du</w:t>
      </w:r>
      <w:r>
        <w:t xml:space="preserve"> </w:t>
      </w:r>
      <w:r>
        <w:t xml:space="preserve">twill (référence la plus proche du montage).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Martin, R., et al. (2024), travaux COMPAAM.</w:t>
      </w:r>
      <w:r>
        <w:t xml:space="preserve"> </w:t>
      </w:r>
      <w:r>
        <w:t xml:space="preserve">Recommandation de dimensionnement du</w:t>
      </w:r>
      <w:r>
        <w:t xml:space="preserve"> </w:t>
      </w:r>
      <w:r>
        <w:t xml:space="preserve">concentrateur (plus étroit que la zone de soudure pour limiter les effets de bord). Source du</w:t>
      </w:r>
      <w:r>
        <w:t xml:space="preserve"> </w:t>
      </w:r>
      <w:r>
        <w:t xml:space="preserve">dimensionnement du CFC.</w:t>
      </w:r>
    </w:p>
    <w:p>
      <w:pPr>
        <w:pStyle w:val="FirstParagraph"/>
      </w:pPr>
      <w:r>
        <w:rPr>
          <w:b/>
          <w:bCs/>
        </w:rPr>
        <w:t xml:space="preserve">Propriétés matériaux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Fluxtrol Inc.</w:t>
      </w:r>
      <w:r>
        <w:t xml:space="preserve"> </w:t>
      </w:r>
      <w:r>
        <w:rPr>
          <w:i/>
          <w:iCs/>
        </w:rPr>
        <w:t xml:space="preserve">Ferrotron 559H</w:t>
      </w:r>
      <w:r>
        <w:t xml:space="preserve"> </w:t>
      </w:r>
      <w:r>
        <w:t xml:space="preserve">datasheet. µi = 16, ρ &gt; 15 kΩ·cm, courbe de pertes</w:t>
      </w:r>
      <w:r>
        <w:t xml:space="preserve"> </w:t>
      </w:r>
      <w:r>
        <w:rPr>
          <w:rStyle w:val="VerbatimChar"/>
        </w:rPr>
        <w:t xml:space="preserve">Pv = 4,1·f^{1,1}·B^{2,5}</w:t>
      </w:r>
      <w:r>
        <w:t xml:space="preserve">. Source des propriétés du concentrateur et du chiffrage de son</w:t>
      </w:r>
      <w:r>
        <w:t xml:space="preserve"> </w:t>
      </w:r>
      <w:r>
        <w:t xml:space="preserve">auto-échauffement.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Buser</w:t>
      </w:r>
      <w:r>
        <w:t xml:space="preserve"> </w:t>
      </w:r>
      <w:r>
        <w:t xml:space="preserve">(thèse Twente) et</w:t>
      </w:r>
      <w:r>
        <w:t xml:space="preserve"> </w:t>
      </w:r>
      <w:r>
        <w:rPr>
          <w:b/>
          <w:bCs/>
        </w:rPr>
        <w:t xml:space="preserve">Solvay APC</w:t>
      </w:r>
      <w:r>
        <w:t xml:space="preserve"> </w:t>
      </w:r>
      <w:r>
        <w:t xml:space="preserve">(fiche PEKK-FC). Conductivité transverse du</w:t>
      </w:r>
      <w:r>
        <w:t xml:space="preserve"> </w:t>
      </w:r>
      <w:r>
        <w:t xml:space="preserve">laminé, densité, températures caractéristiques.</w:t>
      </w:r>
    </w:p>
    <w:p>
      <w:pPr>
        <w:pStyle w:val="FirstParagraph"/>
      </w:pPr>
      <w:r>
        <w:rPr>
          <w:b/>
          <w:bCs/>
        </w:rPr>
        <w:t xml:space="preserve">Filiation du banc expérimental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Côté (2018).</w:t>
      </w:r>
      <w:r>
        <w:t xml:space="preserve"> </w:t>
      </w:r>
      <w:r>
        <w:t xml:space="preserve">Description du banc de soudage par induction du laboratoire (bobine hairpin,</w:t>
      </w:r>
      <w:r>
        <w:t xml:space="preserve"> </w:t>
      </w:r>
      <w:r>
        <w:t xml:space="preserve">générateur Ambrell, vérin pneumatique) et ajout de la table à motion linéaire. Filiation</w:t>
      </w:r>
      <w:r>
        <w:t xml:space="preserve"> </w:t>
      </w:r>
      <w:r>
        <w:t xml:space="preserve">O’Shaughnessey (2014) → Côté (2018) → présents travaux.</w:t>
      </w:r>
    </w:p>
    <w:p>
      <w:r>
        <w:pict>
          <v:rect style="width:0;height:1.5pt" o:hralign="center" o:hrstd="t" o:hr="t"/>
        </w:pict>
      </w:r>
    </w:p>
    <w:bookmarkEnd w:id="27"/>
    <w:bookmarkStart w:id="31" w:name="annexes"/>
    <w:p>
      <w:pPr>
        <w:pStyle w:val="Heading2"/>
      </w:pPr>
      <w:r>
        <w:t xml:space="preserve">13. Annexes</w:t>
      </w:r>
    </w:p>
    <w:bookmarkStart w:id="28" w:name="annexe-a.-nomenclature"/>
    <w:p>
      <w:pPr>
        <w:pStyle w:val="Heading3"/>
      </w:pPr>
      <w:r>
        <w:t xml:space="preserve">Annexe A. Nomenclature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Symbole</w:t>
            </w:r>
          </w:p>
        </w:tc>
        <w:tc>
          <w:tcPr/>
          <w:p>
            <w:pPr>
              <w:pStyle w:val="Compact"/>
            </w:pPr>
            <w:r>
              <w:t xml:space="preserve">Grandeur</w:t>
            </w:r>
          </w:p>
        </w:tc>
        <w:tc>
          <w:tcPr/>
          <w:p>
            <w:pPr>
              <w:pStyle w:val="Compact"/>
            </w:pPr>
            <w:r>
              <w:t xml:space="preserve">Unité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Bz</w:t>
            </w:r>
          </w:p>
        </w:tc>
        <w:tc>
          <w:tcPr/>
          <w:p>
            <w:pPr>
              <w:pStyle w:val="Compact"/>
            </w:pPr>
            <w:r>
              <w:t xml:space="preserve">Champ magnétique (valeur efficace)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Courant de bobine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ω = 2πf</w:t>
            </w:r>
          </w:p>
        </w:tc>
        <w:tc>
          <w:tcPr/>
          <w:p>
            <w:pPr>
              <w:pStyle w:val="Compact"/>
            </w:pPr>
            <w:r>
              <w:t xml:space="preserve">Fréquence / pulsation</w:t>
            </w:r>
          </w:p>
        </w:tc>
        <w:tc>
          <w:tcPr/>
          <w:p>
            <w:pPr>
              <w:pStyle w:val="Compact"/>
            </w:pPr>
            <w:r>
              <w:t xml:space="preserve">Hz / rad·s⁻¹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µ₀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µr</w:t>
            </w:r>
          </w:p>
        </w:tc>
        <w:tc>
          <w:tcPr/>
          <w:p>
            <w:pPr>
              <w:pStyle w:val="Compact"/>
            </w:pPr>
            <w:r>
              <w:t xml:space="preserve">Perméabilité du vide / relative</w:t>
            </w:r>
          </w:p>
        </w:tc>
        <w:tc>
          <w:tcPr/>
          <w:p>
            <w:pPr>
              <w:pStyle w:val="Compact"/>
            </w:pPr>
            <w:r>
              <w:t xml:space="preserve">H·m⁻¹ / 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σ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ρ = 1/σ</w:t>
            </w:r>
          </w:p>
        </w:tc>
        <w:tc>
          <w:tcPr/>
          <w:p>
            <w:pPr>
              <w:pStyle w:val="Compact"/>
            </w:pPr>
            <w:r>
              <w:t xml:space="preserve">Conductivité / résistivité électrique</w:t>
            </w:r>
          </w:p>
        </w:tc>
        <w:tc>
          <w:tcPr/>
          <w:p>
            <w:pPr>
              <w:pStyle w:val="Compact"/>
            </w:pPr>
            <w:r>
              <w:t xml:space="preserve">S·m⁻¹ / Ω·m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δ = √(2ρ/µ₀ω)</w:t>
            </w:r>
          </w:p>
        </w:tc>
        <w:tc>
          <w:tcPr/>
          <w:p>
            <w:pPr>
              <w:pStyle w:val="Compact"/>
            </w:pPr>
            <w:r>
              <w:t xml:space="preserve">Profondeur de peau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ψ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Fonction de courant / densité de courant</w:t>
            </w:r>
          </w:p>
        </w:tc>
        <w:tc>
          <w:tcPr/>
          <w:p>
            <w:pPr>
              <w:pStyle w:val="Compact"/>
            </w:pPr>
            <w:r>
              <w:t xml:space="preserve">A·m⁻¹ / A·m⁻²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Puissance Joule surfacique / volumique</w:t>
            </w:r>
          </w:p>
        </w:tc>
        <w:tc>
          <w:tcPr/>
          <w:p>
            <w:pPr>
              <w:pStyle w:val="Compact"/>
            </w:pPr>
            <w:r>
              <w:t xml:space="preserve">W·m⁻² / W·m⁻³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Tg</w:t>
            </w:r>
          </w:p>
        </w:tc>
        <w:tc>
          <w:tcPr/>
          <w:p>
            <w:pPr>
              <w:pStyle w:val="Compact"/>
            </w:pPr>
            <w:r>
              <w:t xml:space="preserve">Température / fusion / transition vitreuse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L_f</w:t>
            </w:r>
          </w:p>
        </w:tc>
        <w:tc>
          <w:tcPr/>
          <w:p>
            <w:pPr>
              <w:pStyle w:val="Compact"/>
            </w:pPr>
            <w:r>
              <w:t xml:space="preserve">Capacité thermique / chaleur latente</w:t>
            </w:r>
          </w:p>
        </w:tc>
        <w:tc>
          <w:tcPr/>
          <w:p>
            <w:pPr>
              <w:pStyle w:val="Compact"/>
            </w:pPr>
            <w:r>
              <w:t xml:space="preserve">J·kg⁻¹·K⁻¹ / J·kg⁻¹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Conductivité thermique</w:t>
            </w:r>
          </w:p>
        </w:tc>
        <w:tc>
          <w:tcPr/>
          <w:p>
            <w:pPr>
              <w:pStyle w:val="Compact"/>
            </w:pPr>
            <w:r>
              <w:t xml:space="preserve">W·m⁻¹·K⁻¹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Coefficient de perte (convection/contact)</w:t>
            </w:r>
          </w:p>
        </w:tc>
        <w:tc>
          <w:tcPr/>
          <w:p>
            <w:pPr>
              <w:pStyle w:val="Compact"/>
            </w:pPr>
            <w:r>
              <w:t xml:space="preserve">W·m⁻²·K⁻¹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Xm</w:t>
            </w:r>
          </w:p>
        </w:tc>
        <w:tc>
          <w:tcPr/>
          <w:p>
            <w:pPr>
              <w:pStyle w:val="Compact"/>
            </w:pPr>
            <w:r>
              <w:t xml:space="preserve">Degré de fusion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η = (µr−1)/(µr+1)</w:t>
            </w:r>
          </w:p>
        </w:tc>
        <w:tc>
          <w:tcPr/>
          <w:p>
            <w:pPr>
              <w:pStyle w:val="Compact"/>
            </w:pPr>
            <w:r>
              <w:t xml:space="preserve">Coefficient de courant image du concentrateur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8"/>
    <w:bookmarkStart w:id="29" w:name="annexe-b.-structure-logicielle"/>
    <w:p>
      <w:pPr>
        <w:pStyle w:val="Heading3"/>
      </w:pPr>
      <w:r>
        <w:t xml:space="preserve">Annexe B. Structure logicielle</w:t>
      </w:r>
    </w:p>
    <w:p>
      <w:pPr>
        <w:pStyle w:val="SourceCode"/>
      </w:pPr>
      <w:r>
        <w:rPr>
          <w:rStyle w:val="VerbatimChar"/>
        </w:rPr>
        <w:t xml:space="preserve">Jumeau_Soudage_Induction/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materiaux.yaml       ← toutes les propriétés, avec source</w:t>
      </w:r>
      <w:r>
        <w:br/>
      </w:r>
      <w:r>
        <w:rPr>
          <w:rStyle w:val="VerbatimChar"/>
        </w:rPr>
        <w:t xml:space="preserve">│   ├── geometrie.yaml       ← bobine, CFC, laminé, empreintes</w:t>
      </w:r>
      <w:r>
        <w:br/>
      </w:r>
      <w:r>
        <w:rPr>
          <w:rStyle w:val="VerbatimChar"/>
        </w:rPr>
        <w:t xml:space="preserve">│   └── essais/*.yaml        ← un fichier par campagne d'essai</w:t>
      </w:r>
      <w:r>
        <w:br/>
      </w:r>
      <w:r>
        <w:rPr>
          <w:rStyle w:val="VerbatimChar"/>
        </w:rPr>
        <w:t xml:space="preserve">├── src/jumeau/</w:t>
      </w:r>
      <w:r>
        <w:br/>
      </w:r>
      <w:r>
        <w:rPr>
          <w:rStyle w:val="VerbatimChar"/>
        </w:rPr>
        <w:t xml:space="preserve">│   ├── em/                  ← maillons 1-2-3 : champ, Foucault, source Joule</w:t>
      </w:r>
      <w:r>
        <w:br/>
      </w:r>
      <w:r>
        <w:rPr>
          <w:rStyle w:val="VerbatimChar"/>
        </w:rPr>
        <w:t xml:space="preserve">│   │   ├── champ_coil.py    ← Biot–Savart + courants images du CFC</w:t>
      </w:r>
      <w:r>
        <w:br/>
      </w:r>
      <w:r>
        <w:rPr>
          <w:rStyle w:val="VerbatimChar"/>
        </w:rPr>
        <w:t xml:space="preserve">│   │   ├── foucault.py      ← fonction de courant ψ (plaque mince)</w:t>
      </w:r>
      <w:r>
        <w:br/>
      </w:r>
      <w:r>
        <w:rPr>
          <w:rStyle w:val="VerbatimChar"/>
        </w:rPr>
        <w:t xml:space="preserve">│   │   └── source_joule.py  ← assemblage Q(x,y,z) par couche</w:t>
      </w:r>
      <w:r>
        <w:br/>
      </w:r>
      <w:r>
        <w:rPr>
          <w:rStyle w:val="VerbatimChar"/>
        </w:rPr>
        <w:t xml:space="preserve">│   ├── thermique/           ← maillon 4 : transfert thermique</w:t>
      </w:r>
      <w:r>
        <w:br/>
      </w:r>
      <w:r>
        <w:rPr>
          <w:rStyle w:val="VerbatimChar"/>
        </w:rPr>
        <w:t xml:space="preserve">│   │   ├── solveur3d.py     ← plan + épaisseur (cartes, gradient)</w:t>
      </w:r>
      <w:r>
        <w:br/>
      </w:r>
      <w:r>
        <w:rPr>
          <w:rStyle w:val="VerbatimChar"/>
        </w:rPr>
        <w:t xml:space="preserve">│   │   └── solveur2d.py     ← lumpé à l'interface (modèle de travail)</w:t>
      </w:r>
      <w:r>
        <w:br/>
      </w:r>
      <w:r>
        <w:rPr>
          <w:rStyle w:val="VerbatimChar"/>
        </w:rPr>
        <w:t xml:space="preserve">│   ├── materiaux.py         ← propriétés, cp apparent, degré de fusion</w:t>
      </w:r>
      <w:r>
        <w:br/>
      </w:r>
      <w:r>
        <w:rPr>
          <w:rStyle w:val="VerbatimChar"/>
        </w:rPr>
        <w:t xml:space="preserve">│   ├── geometrie.py         ← construction de la scène et des couches</w:t>
      </w:r>
      <w:r>
        <w:br/>
      </w:r>
      <w:r>
        <w:rPr>
          <w:rStyle w:val="VerbatimChar"/>
        </w:rPr>
        <w:t xml:space="preserve">│   ├── procede.py           ← 4 empreintes + asservissement sur consigne</w:t>
      </w:r>
      <w:r>
        <w:br/>
      </w:r>
      <w:r>
        <w:rPr>
          <w:rStyle w:val="VerbatimChar"/>
        </w:rPr>
        <w:t xml:space="preserve">│   ├── identification/      ← calibration LHS + moindres carrés</w:t>
      </w:r>
      <w:r>
        <w:br/>
      </w:r>
      <w:r>
        <w:rPr>
          <w:rStyle w:val="VerbatimChar"/>
        </w:rPr>
        <w:t xml:space="preserve">│   └── validation/          ← ingestion mesures + métriques</w:t>
      </w:r>
      <w:r>
        <w:br/>
      </w:r>
      <w:r>
        <w:rPr>
          <w:rStyle w:val="VerbatimChar"/>
        </w:rPr>
        <w:t xml:space="preserve">├── scripts/                 ← simuler / calibrer / valider / figures</w:t>
      </w:r>
      <w:r>
        <w:br/>
      </w:r>
      <w:r>
        <w:rPr>
          <w:rStyle w:val="VerbatimChar"/>
        </w:rPr>
        <w:t xml:space="preserve">├── tests/                   ← 34 tests (analytiques, conservation, régression)</w:t>
      </w:r>
      <w:r>
        <w:br/>
      </w:r>
      <w:r>
        <w:rPr>
          <w:rStyle w:val="VerbatimChar"/>
        </w:rPr>
        <w:t xml:space="preserve">├── ai_framework/            ← couche IA conversationnelle locale (démonstrateur)</w:t>
      </w:r>
      <w:r>
        <w:br/>
      </w:r>
      <w:r>
        <w:rPr>
          <w:rStyle w:val="VerbatimChar"/>
        </w:rPr>
        <w:t xml:space="preserve">└── docs/                    ← état de l'art, rapports</w:t>
      </w:r>
    </w:p>
    <w:bookmarkEnd w:id="29"/>
    <w:bookmarkStart w:id="30" w:name="annexe-c.-reproductibilité"/>
    <w:p>
      <w:pPr>
        <w:pStyle w:val="Heading3"/>
      </w:pPr>
      <w:r>
        <w:t xml:space="preserve">Annexe C. Reproductibilité</w:t>
      </w:r>
    </w:p>
    <w:p>
      <w:pPr>
        <w:pStyle w:val="SourceCode"/>
      </w:pPr>
      <w:r>
        <w:rPr>
          <w:rStyle w:val="CommentTok"/>
        </w:rPr>
        <w:t xml:space="preserve"># Environnement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".[dev]"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34 tests, environ 3 min</w:t>
      </w:r>
      <w:r>
        <w:br/>
      </w:r>
      <w:r>
        <w:br/>
      </w:r>
      <w:r>
        <w:rPr>
          <w:rStyle w:val="CommentTok"/>
        </w:rPr>
        <w:t xml:space="preserve"># Calibration (essai A-1)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scripts/calibrer.py </w:t>
      </w:r>
      <w:r>
        <w:rPr>
          <w:rStyle w:val="AttributeTok"/>
        </w:rPr>
        <w:t xml:space="preserve">--modele</w:t>
      </w:r>
      <w:r>
        <w:rPr>
          <w:rStyle w:val="NormalTok"/>
        </w:rPr>
        <w:t xml:space="preserve"> 2D </w:t>
      </w:r>
      <w:r>
        <w:rPr>
          <w:rStyle w:val="AttributeTok"/>
        </w:rPr>
        <w:t xml:space="preserve">--essai</w:t>
      </w:r>
      <w:r>
        <w:rPr>
          <w:rStyle w:val="NormalTok"/>
        </w:rPr>
        <w:t xml:space="preserve"> serieA_A-1 </w:t>
      </w:r>
      <w:r>
        <w:rPr>
          <w:rStyle w:val="AttributeTok"/>
        </w:rPr>
        <w:t xml:space="preserve">--n-lhs</w:t>
      </w:r>
      <w:r>
        <w:rPr>
          <w:rStyle w:val="NormalTok"/>
        </w:rPr>
        <w:t xml:space="preserve"> 25 </w:t>
      </w:r>
      <w:r>
        <w:rPr>
          <w:rStyle w:val="AttributeTok"/>
        </w:rPr>
        <w:t xml:space="preserve">--figer-decalage-x</w:t>
      </w:r>
      <w:r>
        <w:rPr>
          <w:rStyle w:val="NormalTok"/>
        </w:rPr>
        <w:t xml:space="preserve"> 0</w:t>
      </w:r>
      <w:r>
        <w:br/>
      </w:r>
      <w:r>
        <w:br/>
      </w:r>
      <w:r>
        <w:rPr>
          <w:rStyle w:val="CommentTok"/>
        </w:rPr>
        <w:t xml:space="preserve"># Validation croisée (paramètres calibrés, sans recalibrage)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scripts/valider.py </w:t>
      </w:r>
      <w:r>
        <w:rPr>
          <w:rStyle w:val="AttributeTok"/>
        </w:rPr>
        <w:t xml:space="preserve">--modele</w:t>
      </w:r>
      <w:r>
        <w:rPr>
          <w:rStyle w:val="NormalTok"/>
        </w:rPr>
        <w:t xml:space="preserve"> 2D </w:t>
      </w:r>
      <w:r>
        <w:rPr>
          <w:rStyle w:val="AttributeTok"/>
        </w:rPr>
        <w:t xml:space="preserve">--facteur</w:t>
      </w:r>
      <w:r>
        <w:rPr>
          <w:rStyle w:val="NormalTok"/>
        </w:rPr>
        <w:t xml:space="preserve"> 6.0123 </w:t>
      </w:r>
      <w:r>
        <w:rPr>
          <w:rStyle w:val="AttributeTok"/>
        </w:rPr>
        <w:t xml:space="preserve">--decalage-x</w:t>
      </w:r>
      <w:r>
        <w:rPr>
          <w:rStyle w:val="NormalTok"/>
        </w:rPr>
        <w:t xml:space="preserve"> 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--h-haut</w:t>
      </w:r>
      <w:r>
        <w:rPr>
          <w:rStyle w:val="NormalTok"/>
        </w:rPr>
        <w:t xml:space="preserve"> 30.087 </w:t>
      </w:r>
      <w:r>
        <w:rPr>
          <w:rStyle w:val="AttributeTok"/>
        </w:rPr>
        <w:t xml:space="preserve">--h-bas-2d</w:t>
      </w:r>
      <w:r>
        <w:rPr>
          <w:rStyle w:val="NormalTok"/>
        </w:rPr>
        <w:t xml:space="preserve"> 37.424 </w:t>
      </w:r>
      <w:r>
        <w:rPr>
          <w:rStyle w:val="AttributeTok"/>
        </w:rPr>
        <w:t xml:space="preserve">--h-bord-x0</w:t>
      </w:r>
      <w:r>
        <w:rPr>
          <w:rStyle w:val="NormalTok"/>
        </w:rPr>
        <w:t xml:space="preserve"> 250</w:t>
      </w:r>
      <w:r>
        <w:br/>
      </w:r>
      <w:r>
        <w:br/>
      </w:r>
      <w:r>
        <w:rPr>
          <w:rStyle w:val="CommentTok"/>
        </w:rPr>
        <w:t xml:space="preserve"># Figures type Lionetto (modèle 2D, cohérent avec la validation)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scripts/figure_empreinte.py config/essais/serieA_A-1.yaml </w:t>
      </w:r>
      <w:r>
        <w:rPr>
          <w:rStyle w:val="AttributeTok"/>
        </w:rPr>
        <w:t xml:space="preserve">--modele</w:t>
      </w:r>
      <w:r>
        <w:rPr>
          <w:rStyle w:val="NormalTok"/>
        </w:rPr>
        <w:t xml:space="preserve"> 2D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--facteur</w:t>
      </w:r>
      <w:r>
        <w:rPr>
          <w:rStyle w:val="NormalTok"/>
        </w:rPr>
        <w:t xml:space="preserve"> 6.0123 </w:t>
      </w:r>
      <w:r>
        <w:rPr>
          <w:rStyle w:val="AttributeTok"/>
        </w:rPr>
        <w:t xml:space="preserve">--decalage-x</w:t>
      </w:r>
      <w:r>
        <w:rPr>
          <w:rStyle w:val="NormalTok"/>
        </w:rPr>
        <w:t xml:space="preserve"> 0 </w:t>
      </w:r>
      <w:r>
        <w:rPr>
          <w:rStyle w:val="AttributeTok"/>
        </w:rPr>
        <w:t xml:space="preserve">--h-haut</w:t>
      </w:r>
      <w:r>
        <w:rPr>
          <w:rStyle w:val="NormalTok"/>
        </w:rPr>
        <w:t xml:space="preserve"> 30.087 </w:t>
      </w:r>
      <w:r>
        <w:rPr>
          <w:rStyle w:val="AttributeTok"/>
        </w:rPr>
        <w:t xml:space="preserve">--h-bas-2d</w:t>
      </w:r>
      <w:r>
        <w:rPr>
          <w:rStyle w:val="NormalTok"/>
        </w:rPr>
        <w:t xml:space="preserve"> 37.424 </w:t>
      </w:r>
      <w:r>
        <w:rPr>
          <w:rStyle w:val="AttributeTok"/>
        </w:rPr>
        <w:t xml:space="preserve">--h-bord-x0</w:t>
      </w:r>
      <w:r>
        <w:rPr>
          <w:rStyle w:val="NormalTok"/>
        </w:rPr>
        <w:t xml:space="preserve"> 250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--tmax-couleur</w:t>
      </w:r>
      <w:r>
        <w:rPr>
          <w:rStyle w:val="NormalTok"/>
        </w:rPr>
        <w:t xml:space="preserve"> 480 </w:t>
      </w:r>
      <w:r>
        <w:rPr>
          <w:rStyle w:val="AttributeTok"/>
        </w:rPr>
        <w:t xml:space="preserve">--suffixe</w:t>
      </w:r>
      <w:r>
        <w:rPr>
          <w:rStyle w:val="NormalTok"/>
        </w:rPr>
        <w:t xml:space="preserve"> _plafonne          </w:t>
      </w:r>
      <w:r>
        <w:rPr>
          <w:rStyle w:val="CommentTok"/>
        </w:rPr>
        <w:t xml:space="preserve"># Fig. 4 (empreinte)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scripts/figure_fusion.py config/essais/chauffe_250A_3TC.yaml </w:t>
      </w:r>
      <w:r>
        <w:rPr>
          <w:rStyle w:val="AttributeTok"/>
        </w:rPr>
        <w:t xml:space="preserve">--modele</w:t>
      </w:r>
      <w:r>
        <w:rPr>
          <w:rStyle w:val="NormalTok"/>
        </w:rPr>
        <w:t xml:space="preserve"> 2D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--facteur</w:t>
      </w:r>
      <w:r>
        <w:rPr>
          <w:rStyle w:val="NormalTok"/>
        </w:rPr>
        <w:t xml:space="preserve"> 6.0123 </w:t>
      </w:r>
      <w:r>
        <w:rPr>
          <w:rStyle w:val="AttributeTok"/>
        </w:rPr>
        <w:t xml:space="preserve">--decalage-x</w:t>
      </w:r>
      <w:r>
        <w:rPr>
          <w:rStyle w:val="NormalTok"/>
        </w:rPr>
        <w:t xml:space="preserve"> 0 </w:t>
      </w:r>
      <w:r>
        <w:rPr>
          <w:rStyle w:val="AttributeTok"/>
        </w:rPr>
        <w:t xml:space="preserve">--h-haut</w:t>
      </w:r>
      <w:r>
        <w:rPr>
          <w:rStyle w:val="NormalTok"/>
        </w:rPr>
        <w:t xml:space="preserve"> 30.087 </w:t>
      </w:r>
      <w:r>
        <w:rPr>
          <w:rStyle w:val="AttributeTok"/>
        </w:rPr>
        <w:t xml:space="preserve">--h-bas-2d</w:t>
      </w:r>
      <w:r>
        <w:rPr>
          <w:rStyle w:val="NormalTok"/>
        </w:rPr>
        <w:t xml:space="preserve"> 37.424 </w:t>
      </w:r>
      <w:r>
        <w:rPr>
          <w:rStyle w:val="AttributeTok"/>
        </w:rPr>
        <w:t xml:space="preserve">--h-bord-x0</w:t>
      </w:r>
      <w:r>
        <w:rPr>
          <w:rStyle w:val="NormalTok"/>
        </w:rPr>
        <w:t xml:space="preserve"> 250  </w:t>
      </w:r>
      <w:r>
        <w:rPr>
          <w:rStyle w:val="CommentTok"/>
        </w:rPr>
        <w:t xml:space="preserve"># Fig. 5</w:t>
      </w:r>
    </w:p>
    <w:p>
      <w:pPr>
        <w:pStyle w:val="FirstParagraph"/>
      </w:pPr>
      <w:r>
        <w:t xml:space="preserve">Ces paramètres supposent la géométrie corrigée (</w:t>
      </w:r>
      <w:r>
        <w:rPr>
          <w:rStyle w:val="VerbatimChar"/>
        </w:rPr>
        <w:t xml:space="preserve">config/geometrie.yaml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entraxe_jambes: 0.01235</w:t>
      </w:r>
      <w:r>
        <w:t xml:space="preserve">,</w:t>
      </w:r>
      <w:r>
        <w:t xml:space="preserve"> </w:t>
      </w:r>
      <w:r>
        <w:rPr>
          <w:rStyle w:val="VerbatimChar"/>
        </w:rPr>
        <w:t xml:space="preserve">rayon_tube: 0.003</w:t>
      </w:r>
      <w:r>
        <w:t xml:space="preserve">,</w:t>
      </w:r>
      <w:r>
        <w:t xml:space="preserve"> </w:t>
      </w:r>
      <w:r>
        <w:rPr>
          <w:rStyle w:val="VerbatimChar"/>
        </w:rPr>
        <w:t xml:space="preserve">hauteur: 0.005</w:t>
      </w:r>
      <w:r>
        <w:t xml:space="preserve">). Les journaux antérieurs</w:t>
      </w:r>
      <w:r>
        <w:t xml:space="preserve"> </w:t>
      </w:r>
      <w:r>
        <w:t xml:space="preserve">aux corrections de géométrie, et les valeurs de paramètres qu’ils contiennent, se rapportent</w:t>
      </w:r>
      <w:r>
        <w:t xml:space="preserve"> </w:t>
      </w:r>
      <w:r>
        <w:t xml:space="preserve">à une géométrie antérieure : leurs raisonnements restent valides, leurs chiffres non.</w:t>
      </w:r>
    </w:p>
    <w:p>
      <w:pPr>
        <w:pStyle w:val="BodyText"/>
      </w:pPr>
      <w:r>
        <w:t xml:space="preserve">Chaque exécution se journalise à la racine du dépôt (</w:t>
      </w:r>
      <w:r>
        <w:rPr>
          <w:rStyle w:val="VerbatimChar"/>
        </w:rPr>
        <w:t xml:space="preserve">resultats_*.log</w:t>
      </w:r>
      <w:r>
        <w:t xml:space="preserve">), et les figures</w:t>
      </w:r>
      <w:r>
        <w:t xml:space="preserve"> </w:t>
      </w:r>
      <w:r>
        <w:t xml:space="preserve">s’écrivent dans</w:t>
      </w:r>
      <w:r>
        <w:t xml:space="preserve"> </w:t>
      </w:r>
      <w:r>
        <w:rPr>
          <w:rStyle w:val="VerbatimChar"/>
        </w:rPr>
        <w:t xml:space="preserve">resultats/</w:t>
      </w:r>
      <w:r>
        <w:t xml:space="preserve">. Journaux de référence pour l’état courant :</w:t>
      </w:r>
      <w:r>
        <w:t xml:space="preserve"> </w:t>
      </w:r>
      <w:r>
        <w:rPr>
          <w:rStyle w:val="VerbatimChar"/>
        </w:rPr>
        <w:t xml:space="preserve">resultats_hauteur_5mm_recalibration.log</w:t>
      </w:r>
      <w:r>
        <w:t xml:space="preserve"> </w:t>
      </w:r>
      <w:r>
        <w:t xml:space="preserve">(correction de hauteur et recalibration courante),</w:t>
      </w:r>
      <w:r>
        <w:t xml:space="preserve"> </w:t>
      </w:r>
      <w:r>
        <w:rPr>
          <w:rStyle w:val="VerbatimChar"/>
        </w:rPr>
        <w:t xml:space="preserve">resultats_geometrie_corrigee_recalibration.log</w:t>
      </w:r>
      <w:r>
        <w:t xml:space="preserve"> </w:t>
      </w:r>
      <w:r>
        <w:t xml:space="preserve">(correction d’entraxe, étape précédente),</w:t>
      </w:r>
      <w:r>
        <w:t xml:space="preserve"> </w:t>
      </w:r>
      <w:r>
        <w:rPr>
          <w:rStyle w:val="VerbatimChar"/>
        </w:rPr>
        <w:t xml:space="preserve">resultats_diag_hauteur_bobine.log</w:t>
      </w:r>
      <w:r>
        <w:t xml:space="preserve"> </w:t>
      </w:r>
      <w:r>
        <w:t xml:space="preserve">(diagnostic hauteur + plan image du CFC vérifié sur CAO),</w:t>
      </w:r>
      <w:r>
        <w:t xml:space="preserve"> </w:t>
      </w:r>
      <w:r>
        <w:rPr>
          <w:rStyle w:val="VerbatimChar"/>
        </w:rPr>
        <w:t xml:space="preserve">resultats_validation_reference_figures.log</w:t>
      </w:r>
      <w:r>
        <w:t xml:space="preserve"> </w:t>
      </w:r>
      <w:r>
        <w:t xml:space="preserve">(validation au jeu de paramètres courant) et</w:t>
      </w:r>
      <w:r>
        <w:t xml:space="preserve"> </w:t>
      </w:r>
      <w:r>
        <w:rPr>
          <w:rStyle w:val="VerbatimChar"/>
        </w:rPr>
        <w:t xml:space="preserve">resultats_diag_b2_longueur.log</w:t>
      </w:r>
      <w:r>
        <w:t xml:space="preserve"> </w:t>
      </w:r>
      <w:r>
        <w:t xml:space="preserve">(résidu à basse consigne et correctifs réfutés).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rédigé avec l’assistance d’agents IA sous contrôle humain. Chaque affirmation</w:t>
      </w:r>
      <w:r>
        <w:rPr>
          <w:i/>
          <w:iCs/>
        </w:rPr>
        <w:t xml:space="preserve"> </w:t>
      </w:r>
      <w:r>
        <w:rPr>
          <w:i/>
          <w:iCs/>
        </w:rPr>
        <w:t xml:space="preserve">physique renvoie à une source scientifique référencée en section 12. Les données</w:t>
      </w:r>
      <w:r>
        <w:rPr>
          <w:i/>
          <w:iCs/>
        </w:rPr>
        <w:t xml:space="preserve"> </w:t>
      </w:r>
      <w:r>
        <w:rPr>
          <w:i/>
          <w:iCs/>
        </w:rPr>
        <w:t xml:space="preserve">expérimentales proviennent du vault de recherche du projet (</w:t>
      </w:r>
      <w:r>
        <w:rPr>
          <w:rStyle w:val="VerbatimChar"/>
          <w:i/>
          <w:iCs/>
        </w:rPr>
        <w:t xml:space="preserve">Memoire_Soudage_Induction</w:t>
      </w:r>
      <w:r>
        <w:rPr>
          <w:i/>
          <w:iCs/>
        </w:rPr>
        <w:t xml:space="preserve">), qui</w:t>
      </w:r>
      <w:r>
        <w:rPr>
          <w:i/>
          <w:iCs/>
        </w:rPr>
        <w:t xml:space="preserve"> </w:t>
      </w:r>
      <w:r>
        <w:rPr>
          <w:i/>
          <w:iCs/>
        </w:rPr>
        <w:t xml:space="preserve">reste la source de vérité.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2026-07-27T14:37:08Z</dcterms:created>
  <dcterms:modified xsi:type="dcterms:W3CDTF">2026-07-27T14:37:08Z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