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mesures</w:t>
      </w:r>
      <w:r>
        <w:t xml:space="preserve"> </w:t>
      </w:r>
      <w:r>
        <w:rPr>
          <w:b/>
          <w:bCs/>
        </w:rPr>
        <w:t xml:space="preserve">encore À FAIRE</w:t>
      </w:r>
      <w:r>
        <w:t xml:space="preserve"> </w:t>
      </w:r>
      <w:r>
        <w:t xml:space="preserve"> · </w:t>
      </w:r>
      <w:r>
        <w:t xml:space="preserve"> </w:t>
      </w:r>
      <w:r>
        <w:rPr>
          <w:b/>
          <w:bCs/>
        </w:rPr>
        <w:t xml:space="preserve">Mis à jour</w:t>
      </w:r>
      <w:r>
        <w:t xml:space="preserve"> </w:t>
      </w:r>
      <w:r>
        <w:t xml:space="preserve">: 2026-07-27</w:t>
      </w:r>
    </w:p>
    <w:p>
      <w:pPr>
        <w:pStyle w:val="BlockText"/>
      </w:pPr>
      <w:r>
        <w:t xml:space="preserve">Ce fichier ne liste que</w:t>
      </w:r>
      <w:r>
        <w:t xml:space="preserve"> </w:t>
      </w:r>
      <w:r>
        <w:rPr>
          <w:b/>
          <w:bCs/>
        </w:rPr>
        <w:t xml:space="preserve">ce qui reste à faire</w:t>
      </w:r>
      <w:r>
        <w:t xml:space="preserve">. Les réponses terrain, précisions et</w:t>
      </w:r>
      <w:r>
        <w:t xml:space="preserve"> </w:t>
      </w:r>
      <w:r>
        <w:t xml:space="preserve">résultats des manips déjà réalisées sont dans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releves_resolus.md</w:t>
        </w:r>
      </w:hyperlink>
      <w:r>
        <w:t xml:space="preserve"> </w:t>
      </w:r>
      <w:r>
        <w:t xml:space="preserve">et les</w:t>
      </w:r>
      <w:r>
        <w:t xml:space="preserve"> </w:t>
      </w:r>
      <w:r>
        <w:rPr>
          <w:rStyle w:val="VerbatimChar"/>
        </w:rPr>
        <w:t xml:space="preserve">data/exp*/README.md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à-faire-par-priorité"/>
    <w:p>
      <w:pPr>
        <w:pStyle w:val="Heading2"/>
      </w:pPr>
      <w:r>
        <w:t xml:space="preserve">À faire — par priorité</w:t>
      </w:r>
    </w:p>
    <w:bookmarkStart w:id="10" w:name="X71f18adff32bf6a84e87811f5b8cb8fa365446d"/>
    <w:p>
      <w:pPr>
        <w:pStyle w:val="Heading3"/>
      </w:pPr>
      <w:r>
        <w:t xml:space="preserve">1. ★ Exp 7 — Cartographie bord→centre (REPRISE PROPRE, prévue 2026-07-28)</w:t>
      </w:r>
    </w:p>
    <w:p>
      <w:pPr>
        <w:pStyle w:val="FirstParagraph"/>
      </w:pPr>
      <w:r>
        <w:rPr>
          <w:b/>
          <w:bCs/>
        </w:rPr>
        <w:t xml:space="preserve">Pourquoi.</w:t>
      </w:r>
      <w:r>
        <w:t xml:space="preserve"> </w:t>
      </w:r>
      <w:r>
        <w:t xml:space="preserve">Mesure clé du levier « forme de la source ». Une 1re série (200/250 A) a confirmé</w:t>
      </w:r>
      <w:r>
        <w:t xml:space="preserve"> </w:t>
      </w:r>
      <w:r>
        <w:t xml:space="preserve">la vallée du M et montré que le modèle</w:t>
      </w:r>
      <w:r>
        <w:t xml:space="preserve"> </w:t>
      </w:r>
      <w:r>
        <w:rPr>
          <w:b/>
          <w:bCs/>
        </w:rPr>
        <w:t xml:space="preserve">sur-contraste</w:t>
      </w:r>
      <w:r>
        <w:t xml:space="preserve"> </w:t>
      </w:r>
      <w:r>
        <w:t xml:space="preserve">(chant/centre ~1,85 mesuré vs 2,46</w:t>
      </w:r>
      <w:r>
        <w:t xml:space="preserve"> </w:t>
      </w:r>
      <w:r>
        <w:t xml:space="preserve">prédit), mais sans céramique → amplitude non falsifiable. La reprise doit</w:t>
      </w:r>
      <w:r>
        <w:t xml:space="preserve"> </w:t>
      </w:r>
      <w:r>
        <w:rPr>
          <w:b/>
          <w:bCs/>
        </w:rPr>
        <w:t xml:space="preserve">caler l’amplitude</w:t>
      </w:r>
      <w:r>
        <w:t xml:space="preserve"> </w:t>
      </w:r>
      <w:r>
        <w:t xml:space="preserve">contre la cible.</w:t>
      </w:r>
    </w:p>
    <w:p>
      <w:pPr>
        <w:pStyle w:val="BodyText"/>
      </w:pPr>
      <w:r>
        <w:rPr>
          <w:b/>
          <w:bCs/>
        </w:rPr>
        <w:t xml:space="preserve">Cible falsifiable</w:t>
      </w:r>
      <w:r>
        <w:t xml:space="preserve"> </w:t>
      </w:r>
      <w:r>
        <w:t xml:space="preserve">(modèle, 250 A, au pic)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Checklist (corrige les 4 réserves de la 1re série) 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Céramique d’espacement EN PLACE</w:t>
      </w:r>
      <w:r>
        <w:t xml:space="preserve"> </w:t>
      </w:r>
      <w:r>
        <w:t xml:space="preserve">(+ pression nominale) → gap 2 mm standard = géométrie du</w:t>
      </w:r>
      <w:r>
        <w:t xml:space="preserve"> </w:t>
      </w:r>
      <w:r>
        <w:t xml:space="preserve">modèle. C’est LE point : sans ça, la source EM diffère et les absolus ne comparent pas.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5 TC valides à l’INTERFACE</w:t>
      </w:r>
      <w:r>
        <w:t xml:space="preserve">, y = 0/10/20/30/40 mm, x = 60 mm.</w:t>
      </w:r>
      <w:r>
        <w:t xml:space="preserve"> </w:t>
      </w:r>
      <w:r>
        <w:rPr>
          <w:b/>
          <w:bCs/>
        </w:rPr>
        <w:t xml:space="preserve">Remplacer TC1</w:t>
      </w:r>
      <w:r>
        <w:t xml:space="preserve"> </w:t>
      </w:r>
      <w:r>
        <w:t xml:space="preserve">(défaillant les deux fois). Vérifier chaque voie avant (toutes à l’ambiant, sans saut).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Montage CENTRÉ en largeur</w:t>
      </w:r>
      <w:r>
        <w:t xml:space="preserve"> </w:t>
      </w:r>
      <w:r>
        <w:t xml:space="preserve">(le profil montait vers y=40 → décalage). Viser TC1↔TC5</w:t>
      </w:r>
      <w:r>
        <w:t xml:space="preserve"> </w:t>
      </w:r>
      <w:r>
        <w:t xml:space="preserve">symétriques.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250 A</w:t>
      </w:r>
      <w:r>
        <w:t xml:space="preserve"> </w:t>
      </w:r>
      <w:r>
        <w:t xml:space="preserve">; noter la fréquence (388 kHz).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Caméra</w:t>
      </w:r>
      <w:r>
        <w:t xml:space="preserve"> </w:t>
      </w:r>
      <w:r>
        <w:t xml:space="preserve">(optionnelle) :</w:t>
      </w:r>
      <w:r>
        <w:t xml:space="preserve"> </w:t>
      </w:r>
      <w:r>
        <w:rPr>
          <w:b/>
          <w:bCs/>
        </w:rPr>
        <w:t xml:space="preserve">finaliser l’enregistrement</w:t>
      </w:r>
      <w:r>
        <w:t xml:space="preserve"> </w:t>
      </w:r>
      <w:r>
        <w:t xml:space="preserve">(la vidéo 200 A était tronquée) ou</w:t>
      </w:r>
      <w:r>
        <w:t xml:space="preserve"> </w:t>
      </w:r>
      <w:r>
        <w:t xml:space="preserve">exporter un</w:t>
      </w:r>
      <w:r>
        <w:t xml:space="preserve"> </w:t>
      </w:r>
      <w:r>
        <w:rPr>
          <w:b/>
          <w:bCs/>
        </w:rPr>
        <w:t xml:space="preserve">CSV radiométrique</w:t>
      </w:r>
      <w:r>
        <w:t xml:space="preserve"> </w:t>
      </w:r>
      <w:r>
        <w:t xml:space="preserve">(ligne/points ROI).</w:t>
      </w:r>
      <w:r>
        <w:t xml:space="preserve"> </w:t>
      </w:r>
      <w:r>
        <w:t xml:space="preserve">6. Déposer dans</w:t>
      </w:r>
      <w:r>
        <w:t xml:space="preserve"> </w:t>
      </w:r>
      <w:r>
        <w:rPr>
          <w:rStyle w:val="VerbatimChar"/>
        </w:rPr>
        <w:t xml:space="preserve">data/exp7_bord-centre_2026-07-28_avec-ceramique/</w:t>
      </w:r>
      <w:r>
        <w:t xml:space="preserve"> </w:t>
      </w:r>
      <w:r>
        <w:t xml:space="preserve">+ README (courant, géométrie, positions TC,</w:t>
      </w:r>
      <w:r>
        <w:t xml:space="preserve"> </w:t>
      </w:r>
      <w:r>
        <w:t xml:space="preserve">repère spatial) → analyse + confrontation à la cible.</w:t>
      </w:r>
    </w:p>
    <w:bookmarkEnd w:id="10"/>
    <w:bookmarkStart w:id="11" w:name="Xc8b8f394d32c9886f26180670e10cb34e625d40"/>
    <w:p>
      <w:pPr>
        <w:pStyle w:val="Heading3"/>
      </w:pPr>
      <w:r>
        <w:t xml:space="preserve">2. Exp 8 — Température de la face active du CFC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 (caméra FLIR A700 sur</w:t>
      </w:r>
      <w:r>
        <w:t xml:space="preserve"> </w:t>
      </w:r>
      <w:r>
        <w:t xml:space="preserve">la face active, ou TC posé). Vue de dessus idéale ici (la face du CFC est directement visible).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: le déficit de chauffe en surface (TC1) — seule mesure qui l’attaque. Comparer la</w:t>
      </w:r>
      <w:r>
        <w:t xml:space="preserve"> </w:t>
      </w:r>
      <w:r>
        <w:t xml:space="preserve">montée du CFC à celle de TC1. Un essai.</w:t>
      </w:r>
    </w:p>
    <w:bookmarkEnd w:id="11"/>
    <w:bookmarkStart w:id="12" w:name="Xfe243462107251bb9d0358a4a665fccc3e012f5"/>
    <w:p>
      <w:pPr>
        <w:pStyle w:val="Heading3"/>
      </w:pPr>
      <w:r>
        <w:t xml:space="preserve">3. Relevé 1 — Position longitudinale de la bobine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décalage en x du centre de la bobine par rapport au spot visé</w:t>
      </w:r>
      <w:r>
        <w:t xml:space="preserve"> </w:t>
      </w:r>
      <w:r>
        <w:t xml:space="preserve">(paramètre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figé à 0 faute de mesure). Pied à coulisse, 15 min.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</w:t>
      </w:r>
      <w:r>
        <w:t xml:space="preserve"> </w:t>
      </w:r>
      <w:r>
        <w:t xml:space="preserve">si non mesurable facilement, on le laisse figé. (Les cotes propres de la bobine sont déjà</w:t>
      </w:r>
      <w:r>
        <w:t xml:space="preserve"> </w:t>
      </w:r>
      <w:r>
        <w:t xml:space="preserve">résolues, cf. archive.)</w:t>
      </w:r>
    </w:p>
    <w:bookmarkEnd w:id="12"/>
    <w:bookmarkStart w:id="13" w:name="Xe2593bb5cf4f10e3375cd3a973efa99c3adaa70"/>
    <w:p>
      <w:pPr>
        <w:pStyle w:val="Heading3"/>
      </w:pPr>
      <w:r>
        <w:t xml:space="preserve">4. Exp 6 — Diffusivité latérale (optionnel, non prioritaire)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 via la décroissance latérale de T. Depuis la correction de</w:t>
      </w:r>
      <w:r>
        <w:t xml:space="preserve"> </w:t>
      </w:r>
      <w:r>
        <w:t xml:space="preserve">géométrie, le 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 </w:t>
      </w:r>
      <w:r>
        <w:t xml:space="preserve">(physique) : cette mesure ne tranche plus</w:t>
      </w:r>
      <w:r>
        <w:t xml:space="preserve"> </w:t>
      </w:r>
      <w:r>
        <w:t xml:space="preserve">un écart ouvert, elle</w:t>
      </w:r>
      <w:r>
        <w:t xml:space="preserve"> </w:t>
      </w:r>
      <w:r>
        <w:rPr>
          <w:b/>
          <w:bCs/>
        </w:rPr>
        <w:t xml:space="preserve">vérifie</w:t>
      </w:r>
      <w:r>
        <w:t xml:space="preserve"> </w:t>
      </w:r>
      <w:r>
        <w:t xml:space="preserve">une propriété assumée. Protocole caméra détaillé dans</w:t>
      </w:r>
      <w:r>
        <w:t xml:space="preserve"> </w:t>
      </w:r>
      <w:r>
        <w:t xml:space="preserve">l’archive. Un essai, sous Tf, échantillons réutilisables.</w:t>
      </w:r>
    </w:p>
    <w:bookmarkEnd w:id="13"/>
    <w:bookmarkStart w:id="14" w:name="Xa68bb05b27d6c13b83a1f8a22b935a6c668026c"/>
    <w:p>
      <w:pPr>
        <w:pStyle w:val="Heading3"/>
      </w:pPr>
      <w:r>
        <w:t xml:space="preserve">5. Mesures de propriété au labo (optionnel, si les niveaux 1-2 ne suffisent pas)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9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: hot-disk ou flash laser sur un échantillon de laminé.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10 — σ(T)</w:t>
      </w:r>
      <w:r>
        <w:t xml:space="preserve"> </w:t>
      </w:r>
      <w:r>
        <w:t xml:space="preserve">: conductivité électrique en fonction de T (4 pointes en montée) ; le</w:t>
      </w:r>
      <w:r>
        <w:t xml:space="preserve"> </w:t>
      </w:r>
      <w:r>
        <w:t xml:space="preserve">modèle prend σ constante aujourd’hui. La plus lourde des dix.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319a7103beb0a1b1bc66c1fb6c6a76654e6a4ce"/>
    <w:p>
      <w:pPr>
        <w:pStyle w:val="Heading2"/>
      </w:pPr>
      <w:r>
        <w:t xml:space="preserve">Corrections modèle en attente (à intégrer ENSEMBLE à la prochaine recalibration)</w:t>
      </w:r>
    </w:p>
    <w:p>
      <w:pPr>
        <w:pStyle w:val="FirstParagraph"/>
      </w:pPr>
      <w:r>
        <w:t xml:space="preserve">Découlent des réponses terrain (détail :</w:t>
      </w:r>
      <w:r>
        <w:t xml:space="preserve"> </w:t>
      </w:r>
      <w:hyperlink r:id="rId9">
        <w:r>
          <w:rPr>
            <w:rStyle w:val="VerbatimChar"/>
          </w:rPr>
          <w:t xml:space="preserve">releves_resolus.md</w:t>
        </w:r>
      </w:hyperlink>
      <w:r>
        <w:t xml:space="preserve">)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Loi thermostat « capteurs »</w:t>
      </w:r>
      <w:r>
        <w:t xml:space="preserve"> </w:t>
      </w:r>
      <w:r>
        <w:t xml:space="preserve">— flag prêt (</w:t>
      </w:r>
      <w:r>
        <w:rPr>
          <w:rStyle w:val="VerbatimChar"/>
        </w:rPr>
        <w:t xml:space="preserve">--thermostat-capteurs</w:t>
      </w:r>
      <w:r>
        <w:t xml:space="preserve">, défaut off).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Épaisseur twill 0,28 → 0,20 mm</w:t>
      </w:r>
      <w:r>
        <w:t xml:space="preserve"> </w:t>
      </w:r>
      <w:r>
        <w:t xml:space="preserve">— préparée (commentaire config).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h_bord_x0</w:t>
      </w:r>
      <w:r>
        <w:t xml:space="preserve"> </w:t>
      </w:r>
      <w:r>
        <w:t xml:space="preserve">— requalifié effectif (chants libres) ; candidat au retrait.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Fréquence A-3 (200 A) 388 → 383 kHz</w:t>
      </w:r>
      <w:r>
        <w:t xml:space="preserve"> </w:t>
      </w:r>
      <w:r>
        <w:t xml:space="preserve">— fréquence par essai à ajouter.</w:t>
      </w:r>
    </w:p>
    <w:p>
      <w:pPr>
        <w:pStyle w:val="FirstParagraph"/>
      </w:pPr>
      <w:r>
        <w:t xml:space="preserve">Idéalement recalibrées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la reprise exp 7 (elles sont couplées au profil en M).</w:t>
      </w:r>
    </w:p>
    <w:p>
      <w:r>
        <w:pict>
          <v:rect style="width:0;height:1.5pt" o:hralign="center" o:hrstd="t" o:hr="t"/>
        </w:pict>
      </w:r>
    </w:p>
    <w:bookmarkEnd w:id="16"/>
    <w:bookmarkStart w:id="17" w:name="tableau-de-synthèse-items-ouverts"/>
    <w:p>
      <w:pPr>
        <w:pStyle w:val="Heading2"/>
      </w:pPr>
      <w:r>
        <w:t xml:space="preserve">Tableau de synthèse — items ouverts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Résout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7</w:t>
            </w:r>
          </w:p>
        </w:tc>
        <w:tc>
          <w:tcPr/>
          <w:p>
            <w:pPr>
              <w:pStyle w:val="Compact"/>
            </w:pPr>
            <w:r>
              <w:t xml:space="preserve">Cartographie bord→centre (reprise propre)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b/>
                <w:bCs/>
              </w:rPr>
              <w:t xml:space="preserve">haute</w:t>
            </w:r>
            <w:r>
              <w:t xml:space="preserve"> </w:t>
            </w:r>
            <w:r>
              <w:t xml:space="preserve">(28/07)</w:t>
            </w:r>
          </w:p>
        </w:tc>
        <w:tc>
          <w:tcPr/>
          <w:p>
            <w:pPr>
              <w:pStyle w:val="Compact"/>
            </w:pPr>
            <w:r>
              <w:t xml:space="preserve">amplitude du profil en « M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Relevé 1</w:t>
            </w:r>
          </w:p>
        </w:tc>
        <w:tc>
          <w:tcPr/>
          <w:p>
            <w:pPr>
              <w:pStyle w:val="Compact"/>
            </w:pPr>
            <w:r>
              <w:t xml:space="preserve">Position longitudinale bobine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(figé)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6</w:t>
            </w:r>
          </w:p>
        </w:tc>
        <w:tc>
          <w:tcPr/>
          <w:p>
            <w:pPr>
              <w:pStyle w:val="Compact"/>
            </w:pPr>
            <w:r>
              <w:t xml:space="preserve">Diffusivité latérale</w:t>
            </w:r>
          </w:p>
        </w:tc>
        <w:tc>
          <w:tcPr/>
          <w:p>
            <w:pPr>
              <w:pStyle w:val="Compact"/>
            </w:pPr>
            <w:r>
              <w:t xml:space="preserve">basse (vérif.)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direct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sourcé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10</w:t>
            </w:r>
          </w:p>
        </w:tc>
        <w:tc>
          <w:tcPr/>
          <w:p>
            <w:pPr>
              <w:pStyle w:val="Compact"/>
            </w:pPr>
            <w:r>
              <w:t xml:space="preserve">σ(T)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</w:tr>
    </w:tbl>
    <w:p>
      <w:pPr>
        <w:pStyle w:val="BodyText"/>
      </w:pPr>
      <w:r>
        <w:rPr>
          <w:i/>
          <w:iCs/>
        </w:rPr>
        <w:t xml:space="preserve">Items résolus (relevés 2-5) et résultats des manips déjà faites : voir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releves_resolus.md</w:t>
        </w:r>
      </w:hyperlink>
      <w:r>
        <w:rPr>
          <w:i/>
          <w:iCs/>
        </w:rPr>
        <w:t xml:space="preserve">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2026-07-27T21:17:45Z</dcterms:created>
  <dcterms:modified xsi:type="dcterms:W3CDTF">2026-07-27T21:17:45Z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