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2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1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p>
      <w:pPr>
        <w:pStyle w:val="BlockText"/>
      </w:pPr>
      <w:r>
        <w:rPr>
          <w:b/>
          <w:bCs/>
        </w:rPr>
        <w:t xml:space="preserve">Relevés 2, 3, 4 et 5 — RÉSOLUS (27 juillet 2026), archivés dans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releves_resolus.md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En bref : fréquence à 200 A =</w:t>
      </w:r>
      <w:r>
        <w:t xml:space="preserve"> </w:t>
      </w:r>
      <w:r>
        <w:rPr>
          <w:b/>
          <w:bCs/>
        </w:rPr>
        <w:t xml:space="preserve">383 kHz</w:t>
      </w:r>
      <w:r>
        <w:t xml:space="preserve"> </w:t>
      </w:r>
      <w:r>
        <w:t xml:space="preserve">(corr. A-3 préparée) ; twill mesuré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(corr. préparée) ; chants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 effectif, pas physique ; thermostat coupait sur le</w:t>
      </w:r>
      <w:r>
        <w:t xml:space="preserve"> </w:t>
      </w:r>
      <w:r>
        <w:rPr>
          <w:b/>
          <w:bCs/>
        </w:rPr>
        <w:t xml:space="preserve">max des TC</w:t>
      </w:r>
      <w:r>
        <w:rPr>
          <w:b/>
          <w:bCs/>
        </w:rPr>
        <w:t xml:space="preserve"> </w:t>
      </w:r>
      <w:r>
        <w:rPr>
          <w:b/>
          <w:bCs/>
        </w:rPr>
        <w:t xml:space="preserve">d’interface</w:t>
      </w:r>
      <w:r>
        <w:t xml:space="preserve"> </w:t>
      </w:r>
      <w:r>
        <w:t xml:space="preserve">(cahier de labo) → loi « capteurs » implémentée derrière un flag. Ces</w:t>
      </w:r>
      <w:r>
        <w:t xml:space="preserve"> </w:t>
      </w:r>
      <w:r>
        <w:t xml:space="preserve">corrections s’intégreront à la prochaine recalibration.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3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: retirer la pression pour ce test est sans conséquence.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PROTOCOLE RETENU — caméra thermique de dessus (2026-07-27).</w:t>
      </w:r>
    </w:p>
    <w:p>
      <w:pPr>
        <w:pStyle w:val="BlockText"/>
      </w:pPr>
      <w:r>
        <w:rPr>
          <w:b/>
          <w:bCs/>
        </w:rPr>
        <w:t xml:space="preserve">Deux mises au point de physique</w:t>
      </w:r>
      <w:r>
        <w:t xml:space="preserve"> </w:t>
      </w:r>
      <w:r>
        <w:t xml:space="preserve">(suite à « chauffer sans céramique + caméra »)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caméra lit la SURFACE, pas l’interface.</w:t>
      </w:r>
      <w:r>
        <w:t xml:space="preserve"> </w:t>
      </w:r>
      <w:r>
        <w:t xml:space="preserve">Pour la diffusivité latérale c’est OK — la</w:t>
      </w:r>
      <w:r>
        <w:t xml:space="preserve"> </w:t>
      </w:r>
      <w:r>
        <w:rPr>
          <w:i/>
          <w:iCs/>
        </w:rPr>
        <w:t xml:space="preserve">longueur de décroissance</w:t>
      </w:r>
      <w:r>
        <w:t xml:space="preserve"> </w:t>
      </w:r>
      <w:r>
        <w:t xml:space="preserve">latérale est la même propriété matériau en surface qu’à</w:t>
      </w:r>
      <w:r>
        <w:t xml:space="preserve"> </w:t>
      </w:r>
      <w:r>
        <w:t xml:space="preserve">l’interface. Mais la T absolue de surface est plus basse/retardée (diffusion sur 3,36 mm)</w:t>
      </w:r>
      <w:r>
        <w:t xml:space="preserve"> </w:t>
      </w:r>
      <w:r>
        <w:t xml:space="preserve">→ comparer à la prédiction de</w:t>
      </w:r>
      <w:r>
        <w:t xml:space="preserve"> </w:t>
      </w:r>
      <w:r>
        <w:rPr>
          <w:b/>
          <w:bCs/>
        </w:rPr>
        <w:t xml:space="preserve">surface du modèle 3D</w:t>
      </w:r>
      <w:r>
        <w:t xml:space="preserve">, pas à l’interface.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Retirer la céramique d’espacement ≠ se rapprocher du modèle.</w:t>
      </w:r>
      <w:r>
        <w:t xml:space="preserve"> </w:t>
      </w:r>
      <w:r>
        <w:t xml:space="preserve">Le modèle ne la néglige</w:t>
      </w:r>
      <w:r>
        <w:t xml:space="preserve"> </w:t>
      </w:r>
      <w:r>
        <w:t xml:space="preserve">PAS : il la représente comme le</w:t>
      </w:r>
      <w:r>
        <w:t xml:space="preserve"> </w:t>
      </w:r>
      <w:r>
        <w:rPr>
          <w:b/>
          <w:bCs/>
        </w:rPr>
        <w:t xml:space="preserve">gap bobine-laminé de 2 mm</w:t>
      </w:r>
      <w:r>
        <w:t xml:space="preserve"> </w:t>
      </w:r>
      <w:r>
        <w:t xml:space="preserve">(couplage EM) ET la condition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retirer supprime le gap (bobine 2 mm plus bas →</w:t>
      </w:r>
      <w:r>
        <w:t xml:space="preserve"> </w:t>
      </w:r>
      <w:r>
        <w:rPr>
          <w:b/>
          <w:bCs/>
        </w:rPr>
        <w:t xml:space="preserve">source EM plus forte et de</w:t>
      </w:r>
      <w:r>
        <w:rPr>
          <w:b/>
          <w:bCs/>
        </w:rPr>
        <w:t xml:space="preserve"> </w:t>
      </w:r>
      <w:r>
        <w:rPr>
          <w:b/>
          <w:bCs/>
        </w:rPr>
        <w:t xml:space="preserve">forme différente</w:t>
      </w:r>
      <w:r>
        <w:t xml:space="preserve">) et change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diffusivité reste mesurable (la décroissance</w:t>
      </w:r>
      <w:r>
        <w:t xml:space="preserve"> </w:t>
      </w:r>
      <w:r>
        <w:t xml:space="preserve">latérale est robuste à ces changements), mais</w:t>
      </w:r>
      <w:r>
        <w:t xml:space="preserve"> </w:t>
      </w:r>
      <w:r>
        <w:rPr>
          <w:b/>
          <w:bCs/>
        </w:rPr>
        <w:t xml:space="preserve">la géométrie n’est plus celle des essais</w:t>
      </w:r>
      <w:r>
        <w:rPr>
          <w:b/>
          <w:bCs/>
        </w:rPr>
        <w:t xml:space="preserve"> </w:t>
      </w:r>
      <w:r>
        <w:rPr>
          <w:b/>
          <w:bCs/>
        </w:rPr>
        <w:t xml:space="preserve">de calibration</w:t>
      </w:r>
      <w:r>
        <w:t xml:space="preserve"> </w:t>
      </w:r>
      <w:r>
        <w:t xml:space="preserve">: à documenter, et à re-représenter dans la config pour toute comparaison</w:t>
      </w:r>
      <w:r>
        <w:t xml:space="preserve"> </w:t>
      </w:r>
      <w:r>
        <w:t xml:space="preserve">quantitative.</w:t>
      </w:r>
    </w:p>
    <w:p>
      <w:pPr>
        <w:pStyle w:val="BlockText"/>
      </w:pPr>
      <w:r>
        <w:rPr>
          <w:b/>
          <w:bCs/>
        </w:rPr>
        <w:t xml:space="preserve">Mode opératoire.</w:t>
      </w:r>
      <w:r>
        <w:t xml:space="preserve"> </w:t>
      </w:r>
      <w:r>
        <w:t xml:space="preserve">- Chauffer un</w:t>
      </w:r>
      <w:r>
        <w:t xml:space="preserve"> </w:t>
      </w:r>
      <w:r>
        <w:rPr>
          <w:b/>
          <w:bCs/>
        </w:rPr>
        <w:t xml:space="preserve">spot unique</w:t>
      </w:r>
      <w:r>
        <w:t xml:space="preserve"> </w:t>
      </w:r>
      <w:r>
        <w:t xml:space="preserve">(250 A puis 200 A), rester</w:t>
      </w:r>
      <w:r>
        <w:t xml:space="preserve"> </w:t>
      </w:r>
      <w:r>
        <w:rPr>
          <w:b/>
          <w:bCs/>
        </w:rPr>
        <w:t xml:space="preserve">sous Tf</w:t>
      </w:r>
      <w:r>
        <w:t xml:space="preserve"> </w:t>
      </w:r>
      <w:r>
        <w:t xml:space="preserve">(pic ~150-250 °C),</w:t>
      </w:r>
      <w:r>
        <w:t xml:space="preserve"> </w:t>
      </w:r>
      <w:r>
        <w:t xml:space="preserve">échantillons réutilisables ; maintien quelques s à ~30 s.</w:t>
      </w:r>
      <w:r>
        <w:t xml:space="preserve"> </w:t>
      </w:r>
      <w:r>
        <w:t xml:space="preserve">- Caméra au-dessus : mesurer la</w:t>
      </w:r>
      <w:r>
        <w:t xml:space="preserve"> </w:t>
      </w:r>
      <w:r>
        <w:rPr>
          <w:b/>
          <w:bCs/>
        </w:rPr>
        <w:t xml:space="preserve">décroissance en LONGUEUR (x), au-delà de l’empreinte du</w:t>
      </w:r>
      <w:r>
        <w:rPr>
          <w:b/>
          <w:bCs/>
        </w:rPr>
        <w:t xml:space="preserve"> </w:t>
      </w:r>
      <w:r>
        <w:rPr>
          <w:b/>
          <w:bCs/>
        </w:rPr>
        <w:t xml:space="preserve">CFC</w:t>
      </w:r>
      <w:r>
        <w:t xml:space="preserve"> </w:t>
      </w:r>
      <w:r>
        <w:t xml:space="preserve">(55×31,5 mm) — c’est là qu’est l’info. En</w:t>
      </w:r>
      <w:r>
        <w:t xml:space="preserve"> </w:t>
      </w:r>
      <w:r>
        <w:rPr>
          <w:b/>
          <w:bCs/>
        </w:rPr>
        <w:t xml:space="preserve">largeur (y)</w:t>
      </w:r>
      <w:r>
        <w:t xml:space="preserve">, le CFC déborde les 40 mm et</w:t>
      </w:r>
      <w:r>
        <w:t xml:space="preserve"> </w:t>
      </w:r>
      <w:r>
        <w:rPr>
          <w:b/>
          <w:bCs/>
        </w:rPr>
        <w:t xml:space="preserve">masque la zone</w:t>
      </w:r>
      <w:r>
        <w:t xml:space="preserve"> </w:t>
      </w:r>
      <w:r>
        <w:t xml:space="preserve">→ non mesurable à la caméra (réserver aux TC noyés, exp 7).</w:t>
      </w:r>
      <w:r>
        <w:t xml:space="preserve"> </w:t>
      </w:r>
      <w:r>
        <w:t xml:space="preserve">- Si la céramique d’espacement couvre tout le laminé (cahier B-1 : 120×40 mm) et masque la</w:t>
      </w:r>
      <w:r>
        <w:t xml:space="preserve"> </w:t>
      </w:r>
      <w:r>
        <w:t xml:space="preserve">surface, la retirer est acceptable</w:t>
      </w:r>
      <w:r>
        <w:t xml:space="preserve"> </w:t>
      </w:r>
      <w:r>
        <w:rPr>
          <w:b/>
          <w:bCs/>
        </w:rPr>
        <w:t xml:space="preserve">pour ce seul but</w:t>
      </w:r>
      <w:r>
        <w:t xml:space="preserve"> </w:t>
      </w:r>
      <w:r>
        <w:t xml:space="preserve">— noter alors « gap nul » dans le</w:t>
      </w:r>
      <w:r>
        <w:t xml:space="preserve"> </w:t>
      </w:r>
      <w:r>
        <w:t xml:space="preserve">compte rendu.</w:t>
      </w:r>
      <w:r>
        <w:t xml:space="preserve"> </w:t>
      </w:r>
      <w:r>
        <w:t xml:space="preserve">- Sortie utile : profil T_surface(x) à quelques instants → longueur de décroissance →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effectif, confronté à la surface du modèle 3D à même géométrie.</w:t>
      </w:r>
    </w:p>
    <w:bookmarkEnd w:id="13"/>
    <w:bookmarkStart w:id="14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bookmarkEnd w:id="14"/>
    <w:bookmarkStart w:id="15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7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17"/>
    <w:bookmarkStart w:id="18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3, 4 et 5 sont tranchés (réponses du 27 juillet). Reste, par ordre de priorité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 —</w:t>
      </w:r>
      <w:r>
        <w:t xml:space="preserve"> </w:t>
      </w:r>
      <w:r>
        <w:rPr>
          <w:b/>
          <w:bCs/>
        </w:rPr>
        <w:t xml:space="preserve">par des TC noyés à l’interface</w:t>
      </w:r>
      <w:r>
        <w:t xml:space="preserve"> </w:t>
      </w:r>
      <w:r>
        <w:t xml:space="preserve">(la caméra de dessus ne voit pas l’interface). Un seul</w:t>
      </w:r>
      <w:r>
        <w:t xml:space="preserve"> </w:t>
      </w:r>
      <w:r>
        <w:t xml:space="preserve">essai de chauffe, ligne de 5 TC, contre la cible chiffrée (2,46× de contraste bord/centre).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0"/>
    <w:bookmarkStart w:id="21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383 kHz</w:t>
            </w:r>
            <w:r>
              <w:t xml:space="preserve"> </w:t>
            </w:r>
            <w:r>
              <w:t xml:space="preserve">(corr. A-3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2026-07-27T20:21:36Z</dcterms:created>
  <dcterms:modified xsi:type="dcterms:W3CDTF">2026-07-27T20:21:36Z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