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Projet</w:t>
      </w:r>
      <w:r>
        <w:t xml:space="preserve"> </w:t>
      </w:r>
      <w:r>
        <w:t xml:space="preserve">: jumeau numérique du soudage par induction CF/PEKK  · 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mesures</w:t>
      </w:r>
      <w:r>
        <w:t xml:space="preserve"> </w:t>
      </w:r>
      <w:r>
        <w:rPr>
          <w:b/>
          <w:bCs/>
        </w:rPr>
        <w:t xml:space="preserve">encore À FAIRE</w:t>
      </w:r>
      <w:r>
        <w:t xml:space="preserve"> </w:t>
      </w:r>
      <w:r>
        <w:t xml:space="preserve"> · </w:t>
      </w:r>
      <w:r>
        <w:t xml:space="preserve"> </w:t>
      </w:r>
      <w:r>
        <w:rPr>
          <w:b/>
          <w:bCs/>
        </w:rPr>
        <w:t xml:space="preserve">Mis à jour</w:t>
      </w:r>
      <w:r>
        <w:t xml:space="preserve"> </w:t>
      </w:r>
      <w:r>
        <w:t xml:space="preserve">: 2026-07-28</w:t>
      </w:r>
    </w:p>
    <w:p>
      <w:pPr>
        <w:pStyle w:val="BlockText"/>
      </w:pPr>
      <w:r>
        <w:t xml:space="preserve">Ce fichier ne liste que</w:t>
      </w:r>
      <w:r>
        <w:t xml:space="preserve"> </w:t>
      </w:r>
      <w:r>
        <w:rPr>
          <w:b/>
          <w:bCs/>
        </w:rPr>
        <w:t xml:space="preserve">ce qui reste à faire</w:t>
      </w:r>
      <w:r>
        <w:t xml:space="preserve">. Les réponses terrain, précisions et</w:t>
      </w:r>
      <w:r>
        <w:t xml:space="preserve"> </w:t>
      </w:r>
      <w:r>
        <w:t xml:space="preserve">résultats des manips déjà réalisées sont dans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releves_resolus.md</w:t>
        </w:r>
      </w:hyperlink>
      <w:r>
        <w:t xml:space="preserve"> </w:t>
      </w:r>
      <w:r>
        <w:t xml:space="preserve">et les</w:t>
      </w:r>
      <w:r>
        <w:t xml:space="preserve"> </w:t>
      </w:r>
      <w:r>
        <w:rPr>
          <w:rStyle w:val="VerbatimChar"/>
        </w:rPr>
        <w:t xml:space="preserve">data/exp*/README.md</w:t>
      </w:r>
      <w:r>
        <w:t xml:space="preserve">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Exp 7 — Cartographie bord→centre : CLOSE (2026-07-28).</w:t>
      </w:r>
      <w:r>
        <w:t xml:space="preserve"> </w:t>
      </w:r>
      <w:r>
        <w:t xml:space="preserve">Campagne complète aux</w:t>
      </w:r>
      <w:r>
        <w:t xml:space="preserve"> </w:t>
      </w:r>
      <w:r>
        <w:rPr>
          <w:b/>
          <w:bCs/>
        </w:rPr>
        <w:t xml:space="preserve">3 courants (150 / 200 / 250 A, 3 essais chacun, avec céramique)</w:t>
      </w:r>
      <w:r>
        <w:t xml:space="preserve">. Le profil en « M » est</w:t>
      </w:r>
      <w:r>
        <w:t xml:space="preserve"> </w:t>
      </w:r>
      <w:r>
        <w:rPr>
          <w:b/>
          <w:bCs/>
        </w:rPr>
        <w:t xml:space="preserve">symétrique et de bonne forme d’équilibre</w:t>
      </w:r>
      <w:r>
        <w:t xml:space="preserve"> </w:t>
      </w:r>
      <w:r>
        <w:t xml:space="preserve">(contraste mesuré ~2,0-2,2 vs modèle 2,4-2,55) ;</w:t>
      </w:r>
      <w:r>
        <w:t xml:space="preserve"> </w:t>
      </w:r>
      <w:r>
        <w:t xml:space="preserve">seul résidu =</w:t>
      </w:r>
      <w:r>
        <w:t xml:space="preserve"> </w:t>
      </w:r>
      <w:r>
        <w:rPr>
          <w:b/>
          <w:bCs/>
        </w:rPr>
        <w:t xml:space="preserve">transitoire</w:t>
      </w:r>
      <w:r>
        <w:t xml:space="preserve"> </w:t>
      </w:r>
      <w:r>
        <w:t xml:space="preserve">(le centre du modèle se remplit trop lentement, indépendant du</w:t>
      </w:r>
      <w:r>
        <w:t xml:space="preserve"> </w:t>
      </w:r>
      <w:r>
        <w:t xml:space="preserve">courant). Levier source-adoucie testé → flag off ; cp/k_plan/placement TC écartés ; 3D</w:t>
      </w:r>
      <w:r>
        <w:t xml:space="preserve"> </w:t>
      </w:r>
      <w:r>
        <w:t xml:space="preserve">confirme le mécanisme mais surchauffe l’interface → 2D lumpé conservé avec limite documentée.</w:t>
      </w:r>
      <w:r>
        <w:t xml:space="preserve"> </w:t>
      </w:r>
      <w:r>
        <w:t xml:space="preserve">Détail :</w:t>
      </w:r>
      <w:r>
        <w:t xml:space="preserve"> </w:t>
      </w:r>
      <w:r>
        <w:rPr>
          <w:rStyle w:val="VerbatimChar"/>
        </w:rPr>
        <w:t xml:space="preserve">data/exp7_bord-centre_2026-07-28_avec-ceramique/README.md</w:t>
      </w:r>
      <w:r>
        <w:t xml:space="preserve">. Figures de présentation :</w:t>
      </w:r>
      <w:r>
        <w:t xml:space="preserve"> </w:t>
      </w:r>
      <w:r>
        <w:rPr>
          <w:rStyle w:val="VerbatimChar"/>
        </w:rPr>
        <w:t xml:space="preserve">docs/figures_presentation/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à-faire-par-priorité"/>
    <w:p>
      <w:pPr>
        <w:pStyle w:val="Heading2"/>
      </w:pPr>
      <w:r>
        <w:t xml:space="preserve">À faire — par priorité</w:t>
      </w:r>
    </w:p>
    <w:bookmarkStart w:id="10" w:name="Xc8b8f394d32c9886f26180670e10cb34e625d40"/>
    <w:p>
      <w:pPr>
        <w:pStyle w:val="Heading3"/>
      </w:pPr>
      <w:r>
        <w:t xml:space="preserve">1. Exp 8 — Température de la face active du CFC</w:t>
      </w:r>
    </w:p>
    <w:p>
      <w:pPr>
        <w:pStyle w:val="FirstParagraph"/>
      </w:pPr>
      <w:r>
        <w:rPr>
          <w:b/>
          <w:bCs/>
        </w:rPr>
        <w:t xml:space="preserve">Objectif.</w:t>
      </w:r>
      <w:r>
        <w:t xml:space="preserve"> </w:t>
      </w:r>
      <w:r>
        <w:t xml:space="preserve">Mesurer la température du concentrateur pendant une chauffe (caméra FLIR A700 sur</w:t>
      </w:r>
      <w:r>
        <w:t xml:space="preserve"> </w:t>
      </w:r>
      <w:r>
        <w:t xml:space="preserve">la face active, ou TC posé). Vue de dessus idéale ici (la face du CFC est directement visible).</w:t>
      </w:r>
      <w:r>
        <w:t xml:space="preserve"> </w:t>
      </w:r>
      <w:r>
        <w:rPr>
          <w:b/>
          <w:bCs/>
        </w:rPr>
        <w:t xml:space="preserve">Résout</w:t>
      </w:r>
      <w:r>
        <w:t xml:space="preserve"> </w:t>
      </w:r>
      <w:r>
        <w:t xml:space="preserve">: le déficit de chauffe en surface (TC1) — seule mesure qui l’attaque. Comparer la</w:t>
      </w:r>
      <w:r>
        <w:t xml:space="preserve"> </w:t>
      </w:r>
      <w:r>
        <w:t xml:space="preserve">montée du CFC à celle de TC1. Un essai.</w:t>
      </w:r>
    </w:p>
    <w:bookmarkEnd w:id="10"/>
    <w:bookmarkStart w:id="11" w:name="Xfe243462107251bb9d0358a4a665fccc3e012f5"/>
    <w:p>
      <w:pPr>
        <w:pStyle w:val="Heading3"/>
      </w:pPr>
      <w:r>
        <w:t xml:space="preserve">2. Relevé 1 — Position longitudinale de la bobine</w:t>
      </w:r>
    </w:p>
    <w:p>
      <w:pPr>
        <w:pStyle w:val="FirstParagraph"/>
      </w:pPr>
      <w:r>
        <w:rPr>
          <w:b/>
          <w:bCs/>
        </w:rPr>
        <w:t xml:space="preserve">Objectif.</w:t>
      </w:r>
      <w:r>
        <w:t xml:space="preserve"> </w:t>
      </w:r>
      <w:r>
        <w:t xml:space="preserve">Mesurer le décalage en x du centre de la bobine par rapport au spot visé</w:t>
      </w:r>
      <w:r>
        <w:t xml:space="preserve"> </w:t>
      </w:r>
      <w:r>
        <w:t xml:space="preserve">(paramètre</w:t>
      </w:r>
      <w:r>
        <w:t xml:space="preserve"> </w:t>
      </w:r>
      <w:r>
        <w:rPr>
          <w:rStyle w:val="VerbatimChar"/>
        </w:rPr>
        <w:t xml:space="preserve">decalage_x</w:t>
      </w:r>
      <w:r>
        <w:t xml:space="preserve">, figé à 0 faute de mesure). Pied à coulisse, 15 min.</w:t>
      </w:r>
      <w:r>
        <w:t xml:space="preserve"> </w:t>
      </w:r>
      <w:r>
        <w:rPr>
          <w:b/>
          <w:bCs/>
        </w:rPr>
        <w:t xml:space="preserve">Peu critique</w:t>
      </w:r>
      <w:r>
        <w:t xml:space="preserve"> </w:t>
      </w:r>
      <w:r>
        <w:t xml:space="preserve">:</w:t>
      </w:r>
      <w:r>
        <w:t xml:space="preserve"> </w:t>
      </w:r>
      <w:r>
        <w:t xml:space="preserve">si non mesurable facilement, on le laisse figé. (Les cotes propres de la bobine sont déjà</w:t>
      </w:r>
      <w:r>
        <w:t xml:space="preserve"> </w:t>
      </w:r>
      <w:r>
        <w:t xml:space="preserve">résolues, cf. archive.)</w:t>
      </w:r>
    </w:p>
    <w:bookmarkEnd w:id="11"/>
    <w:bookmarkStart w:id="12" w:name="Xe2593bb5cf4f10e3375cd3a973efa99c3adaa70"/>
    <w:p>
      <w:pPr>
        <w:pStyle w:val="Heading3"/>
      </w:pPr>
      <w:r>
        <w:t xml:space="preserve">3. Exp 6 — Diffusivité latérale (optionnel, non prioritaire)</w:t>
      </w:r>
    </w:p>
    <w:p>
      <w:pPr>
        <w:pStyle w:val="FirstParagraph"/>
      </w:pPr>
      <w:r>
        <w:rPr>
          <w:b/>
          <w:bCs/>
        </w:rPr>
        <w:t xml:space="preserve">Objectif.</w:t>
      </w:r>
      <w:r>
        <w:t xml:space="preserve"> </w:t>
      </w:r>
      <w:r>
        <w:rPr>
          <w:rStyle w:val="VerbatimChar"/>
        </w:rPr>
        <w:t xml:space="preserve">k_plan</w:t>
      </w:r>
      <w:r>
        <w:t xml:space="preserve"> </w:t>
      </w:r>
      <w:r>
        <w:t xml:space="preserve">effectif via la décroissance latérale de T. Depuis la correction de</w:t>
      </w:r>
      <w:r>
        <w:t xml:space="preserve"> </w:t>
      </w:r>
      <w:r>
        <w:t xml:space="preserve">géométrie, le modèle s’accorde à</w:t>
      </w:r>
      <w:r>
        <w:t xml:space="preserve"> </w:t>
      </w:r>
      <w:r>
        <w:rPr>
          <w:rStyle w:val="VerbatimChar"/>
        </w:rPr>
        <w:t xml:space="preserve">k_plan = 3 W/m·K</w:t>
      </w:r>
      <w:r>
        <w:t xml:space="preserve"> </w:t>
      </w:r>
      <w:r>
        <w:t xml:space="preserve">(physique) : cette mesure ne tranche plus</w:t>
      </w:r>
      <w:r>
        <w:t xml:space="preserve"> </w:t>
      </w:r>
      <w:r>
        <w:t xml:space="preserve">un écart ouvert, elle</w:t>
      </w:r>
      <w:r>
        <w:t xml:space="preserve"> </w:t>
      </w:r>
      <w:r>
        <w:rPr>
          <w:b/>
          <w:bCs/>
        </w:rPr>
        <w:t xml:space="preserve">vérifie</w:t>
      </w:r>
      <w:r>
        <w:t xml:space="preserve"> </w:t>
      </w:r>
      <w:r>
        <w:t xml:space="preserve">une propriété assumée. Protocole caméra détaillé dans</w:t>
      </w:r>
      <w:r>
        <w:t xml:space="preserve"> </w:t>
      </w:r>
      <w:r>
        <w:t xml:space="preserve">l’archive. Un essai, sous Tf, échantillons réutilisables.</w:t>
      </w:r>
    </w:p>
    <w:bookmarkEnd w:id="12"/>
    <w:bookmarkStart w:id="13" w:name="Xe64e2534bde4dc347a04e8b1b2630333f71be38"/>
    <w:p>
      <w:pPr>
        <w:pStyle w:val="Heading3"/>
      </w:pPr>
      <w:r>
        <w:t xml:space="preserve">4. Mesures de propriété au labo (optionnel, si les niveaux 1-3 ne suffisent pas)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Mesure 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k_plan</w:t>
      </w:r>
      <w:r>
        <w:rPr>
          <w:b/>
          <w:bCs/>
        </w:rP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: hot-disk ou flash laser sur un échantillon de laminé.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Mesure 10 — σ(T)</w:t>
      </w:r>
      <w:r>
        <w:t xml:space="preserve"> </w:t>
      </w:r>
      <w:r>
        <w:t xml:space="preserve">: conductivité électrique en fonction de T (4 pointes en montée) ; le</w:t>
      </w:r>
      <w:r>
        <w:t xml:space="preserve"> </w:t>
      </w:r>
      <w:r>
        <w:t xml:space="preserve">modèle prend σ constante aujourd’hui. La plus lourde des dix.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19a7103beb0a1b1bc66c1fb6c6a76654e6a4ce"/>
    <w:p>
      <w:pPr>
        <w:pStyle w:val="Heading2"/>
      </w:pPr>
      <w:r>
        <w:t xml:space="preserve">Corrections modèle en attente (à intégrer ENSEMBLE à la prochaine recalibration)</w:t>
      </w:r>
    </w:p>
    <w:p>
      <w:pPr>
        <w:pStyle w:val="FirstParagraph"/>
      </w:pPr>
      <w:r>
        <w:t xml:space="preserve">Découlent des réponses terrain (détail :</w:t>
      </w:r>
      <w:r>
        <w:t xml:space="preserve"> </w:t>
      </w:r>
      <w:hyperlink r:id="rId9">
        <w:r>
          <w:rPr>
            <w:rStyle w:val="VerbatimChar"/>
          </w:rPr>
          <w:t xml:space="preserve">releves_resolus.md</w:t>
        </w:r>
      </w:hyperlink>
      <w:r>
        <w:t xml:space="preserve">). La reprise</w:t>
      </w:r>
      <w:r>
        <w:t xml:space="preserve"> </w:t>
      </w:r>
      <w:r>
        <w:t xml:space="preserve">exp 7 étant close, ces corrections ne sont plus bloquées et peuvent être recalibrées ensemble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Loi thermostat « capteurs »</w:t>
      </w:r>
      <w:r>
        <w:t xml:space="preserve"> </w:t>
      </w:r>
      <w:r>
        <w:t xml:space="preserve">— flag prêt (</w:t>
      </w:r>
      <w:r>
        <w:rPr>
          <w:rStyle w:val="VerbatimChar"/>
        </w:rPr>
        <w:t xml:space="preserve">--thermostat-capteurs</w:t>
      </w:r>
      <w:r>
        <w:t xml:space="preserve">, défaut off).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Épaisseur twill 0,28 → 0,20 mm</w:t>
      </w:r>
      <w:r>
        <w:t xml:space="preserve"> </w:t>
      </w:r>
      <w:r>
        <w:t xml:space="preserve">— préparée (commentaire config).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h_bord_x0</w:t>
      </w:r>
      <w:r>
        <w:t xml:space="preserve"> </w:t>
      </w:r>
      <w:r>
        <w:t xml:space="preserve">— requalifié effectif (chants libres) ; candidat au retrait.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Fréquence A-3 (200 A) 388 → 383 kHz</w:t>
      </w:r>
      <w:r>
        <w:t xml:space="preserve"> </w:t>
      </w:r>
      <w:r>
        <w:t xml:space="preserve">— fréquence par essai à ajouter.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Lissage de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--source-sigma-mm</w:t>
      </w:r>
      <w:r>
        <w:t xml:space="preserve">, défaut off) — testé exp 7 : remplit le centre mais</w:t>
      </w:r>
      <w:r>
        <w:t xml:space="preserve"> </w:t>
      </w:r>
      <w:r>
        <w:t xml:space="preserve">abaisse les pics →</w:t>
      </w:r>
      <w:r>
        <w:t xml:space="preserve"> </w:t>
      </w:r>
      <w:r>
        <w:rPr>
          <w:b/>
          <w:bCs/>
        </w:rPr>
        <w:t xml:space="preserve">non retenu</w:t>
      </w:r>
      <w:r>
        <w:t xml:space="preserve"> </w:t>
      </w:r>
      <w:r>
        <w:t xml:space="preserve">tel quel ; à ré-arbitrer seulement si le centre-fill devient</w:t>
      </w:r>
      <w:r>
        <w:t xml:space="preserve"> </w:t>
      </w:r>
      <w:r>
        <w:t xml:space="preserve">prioritaire.</w:t>
      </w:r>
    </w:p>
    <w:p>
      <w:r>
        <w:pict>
          <v:rect style="width:0;height:1.5pt" o:hralign="center" o:hrstd="t" o:hr="t"/>
        </w:pict>
      </w:r>
    </w:p>
    <w:bookmarkEnd w:id="15"/>
    <w:bookmarkStart w:id="16" w:name="tableau-de-synthèse-items-ouverts"/>
    <w:p>
      <w:pPr>
        <w:pStyle w:val="Heading2"/>
      </w:pPr>
      <w:r>
        <w:t xml:space="preserve">Tableau de synthèse — items ouverts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Résout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 8</w:t>
            </w:r>
          </w:p>
        </w:tc>
        <w:tc>
          <w:tcPr/>
          <w:p>
            <w:pPr>
              <w:pStyle w:val="Compact"/>
            </w:pPr>
            <w:r>
              <w:t xml:space="preserve">Température face active du CFC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déficit de surface TC1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Relevé 1</w:t>
            </w:r>
          </w:p>
        </w:tc>
        <w:tc>
          <w:tcPr/>
          <w:p>
            <w:pPr>
              <w:pStyle w:val="Compact"/>
            </w:pPr>
            <w:r>
              <w:t xml:space="preserve">Position longitudinale bobine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decalage_x</w:t>
            </w:r>
            <w:r>
              <w:t xml:space="preserve"> </w:t>
            </w:r>
            <w:r>
              <w:t xml:space="preserve">(figé)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 6</w:t>
            </w:r>
          </w:p>
        </w:tc>
        <w:tc>
          <w:tcPr/>
          <w:p>
            <w:pPr>
              <w:pStyle w:val="Compact"/>
            </w:pPr>
            <w:r>
              <w:t xml:space="preserve">Diffusivité latérale</w:t>
            </w:r>
          </w:p>
        </w:tc>
        <w:tc>
          <w:tcPr/>
          <w:p>
            <w:pPr>
              <w:pStyle w:val="Compact"/>
            </w:pPr>
            <w:r>
              <w:t xml:space="preserve">basse (vérif.)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k_plan</w:t>
            </w:r>
            <w:r>
              <w:t xml:space="preserve"> </w:t>
            </w:r>
            <w:r>
              <w:t xml:space="preserve">direct (labo)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k_plan</w:t>
            </w:r>
            <w:r>
              <w:t xml:space="preserve"> </w:t>
            </w:r>
            <w:r>
              <w:t xml:space="preserve">sourcé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 10</w:t>
            </w:r>
          </w:p>
        </w:tc>
        <w:tc>
          <w:tcPr/>
          <w:p>
            <w:pPr>
              <w:pStyle w:val="Compact"/>
            </w:pPr>
            <w:r>
              <w:t xml:space="preserve">σ(T) (labo)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dépendance σ(T)</w:t>
            </w:r>
          </w:p>
        </w:tc>
      </w:tr>
    </w:tbl>
    <w:p>
      <w:pPr>
        <w:pStyle w:val="BodyText"/>
      </w:pPr>
      <w:r>
        <w:rPr>
          <w:i/>
          <w:iCs/>
        </w:rPr>
        <w:t xml:space="preserve">Items résolus (relevés 2-5,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 7</w:t>
      </w:r>
      <w:r>
        <w:rPr>
          <w:i/>
          <w:iCs/>
        </w:rPr>
        <w:t xml:space="preserve">) et résultats des manips déjà faites : voir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releves_resolus.md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et les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data/exp*/README.md</w:t>
      </w:r>
      <w:r>
        <w:rPr>
          <w:i/>
          <w:iCs/>
        </w:rP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leves_resol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leves_resol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2026-07-28T15:37:49Z</dcterms:created>
  <dcterms:modified xsi:type="dcterms:W3CDTF">2026-07-28T15:37:49Z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