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Relevés et expériences à réaliser pour améliorer la simulation</w:t>
      </w:r>
    </w:p>
    <w:p>
      <w:pPr>
        <w:pStyle w:val="Subtitle"/>
      </w:pPr>
      <w:r>
        <w:t xml:space="preserve">Jumeau numérique du soudage par induction CF/PEKK</w:t>
      </w:r>
    </w:p>
    <w:p>
      <w:pPr>
        <w:pStyle w:val="Author"/>
      </w:pPr>
      <w:r>
        <w:t xml:space="preserve">Maxence Dubois — maîtrise, LIPEC / École de technologie supérieure (ÉTS)</w:t>
      </w:r>
    </w:p>
    <w:p>
      <w:pPr>
        <w:pStyle w:val="Date"/>
      </w:pPr>
      <w:r>
        <w:t xml:space="preserve">23 juillet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rPr>
          <w:b/>
          <w:bCs/>
        </w:rPr>
        <w:t xml:space="preserve">Projet</w:t>
      </w:r>
      <w:r>
        <w:t xml:space="preserve"> </w:t>
      </w:r>
      <w:r>
        <w:t xml:space="preserve">: jumeau numérique du soudage par induction CF/PEKK  · </w:t>
      </w:r>
      <w:r>
        <w:t xml:space="preserve"> </w:t>
      </w:r>
      <w:r>
        <w:rPr>
          <w:b/>
          <w:bCs/>
        </w:rPr>
        <w:t xml:space="preserve">Objet</w:t>
      </w:r>
      <w:r>
        <w:t xml:space="preserve"> </w:t>
      </w:r>
      <w:r>
        <w:t xml:space="preserve">: relevés et expériences à réaliser pour améliorer la simulation  · </w:t>
      </w:r>
      <w:r>
        <w:t xml:space="preserve"> </w:t>
      </w:r>
      <w:r>
        <w:rPr>
          <w:b/>
          <w:bCs/>
        </w:rPr>
        <w:t xml:space="preserve">Date</w:t>
      </w:r>
      <w:r>
        <w:t xml:space="preserve"> </w:t>
      </w:r>
      <w:r>
        <w:t xml:space="preserve">: 23 juillet 2026</w:t>
      </w:r>
    </w:p>
    <w:p>
      <w:r>
        <w:pict>
          <v:rect style="width:0;height:1.5pt" o:hralign="center" o:hrstd="t" o:hr="t"/>
        </w:pict>
      </w:r>
    </w:p>
    <w:bookmarkStart w:id="9" w:name="pourquoi-ces-mesures"/>
    <w:p>
      <w:pPr>
        <w:pStyle w:val="Heading2"/>
      </w:pPr>
      <w:r>
        <w:t xml:space="preserve">Pourquoi ces mesures</w:t>
      </w:r>
    </w:p>
    <w:p>
      <w:pPr>
        <w:pStyle w:val="FirstParagraph"/>
      </w:pPr>
      <w:r>
        <w:t xml:space="preserve">Le jumeau reproduit aujourd’hui les niveaux de température à 25 à 50 °C près et capture la</w:t>
      </w:r>
      <w:r>
        <w:t xml:space="preserve"> </w:t>
      </w:r>
      <w:r>
        <w:t xml:space="preserve">séquence spatio-temporelle du procédé. Deux écarts restent ouverts. Le modèle concentre trop</w:t>
      </w:r>
      <w:r>
        <w:t xml:space="preserve"> </w:t>
      </w:r>
      <w:r>
        <w:t xml:space="preserve">la puissance (pics simulés trop hauts de 40 à 60 °C, plateau inter-passes trop froid), et le</w:t>
      </w:r>
      <w:r>
        <w:t xml:space="preserve"> </w:t>
      </w:r>
      <w:r>
        <w:t xml:space="preserve">thermocouple de surface chauffe 5 à 6 fois trop lentement.</w:t>
      </w:r>
    </w:p>
    <w:p>
      <w:pPr>
        <w:pStyle w:val="BodyText"/>
      </w:pPr>
      <w:r>
        <w:t xml:space="preserve">Un diagnostic du 23 juillet 2026 a identifié le levier principal : la conduction thermique</w:t>
      </w:r>
      <w:r>
        <w:t xml:space="preserve"> </w:t>
      </w:r>
      <w:r>
        <w:t xml:space="preserve">dans le plan du laminé. La donnée réclame une diffusivité latérale effective d’environ 3 fois</w:t>
      </w:r>
      <w:r>
        <w:t xml:space="preserve"> </w:t>
      </w:r>
      <w:r>
        <w:t xml:space="preserve">la valeur homogénéisée actuelle (k passe de 3 à 6-9 W/m·K). Ce changement améliore à la fois</w:t>
      </w:r>
      <w:r>
        <w:t xml:space="preserve"> </w:t>
      </w:r>
      <w:r>
        <w:t xml:space="preserve">le RMSE et le dépassement de pic, ce qu’un simple facteur d’échelle ne sait pas faire. Le</w:t>
      </w:r>
      <w:r>
        <w:t xml:space="preserve"> </w:t>
      </w:r>
      <w:r>
        <w:t xml:space="preserve">diagnostic a aussi écarté trois autres pistes avec des chiffres (capacité thermique haute</w:t>
      </w:r>
      <w:r>
        <w:t xml:space="preserve"> </w:t>
      </w:r>
      <w:r>
        <w:t xml:space="preserve">température, bloc céramique, outillage métallique).</w:t>
      </w:r>
    </w:p>
    <w:p>
      <w:pPr>
        <w:pStyle w:val="BodyText"/>
      </w:pPr>
      <w:r>
        <w:t xml:space="preserve">Les mesures ci-dessous visent les entrées du modèle encore incertaines ou figées. Chacune</w:t>
      </w:r>
      <w:r>
        <w:t xml:space="preserve"> </w:t>
      </w:r>
      <w:r>
        <w:t xml:space="preserve">précise son objectif, la méthode rapide, le paramètre du modèle qu’elle résout, et le gain</w:t>
      </w:r>
      <w:r>
        <w:t xml:space="preserve"> </w:t>
      </w:r>
      <w:r>
        <w:t xml:space="preserve">attendu. Elles sont classées par rapport valeur/effort décroissant.</w:t>
      </w:r>
    </w:p>
    <w:p>
      <w:r>
        <w:pict>
          <v:rect style="width:0;height:1.5pt" o:hralign="center" o:hrstd="t" o:hr="t"/>
        </w:pict>
      </w:r>
    </w:p>
    <w:bookmarkEnd w:id="9"/>
    <w:bookmarkStart w:id="14" w:name="Xe12900a8f44a7fabd6c7e53142ebd366849e083"/>
    <w:p>
      <w:pPr>
        <w:pStyle w:val="Heading2"/>
      </w:pPr>
      <w:r>
        <w:t xml:space="preserve">Niveau 1. Relevés triviaux (quelques minutes chacun)</w:t>
      </w:r>
    </w:p>
    <w:bookmarkStart w:id="10" w:name="X98252d34dec511e56f01f613239482d36b1f9a2"/>
    <w:p>
      <w:pPr>
        <w:pStyle w:val="Heading3"/>
      </w:pPr>
      <w:r>
        <w:t xml:space="preserve">Relevé 1. Métrologie des positions bobine / CFC / thermocouples</w:t>
      </w:r>
    </w:p>
    <w:p>
      <w:pPr>
        <w:pStyle w:val="FirstParagraph"/>
      </w:pPr>
      <w:r>
        <w:rPr>
          <w:b/>
          <w:bCs/>
        </w:rPr>
        <w:t xml:space="preserve">Objectif.</w:t>
      </w:r>
      <w:r>
        <w:t xml:space="preserve"> </w:t>
      </w:r>
      <w:r>
        <w:t xml:space="preserve">Mesurer les positions relatives de la bobine, du concentrateur et des</w:t>
      </w:r>
      <w:r>
        <w:t xml:space="preserve"> </w:t>
      </w:r>
      <w:r>
        <w:t xml:space="preserve">thermocouples sur le montage, et extraire les cotes exactes de la bobine hairpin.</w:t>
      </w:r>
    </w:p>
    <w:p>
      <w:pPr>
        <w:pStyle w:val="BodyText"/>
      </w:pPr>
      <w:r>
        <w:rPr>
          <w:b/>
          <w:bCs/>
        </w:rPr>
        <w:t xml:space="preserve">Méthode.</w:t>
      </w:r>
      <w:r>
        <w:t xml:space="preserve"> </w:t>
      </w:r>
      <w:r>
        <w:t xml:space="preserve">Un pied à coulisse sur le montage pour les distances relatives. Les cotes de la</w:t>
      </w:r>
      <w:r>
        <w:t xml:space="preserve"> </w:t>
      </w:r>
      <w:r>
        <w:t xml:space="preserve">bobine (diamètre du tube de cuivre, entraxe des jambes, longueur utile) se lisent sur la CAO</w:t>
      </w:r>
      <w:r>
        <w:t xml:space="preserve"> </w:t>
      </w:r>
      <w:r>
        <w:t xml:space="preserve">SolidWorks du montage.</w:t>
      </w:r>
    </w:p>
    <w:p>
      <w:pPr>
        <w:pStyle w:val="BodyText"/>
      </w:pPr>
      <w:r>
        <w:rPr>
          <w:b/>
          <w:bCs/>
        </w:rPr>
        <w:t xml:space="preserve">Paramètre du modèle résolu.</w:t>
      </w:r>
      <w:r>
        <w:t xml:space="preserve"> </w:t>
      </w:r>
      <w:r>
        <w:t xml:space="preserve">Le paramètre</w:t>
      </w:r>
      <w:r>
        <w:t xml:space="preserve"> </w:t>
      </w:r>
      <w:r>
        <w:rPr>
          <w:rStyle w:val="VerbatimChar"/>
        </w:rPr>
        <w:t xml:space="preserve">decalage_x</w:t>
      </w:r>
      <w:r>
        <w:t xml:space="preserve">, aujourd’hui figé faute de mesure,</w:t>
      </w:r>
      <w:r>
        <w:t xml:space="preserve"> </w:t>
      </w:r>
      <w:r>
        <w:t xml:space="preserve">et la géométrie de bobine qui alimente tout le calcul électromagnétique.</w:t>
      </w:r>
    </w:p>
    <w:p>
      <w:pPr>
        <w:pStyle w:val="BodyText"/>
      </w:pPr>
      <w:r>
        <w:rPr>
          <w:b/>
          <w:bCs/>
        </w:rPr>
        <w:t xml:space="preserve">Gain attendu.</w:t>
      </w:r>
      <w:r>
        <w:t xml:space="preserve"> </w:t>
      </w:r>
      <w:r>
        <w:t xml:space="preserve">Lève un paramètre figé de la calibration et fiabilise la source EM.</w:t>
      </w:r>
    </w:p>
    <w:p>
      <w:pPr>
        <w:pStyle w:val="BodyText"/>
      </w:pPr>
      <w:r>
        <w:rPr>
          <w:b/>
          <w:bCs/>
        </w:rPr>
        <w:t xml:space="preserve">Temps estimé.</w:t>
      </w:r>
      <w:r>
        <w:t xml:space="preserve"> </w:t>
      </w:r>
      <w:r>
        <w:t xml:space="preserve">15 minutes.</w:t>
      </w:r>
    </w:p>
    <w:bookmarkEnd w:id="10"/>
    <w:bookmarkStart w:id="11" w:name="Xcc34eeb381769149bb77a3a4a65b5aa15ec2d07"/>
    <w:p>
      <w:pPr>
        <w:pStyle w:val="Heading3"/>
      </w:pPr>
      <w:r>
        <w:t xml:space="preserve">Relevé 2. Fréquence du générateur à 200 A</w:t>
      </w:r>
    </w:p>
    <w:p>
      <w:pPr>
        <w:pStyle w:val="FirstParagraph"/>
      </w:pPr>
      <w:r>
        <w:rPr>
          <w:b/>
          <w:bCs/>
        </w:rPr>
        <w:t xml:space="preserve">Objectif.</w:t>
      </w:r>
      <w:r>
        <w:t xml:space="preserve"> </w:t>
      </w:r>
      <w:r>
        <w:t xml:space="preserve">Relever la fréquence de travail de l’EASYHEAT à 200 A.</w:t>
      </w:r>
    </w:p>
    <w:p>
      <w:pPr>
        <w:pStyle w:val="BodyText"/>
      </w:pPr>
      <w:r>
        <w:rPr>
          <w:b/>
          <w:bCs/>
        </w:rPr>
        <w:t xml:space="preserve">Méthode.</w:t>
      </w:r>
      <w:r>
        <w:t xml:space="preserve"> </w:t>
      </w:r>
      <w:r>
        <w:t xml:space="preserve">Lire l’afficheur du générateur pendant un essai à 200 A (type A-3). La fréquence</w:t>
      </w:r>
      <w:r>
        <w:t xml:space="preserve"> </w:t>
      </w:r>
      <w:r>
        <w:t xml:space="preserve">à 250 A vaut 388 kHz (relevé du 17 juillet). Le cahier note qu’elle varie avec l’ampérage.</w:t>
      </w:r>
    </w:p>
    <w:p>
      <w:pPr>
        <w:pStyle w:val="BodyText"/>
      </w:pPr>
      <w:r>
        <w:rPr>
          <w:b/>
          <w:bCs/>
        </w:rPr>
        <w:t xml:space="preserve">Paramètre du modèle résolu.</w:t>
      </w:r>
      <w:r>
        <w:t xml:space="preserve"> </w:t>
      </w:r>
      <w:r>
        <w:t xml:space="preserve">La fréquence EM de l’essai A-3, aujourd’hui supposée égale à</w:t>
      </w:r>
      <w:r>
        <w:t xml:space="preserve"> </w:t>
      </w:r>
      <w:r>
        <w:t xml:space="preserve">celle de 250 A.</w:t>
      </w:r>
    </w:p>
    <w:p>
      <w:pPr>
        <w:pStyle w:val="BodyText"/>
      </w:pPr>
      <w:r>
        <w:rPr>
          <w:b/>
          <w:bCs/>
        </w:rPr>
        <w:t xml:space="preserve">Gain attendu.</w:t>
      </w:r>
      <w:r>
        <w:t xml:space="preserve"> </w:t>
      </w:r>
      <w:r>
        <w:t xml:space="preserve">Entrée EM correcte pour l’essai aveugle à 200 A, celui qui teste la loi en</w:t>
      </w:r>
      <w:r>
        <w:t xml:space="preserve"> </w:t>
      </w:r>
      <w:r>
        <w:t xml:space="preserve">courant.</w:t>
      </w:r>
    </w:p>
    <w:p>
      <w:pPr>
        <w:pStyle w:val="BodyText"/>
      </w:pPr>
      <w:r>
        <w:rPr>
          <w:b/>
          <w:bCs/>
        </w:rPr>
        <w:t xml:space="preserve">Temps estimé.</w:t>
      </w:r>
      <w:r>
        <w:t xml:space="preserve"> </w:t>
      </w:r>
      <w:r>
        <w:t xml:space="preserve">Une lecture pendant un essai.</w:t>
      </w:r>
    </w:p>
    <w:bookmarkEnd w:id="11"/>
    <w:bookmarkStart w:id="12" w:name="relevé-3.-épaisseur-réelle-du-pli-twill"/>
    <w:p>
      <w:pPr>
        <w:pStyle w:val="Heading3"/>
      </w:pPr>
      <w:r>
        <w:t xml:space="preserve">Relevé 3. Épaisseur réelle du pli twill</w:t>
      </w:r>
    </w:p>
    <w:p>
      <w:pPr>
        <w:pStyle w:val="FirstParagraph"/>
      </w:pPr>
      <w:r>
        <w:rPr>
          <w:b/>
          <w:bCs/>
        </w:rPr>
        <w:t xml:space="preserve">Objectif.</w:t>
      </w:r>
      <w:r>
        <w:t xml:space="preserve"> </w:t>
      </w:r>
      <w:r>
        <w:t xml:space="preserve">Mesurer l’épaisseur du pli twill suscepteur.</w:t>
      </w:r>
    </w:p>
    <w:p>
      <w:pPr>
        <w:pStyle w:val="BodyText"/>
      </w:pPr>
      <w:r>
        <w:rPr>
          <w:b/>
          <w:bCs/>
        </w:rPr>
        <w:t xml:space="preserve">Méthode.</w:t>
      </w:r>
      <w:r>
        <w:t xml:space="preserve"> </w:t>
      </w:r>
      <w:r>
        <w:t xml:space="preserve">Un micromètre sur un pli twill seul, ou une mesure sur une coupe polie d’un</w:t>
      </w:r>
      <w:r>
        <w:t xml:space="preserve"> </w:t>
      </w:r>
      <w:r>
        <w:t xml:space="preserve">échantillon soudé.</w:t>
      </w:r>
    </w:p>
    <w:p>
      <w:pPr>
        <w:pStyle w:val="BodyText"/>
      </w:pPr>
      <w:r>
        <w:rPr>
          <w:b/>
          <w:bCs/>
        </w:rPr>
        <w:t xml:space="preserve">Paramètre du modèle résolu.</w:t>
      </w:r>
      <w:r>
        <w:t xml:space="preserve"> </w:t>
      </w:r>
      <w:r>
        <w:t xml:space="preserve">L’épaisseur du twill (0,28 mm, marquée « à confirmer ») et,</w:t>
      </w:r>
      <w:r>
        <w:t xml:space="preserve"> </w:t>
      </w:r>
      <w:r>
        <w:t xml:space="preserve">par cohérence, sa conductivité.</w:t>
      </w:r>
    </w:p>
    <w:p>
      <w:pPr>
        <w:pStyle w:val="BodyText"/>
      </w:pPr>
      <w:r>
        <w:rPr>
          <w:b/>
          <w:bCs/>
        </w:rPr>
        <w:t xml:space="preserve">Gain attendu.</w:t>
      </w:r>
      <w:r>
        <w:t xml:space="preserve"> </w:t>
      </w:r>
      <w:r>
        <w:t xml:space="preserve">Le twill porte l’essentiel de la chaleur. Fiabiliser son épaisseur affine la</w:t>
      </w:r>
      <w:r>
        <w:t xml:space="preserve"> </w:t>
      </w:r>
      <w:r>
        <w:t xml:space="preserve">répartition de puissance entre couches, au cœur du déficit de surface.</w:t>
      </w:r>
    </w:p>
    <w:p>
      <w:pPr>
        <w:pStyle w:val="BodyText"/>
      </w:pPr>
      <w:r>
        <w:rPr>
          <w:b/>
          <w:bCs/>
        </w:rPr>
        <w:t xml:space="preserve">Temps estimé.</w:t>
      </w:r>
      <w:r>
        <w:t xml:space="preserve"> </w:t>
      </w:r>
      <w:r>
        <w:t xml:space="preserve">10 minutes.</w:t>
      </w:r>
    </w:p>
    <w:bookmarkEnd w:id="12"/>
    <w:bookmarkStart w:id="13" w:name="X072f22971216f2fcb87c34edb04681c61afe7e1"/>
    <w:p>
      <w:pPr>
        <w:pStyle w:val="Heading3"/>
      </w:pPr>
      <w:r>
        <w:t xml:space="preserve">Relevé 4. Condition aux bords de l’échantillon</w:t>
      </w:r>
    </w:p>
    <w:p>
      <w:pPr>
        <w:pStyle w:val="FirstParagraph"/>
      </w:pPr>
      <w:r>
        <w:rPr>
          <w:b/>
          <w:bCs/>
        </w:rPr>
        <w:t xml:space="preserve">Objectif.</w:t>
      </w:r>
      <w:r>
        <w:t xml:space="preserve"> </w:t>
      </w:r>
      <w:r>
        <w:t xml:space="preserve">Documenter ce qui touche les quatre chants de l’échantillon pendant un essai.</w:t>
      </w:r>
    </w:p>
    <w:p>
      <w:pPr>
        <w:pStyle w:val="BodyText"/>
      </w:pPr>
      <w:r>
        <w:rPr>
          <w:b/>
          <w:bCs/>
        </w:rPr>
        <w:t xml:space="preserve">Méthode.</w:t>
      </w:r>
      <w:r>
        <w:t xml:space="preserve"> </w:t>
      </w:r>
      <w:r>
        <w:t xml:space="preserve">Photographier et décrire l’appui, la bride ou l’absence de contact sur chaque</w:t>
      </w:r>
      <w:r>
        <w:t xml:space="preserve"> </w:t>
      </w:r>
      <w:r>
        <w:t xml:space="preserve">chant.</w:t>
      </w:r>
    </w:p>
    <w:p>
      <w:pPr>
        <w:pStyle w:val="BodyText"/>
      </w:pPr>
      <w:r>
        <w:rPr>
          <w:b/>
          <w:bCs/>
        </w:rPr>
        <w:t xml:space="preserve">Paramètre du modèle résolu.</w:t>
      </w:r>
      <w:r>
        <w:t xml:space="preserve"> </w:t>
      </w:r>
      <w:r>
        <w:t xml:space="preserve">La justification du paramètre</w:t>
      </w:r>
      <w:r>
        <w:t xml:space="preserve"> </w:t>
      </w:r>
      <w:r>
        <w:rPr>
          <w:rStyle w:val="VerbatimChar"/>
        </w:rPr>
        <w:t xml:space="preserve">h_bord_x0</w:t>
      </w:r>
      <w:r>
        <w:t xml:space="preserve"> </w:t>
      </w:r>
      <w:r>
        <w:t xml:space="preserve">(puits de chaleur au</w:t>
      </w:r>
      <w:r>
        <w:t xml:space="preserve"> </w:t>
      </w:r>
      <w:r>
        <w:t xml:space="preserve">chant x = 0), aujourd’hui fragilisée. Le levier k_plan pourrait le rendre inutile.</w:t>
      </w:r>
    </w:p>
    <w:p>
      <w:pPr>
        <w:pStyle w:val="BodyText"/>
      </w:pPr>
      <w:r>
        <w:rPr>
          <w:b/>
          <w:bCs/>
        </w:rPr>
        <w:t xml:space="preserve">Gain attendu.</w:t>
      </w:r>
      <w:r>
        <w:t xml:space="preserve"> </w:t>
      </w:r>
      <w:r>
        <w:t xml:space="preserve">Tranche si</w:t>
      </w:r>
      <w:r>
        <w:t xml:space="preserve"> </w:t>
      </w:r>
      <w:r>
        <w:rPr>
          <w:rStyle w:val="VerbatimChar"/>
        </w:rPr>
        <w:t xml:space="preserve">h_bord_x0 = 250</w:t>
      </w:r>
      <w:r>
        <w:t xml:space="preserve"> </w:t>
      </w:r>
      <w:r>
        <w:t xml:space="preserve">correspond à une condition physique réelle ou</w:t>
      </w:r>
      <w:r>
        <w:t xml:space="preserve"> </w:t>
      </w:r>
      <w:r>
        <w:t xml:space="preserve">compense en réalité le déficit de conduction latérale.</w:t>
      </w:r>
    </w:p>
    <w:p>
      <w:pPr>
        <w:pStyle w:val="BodyText"/>
      </w:pPr>
      <w:r>
        <w:rPr>
          <w:b/>
          <w:bCs/>
        </w:rPr>
        <w:t xml:space="preserve">Temps estimé.</w:t>
      </w:r>
      <w:r>
        <w:t xml:space="preserve"> </w:t>
      </w:r>
      <w:r>
        <w:t xml:space="preserve">Une photo par essai.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8" w:name="X050f80098886d27d0233576c23f921ac46bb86f"/>
    <w:p>
      <w:pPr>
        <w:pStyle w:val="Heading2"/>
      </w:pPr>
      <w:r>
        <w:t xml:space="preserve">Niveau 2. Expériences rapides (un essai chacune, même banc)</w:t>
      </w:r>
    </w:p>
    <w:bookmarkStart w:id="15" w:name="X9e1e9b7b5672a95c53309b490c17b7acc8b331f"/>
    <w:p>
      <w:pPr>
        <w:pStyle w:val="Heading3"/>
      </w:pPr>
      <w:r>
        <w:t xml:space="preserve">Expérience 5. Cartographie latérale de la diffusivité dans le plan</w:t>
      </w:r>
    </w:p>
    <w:p>
      <w:pPr>
        <w:pStyle w:val="FirstParagraph"/>
      </w:pPr>
      <w:r>
        <w:rPr>
          <w:b/>
          <w:bCs/>
        </w:rPr>
        <w:t xml:space="preserve">Objectif.</w:t>
      </w:r>
      <w:r>
        <w:t xml:space="preserve"> </w:t>
      </w:r>
      <w:r>
        <w:t xml:space="preserve">Mesurer la diffusivité thermique effective dans le plan du laminé. C’est le</w:t>
      </w:r>
      <w:r>
        <w:t xml:space="preserve"> </w:t>
      </w:r>
      <w:r>
        <w:t xml:space="preserve">levier principal identifié le 23 juillet.</w:t>
      </w:r>
    </w:p>
    <w:p>
      <w:pPr>
        <w:pStyle w:val="BodyText"/>
      </w:pPr>
      <w:r>
        <w:rPr>
          <w:b/>
          <w:bCs/>
        </w:rPr>
        <w:t xml:space="preserve">Méthode.</w:t>
      </w:r>
      <w:r>
        <w:t xml:space="preserve"> </w:t>
      </w:r>
      <w:r>
        <w:t xml:space="preserve">Chauffer un seul spot. Placer 3 ou 4 thermocouples en ligne à distances</w:t>
      </w:r>
      <w:r>
        <w:t xml:space="preserve"> </w:t>
      </w:r>
      <w:r>
        <w:t xml:space="preserve">croissantes du centre du spot, à profondeur constante. Mesurer la décroissance latérale de</w:t>
      </w:r>
      <w:r>
        <w:t xml:space="preserve"> </w:t>
      </w:r>
      <w:r>
        <w:t xml:space="preserve">température. La longueur de décroissance donne la diffusivité effective dans le plan.</w:t>
      </w:r>
    </w:p>
    <w:p>
      <w:pPr>
        <w:pStyle w:val="BodyText"/>
      </w:pPr>
      <w:r>
        <w:rPr>
          <w:b/>
          <w:bCs/>
        </w:rPr>
        <w:t xml:space="preserve">Paramètre du modèle résolu.</w:t>
      </w:r>
      <w:r>
        <w:t xml:space="preserve"> </w:t>
      </w:r>
      <w:r>
        <w:t xml:space="preserve">La conductivité</w:t>
      </w:r>
      <w:r>
        <w:t xml:space="preserve"> </w:t>
      </w:r>
      <w:r>
        <w:rPr>
          <w:rStyle w:val="VerbatimChar"/>
        </w:rPr>
        <w:t xml:space="preserve">k_plan</w:t>
      </w:r>
      <w:r>
        <w:t xml:space="preserve">, aujourd’hui à 3 W/m·K et marquée</w:t>
      </w:r>
      <w:r>
        <w:t xml:space="preserve"> </w:t>
      </w:r>
      <w:r>
        <w:t xml:space="preserve">« incertain ». La donnée du modèle en réclame 6 à 9.</w:t>
      </w:r>
    </w:p>
    <w:p>
      <w:pPr>
        <w:pStyle w:val="BodyText"/>
      </w:pPr>
      <w:r>
        <w:rPr>
          <w:b/>
          <w:bCs/>
        </w:rPr>
        <w:t xml:space="preserve">Gain attendu.</w:t>
      </w:r>
      <w:r>
        <w:t xml:space="preserve"> </w:t>
      </w:r>
      <w:r>
        <w:t xml:space="preserve">Si la mesure confirme une diffusivité d’environ 3 fois l’homogénéisée, elle</w:t>
      </w:r>
      <w:r>
        <w:t xml:space="preserve"> </w:t>
      </w:r>
      <w:r>
        <w:t xml:space="preserve">justifie k_plan ≈ 9 par la mesure au lieu de l’assumer. Ce seul changement divise par deux le</w:t>
      </w:r>
      <w:r>
        <w:t xml:space="preserve"> </w:t>
      </w:r>
      <w:r>
        <w:t xml:space="preserve">dépassement de pic sur A-1 et baisse le RMSE sur les trois essais.</w:t>
      </w:r>
    </w:p>
    <w:p>
      <w:pPr>
        <w:pStyle w:val="BodyText"/>
      </w:pPr>
      <w:r>
        <w:rPr>
          <w:b/>
          <w:bCs/>
        </w:rPr>
        <w:t xml:space="preserve">Temps estimé.</w:t>
      </w:r>
      <w:r>
        <w:t xml:space="preserve"> </w:t>
      </w:r>
      <w:r>
        <w:t xml:space="preserve">Un essai de chauffe instrumenté en ligne.</w:t>
      </w:r>
    </w:p>
    <w:bookmarkEnd w:id="15"/>
    <w:bookmarkStart w:id="16" w:name="X8a480f2fc83fc7c88ca06dd25fccfb99e02757e"/>
    <w:p>
      <w:pPr>
        <w:pStyle w:val="Heading3"/>
      </w:pPr>
      <w:r>
        <w:t xml:space="preserve">Expérience 6. Cartographie bord vers centre (le profil en « M »)</w:t>
      </w:r>
    </w:p>
    <w:p>
      <w:pPr>
        <w:pStyle w:val="FirstParagraph"/>
      </w:pPr>
      <w:r>
        <w:rPr>
          <w:b/>
          <w:bCs/>
        </w:rPr>
        <w:t xml:space="preserve">Objectif.</w:t>
      </w:r>
      <w:r>
        <w:t xml:space="preserve"> </w:t>
      </w:r>
      <w:r>
        <w:t xml:space="preserve">Tester la prédiction du modèle sur la répartition de température dans la largeur.</w:t>
      </w:r>
    </w:p>
    <w:p>
      <w:pPr>
        <w:pStyle w:val="BodyText"/>
      </w:pPr>
      <w:r>
        <w:rPr>
          <w:b/>
          <w:bCs/>
        </w:rPr>
        <w:t xml:space="preserve">Méthode.</w:t>
      </w:r>
      <w:r>
        <w:t xml:space="preserve"> </w:t>
      </w:r>
      <w:r>
        <w:t xml:space="preserve">Une ligne de 3 à 5 thermocouples sur la largeur de 40 mm, à l’interface, mêmes</w:t>
      </w:r>
      <w:r>
        <w:t xml:space="preserve"> </w:t>
      </w:r>
      <w:r>
        <w:t xml:space="preserve">paramètres qu’un essai B-2. Cette expérience se combine avec l’expérience 5, même type de</w:t>
      </w:r>
      <w:r>
        <w:t xml:space="preserve"> </w:t>
      </w:r>
      <w:r>
        <w:t xml:space="preserve">montage.</w:t>
      </w:r>
    </w:p>
    <w:p>
      <w:pPr>
        <w:pStyle w:val="BodyText"/>
      </w:pPr>
      <w:r>
        <w:rPr>
          <w:b/>
          <w:bCs/>
        </w:rPr>
        <w:t xml:space="preserve">Paramètre du modèle résolu.</w:t>
      </w:r>
      <w:r>
        <w:t xml:space="preserve"> </w:t>
      </w:r>
      <w:r>
        <w:t xml:space="preserve">Le profil en « M » prédit (bord chaud, centre froid), dont</w:t>
      </w:r>
      <w:r>
        <w:t xml:space="preserve"> </w:t>
      </w:r>
      <w:r>
        <w:t xml:space="preserve">l’amplitude reste incertaine.</w:t>
      </w:r>
    </w:p>
    <w:p>
      <w:pPr>
        <w:pStyle w:val="BodyText"/>
      </w:pPr>
      <w:r>
        <w:rPr>
          <w:b/>
          <w:bCs/>
        </w:rPr>
        <w:t xml:space="preserve">Gain attendu.</w:t>
      </w:r>
      <w:r>
        <w:t xml:space="preserve"> </w:t>
      </w:r>
      <w:r>
        <w:t xml:space="preserve">Confirme ou falsifie le contraste spatial du modèle, l’écart le plus</w:t>
      </w:r>
      <w:r>
        <w:t xml:space="preserve"> </w:t>
      </w:r>
      <w:r>
        <w:t xml:space="preserve">structurant. Le modèle prédit des lobes chauds sur les chants et un creux au centre.</w:t>
      </w:r>
    </w:p>
    <w:p>
      <w:pPr>
        <w:pStyle w:val="BodyText"/>
      </w:pPr>
      <w:r>
        <w:rPr>
          <w:b/>
          <w:bCs/>
        </w:rPr>
        <w:t xml:space="preserve">Temps estimé.</w:t>
      </w:r>
      <w:r>
        <w:t xml:space="preserve"> </w:t>
      </w:r>
      <w:r>
        <w:t xml:space="preserve">Un essai.</w:t>
      </w:r>
    </w:p>
    <w:bookmarkEnd w:id="16"/>
    <w:bookmarkStart w:id="17" w:name="X7f7b77575424f98503ea6692efb67e705c2f5ff"/>
    <w:p>
      <w:pPr>
        <w:pStyle w:val="Heading3"/>
      </w:pPr>
      <w:r>
        <w:t xml:space="preserve">Expérience 7. Température de la face active du concentrateur</w:t>
      </w:r>
    </w:p>
    <w:p>
      <w:pPr>
        <w:pStyle w:val="FirstParagraph"/>
      </w:pPr>
      <w:r>
        <w:rPr>
          <w:b/>
          <w:bCs/>
        </w:rPr>
        <w:t xml:space="preserve">Objectif.</w:t>
      </w:r>
      <w:r>
        <w:t xml:space="preserve"> </w:t>
      </w:r>
      <w:r>
        <w:t xml:space="preserve">Mesurer la température du concentrateur pendant une chauffe.</w:t>
      </w:r>
    </w:p>
    <w:p>
      <w:pPr>
        <w:pStyle w:val="BodyText"/>
      </w:pPr>
      <w:r>
        <w:rPr>
          <w:b/>
          <w:bCs/>
        </w:rPr>
        <w:t xml:space="preserve">Méthode.</w:t>
      </w:r>
      <w:r>
        <w:t xml:space="preserve"> </w:t>
      </w:r>
      <w:r>
        <w:t xml:space="preserve">La caméra FLIR A700 pointée sur la face active du CFC, ou un thermocouple posé</w:t>
      </w:r>
      <w:r>
        <w:t xml:space="preserve"> </w:t>
      </w:r>
      <w:r>
        <w:t xml:space="preserve">dessus.</w:t>
      </w:r>
    </w:p>
    <w:p>
      <w:pPr>
        <w:pStyle w:val="BodyText"/>
      </w:pPr>
      <w:r>
        <w:rPr>
          <w:b/>
          <w:bCs/>
        </w:rPr>
        <w:t xml:space="preserve">Paramètre du modèle résolu.</w:t>
      </w:r>
      <w:r>
        <w:t xml:space="preserve"> </w:t>
      </w:r>
      <w:r>
        <w:t xml:space="preserve">Le déficit de chauffe en surface (TC1). Aucun essai actuel ne</w:t>
      </w:r>
      <w:r>
        <w:t xml:space="preserve"> </w:t>
      </w:r>
      <w:r>
        <w:t xml:space="preserve">mesure la température du concentrateur lui-même.</w:t>
      </w:r>
    </w:p>
    <w:p>
      <w:pPr>
        <w:pStyle w:val="BodyText"/>
      </w:pPr>
      <w:r>
        <w:rPr>
          <w:b/>
          <w:bCs/>
        </w:rPr>
        <w:t xml:space="preserve">Gain attendu.</w:t>
      </w:r>
      <w:r>
        <w:t xml:space="preserve"> </w:t>
      </w:r>
      <w:r>
        <w:t xml:space="preserve">Seule mesure capable de discriminer les causes du déficit de surface. La</w:t>
      </w:r>
      <w:r>
        <w:t xml:space="preserve"> </w:t>
      </w:r>
      <w:r>
        <w:t xml:space="preserve">caméra est déjà disponible au laboratoire.</w:t>
      </w:r>
    </w:p>
    <w:p>
      <w:pPr>
        <w:pStyle w:val="BodyText"/>
      </w:pPr>
      <w:r>
        <w:rPr>
          <w:b/>
          <w:bCs/>
        </w:rPr>
        <w:t xml:space="preserve">Temps estimé.</w:t>
      </w:r>
      <w:r>
        <w:t xml:space="preserve"> </w:t>
      </w:r>
      <w:r>
        <w:t xml:space="preserve">Un essai avec la caméra.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1" w:name="Xbd611265407e50f203bfabccbfdafc710a5ac1e"/>
    <w:p>
      <w:pPr>
        <w:pStyle w:val="Heading2"/>
      </w:pPr>
      <w:r>
        <w:t xml:space="preserve">Niveau 3. Mesures de propriété (appareil de laboratoire)</w:t>
      </w:r>
    </w:p>
    <w:bookmarkStart w:id="19" w:name="X7d80229443d70211d5ff8ca2c21fb5248928408"/>
    <w:p>
      <w:pPr>
        <w:pStyle w:val="Heading3"/>
      </w:pPr>
      <w:r>
        <w:t xml:space="preserve">Mesure 8. Conductivité thermique dans le plan du laminé</w:t>
      </w:r>
    </w:p>
    <w:p>
      <w:pPr>
        <w:pStyle w:val="FirstParagraph"/>
      </w:pPr>
      <w:r>
        <w:rPr>
          <w:b/>
          <w:bCs/>
        </w:rPr>
        <w:t xml:space="preserve">Objectif.</w:t>
      </w:r>
      <w:r>
        <w:t xml:space="preserve"> </w:t>
      </w:r>
      <w:r>
        <w:t xml:space="preserve">Mesurer directement la conductivité thermique dans le plan du CF/PEKK.</w:t>
      </w:r>
    </w:p>
    <w:p>
      <w:pPr>
        <w:pStyle w:val="BodyText"/>
      </w:pPr>
      <w:r>
        <w:rPr>
          <w:b/>
          <w:bCs/>
        </w:rPr>
        <w:t xml:space="preserve">Méthode.</w:t>
      </w:r>
      <w:r>
        <w:t xml:space="preserve"> </w:t>
      </w:r>
      <w:r>
        <w:t xml:space="preserve">Flash laser ou disque chaud (hot-disk) sur un échantillon de laminé.</w:t>
      </w:r>
    </w:p>
    <w:p>
      <w:pPr>
        <w:pStyle w:val="BodyText"/>
      </w:pPr>
      <w:r>
        <w:rPr>
          <w:b/>
          <w:bCs/>
        </w:rPr>
        <w:t xml:space="preserve">Paramètre du modèle résolu.</w:t>
      </w:r>
      <w:r>
        <w:t xml:space="preserve"> </w:t>
      </w:r>
      <w:r>
        <w:t xml:space="preserve">La conductivité</w:t>
      </w:r>
      <w:r>
        <w:t xml:space="preserve"> </w:t>
      </w:r>
      <w:r>
        <w:rPr>
          <w:rStyle w:val="VerbatimChar"/>
        </w:rPr>
        <w:t xml:space="preserve">k_plan</w:t>
      </w:r>
      <w:r>
        <w:t xml:space="preserve">, la même que l’expérience 5 attaque</w:t>
      </w:r>
      <w:r>
        <w:t xml:space="preserve"> </w:t>
      </w:r>
      <w:r>
        <w:t xml:space="preserve">sur le banc.</w:t>
      </w:r>
    </w:p>
    <w:p>
      <w:pPr>
        <w:pStyle w:val="BodyText"/>
      </w:pPr>
      <w:r>
        <w:rPr>
          <w:b/>
          <w:bCs/>
        </w:rPr>
        <w:t xml:space="preserve">Gain attendu.</w:t>
      </w:r>
      <w:r>
        <w:t xml:space="preserve"> </w:t>
      </w:r>
      <w:r>
        <w:t xml:space="preserve">Transforme un k_plan « effectif assumé » en propriété sourcée. Confirme ou</w:t>
      </w:r>
      <w:r>
        <w:t xml:space="preserve"> </w:t>
      </w:r>
      <w:r>
        <w:t xml:space="preserve">infirme l’écart d’un facteur 3 trouvé le 23 juillet.</w:t>
      </w:r>
    </w:p>
    <w:p>
      <w:pPr>
        <w:pStyle w:val="BodyText"/>
      </w:pPr>
      <w:r>
        <w:rPr>
          <w:b/>
          <w:bCs/>
        </w:rPr>
        <w:t xml:space="preserve">Temps estimé.</w:t>
      </w:r>
      <w:r>
        <w:t xml:space="preserve"> </w:t>
      </w:r>
      <w:r>
        <w:t xml:space="preserve">Préparation d’échantillon plus appareil dédié. L’expérience 5 en est le</w:t>
      </w:r>
      <w:r>
        <w:t xml:space="preserve"> </w:t>
      </w:r>
      <w:r>
        <w:t xml:space="preserve">substitut rapide sur le banc du laboratoire.</w:t>
      </w:r>
    </w:p>
    <w:bookmarkEnd w:id="19"/>
    <w:bookmarkStart w:id="20" w:name="Xedfcbb28c0c1b47f36b0a0ccca946adf93134ff"/>
    <w:p>
      <w:pPr>
        <w:pStyle w:val="Heading3"/>
      </w:pPr>
      <w:r>
        <w:t xml:space="preserve">Mesure 9. Conductivité électrique en fonction de la température σ(T)</w:t>
      </w:r>
    </w:p>
    <w:p>
      <w:pPr>
        <w:pStyle w:val="FirstParagraph"/>
      </w:pPr>
      <w:r>
        <w:rPr>
          <w:b/>
          <w:bCs/>
        </w:rPr>
        <w:t xml:space="preserve">Objectif.</w:t>
      </w:r>
      <w:r>
        <w:t xml:space="preserve"> </w:t>
      </w:r>
      <w:r>
        <w:t xml:space="preserve">Mesurer la dépendance en température de la conductivité électrique du laminé et</w:t>
      </w:r>
      <w:r>
        <w:t xml:space="preserve"> </w:t>
      </w:r>
      <w:r>
        <w:t xml:space="preserve">du twill.</w:t>
      </w:r>
    </w:p>
    <w:p>
      <w:pPr>
        <w:pStyle w:val="BodyText"/>
      </w:pPr>
      <w:r>
        <w:rPr>
          <w:b/>
          <w:bCs/>
        </w:rPr>
        <w:t xml:space="preserve">Méthode.</w:t>
      </w:r>
      <w:r>
        <w:t xml:space="preserve"> </w:t>
      </w:r>
      <w:r>
        <w:t xml:space="preserve">Mesure quatre pointes en montée en température.</w:t>
      </w:r>
    </w:p>
    <w:p>
      <w:pPr>
        <w:pStyle w:val="BodyText"/>
      </w:pPr>
      <w:r>
        <w:rPr>
          <w:b/>
          <w:bCs/>
        </w:rPr>
        <w:t xml:space="preserve">Paramètre du modèle résolu.</w:t>
      </w:r>
      <w:r>
        <w:t xml:space="preserve"> </w:t>
      </w:r>
      <w:r>
        <w:t xml:space="preserve">La dépendance σ(T), aujourd’hui absente (σ pris constant).</w:t>
      </w:r>
    </w:p>
    <w:p>
      <w:pPr>
        <w:pStyle w:val="BodyText"/>
      </w:pPr>
      <w:r>
        <w:rPr>
          <w:b/>
          <w:bCs/>
        </w:rPr>
        <w:t xml:space="preserve">Gain attendu.</w:t>
      </w:r>
      <w:r>
        <w:t xml:space="preserve"> </w:t>
      </w:r>
      <w:r>
        <w:t xml:space="preserve">Explique qu’un facteur d’échelle unique ne colle pas simultanément à la</w:t>
      </w:r>
      <w:r>
        <w:t xml:space="preserve"> </w:t>
      </w:r>
      <w:r>
        <w:t xml:space="preserve">montée, au pic et à la descente. O’Shaughnessey (2014) et Duhovic et al. (2012) recommandent</w:t>
      </w:r>
      <w:r>
        <w:t xml:space="preserve"> </w:t>
      </w:r>
      <w:r>
        <w:t xml:space="preserve">cette prise en compte.</w:t>
      </w:r>
    </w:p>
    <w:p>
      <w:pPr>
        <w:pStyle w:val="BodyText"/>
      </w:pPr>
      <w:r>
        <w:rPr>
          <w:b/>
          <w:bCs/>
        </w:rPr>
        <w:t xml:space="preserve">Temps estimé.</w:t>
      </w:r>
      <w:r>
        <w:t xml:space="preserve"> </w:t>
      </w:r>
      <w:r>
        <w:t xml:space="preserve">Mesure plus difficile, à réserver si les niveaux 1 et 2 ne suffisent pas.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2" w:name="recommandation"/>
    <w:p>
      <w:pPr>
        <w:pStyle w:val="Heading2"/>
      </w:pPr>
      <w:r>
        <w:t xml:space="preserve">Recommandation</w:t>
      </w:r>
    </w:p>
    <w:p>
      <w:pPr>
        <w:pStyle w:val="FirstParagraph"/>
      </w:pPr>
      <w:r>
        <w:t xml:space="preserve">Si le temps de laboratoire est limité, trois actions attaquent directement le levier k_plan</w:t>
      </w:r>
      <w:r>
        <w:t xml:space="preserve"> </w:t>
      </w:r>
      <w:r>
        <w:t xml:space="preserve">identifié le 23 juillet et la question spatiale ouverte :</w:t>
      </w:r>
    </w:p>
    <w:p>
      <w:pPr>
        <w:pStyle w:val="Compact"/>
        <w:numPr>
          <w:ilvl w:val="0"/>
          <w:numId w:val="1001"/>
        </w:numPr>
      </w:pPr>
      <w:r>
        <w:t xml:space="preserve">Les relevés 1 et 2, triviaux, qui lèvent deux paramètres figés.</w:t>
      </w:r>
    </w:p>
    <w:p>
      <w:pPr>
        <w:pStyle w:val="Compact"/>
        <w:numPr>
          <w:ilvl w:val="0"/>
          <w:numId w:val="1001"/>
        </w:numPr>
      </w:pPr>
      <w:r>
        <w:t xml:space="preserve">L’expérience 5 combinée à l’expérience 6, une seule session de thermocouples en ligne qui</w:t>
      </w:r>
      <w:r>
        <w:t xml:space="preserve"> </w:t>
      </w:r>
      <w:r>
        <w:t xml:space="preserve">teste à la fois la diffusivité latérale et le profil en « M ».</w:t>
      </w:r>
    </w:p>
    <w:p>
      <w:pPr>
        <w:pStyle w:val="FirstParagraph"/>
      </w:pPr>
      <w:r>
        <w:t xml:space="preserve">Ces trois actions représentent un temps de banc minimal pour le gain le plus élevé.</w:t>
      </w:r>
    </w:p>
    <w:p>
      <w:r>
        <w:pict>
          <v:rect style="width:0;height:1.5pt" o:hralign="center" o:hrstd="t" o:hr="t"/>
        </w:pict>
      </w:r>
    </w:p>
    <w:bookmarkEnd w:id="22"/>
    <w:bookmarkStart w:id="23" w:name="tableau-de-synthèse"/>
    <w:p>
      <w:pPr>
        <w:pStyle w:val="Heading2"/>
      </w:pPr>
      <w:r>
        <w:t xml:space="preserve">Tableau de synthèse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Mesure</w:t>
            </w:r>
          </w:p>
        </w:tc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Paramètre résolu</w:t>
            </w:r>
          </w:p>
        </w:tc>
        <w:tc>
          <w:tcPr/>
          <w:p>
            <w:pPr>
              <w:pStyle w:val="Compact"/>
            </w:pPr>
            <w:r>
              <w:t xml:space="preserve">Temps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Métrologie positions bobine/CFC/TC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decalage_x</w:t>
            </w:r>
            <w:r>
              <w:t xml:space="preserve"> </w:t>
            </w:r>
            <w:r>
              <w:t xml:space="preserve">+ géométrie bobine</w:t>
            </w:r>
          </w:p>
        </w:tc>
        <w:tc>
          <w:tcPr/>
          <w:p>
            <w:pPr>
              <w:pStyle w:val="Compact"/>
            </w:pPr>
            <w:r>
              <w:t xml:space="preserve">15 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Fréquence générateur à 200 A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fréquence EM de A-3</w:t>
            </w:r>
          </w:p>
        </w:tc>
        <w:tc>
          <w:tcPr/>
          <w:p>
            <w:pPr>
              <w:pStyle w:val="Compact"/>
            </w:pPr>
            <w:r>
              <w:t xml:space="preserve">1 lecture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Épaisseur du pli twill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épaisseur/conductivité twill</w:t>
            </w:r>
          </w:p>
        </w:tc>
        <w:tc>
          <w:tcPr/>
          <w:p>
            <w:pPr>
              <w:pStyle w:val="Compact"/>
            </w:pPr>
            <w:r>
              <w:t xml:space="preserve">10 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Condition aux bords de l’échantillon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justification</w:t>
            </w:r>
            <w:r>
              <w:t xml:space="preserve"> </w:t>
            </w:r>
            <w:r>
              <w:rPr>
                <w:rStyle w:val="VerbatimChar"/>
              </w:rPr>
              <w:t xml:space="preserve">h_bord_x0</w:t>
            </w:r>
          </w:p>
        </w:tc>
        <w:tc>
          <w:tcPr/>
          <w:p>
            <w:pPr>
              <w:pStyle w:val="Compact"/>
            </w:pPr>
            <w:r>
              <w:t xml:space="preserve">1 photo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Cartographie latérale (diffusivité)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k_plan</w:t>
            </w:r>
            <w:r>
              <w:t xml:space="preserve"> </w:t>
            </w:r>
            <w:r>
              <w:t xml:space="preserve">(levier principal)</w:t>
            </w:r>
          </w:p>
        </w:tc>
        <w:tc>
          <w:tcPr/>
          <w:p>
            <w:pPr>
              <w:pStyle w:val="Compact"/>
            </w:pPr>
            <w:r>
              <w:t xml:space="preserve">1 essai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Cartographie bord vers centre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profil en « M »</w:t>
            </w:r>
          </w:p>
        </w:tc>
        <w:tc>
          <w:tcPr/>
          <w:p>
            <w:pPr>
              <w:pStyle w:val="Compact"/>
            </w:pPr>
            <w:r>
              <w:t xml:space="preserve">1 essai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Température face active du CFC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déficit de surface TC1</w:t>
            </w:r>
          </w:p>
        </w:tc>
        <w:tc>
          <w:tcPr/>
          <w:p>
            <w:pPr>
              <w:pStyle w:val="Compact"/>
            </w:pPr>
            <w:r>
              <w:t xml:space="preserve">1 essai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Conductivité thermique in-plane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k_plan</w:t>
            </w:r>
            <w:r>
              <w:t xml:space="preserve"> </w:t>
            </w:r>
            <w:r>
              <w:t xml:space="preserve">(mesure directe)</w:t>
            </w:r>
          </w:p>
        </w:tc>
        <w:tc>
          <w:tcPr/>
          <w:p>
            <w:pPr>
              <w:pStyle w:val="Compact"/>
            </w:pPr>
            <w:r>
              <w:t xml:space="preserve">labo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Conductivité électrique σ(T)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dépendance σ(T)</w:t>
            </w:r>
          </w:p>
        </w:tc>
        <w:tc>
          <w:tcPr/>
          <w:p>
            <w:pPr>
              <w:pStyle w:val="Compact"/>
            </w:pPr>
            <w:r>
              <w:t xml:space="preserve">labo</w:t>
            </w:r>
          </w:p>
        </w:tc>
      </w:tr>
    </w:tbl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fr-F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Relevés et expériences à réaliser pour améliorer la simulation</dc:title>
  <dc:creator>Maxence Dubois — maîtrise, LIPEC / École de technologie supérieure (ÉTS)</dc:creator>
  <dc:language>fr-FR</dc:language>
  <cp:keywords/>
  <dcterms:created xsi:type="dcterms:W3CDTF">2026-07-23T21:15:27Z</dcterms:created>
  <dcterms:modified xsi:type="dcterms:W3CDTF">2026-07-23T21:15:27Z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23 juillet 2026</vt:lpwstr>
  </property>
  <property fmtid="{D5CDD505-2E9C-101B-9397-08002B2CF9AE}" pid="3" name="subtitle">
    <vt:lpwstr>Jumeau numérique du soudage par induction CF/PEKK</vt:lpwstr>
  </property>
</Properties>
</file>