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360"/>
        <w:jc w:val="center"/>
      </w:pPr>
      <w:r>
        <w:rPr>
          <w:rFonts w:ascii="Calibri" w:hAnsi="Calibri" w:eastAsia="Noto Sans SC"/>
          <w:b/>
          <w:i w:val="0"/>
          <w:color w:val="2E74B5"/>
          <w:sz w:val="20"/>
        </w:rPr>
        <w:t>FIELD GUIDE · 2026</w:t>
      </w:r>
    </w:p>
    <w:p>
      <w:pPr>
        <w:pStyle w:val="Title"/>
        <w:jc w:val="center"/>
      </w:pPr>
      <w:r>
        <w:rPr>
          <w:rFonts w:ascii="Calibri" w:hAnsi="Calibri" w:eastAsia="Noto Sans SC"/>
          <w:b/>
          <w:i w:val="0"/>
          <w:color w:val="1F4E79"/>
          <w:sz w:val="56"/>
        </w:rPr>
        <w:t>GEO Agent 实施手册</w:t>
      </w:r>
    </w:p>
    <w:p>
      <w:pPr>
        <w:pStyle w:val="Subtitle"/>
        <w:jc w:val="center"/>
      </w:pPr>
      <w:r>
        <w:rPr>
          <w:rFonts w:ascii="Calibri" w:hAnsi="Calibri" w:eastAsia="Noto Sans SC"/>
          <w:b w:val="0"/>
          <w:i w:val="0"/>
          <w:color w:val="667085"/>
          <w:sz w:val="26"/>
        </w:rPr>
        <w:t>全流程 · 数据契约 · 产物 · 审批 · 监测 · 多 Agent 编排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667085"/>
          <w:sz w:val="20"/>
        </w:rPr>
        <w:t>适用于 OpenClaw、Hermes、Codex、Claude、HTTP/CLI Agent、Paperclip 或自建编排系统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21"/>
              </w:rPr>
              <w:t>核心结论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Noto Sans SC"/>
                <w:b w:val="0"/>
                <w:i w:val="0"/>
                <w:color w:val="202124"/>
                <w:sz w:val="20"/>
              </w:rPr>
              <w:t>GEO不是一次性的内容改写，也不是一个固定软件的功能清单。它是一套可重复执行的运营系统：企业事实建档 → 问题发现 → 证据治理 → 内容与技术优化 → 审批发布 → 多平台测量 → 实验复盘。任何Agent工具只要能够读取版本化输入、执行受控任务、输出可验证产物并等待人工审批，都可以实现本手册。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7020"/>
      </w:tblGrid>
      <w:tr>
        <w:trPr>
          <w:tblHeader w:val="true"/>
          <w:cantSplit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版本</w:t>
            </w:r>
          </w:p>
        </w:tc>
        <w:tc>
          <w:tcPr>
            <w:tcW w:type="dxa" w:w="7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适用范围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v1.0 · 2026-07-14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平台无关实施基线；首次纳入 Paperclip / OpenClaw / Hermes 适配方法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主要读者</w:t>
            </w:r>
          </w:p>
        </w:tc>
        <w:tc>
          <w:tcPr>
            <w:tcW w:type="dxa" w:w="7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GEO负责人、Agent工程师、内容/品牌、SEO/网站、产品专家、合规与数据分析人员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实施原则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先证据、后内容；先可复现测量、后评分；技术健康与真实AI引用分开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如何使用本手册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本手册同时面向三种执行方式。第一种是单个通用Agent顺序执行全部阶段；第二种是多个专职Agent通过共享文件夹或对象存储交接；第三种是Paperclip一类控制平面用目标、工单、依赖、预算、周期任务和审批管理Agent团队。三种方式共享相同的数据契约和验收门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3822"/>
        <w:gridCol w:w="3588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使用方式</w:t>
            </w:r>
          </w:p>
        </w:tc>
        <w:tc>
          <w:tcPr>
            <w:tcW w:type="dxa" w:w="38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最小实现</w:t>
            </w:r>
          </w:p>
        </w:tc>
        <w:tc>
          <w:tcPr>
            <w:tcW w:type="dxa" w:w="35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何时采用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单Agent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一个Agent + Git/文件夹 + 定时器 + 人工审批</w:t>
            </w:r>
          </w:p>
        </w:tc>
        <w:tc>
          <w:tcPr>
            <w:tcW w:type="dxa" w:w="35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单品牌试点、流程尚在学习期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多Agent</w:t>
            </w:r>
          </w:p>
        </w:tc>
        <w:tc>
          <w:tcPr>
            <w:tcW w:type="dxa" w:w="382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角色分工 + Artifact目录 + 任务队列 + 状态机</w:t>
            </w:r>
          </w:p>
        </w:tc>
        <w:tc>
          <w:tcPr>
            <w:tcW w:type="dxa" w:w="358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多品牌、多语言、内容量增加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控制平面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Paperclip等：Agent适配器、Issues、Routines、Approvals、Budgets、Audit</w:t>
            </w:r>
          </w:p>
        </w:tc>
        <w:tc>
          <w:tcPr>
            <w:tcW w:type="dxa" w:w="35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持续运营、多人审批、需要成本和责任追踪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阅读路径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业务负责人：先读第1、4、8、9和15章，确认目标、审批、指标和上线节奏。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Agent工程师：重点读第2、6、7、11、12和14章，直接实现目录、契约、Skill与测试。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内容/品牌团队：重点读第5章各阶段、第8章审批和附录D的AI安防示例。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安全/合规：重点读第8、10章；所有外部发布和代码变更默认需要授权。</w:t>
      </w:r>
    </w:p>
    <w:p>
      <w:pPr>
        <w:pStyle w:val="Heading2"/>
        <w:keepNext/>
      </w:pPr>
      <w:r>
        <w:t>目录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 基本定义与不可违反的原则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2 Agent原生总体架构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3 Agent角色与责任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4 全生命周期总览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5 十二阶段标准作业流程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6 产物目录与血缘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7 数据契约与字段字典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8 状态、审批和错误语义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9 测量、评分与实验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10 安全、合规与内容可信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11 平台适配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12 Skill与任务包模板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13 周期任务与运营节奏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14 测试与验收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15 30/60/90天落地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附录A–E 模板、示例与参考</w:t>
      </w:r>
    </w:p>
    <w:p>
      <w:pPr>
        <w:pStyle w:val="Heading1"/>
        <w:keepNext/>
        <w:pageBreakBefore/>
      </w:pPr>
      <w:r>
        <w:t>1. 基本定义与不可违反的原则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94"/>
        <w:gridCol w:w="4992"/>
        <w:gridCol w:w="2574"/>
      </w:tblGrid>
      <w:tr>
        <w:trPr>
          <w:tblHeader w:val="true"/>
          <w:cantSplit/>
        </w:trPr>
        <w:tc>
          <w:tcPr>
            <w:tcW w:type="dxa" w:w="17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术语</w:t>
            </w:r>
          </w:p>
        </w:tc>
        <w:tc>
          <w:tcPr>
            <w:tcW w:type="dxa" w:w="4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本手册定义</w:t>
            </w:r>
          </w:p>
        </w:tc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不等于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SEO</w:t>
            </w:r>
          </w:p>
        </w:tc>
        <w:tc>
          <w:tcPr>
            <w:tcW w:type="dxa" w:w="4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使网页可抓取、可索引、可理解并获得传统搜索曝光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只堆关键词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AEO</w:t>
            </w:r>
          </w:p>
        </w:tc>
        <w:tc>
          <w:tcPr>
            <w:tcW w:type="dxa" w:w="49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使内容能够对问题提供清晰、直接、可验证的答案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增加FAQ Schema就完成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</w:t>
            </w:r>
          </w:p>
        </w:tc>
        <w:tc>
          <w:tcPr>
            <w:tcW w:type="dxa" w:w="4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提升品牌事实在生成式答案中被正确提及、引用和比较的机会，并持续测量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购买固定排名或训练第三方模型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AI Visibility</w:t>
            </w:r>
          </w:p>
        </w:tc>
        <w:tc>
          <w:tcPr>
            <w:tcW w:type="dxa" w:w="49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在版本化测试场景中观测到的提及、引用、准确性与份额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技术审计分或主观感受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Citation</w:t>
            </w:r>
          </w:p>
        </w:tc>
        <w:tc>
          <w:tcPr>
            <w:tcW w:type="dxa" w:w="4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答案明确给出的可解析来源链接或来源标识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模型凭记忆提到品牌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 Claim</w:t>
            </w:r>
          </w:p>
        </w:tc>
        <w:tc>
          <w:tcPr>
            <w:tcW w:type="dxa" w:w="49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可由来源支持、带适用范围与审批状态的最小事实单元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未经核验的营销表述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pPr>
              <w:spacing w:after="60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21"/>
              </w:rPr>
              <w:t>原则1：不存在通用“AI排名保证”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Noto Sans SC"/>
                <w:b w:val="0"/>
                <w:i w:val="0"/>
                <w:color w:val="202124"/>
                <w:sz w:val="20"/>
              </w:rPr>
              <w:t>第三方AI答案会随平台、模型、搜索表面、地区、语言、时间和随机性变化。所有报告必须披露测试条件、有效样本数和原始证据；不得承诺固定名次、引用或推荐。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官方规则优先：平台官方文档 &gt; 同行评审/可复现实验 &gt; 开源实现 &gt; 厂商案例 &gt; 社区文章/视频。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真实结果优先：技术可抓取性、内容准备度和真实AI可见度分开，不能合成一个含义模糊的总分。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证据优先：所有产品性能、客户效果、认证、兼容性和竞品差异必须绑定来源并通过审批。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产物优先：Agent完成任务的标志是生成通过Schema校验的持久产物，不是聊天中说“完成”。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最小权限：读网页、写草稿、改代码、发布内容、消费付费API分别授权；默认不允许外部写入。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可复现：输入、提示词、工具、模型、采样参数、时间、地区、输出和错误均版本化。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人在环中：品牌事实、竞品公开比较、法律/监管主张、网站代码和任何外部发布均设置审批门禁。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失败透明：NOT_APPLICABLE、NOT_CHECKED、ERROR和无引用不能被偷偷换算成0分或成功。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667085"/>
          <w:sz w:val="20"/>
        </w:rPr>
        <w:t>Google明确说明，AI Overviews与AI Mode仍使用既有SEO基础，不需要特殊AI文件或专用Schema；页面需要可索引、可显示摘要，重要内容应以文本呈现，结构化数据必须与可见内容一致。[S1] OpenAI也明确区分用于搜索的OAI-SearchBot和用于模型训练的GPTBot，两者应独立配置。[S2]</w:t>
      </w:r>
    </w:p>
    <w:p>
      <w:pPr>
        <w:pStyle w:val="Heading1"/>
        <w:keepNext/>
        <w:pageBreakBefore/>
      </w:pPr>
      <w:r>
        <w:t>2. Agent原生总体架构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实现重点不是选择某个Agent品牌，而是建立稳定的控制面、执行面、数据面和证据面。Agent可替换，契约不可随意漂移。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16"/>
        <w:gridCol w:w="4290"/>
        <w:gridCol w:w="3354"/>
      </w:tblGrid>
      <w:tr>
        <w:trPr>
          <w:tblHeader w:val="true"/>
          <w:cantSplit/>
        </w:trPr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层</w:t>
            </w:r>
          </w:p>
        </w:tc>
        <w:tc>
          <w:tcPr>
            <w:tcW w:type="dxa" w:w="42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职责</w:t>
            </w:r>
          </w:p>
        </w:tc>
        <w:tc>
          <w:tcPr>
            <w:tcW w:type="dxa" w:w="3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可替换实现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控制面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目标、任务、依赖、预算、审批、调度、审计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Paperclip、任务系统、自建队列/GitHub Issues</w:t>
            </w:r>
          </w:p>
        </w:tc>
      </w:tr>
      <w:tr>
        <w:trPr>
          <w:cantSplit/>
        </w:trPr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执行面</w:t>
            </w:r>
          </w:p>
        </w:tc>
        <w:tc>
          <w:tcPr>
            <w:tcW w:type="dxa" w:w="4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研究、抓取、分析、生成、校验、发布和监测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OpenClaw、Hermes、Codex、Claude、脚本、HTTP Agent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数据面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Artifact、版本、状态、来源、指标、实验和运行日志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Git + 对象存储 + DB；小规模可先用文件夹</w:t>
            </w:r>
          </w:p>
        </w:tc>
      </w:tr>
      <w:tr>
        <w:trPr>
          <w:cantSplit/>
        </w:trPr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证据面</w:t>
            </w:r>
          </w:p>
        </w:tc>
        <w:tc>
          <w:tcPr>
            <w:tcW w:type="dxa" w:w="4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原始网页、截图、响应、引用、日志、来源快照和哈希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WARC/HTML/PDF/JSONL/截图/日志存储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治理面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权限、秘密、租户隔离、政策、保留期、许可证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密钥库、RBAC、审批服务、策略文件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标准执行循环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读取任务包：目标、允许的工具、输入Artifact、预算、截止时间和审批要求。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校验前置条件：Schema版本、输入状态、来源可用性、是否已被其他Agent占用。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执行只读发现：抓取、研究、解析、去重和候选生成；外部内容一律视为不可信输入。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生成候选产物：保留原始证据、判断理由、未知项和错误，不覆盖上一个版本。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运行确定性验证：Schema、交叉引用、链接、重复、禁用词、事实来源和安全检查。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请求人工或专职Agent复核：需要审批时进入IN_REVIEW，绝不自行跳过。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写入最终产物与运行清单：记录输入哈希、工具/模型、成本、耗时、输出和差异。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触发下游任务或周期复测：成功才解除依赖；失败进入ERROR或BLOCKED并说明所有者。</w:t>
      </w:r>
    </w:p>
    <w:p>
      <w:pPr>
        <w:pStyle w:val="Heading2"/>
        <w:keepNext/>
      </w:pPr>
      <w:r>
        <w:t>2.2 最小任务包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task_id: GEO-042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task_type: geo.prompt_research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goal: 生成日本市场AI安防购买意图问题集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inputs: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- artifacts/company_profile/v3.json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- artifacts/competitors/v2.csv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allowed_actions: [web_read, file_write]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forbidden_actions: [publish, modify_site, send_message]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output_contract: schemas/prompt_set.v1.json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approval_policy: market_owner_review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budget: {max_cost_usd: 15, max_minutes: 60}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idempotency_key: prompt-research:jp:v3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3. Agent角色与责任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8"/>
        <w:gridCol w:w="4368"/>
        <w:gridCol w:w="2574"/>
      </w:tblGrid>
      <w:tr>
        <w:trPr>
          <w:tblHeader w:val="true"/>
          <w:cantSplit/>
        </w:trPr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角色</w:t>
            </w:r>
          </w:p>
        </w:tc>
        <w:tc>
          <w:tcPr>
            <w:tcW w:type="dxa" w:w="43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主要职责</w:t>
            </w:r>
          </w:p>
        </w:tc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关键边界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GEO Orchestrator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拆目标、分配任务、检查依赖和预算、合并状态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不得替代事实/发布审批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Intake / Brand Agent</w:t>
            </w:r>
          </w:p>
        </w:tc>
        <w:tc>
          <w:tcPr>
            <w:tcW w:type="dxa" w:w="43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官网抽取、企业档案、实体别名和待确认项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不猜测融资、客户或性能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Technical Audit Agent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robots、索引、渲染、Schema、站点地图、日志证据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不把技术分称为AI引用概率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Query Research Agent</w:t>
            </w:r>
          </w:p>
        </w:tc>
        <w:tc>
          <w:tcPr>
            <w:tcW w:type="dxa" w:w="43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SEO词、自然语言Prompt、角色/阶段/市场聚类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不凭空填搜索量或竞争度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Competitive Research Agent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竞品实体、产品、比较维度、第三方来源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不做攻击性或不可证实描述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Evidence Curator</w:t>
            </w:r>
          </w:p>
        </w:tc>
        <w:tc>
          <w:tcPr>
            <w:tcW w:type="dxa" w:w="43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来源登记、Claim拆分、适用范围、到期和许可证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未验证Claim不能标Approved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Content Strategist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页面架构、优先级、内链和内容Brief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不得创造不存在的关键词/Prompt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Content Writer</w:t>
            </w:r>
          </w:p>
        </w:tc>
        <w:tc>
          <w:tcPr>
            <w:tcW w:type="dxa" w:w="43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依据Brief和Approved Claims生成内容与结构化资产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不得新增无来源事实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Claim / QA Auditor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逐条验证链接、数字、归因、一致性和可访问性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与Writer保持职责分离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Publisher</w:t>
            </w:r>
          </w:p>
        </w:tc>
        <w:tc>
          <w:tcPr>
            <w:tcW w:type="dxa" w:w="43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生成Patch/PR、CMS草稿、发布记录和回滚点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未经批准不得上线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Measurement Agent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运行版本化场景、解析提及/引用、保存原始答案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API结果不能冒充消费界面结果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Experiment Analyst</w:t>
            </w:r>
          </w:p>
        </w:tc>
        <w:tc>
          <w:tcPr>
            <w:tcW w:type="dxa" w:w="43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基线/复测、对照、置信区间、结论和下一步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相关性不得表述为因果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Security / Compliance</w:t>
            </w:r>
          </w:p>
        </w:tc>
        <w:tc>
          <w:tcPr>
            <w:tcW w:type="dxa" w:w="4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权限、SSRF、提示注入、秘密、条款和保留期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对高风险动作有否决权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小团队合并建议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6"/>
        <w:gridCol w:w="7254"/>
      </w:tblGrid>
      <w:tr>
        <w:trPr>
          <w:tblHeader w:val="true"/>
          <w:cantSplit/>
        </w:trPr>
        <w:tc>
          <w:tcPr>
            <w:tcW w:type="dxa" w:w="2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规模</w:t>
            </w:r>
          </w:p>
        </w:tc>
        <w:tc>
          <w:tcPr>
            <w:tcW w:type="dxa" w:w="72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建议配置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1个Agent + 人</w:t>
            </w:r>
          </w:p>
        </w:tc>
        <w:tc>
          <w:tcPr>
            <w:tcW w:type="dxa" w:w="7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Agent执行Intake/Research/Technical/Plan/Draft/Measurement；人负责Claim、代码和发布审批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3个Agent</w:t>
            </w:r>
          </w:p>
        </w:tc>
        <w:tc>
          <w:tcPr>
            <w:tcW w:type="dxa" w:w="72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Research（品牌/问题/竞品）+ Production（内容/技术）+ QA/Measurement；Orchestrator由控制平面承担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6–8个Agent</w:t>
            </w:r>
          </w:p>
        </w:tc>
        <w:tc>
          <w:tcPr>
            <w:tcW w:type="dxa" w:w="7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按上表拆分；Writer与Auditor、Publisher与Approver必须分开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多品牌团队</w:t>
            </w:r>
          </w:p>
        </w:tc>
        <w:tc>
          <w:tcPr>
            <w:tcW w:type="dxa" w:w="72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每品牌独立Company/Workspace；共享Method Registry、Schema、Skill和匿名化基准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4. 全生命周期总览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8"/>
        <w:gridCol w:w="1950"/>
        <w:gridCol w:w="4212"/>
        <w:gridCol w:w="2340"/>
      </w:tblGrid>
      <w:tr>
        <w:trPr>
          <w:tblHeader w:val="true"/>
          <w:cantSplit/>
        </w:trPr>
        <w:tc>
          <w:tcPr>
            <w:tcW w:type="dxa" w:w="8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阶段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名称</w:t>
            </w:r>
          </w:p>
        </w:tc>
        <w:tc>
          <w:tcPr>
            <w:tcW w:type="dxa" w:w="42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处理内容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主要产物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治理与范围</w:t>
            </w:r>
          </w:p>
        </w:tc>
        <w:tc>
          <w:tcPr>
            <w:tcW w:type="dxa" w:w="4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目标、市场、权限、预算、审批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Workspace Manifest</w:t>
            </w:r>
          </w:p>
        </w:tc>
      </w:tr>
      <w:tr>
        <w:trPr>
          <w:cantSplit/>
        </w:trPr>
        <w:tc>
          <w:tcPr>
            <w:tcW w:type="dxa" w:w="8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1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企业建档</w:t>
            </w:r>
          </w:p>
        </w:tc>
        <w:tc>
          <w:tcPr>
            <w:tcW w:type="dxa" w:w="42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品牌、产品、买方、市场、竞品候选</w:t>
            </w:r>
          </w:p>
        </w:tc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Company Profile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技术与资产基线</w:t>
            </w:r>
          </w:p>
        </w:tc>
        <w:tc>
          <w:tcPr>
            <w:tcW w:type="dxa" w:w="4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官网抓取、索引、内容库存、日志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Technical Audit + Asset Inventory</w:t>
            </w:r>
          </w:p>
        </w:tc>
      </w:tr>
      <w:tr>
        <w:trPr>
          <w:cantSplit/>
        </w:trPr>
        <w:tc>
          <w:tcPr>
            <w:tcW w:type="dxa" w:w="8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3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问题与需求研究</w:t>
            </w:r>
          </w:p>
        </w:tc>
        <w:tc>
          <w:tcPr>
            <w:tcW w:type="dxa" w:w="42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关键词、Prompt、社区问题、购买阶段</w:t>
            </w:r>
          </w:p>
        </w:tc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Keyword Set + Prompt Set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竞品与来源版图</w:t>
            </w:r>
          </w:p>
        </w:tc>
        <w:tc>
          <w:tcPr>
            <w:tcW w:type="dxa" w:w="4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竞争实体、当前答案、权威来源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Competitor + Source Registry</w:t>
            </w:r>
          </w:p>
        </w:tc>
      </w:tr>
      <w:tr>
        <w:trPr>
          <w:cantSplit/>
        </w:trPr>
        <w:tc>
          <w:tcPr>
            <w:tcW w:type="dxa" w:w="8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5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证据与Claim治理</w:t>
            </w:r>
          </w:p>
        </w:tc>
        <w:tc>
          <w:tcPr>
            <w:tcW w:type="dxa" w:w="42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资料、事实、来源、有效期、审批</w:t>
            </w:r>
          </w:p>
        </w:tc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Evidence Vault + Claim Ledger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6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机会与内容规划</w:t>
            </w:r>
          </w:p>
        </w:tc>
        <w:tc>
          <w:tcPr>
            <w:tcW w:type="dxa" w:w="4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问题×证据×页面差距×价值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Opportunity Backlog + Content Plan</w:t>
            </w:r>
          </w:p>
        </w:tc>
      </w:tr>
      <w:tr>
        <w:trPr>
          <w:cantSplit/>
        </w:trPr>
        <w:tc>
          <w:tcPr>
            <w:tcW w:type="dxa" w:w="8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7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内容/数据资产生产</w:t>
            </w:r>
          </w:p>
        </w:tc>
        <w:tc>
          <w:tcPr>
            <w:tcW w:type="dxa" w:w="42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Brief、文章、FAQ、比较、图表、Schema</w:t>
            </w:r>
          </w:p>
        </w:tc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Content Package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质量与合规审核</w:t>
            </w:r>
          </w:p>
        </w:tc>
        <w:tc>
          <w:tcPr>
            <w:tcW w:type="dxa" w:w="4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事实、链接、技术、可访问性、政策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Audit Report</w:t>
            </w:r>
          </w:p>
        </w:tc>
      </w:tr>
      <w:tr>
        <w:trPr>
          <w:cantSplit/>
        </w:trPr>
        <w:tc>
          <w:tcPr>
            <w:tcW w:type="dxa" w:w="8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9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发布与可信分发</w:t>
            </w:r>
          </w:p>
        </w:tc>
        <w:tc>
          <w:tcPr>
            <w:tcW w:type="dxa" w:w="42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PR/CMS草稿、审批、索引通知、渠道</w:t>
            </w:r>
          </w:p>
        </w:tc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Publication Record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10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AI可见度测量</w:t>
            </w:r>
          </w:p>
        </w:tc>
        <w:tc>
          <w:tcPr>
            <w:tcW w:type="dxa" w:w="4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多平台、重复、引用、准确性、竞品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Prompt Runs + Visibility Snapshot</w:t>
            </w:r>
          </w:p>
        </w:tc>
      </w:tr>
      <w:tr>
        <w:trPr>
          <w:cantSplit/>
        </w:trPr>
        <w:tc>
          <w:tcPr>
            <w:tcW w:type="dxa" w:w="8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11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实验与持续优化</w:t>
            </w:r>
          </w:p>
        </w:tc>
        <w:tc>
          <w:tcPr>
            <w:tcW w:type="dxa" w:w="42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差异、假设、行动、复测、回滚</w:t>
            </w:r>
          </w:p>
        </w:tc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Experiment + Decision Log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DF4FA"/>
          </w:tcPr>
          <w:p>
            <w:pPr>
              <w:spacing w:after="60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21"/>
              </w:rPr>
              <w:t>最小可行闭环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Noto Sans SC"/>
                <w:b w:val="0"/>
                <w:i w:val="0"/>
                <w:color w:val="202124"/>
                <w:sz w:val="20"/>
              </w:rPr>
              <w:t>首次试点不必一次自动化全部阶段。最低可用版本是：Workspace Manifest → Company Profile → Prompt Set → Claim Ledger → Content Plan → Claim Audit → Publication Record → Prompt Runs → Visibility Snapshot。每个箭头都必须能回溯输入版本。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5. 十二阶段标准作业流程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以下每个阶段都定义目标、输入、负责角色、产物、退出门禁和执行步骤。Agent可在一个会话中执行一个或多个阶段，但不得跳过产物验证与审批。</w:t>
      </w:r>
    </w:p>
    <w:p>
      <w:pPr>
        <w:pStyle w:val="Heading2"/>
        <w:keepNext/>
      </w:pPr>
      <w:r>
        <w:t>5.0. 治理与范围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在任何研究或抓取前明确业务目标、授权范围和成功标准。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项目Brief、品牌/域名、目标市场、语言、允许的渠道、预算和联系人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 Orchestrator + 人类项目负责人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Workspace Manifest、Approval Policy、Metric Dictionary、Method Policy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范围、权限、审批人和预算均确认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建立workspace_id、品牌边界和官方域名；为每个市场/语言创建scope。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选择目标：品牌被提及、官网被引用、事实准确、竞品份额、AI引荐或转化；禁止使用“保证排名”。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定义允许抓取、允许写入、允许发布和付费API上限；记录robots/条款/数据许可政策。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指定事实审批人、内容审批人、代码审批人和发布人；设置升级路径与SLA。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冻结schema_version、method_policy_version和首轮measurement_scenario。</w:t>
      </w:r>
    </w:p>
    <w:p>
      <w:pPr>
        <w:pStyle w:val="Heading2"/>
        <w:keepNext/>
      </w:pPr>
      <w:r>
        <w:t>5.1. 企业建档与Brand DNA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把企业、品牌、产品、买方和市场形成结构化、可确认的事实底座。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官方官网、产品目录、企业资料、用户填写信息、公开第三方资料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Intake / Brand Agent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Company Profile、Brand Entity、Product Registry、Buyer Persona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必填字段完成；所有推断项已确认或明确Unknown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优先抓取官网首页、About、产品、价格、案例、支持、文档、认证和政策页，保存URL与采集时间。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提取候选品牌名、别名、实体关系、产品线、价值主张、目标客户、场景、价格带和社会证明。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对自动推断字段标source=website/third_party/inference；不确定项进入needs_confirmation。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由用户确认行业、监管市场、核心差异、禁用表述、直接/间接竞品和官方事实所有者。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对每个产品建立独立product_id；AIBOX、AIOTSystem、SmartCamera不能混成单一无边界品牌描述。</w:t>
      </w:r>
    </w:p>
    <w:p>
      <w:pPr>
        <w:pStyle w:val="Heading2"/>
        <w:keepNext/>
      </w:pPr>
      <w:r>
        <w:t>5.2. 技术与内容资产基线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确认网站能否被访问、解析和索引，并建立现有内容资产清单。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官方域名、站点策略、允许抓取范围、日志访问（可选）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Technical Audit Agent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Technical Audit Result、Asset Inventory、Crawler Policy Matrix、Log Evidence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抓取覆盖率达标；ERROR与NOT_CHECKED透明；高风险阻塞项已分配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获取robots.txt、站点地图、状态码、canonical、noindex、标题/H1、主要正文、内部链接、语言/区域信号。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分别记录Google Search、搜索型AI爬虫、训练爬虫和用户触发代理的策略；不要求无条件开放全部机器人。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检查重要内容是否服务端/静态可见；将JS失败、登录墙、WAF、重定向和内容类型错误单独记录。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识别Organization/Product/Article/Dataset等Schema，但只验证其与可见内容一致；不存在“每页必须JSON-LD”的通用规则。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清点产品页、比较页、FAQ、案例、数据页、文档、视频、白皮书和外部资料；建立页面类型与内容所有者。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若有服务器日志，区分真实Bot访问证据与“可能可抓取”；没有日志时不得声称已被某Bot抓取。</w:t>
      </w:r>
    </w:p>
    <w:p>
      <w:pPr>
        <w:pStyle w:val="Heading2"/>
        <w:keepNext/>
      </w:pPr>
      <w:r>
        <w:t>5.3. 关键词、问题与Prompt研究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建立真实用户问题与AI测试问题的版本化全集。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Company Profile、Buyer Persona、Product Registry、竞品、SEO/社区/PAA/客服/销售问题来源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Query Research Agent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Keyword Set、Prompt Set、Query Cluster、Prompt Source Evidence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所有Prompt有来源/用途/市场；监测集已批准且版本冻结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区分SEO关键词（短搜索表达）和GEO Prompt（完整自然语言问题），但保留二者的cluster关系。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按定义、推荐、比较、替代、可信度、成本、实施、兼容性、故障、法规、场景和趋势生成候选问题。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为每个问题标注persona、journey_stage、locale、market、query_type、business_value和source evidence。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社区/Reddit/YouTube只作为用户语言和问题线索；保存原始链接与日期，不自动视为事实来源。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去重近义问题但保留自然变体；把品牌词、非品牌词、竞品词和风险问题分开。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由业务负责人批准首轮20–50个监测问题，并为重复运行设置预算。</w:t>
      </w:r>
    </w:p>
    <w:p>
      <w:pPr>
        <w:pStyle w:val="Heading2"/>
        <w:keepNext/>
      </w:pPr>
      <w:r>
        <w:t>5.4. 竞品与来源版图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理解当前AI答案中的比较集合和可被引用的来源生态。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 Set、竞品候选、真实AI答案样本、搜索结果、行业协会/标准/政府/评测机构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Competitive Research Agent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Competitor Registry、Source Registry、Citation Landscape、Source Gap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竞品实体已去重；公开比较维度有来源；不含攻击性猜测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建立直接竞品、间接竞品、替代方案和平台型竞品；记录品牌别名、域名、产品和市场。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对每个Prompt采集当前出现品牌、引用域名和回答结构，标记owned/competitor/independent/official/community。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识别来源权威性、时效、原始性、利益关系和许可；收录不等于认可。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比较事实只记录可验证差异：规格、接口、认证、价格、部署方式、支持范围和公开案例。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生成source_gap：AI答案常引用但企业尚未覆盖或无法支持的主题。</w:t>
      </w:r>
    </w:p>
    <w:p>
      <w:pPr>
        <w:pStyle w:val="Heading2"/>
        <w:keepNext/>
      </w:pPr>
      <w:r>
        <w:t>5.5. 证据库与Claim Ledger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将资料拆成可发布、可追溯、可到期的最小事实单元。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网页、手册、白皮书、认证、测试报告、案例、合同允许公开信息、第三方研究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 Curator + 事实审批人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 Source、Claim Ledger、Claim Policy、Evidence Gap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计划使用的事实均Approved且未过期；缺口已改写为N/A或阻塞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登记Evidence Source：来源类型、URL/文件、发布者、日期、市场、许可、公开性、快照和哈希。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抽取Claim：精确文本、数值/单位、适用产品、地域、时间范围、限定条件和证据片段。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状态使用DRAFT/VERIFIED/APPROVED/REJECTED/EXPIRED；模型抽取不能直接成为APPROVED。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对性能/准确率声明记录测试条件、样本、方法和不确定性；缺条件时降级为不可发布。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对竞品Claim使用独立来源并设置更短有效期；变化后自动触发复核。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建立Claim Policy：禁用词、必须披露、法律/监管门禁和品牌语气。</w:t>
      </w:r>
    </w:p>
    <w:p>
      <w:pPr>
        <w:pStyle w:val="Heading2"/>
        <w:keepNext/>
      </w:pPr>
      <w:r>
        <w:t>5.6. 机会排序与内容规划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把问题需求、当前答案、证据和网站缺口转成可执行Backlog。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 Set、Visibility Baseline、Asset Inventory、Claim Ledger、Source/Competitor Gap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Content Strategist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Opportunity Backlog、Content Plan、Internal Link Plan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所有引用ID存在；至少一个P1；证据不足项不进入写作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为每个机会计算business_value、evidence_readiness、current_visibility_gap、effort和risk；不要把主观“easy win”当事实。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将相关Prompt聚合成页面，不实行“一问一页”；一页应覆盖同一意图和可共享证据。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选择页面类型：产品、用例、比较、替代、信任/FAQ、定义、技术指南、数据/基准、案例。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为每页绑定真实存在的prompt_id、keyword_id和claim_id；交叉引用失败则计划无效。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规划URL、标题、直接答案、证据块、比较表、FAQ、内链、Schema候选、作者和复审日期。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P1优先覆盖高业务价值且证据已准备的问题；证据不足的内容先创建Evidence任务。</w:t>
      </w:r>
    </w:p>
    <w:p>
      <w:pPr>
        <w:pStyle w:val="Heading2"/>
        <w:keepNext/>
      </w:pPr>
      <w:r>
        <w:t>5.7. 内容与数据资产生产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依据已批准Brief和Claim生成可读、可引用、可审计的内容包。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Content Plan、Content Brief、Approved Claims、Brand Voice、页面模板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Content Writer / Data Asset Agent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Content Brief、Draft、Claim Map、Chart/Data Package、Metadata/Schema Patch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100%事实性表述可追溯；无未知占位符；进入独立审核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先生成Brief再写正文；Brief锁定受众、意图、直接答案、允许Claim、必须来源和禁止表述。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每个主要章节以直接答案开始，再给解释、数据、适用边界和相关页面；避免把段落写成关键词列表。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比较内容使用对称维度和相同证据标准；不隐藏自身缺点或竞品限制条件。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图表同时提供文本结论、可访问SVG/图片、语义HTML表、CSV和Dataset元数据；所有数字有来源。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Schema仅在页面可见内容支持时生成；产品、文章、组织、面包屑、数据集按实际类型选择。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输出草稿、来源清单、Claim映射、图片/表格数据、元数据和建议Patch，不直接发布。</w:t>
      </w:r>
    </w:p>
    <w:p>
      <w:pPr>
        <w:pStyle w:val="Heading2"/>
        <w:keepNext/>
      </w:pPr>
      <w:r>
        <w:t>5.8. 事实、技术与合规审核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在发布前发现幻觉、错误引用、结构问题和政策风险。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Content Package、Claim Ledger、Company Profile、技术规范、发布政策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 / QA Auditor + 合规审批人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 Audit、Technical QA、A11y Report、Compliance Decision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Critical=0；Warnings有接受人和理由；所有审核绑定revision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提取全部URL、数字、公司/竞品事实、研究引用、认证、价格和日期，逐条验证。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使用PASS/BROKEN/MISMATCH/UNVERIFIABLE/UNSOURCED；URL可访问但不支持Claim应标MISMATCH。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验证正文、表格、图表、Schema、元描述和alt文本中的数字完全一致。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检查标题层级、表格表头、链接文本、图片替代文本、页面性能和移动端呈现。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检查禁用表述、免责声明、比较公平性、隐私、版权/许可、市场监管要求。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Critical问题阻止发布；修复后产生新revision并重新审核，不能修改旧审核记录。</w:t>
      </w:r>
    </w:p>
    <w:p>
      <w:pPr>
        <w:pStyle w:val="Heading2"/>
        <w:keepNext/>
      </w:pPr>
      <w:r>
        <w:t>5.9. 审批、发布与可信分发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把通过审核的内容安全地进入自有站点或获授权渠道。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已审核Content Package、Approval Policy、发布凭证、CMS/代码库和渠道许可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Publisher + 人类发布审批人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Approval Record、Publication Record、Live Verification、Distribution Record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线上内容与已批准revision一致；验证成功；可回滚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展示差异、来源、风险、预览和回滚计划，由内容/代码/法律审批人按策略批准。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代码库优先生成Patch或PR；CMS优先生成草稿。禁止Agent绕过审核直接写生产环境。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发布后验证最终URL、状态码、canonical、正文、Schema、资源、移动端和可索引状态。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记录publication_id、内容revision、commit/PR/CMS id、发布时间、审批人和回滚点。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对站长平台、站点地图或授权渠道执行通知；不得称为“训练/投喂第三方模型”。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创建首次复测时间和内容复审/Claim到期任务。</w:t>
      </w:r>
    </w:p>
    <w:p>
      <w:pPr>
        <w:pStyle w:val="Heading2"/>
        <w:keepNext/>
      </w:pPr>
      <w:r>
        <w:t>5.10. AI可见度测量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用可复现场景采集真实提及、引用和准确性，而不是用技术分替代结果。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冻结Prompt Set、Measurement Scenario、目标平台/表面、预算和品牌/竞品实体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Measurement Agent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 Run JSONL、Citation Observation、Visibility Snapshot、Raw Evidence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有效样本率达标；场景可比；原始回答可审计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明确surface：消费界面人工/浏览器样本、带搜索API、普通模型API或第三方数据；结果不可混用。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记录provider、surface、model、locale、region、account/context、fresh_session、temperature和时间。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每个问题重复运行，保存raw response、引用URL/标题/位置、错误和响应哈希；不得只保留解析分数。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解析品牌/别名/产品、竞品和owned domain；对模糊提及保留人工复核状态。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事实准确性只针对Approved Claims判定；没有足够证据时标NOT_CHECKED而不是猜测。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失败样本、限流、无搜索、页面不可用和Provider改变模型均单独记录并影响可比性。</w:t>
      </w:r>
    </w:p>
    <w:p>
      <w:pPr>
        <w:pStyle w:val="Heading2"/>
        <w:keepNext/>
      </w:pPr>
      <w:r>
        <w:t>5.11. 实验、复盘与持续优化</w:t>
      </w:r>
    </w:p>
    <w:p>
      <w:pPr>
        <w:spacing w:before="0" w:after="120" w:line="278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>目标：</w:t>
      </w:r>
      <w:r>
        <w:rPr>
          <w:rFonts w:ascii="Calibri" w:hAnsi="Calibri" w:eastAsia="Noto Sans SC"/>
          <w:b w:val="0"/>
          <w:i w:val="0"/>
          <w:color w:val="202124"/>
          <w:sz w:val="20"/>
        </w:rPr>
        <w:t>把观测差距转成受控改动，并判断是否值得继续。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主要输入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基线/复测Snapshot、Publication Record、技术审计、转化数据、成本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负责角色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Experiment Analyst + GEO负责人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核心产物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Experiment Record、Decision Log、Updated Method Registry、Next Backlog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退出门禁</w:t>
            </w:r>
          </w:p>
        </w:tc>
        <w:tc>
          <w:tcPr>
            <w:tcW w:type="dxa" w:w="7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结论有足够样本与证据；行动、负责人和下次复测明确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形成假设：针对哪些Prompt、通过哪类页面/证据/技术改动、预期改变什么指标。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一次实验尽量只改变一个主题或可识别的改动包；保留发布时间和索引/抓取滞后。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使用相同Prompt Set和Measurement Scenario复测；Provider/模型变化时重新基线或分层。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报告绝对值、样本数、置信区间/不确定性、失败率和可能混杂因素；不以单次改善宣称因果。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结论使用ADOPT/ITERATE/ROLLBACK/INCONCLUSIVE；每个结论绑定证据和决策人。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将有效方法写入Method Registry，将失败方法保留为负面经验，触发下一轮Backlog。</w:t>
      </w:r>
    </w:p>
    <w:p>
      <w:pPr>
        <w:pStyle w:val="Heading1"/>
        <w:keepNext/>
        <w:pageBreakBefore/>
      </w:pPr>
      <w:r>
        <w:t>6. 产物目录与血缘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产物目录是平台无关实现的核心。小规模可以全部存Git；大规模把二进制证据放对象存储、结构化记录放数据库，但仍输出同样的manifest。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geo-ops/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config/                 # workspace、policy、provider、budget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schemas/                # JSON Schema / CSV contract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skills/                 # 每个Agent的一项技能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artifacts/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company/              # company_profile, product_registry, personas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research/             # keywords, prompts, competitors, sources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audits/               # technical, claim, a11y, compliance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evidence/             # sources, claims, snapshots, hashes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plans/                # opportunity, content_plan, briefs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content/              # drafts, chart packages, metadata, patches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publications/         # approval, release, live verification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measurements/         # scenarios, runs, citations, snapshots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experiments/          # hypotheses, decisions, retrospectives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runs/YYYY-MM-DD/        # task manifests, stdout/events, costs, errors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reports/                # human-readable weekly/monthly/quarterly reports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fixtures/               # deterministic tests; never mix with production data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Artifact公共信封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"artifactType": "geo.prompt_set",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"schemaVersion": "1.0.0",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"artifactId": "art_...",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"workspaceId": "ws_...",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"revision": 3,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"status": "APPROVED",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"createdAt": "2026-07-14T08:00:00Z",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"createdBy": {"actorType": "agent", "actorId": "query-researcher"},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"sourceArtifactIds": ["art_company_v3", "art_competitors_v2"],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"methodPolicyVersion": "2026-07",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"contentHash": "sha256:...",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"approvalIds": ["approval_..."],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"data": {}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血缘规则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所有下游产物必须列出sourceArtifactIds；禁止仅写“根据之前研究”。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revision不可原地覆盖；修订创建新版本，旧版本保留并可比较。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发布和测量必须绑定准确的content revision、prompt set version和scenario version。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原始证据与派生判断分开：raw response、HTML、截图、日志不被Agent摘要覆盖。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Fixture、Demo、模拟数据使用独立workspace和显著标签，永不进入生产指标。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跨品牌共享只允许Method/Schema/Skill；企业Claim、Prompt结果和秘密保持租户隔离。</w:t>
      </w:r>
    </w:p>
    <w:p>
      <w:pPr>
        <w:pStyle w:val="Heading1"/>
        <w:keepNext/>
      </w:pPr>
      <w:r>
        <w:t>7. 数据契约与字段字典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下表列出建议的18项核心契约。首版可使用JSON/CSV/YAML；当规模增长时映射到数据库，但字段含义保持稳定。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74"/>
        <w:gridCol w:w="1326"/>
        <w:gridCol w:w="4680"/>
        <w:gridCol w:w="780"/>
      </w:tblGrid>
      <w:tr>
        <w:trPr>
          <w:tblHeader w:val="true"/>
          <w:cantSplit/>
        </w:trPr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契约</w:t>
            </w:r>
          </w:p>
        </w:tc>
        <w:tc>
          <w:tcPr>
            <w:tcW w:type="dxa" w:w="1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格式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关键内容</w:t>
            </w:r>
          </w:p>
        </w:tc>
        <w:tc>
          <w:tcPr>
            <w:tcW w:type="dxa" w:w="7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阶段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WorkspaceManifest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JSON/YAML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目标、范围、权限、预算、审批、保留期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CompanyProfile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企业/品牌/产品/买方/市场/禁用表述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ProductRegistry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CSV/JSON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产品、型号、别名、规格、市场和生命周期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TechnicalAuditResult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抓取证据、检查、状态、修复、覆盖率和错误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AssetInventory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URL、类型、语言、所有者、更新时间、索引/证据状态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KeywordSet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关键词、意图、cluster、来源和可选量化数据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PromptSet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CSV/JSON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自然语言问题、角色、阶段、市场、来源、优先级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CompetitorRegistry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CSV/JSON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实体、产品、别名、关系、域名、比较维度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SourceRegistry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CSV/JSON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来源类型、权威性、利益关系、时效、许可和快照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EvidenceSource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原始资料、发布者、日期、公开性、许可、hash和片段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ClaimLedger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CSV/JSON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最小事实、适用范围、证据、状态、到期和审批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OpportunityBacklog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问题差距、价值、证据准备、成本、风险和负责人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ContentPlan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CSV/JSON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页面、URL、Prompt/Keyword/Claim引用、优先级和必备区块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ContentBrief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YAML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受众、直接答案、结构、允许Claim、来源、CTA和禁用项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ContentPackage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目录+manifest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草稿、数据、图表、Schema、Claim Map和Patch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AuditReport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JSON/MD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逐项PASS/BROKEN/MISMATCH等、严重性、修复和决定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PublicationRecord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revision、URL/PR/CMS、审批、发布时间、验证和回滚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PromptRun/VisibilitySnapshot</w:t>
            </w:r>
          </w:p>
        </w:tc>
        <w:tc>
          <w:tcPr>
            <w:tcW w:type="dxa" w:w="13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JSONL/JSON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场景、原始答案、引用、实体、指标、失败和可比性</w:t>
            </w:r>
          </w:p>
        </w:tc>
        <w:tc>
          <w:tcPr>
            <w:tcW w:type="dxa" w:w="7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ExperimentRecord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JSON/MD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假设、干预、基线/复测、结论、成本和决策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11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PromptSet最小字段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74"/>
        <w:gridCol w:w="1716"/>
        <w:gridCol w:w="5070"/>
      </w:tblGrid>
      <w:tr>
        <w:trPr>
          <w:tblHeader w:val="true"/>
          <w:cantSplit/>
        </w:trPr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字段</w:t>
            </w:r>
          </w:p>
        </w:tc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类型</w:t>
            </w:r>
          </w:p>
        </w:tc>
        <w:tc>
          <w:tcPr>
            <w:tcW w:type="dxa" w:w="50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prompt_id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string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稳定唯一ID，不使用行号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</w:t>
            </w:r>
          </w:p>
        </w:tc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string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完整自然语言问题；保留原语言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locale / market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string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如zh-CN/CN、ja-JP/JP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persona / journey_stage</w:t>
            </w:r>
          </w:p>
        </w:tc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enum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角色与awareness/consideration/decision/post_purchase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query_type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enum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definition/recommendation/comparison/evaluation/how_to/cost/use_case/risk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cluster_id</w:t>
            </w:r>
          </w:p>
        </w:tc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string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关联关键词和内容计划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brand_scope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enum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unbranded/branded/competitor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business_value</w:t>
            </w:r>
          </w:p>
        </w:tc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1–5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业务判断，需记录理由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source_evidence_ids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array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PAA/社区/销售/客服/搜索等来源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monitoring_status</w:t>
            </w:r>
          </w:p>
        </w:tc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enum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candidate/approved/paused/retired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Claim Ledger最小字段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74"/>
        <w:gridCol w:w="6786"/>
      </w:tblGrid>
      <w:tr>
        <w:trPr>
          <w:tblHeader w:val="true"/>
          <w:cantSplit/>
        </w:trPr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字段</w:t>
            </w:r>
          </w:p>
        </w:tc>
        <w:tc>
          <w:tcPr>
            <w:tcW w:type="dxa" w:w="67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claim_id / exact_text</w:t>
            </w:r>
          </w:p>
        </w:tc>
        <w:tc>
          <w:tcPr>
            <w:tcW w:type="dxa" w:w="67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稳定ID与允许发布的精确事实文本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claim_type</w:t>
            </w:r>
          </w:p>
        </w:tc>
        <w:tc>
          <w:tcPr>
            <w:tcW w:type="dxa" w:w="67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specification/performance/certification/customer/pricing/compatibility/comparison/policy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value / unit</w:t>
            </w:r>
          </w:p>
        </w:tc>
        <w:tc>
          <w:tcPr>
            <w:tcW w:type="dxa" w:w="67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数字和单位分字段保存，避免文本解析漂移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applies_to</w:t>
            </w:r>
          </w:p>
        </w:tc>
        <w:tc>
          <w:tcPr>
            <w:tcW w:type="dxa" w:w="67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product_id、model、market、locale、time period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evidence_source_ids</w:t>
            </w:r>
          </w:p>
        </w:tc>
        <w:tc>
          <w:tcPr>
            <w:tcW w:type="dxa" w:w="67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至少一个来源；关键主张建议两个独立来源或官方原始资料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evidence_excerpt</w:t>
            </w:r>
          </w:p>
        </w:tc>
        <w:tc>
          <w:tcPr>
            <w:tcW w:type="dxa" w:w="67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直接支持该Claim的片段或页码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status</w:t>
            </w:r>
          </w:p>
        </w:tc>
        <w:tc>
          <w:tcPr>
            <w:tcW w:type="dxa" w:w="67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DRAFT/VERIFIED/APPROVED/REJECTED/EXPIRED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valid_from / valid_until</w:t>
            </w:r>
          </w:p>
        </w:tc>
        <w:tc>
          <w:tcPr>
            <w:tcW w:type="dxa" w:w="67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时效边界；价格、竞品和认证必须复审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approval_id / owner</w:t>
            </w:r>
          </w:p>
        </w:tc>
        <w:tc>
          <w:tcPr>
            <w:tcW w:type="dxa" w:w="67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事实所有者、审批记录与责任人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disclosure</w:t>
            </w:r>
          </w:p>
        </w:tc>
        <w:tc>
          <w:tcPr>
            <w:tcW w:type="dxa" w:w="67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方法、样本、限制、赞助/利益关系等必须披露内容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PromptRun最小字段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4"/>
        <w:gridCol w:w="7176"/>
      </w:tblGrid>
      <w:tr>
        <w:trPr>
          <w:tblHeader w:val="true"/>
          <w:cantSplit/>
        </w:trPr>
        <w:tc>
          <w:tcPr>
            <w:tcW w:type="dxa" w:w="21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字段组</w:t>
            </w:r>
          </w:p>
        </w:tc>
        <w:tc>
          <w:tcPr>
            <w:tcW w:type="dxa" w:w="71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Scenario</w:t>
            </w:r>
          </w:p>
        </w:tc>
        <w:tc>
          <w:tcPr>
            <w:tcW w:type="dxa" w:w="7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scenario_id/version, provider, surface, model, locale, region, account_context</w:t>
            </w:r>
          </w:p>
        </w:tc>
      </w:tr>
      <w:tr>
        <w:trPr>
          <w:cantSplit/>
        </w:trPr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Execution</w:t>
            </w:r>
          </w:p>
        </w:tc>
        <w:tc>
          <w:tcPr>
            <w:tcW w:type="dxa" w:w="7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run_id, prompt_id, repetition, started_at, ended_at, status, error_code, cost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Input</w:t>
            </w:r>
          </w:p>
        </w:tc>
        <w:tc>
          <w:tcPr>
            <w:tcW w:type="dxa" w:w="7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exact_prompt, system/context hash, fresh_session, search_enabled, parameters</w:t>
            </w:r>
          </w:p>
        </w:tc>
      </w:tr>
      <w:tr>
        <w:trPr>
          <w:cantSplit/>
        </w:trPr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Raw</w:t>
            </w:r>
          </w:p>
        </w:tc>
        <w:tc>
          <w:tcPr>
            <w:tcW w:type="dxa" w:w="7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response_text, raw_payload_ref, response_hash, screenshot_ref（消费界面时）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Citation</w:t>
            </w:r>
          </w:p>
        </w:tc>
        <w:tc>
          <w:tcPr>
            <w:tcW w:type="dxa" w:w="7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url, title, domain, position, source_type, accessible, owned/competitor/independent</w:t>
            </w:r>
          </w:p>
        </w:tc>
      </w:tr>
      <w:tr>
        <w:trPr>
          <w:cantSplit/>
        </w:trPr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Entity</w:t>
            </w:r>
          </w:p>
        </w:tc>
        <w:tc>
          <w:tcPr>
            <w:tcW w:type="dxa" w:w="7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brand/product/competitor mention, alias matched, context, manual_review_status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Accuracy</w:t>
            </w:r>
          </w:p>
        </w:tc>
        <w:tc>
          <w:tcPr>
            <w:tcW w:type="dxa" w:w="7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claim_id, supported/contradicted/not_checked, evidence and reviewer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8. 状态、审批和错误语义</w:t>
      </w:r>
    </w:p>
    <w:p>
      <w:pPr>
        <w:pStyle w:val="Heading2"/>
        <w:keepNext/>
      </w:pPr>
      <w:r>
        <w:t>8.1 Artifact状态机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94"/>
        <w:gridCol w:w="4758"/>
        <w:gridCol w:w="2808"/>
      </w:tblGrid>
      <w:tr>
        <w:trPr>
          <w:tblHeader w:val="true"/>
          <w:cantSplit/>
        </w:trPr>
        <w:tc>
          <w:tcPr>
            <w:tcW w:type="dxa" w:w="17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状态</w:t>
            </w:r>
          </w:p>
        </w:tc>
        <w:tc>
          <w:tcPr>
            <w:tcW w:type="dxa" w:w="47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含义</w:t>
            </w:r>
          </w:p>
        </w:tc>
        <w:tc>
          <w:tcPr>
            <w:tcW w:type="dxa" w:w="28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允许的下一步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DRAFT</w:t>
            </w:r>
          </w:p>
        </w:tc>
        <w:tc>
          <w:tcPr>
            <w:tcW w:type="dxa" w:w="4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Agent或人创建，尚未验证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VALIDATING / ARCHIVED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VALIDATING</w:t>
            </w:r>
          </w:p>
        </w:tc>
        <w:tc>
          <w:tcPr>
            <w:tcW w:type="dxa" w:w="47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正在运行确定性和事实校验</w:t>
            </w:r>
          </w:p>
        </w:tc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PROPOSED / ERROR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PROPOSED</w:t>
            </w:r>
          </w:p>
        </w:tc>
        <w:tc>
          <w:tcPr>
            <w:tcW w:type="dxa" w:w="4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候选版本已形成，等待复核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IN_REVIEW / DRAFT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IN_REVIEW</w:t>
            </w:r>
          </w:p>
        </w:tc>
        <w:tc>
          <w:tcPr>
            <w:tcW w:type="dxa" w:w="47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有明确审批人或审查路径</w:t>
            </w:r>
          </w:p>
        </w:tc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APPROVED / REJECTED / PROPOSED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APPROVED</w:t>
            </w:r>
          </w:p>
        </w:tc>
        <w:tc>
          <w:tcPr>
            <w:tcW w:type="dxa" w:w="4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在给定范围和版本内可被下游使用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PUBLISHED / SUPERSEDED / EXPIRED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PUBLISHED</w:t>
            </w:r>
          </w:p>
        </w:tc>
        <w:tc>
          <w:tcPr>
            <w:tcW w:type="dxa" w:w="47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外部可见并有发布记录</w:t>
            </w:r>
          </w:p>
        </w:tc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SUPERSEDED / RETIRED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REJECTED</w:t>
            </w:r>
          </w:p>
        </w:tc>
        <w:tc>
          <w:tcPr>
            <w:tcW w:type="dxa" w:w="4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明确不可用，保留原因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新revision从DRAFT开始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EXPIRED</w:t>
            </w:r>
          </w:p>
        </w:tc>
        <w:tc>
          <w:tcPr>
            <w:tcW w:type="dxa" w:w="475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来源/Claim/方法超过有效期</w:t>
            </w:r>
          </w:p>
        </w:tc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重新验证后新revision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SUPERSEDED</w:t>
            </w:r>
          </w:p>
        </w:tc>
        <w:tc>
          <w:tcPr>
            <w:tcW w:type="dxa" w:w="4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被新版本替代但仍可审计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只读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检查结果语义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6"/>
        <w:gridCol w:w="5070"/>
        <w:gridCol w:w="2184"/>
      </w:tblGrid>
      <w:tr>
        <w:trPr>
          <w:tblHeader w:val="true"/>
          <w:cantSplit/>
        </w:trPr>
        <w:tc>
          <w:tcPr>
            <w:tcW w:type="dxa" w:w="2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结果</w:t>
            </w:r>
          </w:p>
        </w:tc>
        <w:tc>
          <w:tcPr>
            <w:tcW w:type="dxa" w:w="50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含义</w:t>
            </w:r>
          </w:p>
        </w:tc>
        <w:tc>
          <w:tcPr>
            <w:tcW w:type="dxa" w:w="21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计分处理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PASS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检查执行且符合规则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可进入通过率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FAIL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检查执行且明确不符合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进入失败率与整改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NOT_APPLICABLE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规则不适用于对象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不进入分母；说明理由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NOT_CHECKED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没有权限、工具或证据执行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不换算成0；显示覆盖缺口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ERROR</w:t>
            </w:r>
          </w:p>
        </w:tc>
        <w:tc>
          <w:tcPr>
            <w:tcW w:type="dxa" w:w="5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执行失败、超时、解析或Provider错误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不换算成FAIL；单独报告可靠性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INCONCLUSIVE</w:t>
            </w:r>
          </w:p>
        </w:tc>
        <w:tc>
          <w:tcPr>
            <w:tcW w:type="dxa" w:w="50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证据冲突或样本不足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不做方向性结论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t>8.3 审批矩阵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2184"/>
        <w:gridCol w:w="4056"/>
      </w:tblGrid>
      <w:tr>
        <w:trPr>
          <w:tblHeader w:val="true"/>
          <w:cantSplit/>
        </w:trPr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动作</w:t>
            </w:r>
          </w:p>
        </w:tc>
        <w:tc>
          <w:tcPr>
            <w:tcW w:type="dxa" w:w="21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审批者</w:t>
            </w:r>
          </w:p>
        </w:tc>
        <w:tc>
          <w:tcPr>
            <w:tcW w:type="dxa" w:w="40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读取公开网页/生成内部候选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可自动</w:t>
            </w:r>
          </w:p>
        </w:tc>
        <w:tc>
          <w:tcPr>
            <w:tcW w:type="dxa" w:w="4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遵守抓取政策、速率和来源记录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导入客户文件/内部资料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按数据权限</w:t>
            </w:r>
          </w:p>
        </w:tc>
        <w:tc>
          <w:tcPr>
            <w:tcW w:type="dxa" w:w="40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最小权限、秘密/PII检测、保留期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批准品牌/产品事实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事实所有者</w:t>
            </w:r>
          </w:p>
        </w:tc>
        <w:tc>
          <w:tcPr>
            <w:tcW w:type="dxa" w:w="4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关键Claim不得由生成Agent自批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公开竞品比较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品牌 + 法务/合规</w:t>
            </w:r>
          </w:p>
        </w:tc>
        <w:tc>
          <w:tcPr>
            <w:tcW w:type="dxa" w:w="40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对称证据、日期、修改/异议流程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网站代码变更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代码Owner</w:t>
            </w:r>
          </w:p>
        </w:tc>
        <w:tc>
          <w:tcPr>
            <w:tcW w:type="dxa" w:w="4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Patch/PR、测试、预览、回滚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CMS/社媒/外部平台发布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渠道Owner</w:t>
            </w:r>
          </w:p>
        </w:tc>
        <w:tc>
          <w:tcPr>
            <w:tcW w:type="dxa" w:w="40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草稿预览和最终revision绑定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消费付费API超过预算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预算Owner</w:t>
            </w:r>
          </w:p>
        </w:tc>
        <w:tc>
          <w:tcPr>
            <w:tcW w:type="dxa" w:w="4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硬上限、告警、停止策略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删除/覆盖/大规模改写</w:t>
            </w:r>
          </w:p>
        </w:tc>
        <w:tc>
          <w:tcPr>
            <w:tcW w:type="dxa" w:w="21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资源Owner</w:t>
            </w:r>
          </w:p>
        </w:tc>
        <w:tc>
          <w:tcPr>
            <w:tcW w:type="dxa" w:w="40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明确范围、备份、可恢复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9. 测量、评分与实验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DF4FA"/>
          </w:tcPr>
          <w:p>
            <w:pPr>
              <w:spacing w:after="60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21"/>
              </w:rPr>
              <w:t>三类结果必须分开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Noto Sans SC"/>
                <w:b w:val="0"/>
                <w:i w:val="0"/>
                <w:color w:val="202124"/>
                <w:sz w:val="20"/>
              </w:rPr>
              <w:t>Technical Health回答“页面是否可访问和解析”；Content &amp; Evidence Readiness回答“是否有可发布、可引用的事实”；Measured AI Visibility回答“在指定平台/场景的样本中实际发生了什么”。前两类可以诊断第三类，但不能替代第三类。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指标字典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74"/>
        <w:gridCol w:w="4290"/>
        <w:gridCol w:w="2496"/>
      </w:tblGrid>
      <w:tr>
        <w:trPr>
          <w:tblHeader w:val="true"/>
          <w:cantSplit/>
        </w:trPr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指标</w:t>
            </w:r>
          </w:p>
        </w:tc>
        <w:tc>
          <w:tcPr>
            <w:tcW w:type="dxa" w:w="42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定义</w:t>
            </w:r>
          </w:p>
        </w:tc>
        <w:tc>
          <w:tcPr>
            <w:tcW w:type="dxa" w:w="2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分母/注意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Valid Run Rate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有效完成的运行数 / 计划运行数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先报告可靠性；错误不能从分母悄悄消失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Brand Mention Rate</w:t>
            </w:r>
          </w:p>
        </w:tc>
        <w:tc>
          <w:tcPr>
            <w:tcW w:type="dxa" w:w="4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含品牌或产品有效提及的运行数 / 有效运行数</w:t>
            </w:r>
          </w:p>
        </w:tc>
        <w:tc>
          <w:tcPr>
            <w:tcW w:type="dxa" w:w="249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实体别名需人工抽样验证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Owned Citation Rate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至少引用一个自有域名的运行数 / 有效运行数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需区分明确引用与导航链接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Citation Share</w:t>
            </w:r>
          </w:p>
        </w:tc>
        <w:tc>
          <w:tcPr>
            <w:tcW w:type="dxa" w:w="4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品牌自有来源引用数 / 所有可分类引用数</w:t>
            </w:r>
          </w:p>
        </w:tc>
        <w:tc>
          <w:tcPr>
            <w:tcW w:type="dxa" w:w="249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同时报告独立/官方/竞品来源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Recommendation Presence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品牌进入推荐/候选集合的运行数 / 适用有效运行数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不适用于纯定义问题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Answer Accuracy</w:t>
            </w:r>
          </w:p>
        </w:tc>
        <w:tc>
          <w:tcPr>
            <w:tcW w:type="dxa" w:w="4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与Approved Claim一致的可判定事实 / 被判定事实</w:t>
            </w:r>
          </w:p>
        </w:tc>
        <w:tc>
          <w:tcPr>
            <w:tcW w:type="dxa" w:w="249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NOT_CHECKED不进入分母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Query Coverage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已有合格内容和证据的问题 / 批准问题总数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是准备度，不是可见度</w:t>
            </w:r>
          </w:p>
        </w:tc>
      </w:tr>
      <w:tr>
        <w:trPr>
          <w:cantSplit/>
        </w:trPr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AI Referral</w:t>
            </w:r>
          </w:p>
        </w:tc>
        <w:tc>
          <w:tcPr>
            <w:tcW w:type="dxa" w:w="4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来自可识别AI来源的会话、线索和转化</w:t>
            </w:r>
          </w:p>
        </w:tc>
        <w:tc>
          <w:tcPr>
            <w:tcW w:type="dxa" w:w="249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受referrer/隐私限制；披露归因方法</w:t>
            </w:r>
          </w:p>
        </w:tc>
      </w:tr>
      <w:tr>
        <w:trPr>
          <w:cantSplit/>
        </w:trP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Cost per Valid Run</w:t>
            </w:r>
          </w:p>
        </w:tc>
        <w:tc>
          <w:tcPr>
            <w:tcW w:type="dxa" w:w="4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监测总成本 / 有效运行数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用于预算和Provider选择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Measurement Scenario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Provider与Surface：ChatGPT消费界面、带搜索API、普通API、Google AI Mode等分别建场景。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模型与版本：能获取则记录准确ID；不能获取则记录界面、日期和“unknown”。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地区/语言：locale、region、账户位置、VPN/数据中心、时区均可能影响结果。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会话：新会话或保留上下文必须明确；不同策略不可混在同一趋势。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重复：每问题至少多次；高波动主题增加重复，报告分布而不是单个答案。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引用解析：保存原始URL、标题、域名和答案中的位置；后处理规则版本化。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可比性：Prompt、场景、模型或解析规则变化时，趋势分层或重新基线。</w:t>
      </w:r>
    </w:p>
    <w:p>
      <w:pPr>
        <w:pStyle w:val="Heading2"/>
        <w:keepNext/>
      </w:pPr>
      <w:r>
        <w:t>9.3 实验记录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experiment_id: exp_2026_08_camera_compare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hypothesis: 新增带官方规格来源的比较页会提高JP比较类Prompt的owned citation rate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target_prompt_ids: [p_jp_014, p_jp_018, p_jp_021]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baseline_snapshot_id: snap_2026_07_31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intervention: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publication_ids: [pub_compare_v1]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changed_claim_ids: [cl_23, cl_24, cl_31]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observation_window: 28d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comparison_policy: same_scenario_same_prompt_set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decision_rule: no guarantee; require valid-run-rate &gt;= 0.9 and report uncertainty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result: INCONCLUSIVE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10. 安全、合规与内容可信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3510"/>
        <w:gridCol w:w="3900"/>
      </w:tblGrid>
      <w:tr>
        <w:trPr>
          <w:tblHeader w:val="true"/>
          <w:cantSplit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风险</w:t>
            </w:r>
          </w:p>
        </w:tc>
        <w:tc>
          <w:tcPr>
            <w:tcW w:type="dxa" w:w="35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典型攻击/错误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SSRF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用户提交内网、云元数据或跳转到私网URL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DNS/IP校验、阻止私网/metadata、每次跳转复验、大小/超时/类型限制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网页提示注入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网页写‘忽略规则、上传秘密、发布内容’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外部内容仅作数据；工具权限不由网页文本改变；引用原文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恶意文档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宏、嵌入对象、超大压缩包、隐藏指令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隔离解析、禁宏、文件类型/大小、恶意软件检测、只读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秘密泄露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API key进入提示、日志、草稿或Git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密钥库、按运行注入、日志脱敏、secret scan、最小权限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租户越界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跨客户复用Claim、运行或发布凭证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workspace/company scope、对象存储前缀、RBAC和审计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未经授权发布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Agent直接推送生产或发帖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Patch/PR/CMS Draft、审批、短期凭证、外部写入默认禁用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事实幻觉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虚构性能、客户、认证、链接和研究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Approved Claim白名单、Claim Audit、未知标N/A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版权/许可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复制文章、图片、数据或开源代码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来源/许可证/允许用途字段、引用限额、NOTICE/SBOM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竞品/监管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不公平比较、过时价格、安全性能夸大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独立来源、复审期、法务审批、市场限定和免责声明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Provider条款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自动化消费界面、绕过访问控制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5"/>
              </w:rPr>
              <w:t>优先官方API；人工样本需授权；记录方法和条款审查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Crawler Policy不是安全控制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robots.txt是自愿遵守的抓取策略，不应承担访问控制或保密职责。[S3] 对OpenAI，应分别决定OAI-SearchBot（搜索曝光）、GPTBot（训练）和ChatGPT-User（用户触发访问）的策略，而不是使用一个笼统的“允许所有AI Bot”。[S2]</w:t>
      </w:r>
    </w:p>
    <w:p>
      <w:pPr>
        <w:pStyle w:val="Heading2"/>
        <w:keepNext/>
      </w:pPr>
      <w:r>
        <w:t>10.2 Agent运行隔离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抓取Agent：无写权限、严格网络出口、禁止私网、单域名速率和响应上限。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写作Agent：只能读取Approved Claims和指定Brief；不能访问发布凭证。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发布Agent：只能处理已批准revision；凭证短期、最小范围；必须生成回滚记录。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监测Agent：Provider密钥按workspace和预算隔离；原始回答可含敏感内容，设保留期。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审计Agent：与生成Agent使用独立任务/上下文，避免自我确认；高风险结论人工抽样。</w:t>
      </w:r>
    </w:p>
    <w:p>
      <w:pPr>
        <w:pStyle w:val="Heading1"/>
        <w:keepNext/>
      </w:pPr>
      <w:r>
        <w:t>11. 平台适配</w:t>
      </w:r>
    </w:p>
    <w:p>
      <w:pPr>
        <w:pStyle w:val="Heading2"/>
        <w:keepNext/>
      </w:pPr>
      <w:r>
        <w:t>11.1 单Agent：OpenClaw / Hermes / Codex / Claude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单Agent实现时，把本手册的每个阶段做成一个Skill或命令。Orchestrator读取任务包，按前置条件顺序调用；跨会话状态只写入Artifact目录，不依赖聊天记忆。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28"/>
        <w:gridCol w:w="7332"/>
      </w:tblGrid>
      <w:tr>
        <w:trPr>
          <w:tblHeader w:val="true"/>
          <w:cantSplit/>
        </w:trPr>
        <w:tc>
          <w:tcPr>
            <w:tcW w:type="dxa" w:w="20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能力</w:t>
            </w:r>
          </w:p>
        </w:tc>
        <w:tc>
          <w:tcPr>
            <w:tcW w:type="dxa" w:w="73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实现建议</w:t>
            </w:r>
          </w:p>
        </w:tc>
      </w:tr>
      <w:tr>
        <w:trPr>
          <w:cantSplit/>
        </w:trPr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触发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手动命令 + cron/webhook；每次触发创建task manifest和run目录</w:t>
            </w:r>
          </w:p>
        </w:tc>
      </w:tr>
      <w:tr>
        <w:trPr>
          <w:cantSplit/>
        </w:trPr>
        <w:tc>
          <w:tcPr>
            <w:tcW w:type="dxa" w:w="20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上下文</w:t>
            </w:r>
          </w:p>
        </w:tc>
        <w:tc>
          <w:tcPr>
            <w:tcW w:type="dxa" w:w="73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仅加载当前Skill、Task Packet和明确列出的输入Artifact</w:t>
            </w:r>
          </w:p>
        </w:tc>
      </w:tr>
      <w:tr>
        <w:trPr>
          <w:cantSplit/>
        </w:trPr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状态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status.json或数据库；使用幂等键防止重复执行</w:t>
            </w:r>
          </w:p>
        </w:tc>
      </w:tr>
      <w:tr>
        <w:trPr>
          <w:cantSplit/>
        </w:trPr>
        <w:tc>
          <w:tcPr>
            <w:tcW w:type="dxa" w:w="20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审批</w:t>
            </w:r>
          </w:p>
        </w:tc>
        <w:tc>
          <w:tcPr>
            <w:tcW w:type="dxa" w:w="73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生成review packet并暂停；人批准后以approval artifact恢复</w:t>
            </w:r>
          </w:p>
        </w:tc>
      </w:tr>
      <w:tr>
        <w:trPr>
          <w:cantSplit/>
        </w:trPr>
        <w:tc>
          <w:tcPr>
            <w:tcW w:type="dxa" w:w="2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错误</w:t>
            </w:r>
          </w:p>
        </w:tc>
        <w:tc>
          <w:tcPr>
            <w:tcW w:type="dxa" w:w="7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输出error_code、重试性、已完成步骤和残留产物；禁止静默继续</w:t>
            </w:r>
          </w:p>
        </w:tc>
      </w:tr>
      <w:tr>
        <w:trPr>
          <w:cantSplit/>
        </w:trPr>
        <w:tc>
          <w:tcPr>
            <w:tcW w:type="dxa" w:w="20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预算</w:t>
            </w:r>
          </w:p>
        </w:tc>
        <w:tc>
          <w:tcPr>
            <w:tcW w:type="dxa" w:w="73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最大工具调用、时间、token/API成本；达到硬上限停止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Paperclip多Agent控制平面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Paperclip适合承担组织与治理，而不是替代GEO方法。其官方仓库将其定义为可连接自有Agent的多Agent控制平面，具备目标、组织结构、Issues、Heartbeats、预算、审批、周期任务、工件和审计；适配器文档列出了Hermes local/gateway、OpenClaw gateway、Codex、Claude、Process和HTTP等运行方式。[S4][S5]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3354"/>
        <w:gridCol w:w="3666"/>
      </w:tblGrid>
      <w:tr>
        <w:trPr>
          <w:tblHeader w:val="true"/>
          <w:cantSplit/>
        </w:trPr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GEO概念</w:t>
            </w:r>
          </w:p>
        </w:tc>
        <w:tc>
          <w:tcPr>
            <w:tcW w:type="dxa" w:w="3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Paperclip映射</w:t>
            </w:r>
          </w:p>
        </w:tc>
        <w:tc>
          <w:tcPr>
            <w:tcW w:type="dxa" w:w="36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实施约束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一个品牌/客户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Company；或Company内独立Project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含秘密或数据隔离要求时优先独立Company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GEO年度/季度目标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Goal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所有Issue向上关联Goal，避免无目的内容量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阶段/工作流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Project + parent Issue + child Issues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用blockedBy表达真实依赖，不靠评论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专职Agent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Agent role + adapter + skills + budget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Writer、Auditor、Publisher分离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执行运行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Heartbeat Run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每次运行记录task、run id、成本和Artifact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产物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Issue document / attachment / work product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真实交付物上传；仅本地路径不算完成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审批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Approval / issue-thread interaction / IN_REVIEW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发布、事实和代码按revision绑定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周期监测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Routine + schedule/webhook/API trigger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设置coalesce/skip，防重复和成本失控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方法/步骤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Company Skills / SKILL.md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一个Skill一个关注点，描述写成路由逻辑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预算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Agent/Company/Goal/Issue cost policy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80%告警、100%硬停；关键监测保留预算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推荐的Paperclip组织结构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Board / Human Owners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GEO Director Agent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Research Lead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Brand &amp; Entity Researcher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Query &amp; Competitor Researcher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Evidence &amp; Quality Lead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Evidence Curator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Claim Auditor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Content &amp; Web Lead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Content Strategist / Writer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Technical Auditor / Publisher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Measurement Lead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Monitoring Agent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  Experiment Analyst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推荐Routines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8"/>
        <w:gridCol w:w="2262"/>
        <w:gridCol w:w="2262"/>
        <w:gridCol w:w="2418"/>
      </w:tblGrid>
      <w:tr>
        <w:trPr>
          <w:tblHeader w:val="true"/>
          <w:cantSplit/>
        </w:trPr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Routine</w:t>
            </w:r>
          </w:p>
        </w:tc>
        <w:tc>
          <w:tcPr>
            <w:tcW w:type="dxa" w:w="22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频率/触发</w:t>
            </w:r>
          </w:p>
        </w:tc>
        <w:tc>
          <w:tcPr>
            <w:tcW w:type="dxa" w:w="22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并发策略</w:t>
            </w:r>
          </w:p>
        </w:tc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Prompt monitoring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每周或双周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coalesce_if_active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Prompt Runs + Snapshot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Technical drift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每月 + 发布Webhook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skip_if_active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Audit diff + regressions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Claim freshness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每日检查到期；实际复核按月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coalesce_if_active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Expired/expiring claims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Citation/source drift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每月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coalesce_if_active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New/lost sources and competitor change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Executive brief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每月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skip_if_active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KPI、成本、实验、风险和决策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Method review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每季度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skip_if_active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Method Registry与policyVersion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11.5 适配选择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8"/>
        <w:gridCol w:w="6162"/>
      </w:tblGrid>
      <w:tr>
        <w:trPr>
          <w:tblHeader w:val="true"/>
          <w:cantSplit/>
        </w:trPr>
        <w:tc>
          <w:tcPr>
            <w:tcW w:type="dxa" w:w="31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情况</w:t>
            </w:r>
          </w:p>
        </w:tc>
        <w:tc>
          <w:tcPr>
            <w:tcW w:type="dxa" w:w="61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Agent在Paperclip同一主机运行</w:t>
            </w:r>
          </w:p>
        </w:tc>
        <w:tc>
          <w:tcPr>
            <w:tcW w:type="dxa" w:w="6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Hermes local、Codex local、Claude local或Process adapter</w:t>
            </w:r>
          </w:p>
        </w:tc>
      </w:tr>
      <w:tr>
        <w:trPr>
          <w:cantSplit/>
        </w:trPr>
        <w:tc>
          <w:tcPr>
            <w:tcW w:type="dxa" w:w="319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Hermes已作为服务运行</w:t>
            </w:r>
          </w:p>
        </w:tc>
        <w:tc>
          <w:tcPr>
            <w:tcW w:type="dxa" w:w="61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Hermes gateway；由Paperclip调用HTTP/SSE服务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OpenClaw已有Gateway</w:t>
            </w:r>
          </w:p>
        </w:tc>
        <w:tc>
          <w:tcPr>
            <w:tcW w:type="dxa" w:w="6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OpenClaw gateway；Paperclip负责目标、任务、预算和审计</w:t>
            </w:r>
          </w:p>
        </w:tc>
      </w:tr>
      <w:tr>
        <w:trPr>
          <w:cantSplit/>
        </w:trPr>
        <w:tc>
          <w:tcPr>
            <w:tcW w:type="dxa" w:w="319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自研远程Agent</w:t>
            </w:r>
          </w:p>
        </w:tc>
        <w:tc>
          <w:tcPr>
            <w:tcW w:type="dxa" w:w="61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HTTP adapter或外部adapter plugin，返回结构化状态、日志、成本和Artifact引用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只需要一个Agent</w:t>
            </w:r>
          </w:p>
        </w:tc>
        <w:tc>
          <w:tcPr>
            <w:tcW w:type="dxa" w:w="6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不必引入控制平面；直接用本手册目录/状态/审批即可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12. Skill与任务包模板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一个Skill只负责一个关注点。description必须写清Use when / Do not use when；正文定义输入、工具、流程、输出契约、门禁、错误和示例。Paperclip的Skill文档同样建议使用SKILL.md + YAML frontmatter，并在运行时按需加载。[S6]</w:t>
      </w:r>
    </w:p>
    <w:p>
      <w:pPr>
        <w:pStyle w:val="Heading2"/>
        <w:keepNext/>
      </w:pPr>
      <w:r>
        <w:t>12.1 标准Skill目录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skills/geo-claim-audit/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SKILL.md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references/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claim-status.md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source-evidence-policy.md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schemas/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audit-report.v1.json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scripts/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validate-links.mjs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evals/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valid.fixture.json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  mismatch.fixture.json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SKILL.md骨架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name: geo-claim-audit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description: Use after a content package is complete and before publication.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Do not use to write or rewrite the content.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# GEO Claim Audit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## Inputs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content_package manifest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approved claim ledger revision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company profile revision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## Allowed tools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read files; fetch public source URLs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## Workflow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1. Validate input schema and revisions.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2. Extract every URL, number, company/competitor claim and citation.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3. Verify source supports the exact claim.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4. Emit PASS/BROKEN/MISMATCH/UNVERIFIABLE/UNSOURCED.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5. Block publication when any Critical issue remains.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## Output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audit_report.v1.json only; no prose wrapper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## Prohibitions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Never invent a replacement source.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- Never approve a claim not present in the approved ledger.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Agent完成定义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输出文件存在且符合指定schema_version。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所有跨引用ID可以解析，sourceArtifactIds完整。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确定性校验通过；如失败，任务状态为ERROR而不是DONE。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审批要求满足；等待审批时为IN_REVIEW并有明确审批人。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run manifest包含工具/模型、耗时、成本、错误、输入/输出hash。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外部写入动作有Publication/Distribution Record和回滚点。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对未知项明确写Unknown/Not checked，不使用填充性猜测。</w:t>
      </w:r>
    </w:p>
    <w:p>
      <w:pPr>
        <w:pStyle w:val="Heading2"/>
        <w:keepNext/>
      </w:pPr>
      <w:r>
        <w:t>12.4 推荐Skill清单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54"/>
        <w:gridCol w:w="6006"/>
      </w:tblGrid>
      <w:tr>
        <w:trPr>
          <w:tblHeader w:val="true"/>
          <w:cantSplit/>
        </w:trPr>
        <w:tc>
          <w:tcPr>
            <w:tcW w:type="dxa" w:w="3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Skill</w:t>
            </w:r>
          </w:p>
        </w:tc>
        <w:tc>
          <w:tcPr>
            <w:tcW w:type="dxa" w:w="60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单一职责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geo-intake</w:t>
            </w:r>
          </w:p>
        </w:tc>
        <w:tc>
          <w:tcPr>
            <w:tcW w:type="dxa" w:w="6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企业建档与待确认问题</w:t>
            </w:r>
          </w:p>
        </w:tc>
      </w:tr>
      <w:tr>
        <w:trPr>
          <w:cantSplit/>
        </w:trPr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geo-site-audit</w:t>
            </w:r>
          </w:p>
        </w:tc>
        <w:tc>
          <w:tcPr>
            <w:tcW w:type="dxa" w:w="60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技术/抓取/内容资产基线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geo-query-research</w:t>
            </w:r>
          </w:p>
        </w:tc>
        <w:tc>
          <w:tcPr>
            <w:tcW w:type="dxa" w:w="6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关键词与Prompt Set</w:t>
            </w:r>
          </w:p>
        </w:tc>
      </w:tr>
      <w:tr>
        <w:trPr>
          <w:cantSplit/>
        </w:trPr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geo-competitor-source-map</w:t>
            </w:r>
          </w:p>
        </w:tc>
        <w:tc>
          <w:tcPr>
            <w:tcW w:type="dxa" w:w="60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竞品和来源版图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geo-evidence-curation</w:t>
            </w:r>
          </w:p>
        </w:tc>
        <w:tc>
          <w:tcPr>
            <w:tcW w:type="dxa" w:w="6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Evidence/Claim治理</w:t>
            </w:r>
          </w:p>
        </w:tc>
      </w:tr>
      <w:tr>
        <w:trPr>
          <w:cantSplit/>
        </w:trPr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geo-content-planning</w:t>
            </w:r>
          </w:p>
        </w:tc>
        <w:tc>
          <w:tcPr>
            <w:tcW w:type="dxa" w:w="60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机会与Content Plan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geo-content-authoring</w:t>
            </w:r>
          </w:p>
        </w:tc>
        <w:tc>
          <w:tcPr>
            <w:tcW w:type="dxa" w:w="6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Brief与Content Package</w:t>
            </w:r>
          </w:p>
        </w:tc>
      </w:tr>
      <w:tr>
        <w:trPr>
          <w:cantSplit/>
        </w:trPr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geo-claim-audit</w:t>
            </w:r>
          </w:p>
        </w:tc>
        <w:tc>
          <w:tcPr>
            <w:tcW w:type="dxa" w:w="60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逐条事实和来源审核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geo-publish</w:t>
            </w:r>
          </w:p>
        </w:tc>
        <w:tc>
          <w:tcPr>
            <w:tcW w:type="dxa" w:w="6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Patch/CMS草稿、上线验证和回滚</w:t>
            </w:r>
          </w:p>
        </w:tc>
      </w:tr>
      <w:tr>
        <w:trPr>
          <w:cantSplit/>
        </w:trPr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geo-monitor</w:t>
            </w:r>
          </w:p>
        </w:tc>
        <w:tc>
          <w:tcPr>
            <w:tcW w:type="dxa" w:w="60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 Runs与引用解析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geo-experiment-review</w:t>
            </w:r>
          </w:p>
        </w:tc>
        <w:tc>
          <w:tcPr>
            <w:tcW w:type="dxa" w:w="6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基线/复测和决策</w:t>
            </w:r>
          </w:p>
        </w:tc>
      </w:tr>
      <w:tr>
        <w:trPr>
          <w:cantSplit/>
        </w:trPr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geo-method-review</w:t>
            </w:r>
          </w:p>
        </w:tc>
        <w:tc>
          <w:tcPr>
            <w:tcW w:type="dxa" w:w="600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季度证据和方法更新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13. 周期任务与运营节奏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94"/>
        <w:gridCol w:w="3354"/>
        <w:gridCol w:w="2574"/>
        <w:gridCol w:w="1638"/>
      </w:tblGrid>
      <w:tr>
        <w:trPr>
          <w:tblHeader w:val="true"/>
          <w:cantSplit/>
        </w:trPr>
        <w:tc>
          <w:tcPr>
            <w:tcW w:type="dxa" w:w="17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节奏</w:t>
            </w:r>
          </w:p>
        </w:tc>
        <w:tc>
          <w:tcPr>
            <w:tcW w:type="dxa" w:w="3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动作</w:t>
            </w:r>
          </w:p>
        </w:tc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产物</w:t>
            </w:r>
          </w:p>
        </w:tc>
        <w:tc>
          <w:tcPr>
            <w:tcW w:type="dxa" w:w="1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人工关注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每次发布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上线验证 + 技术回归 + 快照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Publication Record / Audit Diff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内容是否与批准版本一致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每周/双周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核心Prompt重复测量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Prompt Runs / Snapshot</w:t>
            </w:r>
          </w:p>
        </w:tc>
        <w:tc>
          <w:tcPr>
            <w:tcW w:type="dxa" w:w="163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异常、Provider变化、引用新增/丢失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每月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KPI、成本、竞品、来源、Claim到期和实验复盘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Monthly GEO Brief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选择下一批P1机会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每季度</w:t>
            </w:r>
          </w:p>
        </w:tc>
        <w:tc>
          <w:tcPr>
            <w:tcW w:type="dxa" w:w="335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Method Registry、平台规则、Schema/Skill和安全评审</w:t>
            </w:r>
          </w:p>
        </w:tc>
        <w:tc>
          <w:tcPr>
            <w:tcW w:type="dxa" w:w="257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Policy/Skill revision</w:t>
            </w:r>
          </w:p>
        </w:tc>
        <w:tc>
          <w:tcPr>
            <w:tcW w:type="dxa" w:w="163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删除无证据启发式</w:t>
            </w:r>
          </w:p>
        </w:tc>
      </w:tr>
      <w:tr>
        <w:trPr>
          <w:cantSplit/>
        </w:trPr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每半年</w:t>
            </w:r>
          </w:p>
        </w:tc>
        <w:tc>
          <w:tcPr>
            <w:tcW w:type="dxa" w:w="3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问题集、买方、市场、竞品和内容架构重建</w:t>
            </w:r>
          </w:p>
        </w:tc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Prompt Set / Content Plan major revision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业务目标是否变化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 月报必须回答的七个问题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本期有多少计划运行、有效运行和错误？可比性是否被模型/场景变化破坏？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品牌在哪些问题被提及、被推荐或被自有域名引用？分市场/语言结果是什么？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哪些事实被错误描述或无法核验？是否存在高风险安全/合规错误？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新增、丢失和变化最大的引用来源是什么？独立/官方/社区来源结构如何？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发布了什么、依据哪些Claim、覆盖哪些问题？是否已被抓取/索引？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实验结果是ADOPT、ITERATE、ROLLBACK还是INCONCLUSIVE？成本是多少？</w:t>
      </w:r>
    </w:p>
    <w:p>
      <w:pPr>
        <w:numPr>
          <w:ilvl w:val="0"/>
          <w:numId w:val="11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下月只做哪3–5个最高价值动作？负责人、预算和审批人是谁？</w:t>
      </w:r>
    </w:p>
    <w:p>
      <w:pPr>
        <w:pStyle w:val="Heading1"/>
        <w:keepNext/>
        <w:pageBreakBefore/>
      </w:pPr>
      <w:r>
        <w:t>14. 测试与验收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8"/>
        <w:gridCol w:w="6942"/>
      </w:tblGrid>
      <w:tr>
        <w:trPr>
          <w:tblHeader w:val="true"/>
          <w:cantSplit/>
        </w:trPr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测试层</w:t>
            </w:r>
          </w:p>
        </w:tc>
        <w:tc>
          <w:tcPr>
            <w:tcW w:type="dxa" w:w="69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最低测试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Schema contract</w:t>
            </w:r>
          </w:p>
        </w:tc>
        <w:tc>
          <w:tcPr>
            <w:tcW w:type="dxa" w:w="6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有效/无效fixture；必填、enum、唯一性、版本、字段数和格式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Cross-reference</w:t>
            </w:r>
          </w:p>
        </w:tc>
        <w:tc>
          <w:tcPr>
            <w:tcW w:type="dxa" w:w="694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Content Plan引用的keyword/prompt/claim必须存在且状态允许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Deterministic audit</w:t>
            </w:r>
          </w:p>
        </w:tc>
        <w:tc>
          <w:tcPr>
            <w:tcW w:type="dxa" w:w="6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固定HTML/robots/schema/redirect/error fixture输出稳定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Failure semantics</w:t>
            </w:r>
          </w:p>
        </w:tc>
        <w:tc>
          <w:tcPr>
            <w:tcW w:type="dxa" w:w="694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超时、403、429、解析失败、Provider错误保持ERROR/NOT_CHECKED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Security</w:t>
            </w:r>
          </w:p>
        </w:tc>
        <w:tc>
          <w:tcPr>
            <w:tcW w:type="dxa" w:w="6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私网/metadata/重绑定/跳转SSRF、提示注入、secret泄露、路径穿越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Prompt extraction</w:t>
            </w:r>
          </w:p>
        </w:tc>
        <w:tc>
          <w:tcPr>
            <w:tcW w:type="dxa" w:w="694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品牌别名、否定语境、竞品同名、URL归属和多语言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 audit</w:t>
            </w:r>
          </w:p>
        </w:tc>
        <w:tc>
          <w:tcPr>
            <w:tcW w:type="dxa" w:w="6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URL可达但不支持Claim必须MISMATCH；付费墙为UNVERIFIABLE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Publication</w:t>
            </w:r>
          </w:p>
        </w:tc>
        <w:tc>
          <w:tcPr>
            <w:tcW w:type="dxa" w:w="694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未批准revision不能发布；发布失败可回滚；线上与批准hash一致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Measurement</w:t>
            </w:r>
          </w:p>
        </w:tc>
        <w:tc>
          <w:tcPr>
            <w:tcW w:type="dxa" w:w="6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场景变化不合并趋势；重复/幂等；原始答案和引用可追溯</w:t>
            </w:r>
          </w:p>
        </w:tc>
      </w:tr>
      <w:tr>
        <w:trPr>
          <w:cantSplit/>
        </w:trPr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Agent eval</w:t>
            </w:r>
          </w:p>
        </w:tc>
        <w:tc>
          <w:tcPr>
            <w:tcW w:type="dxa" w:w="694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正确使用工具、拒绝越权、未知不编造、按Schema输出、预算硬停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 上线验收门槛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一个真实品牌完整走通：Profile → Prompt → Claim → Plan → Audit → Publish → Run → Snapshot → Experiment。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任意报告中的一个指标可下钻到原始Prompt Run和引用；任意公开事实可下钻到Approved Claim和来源。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发布Agent无法在没有approval artifact时写生产环境；Writer无法读取发布密钥。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网络抓取通过SSRF/重定向/响应大小/超时测试；网页提示注入不能改变工具权限。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ERROR、NOT_CHECKED和Fixture不会被计算为真实0分、成功或生产趋势。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成本可按workspace、agent、task、provider、prompt和有效运行归集，并有硬停止。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全部Schema、Skill和Method Policy有版本；升级通过fixture和回归比较。</w:t>
      </w:r>
    </w:p>
    <w:p>
      <w:pPr>
        <w:pStyle w:val="Heading1"/>
        <w:keepNext/>
        <w:pageBreakBefore/>
      </w:pPr>
      <w:r>
        <w:t>15. 30 / 60 / 90天落地计划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8"/>
        <w:gridCol w:w="2262"/>
        <w:gridCol w:w="3978"/>
        <w:gridCol w:w="1482"/>
      </w:tblGrid>
      <w:tr>
        <w:trPr>
          <w:tblHeader w:val="true"/>
          <w:cantSplit/>
        </w:trPr>
        <w:tc>
          <w:tcPr>
            <w:tcW w:type="dxa" w:w="1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周期</w:t>
            </w:r>
          </w:p>
        </w:tc>
        <w:tc>
          <w:tcPr>
            <w:tcW w:type="dxa" w:w="22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目标</w:t>
            </w:r>
          </w:p>
        </w:tc>
        <w:tc>
          <w:tcPr>
            <w:tcW w:type="dxa" w:w="39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必须完成</w:t>
            </w:r>
          </w:p>
        </w:tc>
        <w:tc>
          <w:tcPr>
            <w:tcW w:type="dxa" w:w="14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0–30天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单品牌手工闭环</w:t>
            </w:r>
          </w:p>
        </w:tc>
        <w:tc>
          <w:tcPr>
            <w:tcW w:type="dxa" w:w="3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目录/Schema、Profile、20–50 Prompt、Claim Ledger、5页计划、人工测量基线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一个真实内容包发布并复测；全链路可追溯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31–60天</w:t>
            </w:r>
          </w:p>
        </w:tc>
        <w:tc>
          <w:tcPr>
            <w:tcW w:type="dxa" w:w="226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确定性自动化</w:t>
            </w:r>
          </w:p>
        </w:tc>
        <w:tc>
          <w:tcPr>
            <w:tcW w:type="dxa" w:w="397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技术抓取、安全Fetcher、合同校验、Claim Audit、Prompt Runner、成本/错误</w:t>
            </w:r>
          </w:p>
        </w:tc>
        <w:tc>
          <w:tcPr>
            <w:tcW w:type="dxa" w:w="148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重复运行稳定；错误透明；发布门禁可执行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61–90天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多Agent持续运营</w:t>
            </w:r>
          </w:p>
        </w:tc>
        <w:tc>
          <w:tcPr>
            <w:tcW w:type="dxa" w:w="3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角色拆分、Paperclip/队列、Routines、Approvals、实验、月报、回归测试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两轮月度复盘；一个方法被采用/回滚且有证据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首轮不要自动化的内容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事实最终审批、监管表述、竞品公开比较和法律结论。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消费界面大规模自动化，除非平台条款和授权明确。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根据启发式分数自动发布或自动删除页面。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将llms.txt、RSS、JSON-LD、字数等设置为固定AI可见度权重。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跨品牌共享原始回答、客户证据、凭证或未匿名化基准。</w:t>
      </w:r>
    </w:p>
    <w:p>
      <w:pPr>
        <w:pStyle w:val="Heading1"/>
        <w:keepNext/>
        <w:pageBreakBefore/>
      </w:pPr>
      <w:r>
        <w:t>附录A：最小文件模板</w:t>
      </w:r>
    </w:p>
    <w:p>
      <w:pPr>
        <w:pStyle w:val="Heading2"/>
        <w:keepNext/>
      </w:pPr>
      <w:r>
        <w:t>A.1 workspace.yaml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workspace_id: ws_aibox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brand_ids: [brand_maxenergy]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product_ids: [aibox, aiotsystem, smartcamera]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markets: [CN, SG, JP]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locales: [zh-CN, en-SG, ja-JP]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goals: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- improve_answer_accuracy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- increase_owned_citation_rate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permissions: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public_web_read: true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site_write: false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external_publish: false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approval_owners: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claim: product_owner@example.com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content: brand_owner@example.com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code: web_owner@example.com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retention_days: {raw_runs: 180, screenshots: 90}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content_plan.csv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page_id,priority,page_type,url_slug,target_prompt_ids,target_claim_ids,required_sections,status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edge_ai_security,p1,definition,/resources/edge-ai-security,p_001|p_004,cl_001|cl_007,direct_answer|proof|faqs,approved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ai_camera_compare,p1,comparison,/compare/ai-security-cameras,p_011|p_013,cl_020|cl_021,direct_answer|comparison_table|proof,in_review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publication_record.json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"publicationId": "pub_2026_08_001",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"contentArtifactId": "content_compare_v4",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"contentHash": "sha256:...",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"approvalIds": ["approval_claims", "approval_brand", "approval_code"],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"channel": "website_pr",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"target": {"repo": "org/site", "pr": 214, "url": "https://example.com/compare/..."},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"publishedAt": "2026-08-12T03:10:00Z",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"liveVerification": {"status": "PASS", "checkedAt": "..."},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 xml:space="preserve">  "rollbackRef": "git:commit_before_release"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附录B：方法注册表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0"/>
        <w:gridCol w:w="4680"/>
        <w:gridCol w:w="3510"/>
      </w:tblGrid>
      <w:tr>
        <w:trPr>
          <w:tblHeader w:val="true"/>
          <w:cantSplit/>
        </w:trPr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等级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证据类型</w:t>
            </w:r>
          </w:p>
        </w:tc>
        <w:tc>
          <w:tcPr>
            <w:tcW w:type="dxa" w:w="35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允许用途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平台官方文档、标准、官方安全/抓取说明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核心规则、合规和Crawler Policy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B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同行评审论文、正式基准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形成假设；需检查方法、外推和复现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可复现实验、开源实现、公开数据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工程实现和实验候选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D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厂商研究、案例、行业报告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线索和情境；披露利益关系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博客、YouTube、Reddit、社区经验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学习、问题语言和候选方法；不能直接进入评分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B.1 Method Registry字段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8"/>
        <w:gridCol w:w="6552"/>
      </w:tblGrid>
      <w:tr>
        <w:trPr>
          <w:tblHeader w:val="true"/>
          <w:cantSplit/>
        </w:trPr>
        <w:tc>
          <w:tcPr>
            <w:tcW w:type="dxa" w:w="28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字段</w:t>
            </w:r>
          </w:p>
        </w:tc>
        <w:tc>
          <w:tcPr>
            <w:tcW w:type="dxa" w:w="65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method_id / title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稳定ID与方法名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claim</w:t>
            </w:r>
          </w:p>
        </w:tc>
        <w:tc>
          <w:tcPr>
            <w:tcW w:type="dxa" w:w="65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该方法声称改善什么，不使用模糊‘GEO提升’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evidence_level / sources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A–E和直接来源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applicability</w:t>
            </w:r>
          </w:p>
        </w:tc>
        <w:tc>
          <w:tcPr>
            <w:tcW w:type="dxa" w:w="65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平台、表面、内容类型、市场、前置条件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signal_class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Core deterministic / Advisory / Experimental / Measured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validation_status</w:t>
            </w:r>
          </w:p>
        </w:tc>
        <w:tc>
          <w:tcPr>
            <w:tcW w:type="dxa" w:w="65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candidate/tested/adopted/rejected/retired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policy_version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进入哪个评分/流程版本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reviewed_at / next_review</w:t>
            </w:r>
          </w:p>
        </w:tc>
        <w:tc>
          <w:tcPr>
            <w:tcW w:type="dxa" w:w="65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7"/>
              </w:rPr>
              <w:t>规则和平台变化后的复核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附录C：AI安防试点示例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202124"/>
          <w:sz w:val="20"/>
        </w:rPr>
        <w:t>以下内容只示范数据结构，不代表MaxEnergy产品事实。任何规格、准确率、认证、客户或兼容性均必须从实际资料提取并审批。</w:t>
      </w:r>
    </w:p>
    <w:p>
      <w:pPr>
        <w:pStyle w:val="Heading2"/>
        <w:keepNext/>
      </w:pPr>
      <w:r>
        <w:t>C.1 问题簇示例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16"/>
        <w:gridCol w:w="5226"/>
        <w:gridCol w:w="2418"/>
      </w:tblGrid>
      <w:tr>
        <w:trPr>
          <w:tblHeader w:val="true"/>
          <w:cantSplit/>
        </w:trPr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类型</w:t>
            </w:r>
          </w:p>
        </w:tc>
        <w:tc>
          <w:tcPr>
            <w:tcW w:type="dxa" w:w="52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示例Prompt</w:t>
            </w:r>
          </w:p>
        </w:tc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需要的证据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Definition</w:t>
            </w:r>
          </w:p>
        </w:tc>
        <w:tc>
          <w:tcPr>
            <w:tcW w:type="dxa" w:w="5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什么是边缘AI安防盒，它与云端视频分析有什么区别？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架构说明、处理位置、网络/隐私边界</w:t>
            </w:r>
          </w:p>
        </w:tc>
      </w:tr>
      <w:tr>
        <w:trPr>
          <w:cantSplit/>
        </w:trPr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Recommendation</w:t>
            </w:r>
          </w:p>
        </w:tc>
        <w:tc>
          <w:tcPr>
            <w:tcW w:type="dxa" w:w="52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日本中小工厂应选择哪类AI视频分析设备？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适用场景、部署要求、法规/认证、成本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Comparison</w:t>
            </w:r>
          </w:p>
        </w:tc>
        <w:tc>
          <w:tcPr>
            <w:tcW w:type="dxa" w:w="5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AI Box与内置AI摄像机在改造现有CCTV时如何选择？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接口、兼容、路数、维护、性能测试</w:t>
            </w:r>
          </w:p>
        </w:tc>
      </w:tr>
      <w:tr>
        <w:trPr>
          <w:cantSplit/>
        </w:trPr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Compatibility</w:t>
            </w:r>
          </w:p>
        </w:tc>
        <w:tc>
          <w:tcPr>
            <w:tcW w:type="dxa" w:w="52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现有ONVIF摄像机能否接入AIOTSystem？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支持版本、设备清单、测试记录和例外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Trust</w:t>
            </w:r>
          </w:p>
        </w:tc>
        <w:tc>
          <w:tcPr>
            <w:tcW w:type="dxa" w:w="5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边缘AI摄像系统如何保护视频隐私和访问权限？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数据流、加密、权限、保留和安全文档</w:t>
            </w:r>
          </w:p>
        </w:tc>
      </w:tr>
      <w:tr>
        <w:trPr>
          <w:cantSplit/>
        </w:trPr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Performance</w:t>
            </w:r>
          </w:p>
        </w:tc>
        <w:tc>
          <w:tcPr>
            <w:tcW w:type="dxa" w:w="52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夜间人员/车辆识别准确率如何测量？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数据集、光照、距离、阈值、样本和不确定性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Cost</w:t>
            </w:r>
          </w:p>
        </w:tc>
        <w:tc>
          <w:tcPr>
            <w:tcW w:type="dxa" w:w="5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改造100路摄像头的AI分析成本由哪些部分组成？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硬件、许可、部署、存储、带宽、维护</w:t>
            </w:r>
          </w:p>
        </w:tc>
      </w:tr>
      <w:tr>
        <w:trPr>
          <w:cantSplit/>
        </w:trPr>
        <w:tc>
          <w:tcPr>
            <w:tcW w:type="dxa" w:w="17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Risk</w:t>
            </w:r>
          </w:p>
        </w:tc>
        <w:tc>
          <w:tcPr>
            <w:tcW w:type="dxa" w:w="522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AI视频告警误报过高时应如何诊断？</w:t>
            </w:r>
          </w:p>
        </w:tc>
        <w:tc>
          <w:tcPr>
            <w:tcW w:type="dxa" w:w="24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告警日志、阈值、场景、流程和排错指南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C.2 Claim示例（占位）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24"/>
        <w:gridCol w:w="1404"/>
        <w:gridCol w:w="3432"/>
      </w:tblGrid>
      <w:tr>
        <w:trPr>
          <w:tblHeader w:val="true"/>
          <w:cantSplit/>
        </w:trPr>
        <w:tc>
          <w:tcPr>
            <w:tcW w:type="dxa" w:w="45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Claim</w:t>
            </w:r>
          </w:p>
        </w:tc>
        <w:tc>
          <w:tcPr>
            <w:tcW w:type="dxa" w:w="1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状态</w:t>
            </w:r>
          </w:p>
        </w:tc>
        <w:tc>
          <w:tcPr>
            <w:tcW w:type="dxa" w:w="34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缺少什么</w:t>
            </w:r>
          </w:p>
        </w:tc>
      </w:tr>
      <w:tr>
        <w:trPr>
          <w:cantSplit/>
        </w:trPr>
        <w:tc>
          <w:tcPr>
            <w:tcW w:type="dxa" w:w="4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AIBOX可支持[路数]路[分辨率/帧率]视频分析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DRAFT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型号、测试条件、固件版本、正式规格页</w:t>
            </w:r>
          </w:p>
        </w:tc>
      </w:tr>
      <w:tr>
        <w:trPr>
          <w:cantSplit/>
        </w:trPr>
        <w:tc>
          <w:tcPr>
            <w:tcW w:type="dxa" w:w="45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SmartCamera符合[认证]</w:t>
            </w:r>
          </w:p>
        </w:tc>
        <w:tc>
          <w:tcPr>
            <w:tcW w:type="dxa" w:w="14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DRAFT</w:t>
            </w:r>
          </w:p>
        </w:tc>
        <w:tc>
          <w:tcPr>
            <w:tcW w:type="dxa" w:w="34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证书编号、颁发机构、适用型号和有效期</w:t>
            </w:r>
          </w:p>
        </w:tc>
      </w:tr>
      <w:tr>
        <w:trPr>
          <w:cantSplit/>
        </w:trPr>
        <w:tc>
          <w:tcPr>
            <w:tcW w:type="dxa" w:w="4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AIOTSystem兼容ONVIF [版本/Profiles]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DRAFT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兼容矩阵、测试日期、限制和例外</w:t>
            </w:r>
          </w:p>
        </w:tc>
      </w:tr>
      <w:tr>
        <w:trPr>
          <w:cantSplit/>
        </w:trPr>
        <w:tc>
          <w:tcPr>
            <w:tcW w:type="dxa" w:w="45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部署后误报降低[X%]</w:t>
            </w:r>
          </w:p>
        </w:tc>
        <w:tc>
          <w:tcPr>
            <w:tcW w:type="dxa" w:w="14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BLOCKED</w:t>
            </w:r>
          </w:p>
        </w:tc>
        <w:tc>
          <w:tcPr>
            <w:tcW w:type="dxa" w:w="34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基线、样本、场景、客户授权、统计方法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pPr>
              <w:spacing w:after="60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21"/>
              </w:rPr>
              <w:t>试点成功定义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Noto Sans SC"/>
                <w:b w:val="0"/>
                <w:i w:val="0"/>
                <w:color w:val="202124"/>
                <w:sz w:val="20"/>
              </w:rPr>
              <w:t>完成3个市场的Company Profile；批准30个Prompt；建立至少20个Approved Claims；发布1个定义页、1个比较页和1个技术/证据页；使用固定场景完成基线与一次复测；所有结果能下钻到原始回答、引用、内容revision和Claim。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附录D：开源项目如何使用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6"/>
        <w:gridCol w:w="3666"/>
        <w:gridCol w:w="2808"/>
      </w:tblGrid>
      <w:tr>
        <w:trPr>
          <w:tblHeader w:val="true"/>
          <w:cantSplit/>
        </w:trPr>
        <w:tc>
          <w:tcPr>
            <w:tcW w:type="dxa" w:w="28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项目</w:t>
            </w:r>
          </w:p>
        </w:tc>
        <w:tc>
          <w:tcPr>
            <w:tcW w:type="dxa" w:w="36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吸收内容</w:t>
            </w:r>
          </w:p>
        </w:tc>
        <w:tc>
          <w:tcPr>
            <w:tcW w:type="dxa" w:w="28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/>
                <w:i w:val="0"/>
                <w:color w:val="1F4E79"/>
                <w:sz w:val="17"/>
              </w:rPr>
              <w:t>不要照搬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Auriti geo-optimizer-skill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JSON契约、插件检查、历史/漂移、日志证据、SSRF思路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0–100分、llms.txt/实验端点权重、启发式=真实可见度</w:t>
            </w:r>
          </w:p>
        </w:tc>
      </w:tr>
      <w:tr>
        <w:trPr>
          <w:cantSplit/>
        </w:trPr>
        <w:tc>
          <w:tcPr>
            <w:tcW w:type="dxa" w:w="28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awesome-generative-engine-optimization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研究雷达、工具/论文/案例候选</w:t>
            </w:r>
          </w:p>
        </w:tc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列表收录=方法有效或来源获认可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gtm-engineer-skills</w:t>
            </w:r>
          </w:p>
        </w:tc>
        <w:tc>
          <w:tcPr>
            <w:tcW w:type="dxa" w:w="36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Brand→Prompt→Plan→Content→Audit产物链、CSV契约和交叉引用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A–F审计作为AI引用概率、全部Bot开放、抓取脚本直接公网SaaS化</w:t>
            </w:r>
          </w:p>
        </w:tc>
      </w:tr>
      <w:tr>
        <w:trPr>
          <w:cantSplit/>
        </w:trPr>
        <w:tc>
          <w:tcPr>
            <w:tcW w:type="dxa" w:w="288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Paperclip</w:t>
            </w:r>
          </w:p>
        </w:tc>
        <w:tc>
          <w:tcPr>
            <w:tcW w:type="dxa" w:w="366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Agent控制平面、目标/任务/依赖、预算、审批、Routines、Artifacts和Adapters</w:t>
            </w:r>
          </w:p>
        </w:tc>
        <w:tc>
          <w:tcPr>
            <w:tcW w:type="dxa" w:w="28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SC"/>
                <w:b w:val="0"/>
                <w:i w:val="0"/>
                <w:color w:val="202124"/>
                <w:sz w:val="16"/>
              </w:rPr>
              <w:t>把它当GEO方法或拖拽工作流；只留本地路径不上传工件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附录E：公开依据与参考</w:t>
      </w:r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[S1] </w:t>
      </w:r>
      <w:hyperlink r:id="rId11">
        <w:r>
          <w:rPr>
            <w:rFonts w:ascii="Calibri" w:hAnsi="Calibri" w:eastAsia="Noto Sans SC"/>
            <w:color w:val="2E74B5"/>
            <w:u w:val="single"/>
            <w:sz w:val="20"/>
          </w:rPr>
          <w:t>Google Search Central：AI features and your website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[S2] </w:t>
      </w:r>
      <w:hyperlink r:id="rId12">
        <w:r>
          <w:rPr>
            <w:rFonts w:ascii="Calibri" w:hAnsi="Calibri" w:eastAsia="Noto Sans SC"/>
            <w:color w:val="2E74B5"/>
            <w:u w:val="single"/>
            <w:sz w:val="20"/>
          </w:rPr>
          <w:t>OpenAI：Overview of OpenAI Crawlers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[S3] </w:t>
      </w:r>
      <w:hyperlink r:id="rId13">
        <w:r>
          <w:rPr>
            <w:rFonts w:ascii="Calibri" w:hAnsi="Calibri" w:eastAsia="Noto Sans SC"/>
            <w:color w:val="2E74B5"/>
            <w:u w:val="single"/>
            <w:sz w:val="20"/>
          </w:rPr>
          <w:t>IETF RFC 9309：Robots Exclusion Protocol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[S4] </w:t>
      </w:r>
      <w:hyperlink r:id="rId14">
        <w:r>
          <w:rPr>
            <w:rFonts w:ascii="Calibri" w:hAnsi="Calibri" w:eastAsia="Noto Sans SC"/>
            <w:color w:val="2E74B5"/>
            <w:u w:val="single"/>
            <w:sz w:val="20"/>
          </w:rPr>
          <w:t>Paperclip README：多Agent控制平面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[S5] </w:t>
      </w:r>
      <w:hyperlink r:id="rId15">
        <w:r>
          <w:rPr>
            <w:rFonts w:ascii="Calibri" w:hAnsi="Calibri" w:eastAsia="Noto Sans SC"/>
            <w:color w:val="2E74B5"/>
            <w:u w:val="single"/>
            <w:sz w:val="20"/>
          </w:rPr>
          <w:t>Paperclip Adapters Overview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[S6] </w:t>
      </w:r>
      <w:hyperlink r:id="rId16">
        <w:r>
          <w:rPr>
            <w:rFonts w:ascii="Calibri" w:hAnsi="Calibri" w:eastAsia="Noto Sans SC"/>
            <w:color w:val="2E74B5"/>
            <w:u w:val="single"/>
            <w:sz w:val="20"/>
          </w:rPr>
          <w:t>Paperclip：Writing a Skill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[S7] </w:t>
      </w:r>
      <w:hyperlink r:id="rId17">
        <w:r>
          <w:rPr>
            <w:rFonts w:ascii="Calibri" w:hAnsi="Calibri" w:eastAsia="Noto Sans SC"/>
            <w:color w:val="2E74B5"/>
            <w:u w:val="single"/>
            <w:sz w:val="20"/>
          </w:rPr>
          <w:t>Paperclip：Routines API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[S8] </w:t>
      </w:r>
      <w:hyperlink r:id="rId18">
        <w:r>
          <w:rPr>
            <w:rFonts w:ascii="Calibri" w:hAnsi="Calibri" w:eastAsia="Noto Sans SC"/>
            <w:color w:val="2E74B5"/>
            <w:u w:val="single"/>
            <w:sz w:val="20"/>
          </w:rPr>
          <w:t>GEO论文：Generative Engine Optimization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[S9] </w:t>
      </w:r>
      <w:hyperlink r:id="rId19">
        <w:r>
          <w:rPr>
            <w:rFonts w:ascii="Calibri" w:hAnsi="Calibri" w:eastAsia="Noto Sans SC"/>
            <w:color w:val="2E74B5"/>
            <w:u w:val="single"/>
            <w:sz w:val="20"/>
          </w:rPr>
          <w:t>Schema.org：Dataset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[S10] </w:t>
      </w:r>
      <w:hyperlink r:id="rId20">
        <w:r>
          <w:rPr>
            <w:rFonts w:ascii="Calibri" w:hAnsi="Calibri" w:eastAsia="Noto Sans SC"/>
            <w:color w:val="2E74B5"/>
            <w:u w:val="single"/>
            <w:sz w:val="20"/>
          </w:rPr>
          <w:t>Schema.org：Article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[S11] </w:t>
      </w:r>
      <w:hyperlink r:id="rId21">
        <w:r>
          <w:rPr>
            <w:rFonts w:ascii="Calibri" w:hAnsi="Calibri" w:eastAsia="Noto Sans SC"/>
            <w:color w:val="2E74B5"/>
            <w:u w:val="single"/>
            <w:sz w:val="20"/>
          </w:rPr>
          <w:t>Schema.org：Product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[S12] </w:t>
      </w:r>
      <w:hyperlink r:id="rId22">
        <w:r>
          <w:rPr>
            <w:rFonts w:ascii="Calibri" w:hAnsi="Calibri" w:eastAsia="Noto Sans SC"/>
            <w:color w:val="2E74B5"/>
            <w:u w:val="single"/>
            <w:sz w:val="20"/>
          </w:rPr>
          <w:t>Auriti Labs：geo-optimizer-skill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[S13] </w:t>
      </w:r>
      <w:hyperlink r:id="rId23">
        <w:r>
          <w:rPr>
            <w:rFonts w:ascii="Calibri" w:hAnsi="Calibri" w:eastAsia="Noto Sans SC"/>
            <w:color w:val="2E74B5"/>
            <w:u w:val="single"/>
            <w:sz w:val="20"/>
          </w:rPr>
          <w:t>Awesome Generative Engine Optimization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[S14] </w:t>
      </w:r>
      <w:hyperlink r:id="rId24">
        <w:r>
          <w:rPr>
            <w:rFonts w:ascii="Calibri" w:hAnsi="Calibri" w:eastAsia="Noto Sans SC"/>
            <w:color w:val="2E74B5"/>
            <w:u w:val="single"/>
            <w:sz w:val="20"/>
          </w:rPr>
          <w:t>OnVoyage：gtm-engineer-skills</w:t>
        </w:r>
      </w:hyperlink>
    </w:p>
    <w:p>
      <w:pPr>
        <w:spacing w:after="100" w:line="276" w:lineRule="auto"/>
      </w:pPr>
      <w:r>
        <w:rPr>
          <w:rFonts w:ascii="Calibri" w:hAnsi="Calibri" w:eastAsia="Noto Sans SC"/>
          <w:b/>
          <w:i w:val="0"/>
          <w:color w:val="1F4E79"/>
          <w:sz w:val="20"/>
        </w:rPr>
        <w:t xml:space="preserve">[S15] </w:t>
      </w:r>
      <w:hyperlink r:id="rId25">
        <w:r>
          <w:rPr>
            <w:rFonts w:ascii="Calibri" w:hAnsi="Calibri" w:eastAsia="Noto Sans SC"/>
            <w:color w:val="2E74B5"/>
            <w:u w:val="single"/>
            <w:sz w:val="20"/>
          </w:rPr>
          <w:t>NousResearch：Hermes Agent</w:t>
        </w:r>
      </w:hyperlink>
    </w:p>
    <w:p>
      <w:pPr>
        <w:pStyle w:val="Heading2"/>
        <w:keepNext/>
      </w:pPr>
      <w:r>
        <w:t>参考使用说明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667085"/>
          <w:sz w:val="20"/>
        </w:rPr>
        <w:t>官方平台文档和标准用于规则与安全；论文用于形成假设，不把论文中的平均提升承诺给客户；开源项目用于工程模式和产物契约，上线前仍需独立审查许可证、安全和Provider条款。YouTube、Reddit和社区文章只作为学习材料与问题线索，不能自动进入评分或对外Claim。</w:t>
      </w:r>
    </w:p>
    <w:p>
      <w:pPr>
        <w:spacing w:before="0" w:after="120" w:line="278" w:lineRule="auto"/>
      </w:pPr>
      <w:r>
        <w:rPr>
          <w:rFonts w:ascii="Calibri" w:hAnsi="Calibri" w:eastAsia="Noto Sans SC"/>
          <w:b w:val="0"/>
          <w:i w:val="0"/>
          <w:color w:val="667085"/>
          <w:sz w:val="20"/>
        </w:rPr>
        <w:t>本手册基于2026-07-14可获得的资料。平台规则、Agent适配器和模型行为会变化，因此Method Registry和Measurement Scenario必须版本化并按季度复核。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"/>
        <w:b w:val="0"/>
        <w:i w:val="0"/>
        <w:color w:val="667085"/>
        <w:sz w:val="16"/>
      </w:rPr>
      <w:t xml:space="preserve">GEO Agent 实施手册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Noto Sans SC"/>
        <w:b/>
        <w:i w:val="0"/>
        <w:color w:val="2E74B5"/>
        <w:sz w:val="17"/>
      </w:rPr>
      <w:t>GEO OPERATIONS</w:t>
    </w:r>
    <w:r>
      <w:rPr>
        <w:rFonts w:ascii="Calibri" w:hAnsi="Calibri" w:eastAsia="Noto Sans SC"/>
        <w:b w:val="0"/>
        <w:i w:val="0"/>
        <w:color w:val="667085"/>
        <w:sz w:val="16"/>
      </w:rPr>
      <w:t xml:space="preserve">   AGENT-NATIVE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Calibri" w:hAnsi="Calibri" w:eastAsia="Noto Sans SC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Noto Sans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search/docs/appearance/ai-features" TargetMode="External"/><Relationship Id="rId12" Type="http://schemas.openxmlformats.org/officeDocument/2006/relationships/hyperlink" Target="https://developers.openai.com/api/docs/bots" TargetMode="External"/><Relationship Id="rId13" Type="http://schemas.openxmlformats.org/officeDocument/2006/relationships/hyperlink" Target="https://datatracker.ietf.org/doc/html/rfc9309" TargetMode="External"/><Relationship Id="rId14" Type="http://schemas.openxmlformats.org/officeDocument/2006/relationships/hyperlink" Target="https://github.com/paperclipai/paperclip" TargetMode="External"/><Relationship Id="rId15" Type="http://schemas.openxmlformats.org/officeDocument/2006/relationships/hyperlink" Target="https://github.com/paperclipai/paperclip/blob/master/docs/adapters/overview.md" TargetMode="External"/><Relationship Id="rId16" Type="http://schemas.openxmlformats.org/officeDocument/2006/relationships/hyperlink" Target="https://github.com/paperclipai/paperclip/blob/master/docs/guides/agent-developer/writing-a-skill.md" TargetMode="External"/><Relationship Id="rId17" Type="http://schemas.openxmlformats.org/officeDocument/2006/relationships/hyperlink" Target="https://github.com/paperclipai/paperclip/blob/master/docs/api/routines.md" TargetMode="External"/><Relationship Id="rId18" Type="http://schemas.openxmlformats.org/officeDocument/2006/relationships/hyperlink" Target="https://arxiv.org/abs/2311.09735" TargetMode="External"/><Relationship Id="rId19" Type="http://schemas.openxmlformats.org/officeDocument/2006/relationships/hyperlink" Target="https://schema.org/Dataset" TargetMode="External"/><Relationship Id="rId20" Type="http://schemas.openxmlformats.org/officeDocument/2006/relationships/hyperlink" Target="https://schema.org/Article" TargetMode="External"/><Relationship Id="rId21" Type="http://schemas.openxmlformats.org/officeDocument/2006/relationships/hyperlink" Target="https://schema.org/Product" TargetMode="External"/><Relationship Id="rId22" Type="http://schemas.openxmlformats.org/officeDocument/2006/relationships/hyperlink" Target="https://github.com/Auriti-Labs/geo-optimizer-skill" TargetMode="External"/><Relationship Id="rId23" Type="http://schemas.openxmlformats.org/officeDocument/2006/relationships/hyperlink" Target="https://github.com/amplifying-ai/awesome-generative-engine-optimization" TargetMode="External"/><Relationship Id="rId24" Type="http://schemas.openxmlformats.org/officeDocument/2006/relationships/hyperlink" Target="https://github.com/onvoyage-ai/gtm-engineer-skills" TargetMode="External"/><Relationship Id="rId25" Type="http://schemas.openxmlformats.org/officeDocument/2006/relationships/hyperlink" Target="https://github.com/NousResearch/hermes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Agent 实施手册：全流程、数据契约、产物与多Agent编排</dc:title>
  <dc:subject>平台无关的AEO/GEO实施、证据治理、内容生产、发布监测和优化实验指南</dc:subject>
  <dc:creator>OpenAI Codex</dc:creator>
  <cp:keywords>GEO, AEO, AI Search, Agent, Paperclip, OpenClaw, Hermes, Evidence, Monitoring</cp:keywords>
  <dc:description>依据官方搜索平台资料、GEO研究和多个开源项目整理；不承诺第三方AI平台排名或引用。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