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2D83" w14:textId="72CFDD6B" w:rsidR="00366687" w:rsidRDefault="00D429E4" w:rsidP="00120AAD">
      <w:pPr>
        <w:pStyle w:val="Title"/>
        <w:rPr>
          <w:lang w:val="en-US"/>
        </w:rPr>
      </w:pPr>
      <w:r>
        <w:rPr>
          <w:lang w:val="en-US"/>
        </w:rPr>
        <w:t>Manual Arizona printer DCT lab</w:t>
      </w:r>
    </w:p>
    <w:sdt>
      <w:sdtPr>
        <w:rPr>
          <w:rFonts w:asciiTheme="minorHAnsi" w:eastAsiaTheme="minorHAnsi" w:hAnsiTheme="minorHAnsi" w:cstheme="minorBidi"/>
          <w:color w:val="auto"/>
          <w:kern w:val="2"/>
          <w:sz w:val="22"/>
          <w:szCs w:val="22"/>
          <w:lang w:val="en-NL"/>
          <w14:ligatures w14:val="standardContextual"/>
        </w:rPr>
        <w:id w:val="257981132"/>
        <w:docPartObj>
          <w:docPartGallery w:val="Table of Contents"/>
          <w:docPartUnique/>
        </w:docPartObj>
      </w:sdtPr>
      <w:sdtContent>
        <w:p w14:paraId="5BE57F0E" w14:textId="1EDBA705" w:rsidR="00E4050F" w:rsidRDefault="26B95AF3">
          <w:pPr>
            <w:pStyle w:val="TOCHeading"/>
          </w:pPr>
          <w:r>
            <w:t>Contents</w:t>
          </w:r>
        </w:p>
        <w:p w14:paraId="4E076ABF" w14:textId="0A66BB26" w:rsidR="00E4050F" w:rsidRDefault="00000000" w:rsidP="26B95AF3">
          <w:pPr>
            <w:pStyle w:val="TOC1"/>
            <w:tabs>
              <w:tab w:val="right" w:leader="dot" w:pos="9015"/>
            </w:tabs>
            <w:rPr>
              <w:rStyle w:val="Hyperlink"/>
              <w:noProof/>
            </w:rPr>
          </w:pPr>
          <w:r>
            <w:fldChar w:fldCharType="begin"/>
          </w:r>
          <w:r w:rsidR="00E4050F">
            <w:instrText>TOC \o "1-3" \h \z \u</w:instrText>
          </w:r>
          <w:r>
            <w:fldChar w:fldCharType="separate"/>
          </w:r>
          <w:hyperlink w:anchor="_Toc691245869">
            <w:r w:rsidR="26B95AF3" w:rsidRPr="26B95AF3">
              <w:rPr>
                <w:rStyle w:val="Hyperlink"/>
              </w:rPr>
              <w:t>Start-up and end of experiment</w:t>
            </w:r>
            <w:r w:rsidR="00E4050F">
              <w:tab/>
            </w:r>
            <w:r w:rsidR="00E4050F">
              <w:fldChar w:fldCharType="begin"/>
            </w:r>
            <w:r w:rsidR="00E4050F">
              <w:instrText>PAGEREF _Toc691245869 \h</w:instrText>
            </w:r>
            <w:r w:rsidR="00E4050F">
              <w:fldChar w:fldCharType="separate"/>
            </w:r>
            <w:r w:rsidR="00B9355D">
              <w:rPr>
                <w:noProof/>
              </w:rPr>
              <w:t>1</w:t>
            </w:r>
            <w:r w:rsidR="00E4050F">
              <w:fldChar w:fldCharType="end"/>
            </w:r>
          </w:hyperlink>
        </w:p>
        <w:p w14:paraId="0D96F6F5" w14:textId="3512CFFA" w:rsidR="00E4050F" w:rsidRDefault="00000000" w:rsidP="26B95AF3">
          <w:pPr>
            <w:pStyle w:val="TOC1"/>
            <w:tabs>
              <w:tab w:val="right" w:leader="dot" w:pos="9015"/>
            </w:tabs>
            <w:rPr>
              <w:rStyle w:val="Hyperlink"/>
              <w:noProof/>
            </w:rPr>
          </w:pPr>
          <w:hyperlink w:anchor="_Toc1985239387">
            <w:r w:rsidR="26B95AF3" w:rsidRPr="26B95AF3">
              <w:rPr>
                <w:rStyle w:val="Hyperlink"/>
              </w:rPr>
              <w:t>Performing experiments</w:t>
            </w:r>
            <w:r>
              <w:tab/>
            </w:r>
            <w:r>
              <w:fldChar w:fldCharType="begin"/>
            </w:r>
            <w:r>
              <w:instrText>PAGEREF _Toc1985239387 \h</w:instrText>
            </w:r>
            <w:r>
              <w:fldChar w:fldCharType="separate"/>
            </w:r>
            <w:r w:rsidR="00B9355D">
              <w:rPr>
                <w:noProof/>
              </w:rPr>
              <w:t>2</w:t>
            </w:r>
            <w:r>
              <w:fldChar w:fldCharType="end"/>
            </w:r>
          </w:hyperlink>
        </w:p>
        <w:p w14:paraId="738CD91C" w14:textId="701EE784" w:rsidR="00E4050F" w:rsidRDefault="00000000" w:rsidP="26B95AF3">
          <w:pPr>
            <w:pStyle w:val="TOC1"/>
            <w:tabs>
              <w:tab w:val="right" w:leader="dot" w:pos="9015"/>
            </w:tabs>
            <w:rPr>
              <w:rStyle w:val="Hyperlink"/>
              <w:noProof/>
            </w:rPr>
          </w:pPr>
          <w:hyperlink w:anchor="_Toc1558290110">
            <w:r w:rsidR="26B95AF3" w:rsidRPr="26B95AF3">
              <w:rPr>
                <w:rStyle w:val="Hyperlink"/>
              </w:rPr>
              <w:t>Overview option menu</w:t>
            </w:r>
            <w:r>
              <w:tab/>
            </w:r>
            <w:r>
              <w:fldChar w:fldCharType="begin"/>
            </w:r>
            <w:r>
              <w:instrText>PAGEREF _Toc1558290110 \h</w:instrText>
            </w:r>
            <w:r>
              <w:fldChar w:fldCharType="separate"/>
            </w:r>
            <w:r w:rsidR="00B9355D">
              <w:rPr>
                <w:noProof/>
              </w:rPr>
              <w:t>3</w:t>
            </w:r>
            <w:r>
              <w:fldChar w:fldCharType="end"/>
            </w:r>
          </w:hyperlink>
        </w:p>
        <w:p w14:paraId="7D720BA4" w14:textId="05F291DA" w:rsidR="00E4050F" w:rsidRDefault="00000000" w:rsidP="26B95AF3">
          <w:pPr>
            <w:pStyle w:val="TOC2"/>
            <w:tabs>
              <w:tab w:val="right" w:leader="dot" w:pos="9015"/>
            </w:tabs>
            <w:rPr>
              <w:rStyle w:val="Hyperlink"/>
              <w:noProof/>
            </w:rPr>
          </w:pPr>
          <w:hyperlink w:anchor="_Toc1725608650">
            <w:r w:rsidR="26B95AF3" w:rsidRPr="26B95AF3">
              <w:rPr>
                <w:rStyle w:val="Hyperlink"/>
              </w:rPr>
              <w:t>Building options</w:t>
            </w:r>
            <w:r>
              <w:tab/>
            </w:r>
            <w:r>
              <w:fldChar w:fldCharType="begin"/>
            </w:r>
            <w:r>
              <w:instrText>PAGEREF _Toc1725608650 \h</w:instrText>
            </w:r>
            <w:r>
              <w:fldChar w:fldCharType="separate"/>
            </w:r>
            <w:r w:rsidR="00B9355D">
              <w:rPr>
                <w:noProof/>
              </w:rPr>
              <w:t>3</w:t>
            </w:r>
            <w:r>
              <w:fldChar w:fldCharType="end"/>
            </w:r>
          </w:hyperlink>
        </w:p>
        <w:p w14:paraId="1B35982E" w14:textId="24226DA9" w:rsidR="00E4050F" w:rsidRDefault="00000000" w:rsidP="26B95AF3">
          <w:pPr>
            <w:pStyle w:val="TOC2"/>
            <w:tabs>
              <w:tab w:val="right" w:leader="dot" w:pos="9015"/>
            </w:tabs>
            <w:rPr>
              <w:rStyle w:val="Hyperlink"/>
              <w:noProof/>
            </w:rPr>
          </w:pPr>
          <w:hyperlink w:anchor="_Toc1938908484">
            <w:r w:rsidR="26B95AF3" w:rsidRPr="26B95AF3">
              <w:rPr>
                <w:rStyle w:val="Hyperlink"/>
              </w:rPr>
              <w:t>Homing Options</w:t>
            </w:r>
            <w:r>
              <w:tab/>
            </w:r>
            <w:r>
              <w:fldChar w:fldCharType="begin"/>
            </w:r>
            <w:r>
              <w:instrText>PAGEREF _Toc1938908484 \h</w:instrText>
            </w:r>
            <w:r>
              <w:fldChar w:fldCharType="separate"/>
            </w:r>
            <w:r w:rsidR="00B9355D">
              <w:rPr>
                <w:noProof/>
              </w:rPr>
              <w:t>3</w:t>
            </w:r>
            <w:r>
              <w:fldChar w:fldCharType="end"/>
            </w:r>
          </w:hyperlink>
        </w:p>
        <w:p w14:paraId="721BCB17" w14:textId="3D4B52AE" w:rsidR="00E4050F" w:rsidRDefault="00000000" w:rsidP="26B95AF3">
          <w:pPr>
            <w:pStyle w:val="TOC2"/>
            <w:tabs>
              <w:tab w:val="right" w:leader="dot" w:pos="9015"/>
            </w:tabs>
            <w:rPr>
              <w:rStyle w:val="Hyperlink"/>
              <w:noProof/>
            </w:rPr>
          </w:pPr>
          <w:hyperlink w:anchor="_Toc1518077769">
            <w:r w:rsidR="26B95AF3" w:rsidRPr="26B95AF3">
              <w:rPr>
                <w:rStyle w:val="Hyperlink"/>
              </w:rPr>
              <w:t>Reference Options</w:t>
            </w:r>
            <w:r>
              <w:tab/>
            </w:r>
            <w:r>
              <w:fldChar w:fldCharType="begin"/>
            </w:r>
            <w:r>
              <w:instrText>PAGEREF _Toc1518077769 \h</w:instrText>
            </w:r>
            <w:r>
              <w:fldChar w:fldCharType="separate"/>
            </w:r>
            <w:r w:rsidR="00B9355D">
              <w:rPr>
                <w:noProof/>
              </w:rPr>
              <w:t>3</w:t>
            </w:r>
            <w:r>
              <w:fldChar w:fldCharType="end"/>
            </w:r>
          </w:hyperlink>
        </w:p>
        <w:p w14:paraId="2F4B1BE8" w14:textId="26C99985" w:rsidR="00E4050F" w:rsidRDefault="00000000" w:rsidP="26B95AF3">
          <w:pPr>
            <w:pStyle w:val="TOC2"/>
            <w:tabs>
              <w:tab w:val="right" w:leader="dot" w:pos="9015"/>
            </w:tabs>
            <w:rPr>
              <w:rStyle w:val="Hyperlink"/>
              <w:noProof/>
            </w:rPr>
          </w:pPr>
          <w:hyperlink w:anchor="_Toc1522306112">
            <w:r w:rsidR="26B95AF3" w:rsidRPr="26B95AF3">
              <w:rPr>
                <w:rStyle w:val="Hyperlink"/>
              </w:rPr>
              <w:t>Feedforward options</w:t>
            </w:r>
            <w:r>
              <w:tab/>
            </w:r>
            <w:r>
              <w:fldChar w:fldCharType="begin"/>
            </w:r>
            <w:r>
              <w:instrText>PAGEREF _Toc1522306112 \h</w:instrText>
            </w:r>
            <w:r>
              <w:fldChar w:fldCharType="separate"/>
            </w:r>
            <w:r w:rsidR="00B9355D">
              <w:rPr>
                <w:noProof/>
              </w:rPr>
              <w:t>4</w:t>
            </w:r>
            <w:r>
              <w:fldChar w:fldCharType="end"/>
            </w:r>
          </w:hyperlink>
        </w:p>
        <w:p w14:paraId="6F7A5225" w14:textId="431DADE5" w:rsidR="00E4050F" w:rsidRDefault="00000000" w:rsidP="26B95AF3">
          <w:pPr>
            <w:pStyle w:val="TOC2"/>
            <w:tabs>
              <w:tab w:val="right" w:leader="dot" w:pos="9015"/>
            </w:tabs>
            <w:rPr>
              <w:rStyle w:val="Hyperlink"/>
              <w:noProof/>
            </w:rPr>
          </w:pPr>
          <w:hyperlink w:anchor="_Toc81199842">
            <w:r w:rsidR="26B95AF3" w:rsidRPr="26B95AF3">
              <w:rPr>
                <w:rStyle w:val="Hyperlink"/>
              </w:rPr>
              <w:t>Penholder options</w:t>
            </w:r>
            <w:r>
              <w:tab/>
            </w:r>
            <w:r>
              <w:fldChar w:fldCharType="begin"/>
            </w:r>
            <w:r>
              <w:instrText>PAGEREF _Toc81199842 \h</w:instrText>
            </w:r>
            <w:r>
              <w:fldChar w:fldCharType="separate"/>
            </w:r>
            <w:r w:rsidR="00B9355D">
              <w:rPr>
                <w:noProof/>
              </w:rPr>
              <w:t>4</w:t>
            </w:r>
            <w:r>
              <w:fldChar w:fldCharType="end"/>
            </w:r>
          </w:hyperlink>
        </w:p>
        <w:p w14:paraId="42AE3E7E" w14:textId="2A9B2CF1" w:rsidR="00E4050F" w:rsidRDefault="00000000" w:rsidP="26B95AF3">
          <w:pPr>
            <w:pStyle w:val="TOC1"/>
            <w:tabs>
              <w:tab w:val="right" w:leader="dot" w:pos="9015"/>
            </w:tabs>
            <w:rPr>
              <w:rStyle w:val="Hyperlink"/>
              <w:noProof/>
            </w:rPr>
          </w:pPr>
          <w:hyperlink w:anchor="_Toc607610730">
            <w:r w:rsidR="26B95AF3" w:rsidRPr="26B95AF3">
              <w:rPr>
                <w:rStyle w:val="Hyperlink"/>
              </w:rPr>
              <w:t>Overview Speedgoat commands</w:t>
            </w:r>
            <w:r>
              <w:tab/>
            </w:r>
            <w:r>
              <w:fldChar w:fldCharType="begin"/>
            </w:r>
            <w:r>
              <w:instrText>PAGEREF _Toc607610730 \h</w:instrText>
            </w:r>
            <w:r>
              <w:fldChar w:fldCharType="separate"/>
            </w:r>
            <w:r w:rsidR="00B9355D">
              <w:rPr>
                <w:noProof/>
              </w:rPr>
              <w:t>5</w:t>
            </w:r>
            <w:r>
              <w:fldChar w:fldCharType="end"/>
            </w:r>
          </w:hyperlink>
          <w:r>
            <w:fldChar w:fldCharType="end"/>
          </w:r>
        </w:p>
      </w:sdtContent>
    </w:sdt>
    <w:p w14:paraId="082D05CC" w14:textId="214C2AAF" w:rsidR="00E4050F" w:rsidRPr="00E4050F" w:rsidRDefault="00E4050F" w:rsidP="00E4050F"/>
    <w:p w14:paraId="18B8747F" w14:textId="5F4DB812" w:rsidR="00120AAD" w:rsidRDefault="26B95AF3" w:rsidP="00120AAD">
      <w:pPr>
        <w:pStyle w:val="Heading1"/>
        <w:rPr>
          <w:lang w:val="en-US"/>
        </w:rPr>
      </w:pPr>
      <w:bookmarkStart w:id="0" w:name="_Toc691245869"/>
      <w:r w:rsidRPr="26B95AF3">
        <w:rPr>
          <w:lang w:val="en-US"/>
        </w:rPr>
        <w:t>Start-up and end of experiment</w:t>
      </w:r>
      <w:bookmarkEnd w:id="0"/>
      <w:r w:rsidRPr="26B95AF3">
        <w:rPr>
          <w:lang w:val="en-US"/>
        </w:rPr>
        <w:t xml:space="preserve"> </w:t>
      </w:r>
    </w:p>
    <w:p w14:paraId="7418072B" w14:textId="2B6F8255" w:rsidR="004B4DEF" w:rsidRDefault="005142D5" w:rsidP="00B86CCF">
      <w:pPr>
        <w:rPr>
          <w:lang w:val="en-US"/>
        </w:rPr>
      </w:pPr>
      <w:r>
        <w:rPr>
          <w:lang w:val="en-US"/>
        </w:rPr>
        <w:t xml:space="preserve">At the beginning of </w:t>
      </w:r>
      <w:r w:rsidR="008148DA">
        <w:rPr>
          <w:lang w:val="en-US"/>
        </w:rPr>
        <w:t>each</w:t>
      </w:r>
      <w:r>
        <w:rPr>
          <w:lang w:val="en-US"/>
        </w:rPr>
        <w:t xml:space="preserve"> session</w:t>
      </w:r>
      <w:r w:rsidR="008148DA">
        <w:rPr>
          <w:lang w:val="en-US"/>
        </w:rPr>
        <w:t>,</w:t>
      </w:r>
      <w:r>
        <w:rPr>
          <w:lang w:val="en-US"/>
        </w:rPr>
        <w:t xml:space="preserve"> t</w:t>
      </w:r>
      <w:r w:rsidR="00120AAD" w:rsidRPr="00B86CCF">
        <w:rPr>
          <w:lang w:val="en-US"/>
        </w:rPr>
        <w:t xml:space="preserve">urn on the red (1) and blue (2) </w:t>
      </w:r>
      <w:r w:rsidR="007532B0">
        <w:rPr>
          <w:lang w:val="en-US"/>
        </w:rPr>
        <w:t xml:space="preserve">power </w:t>
      </w:r>
      <w:r w:rsidR="008C3E2A">
        <w:rPr>
          <w:lang w:val="en-US"/>
        </w:rPr>
        <w:t xml:space="preserve">button </w:t>
      </w:r>
      <w:r w:rsidR="007532B0">
        <w:rPr>
          <w:lang w:val="en-US"/>
        </w:rPr>
        <w:t>to the target system, as</w:t>
      </w:r>
      <w:r w:rsidR="00120AAD" w:rsidRPr="00B86CCF">
        <w:rPr>
          <w:lang w:val="en-US"/>
        </w:rPr>
        <w:t xml:space="preserve"> shown in </w:t>
      </w:r>
      <w:r w:rsidR="00120AAD" w:rsidRPr="00B86CCF">
        <w:rPr>
          <w:lang w:val="en-US"/>
        </w:rPr>
        <w:fldChar w:fldCharType="begin"/>
      </w:r>
      <w:r w:rsidR="00120AAD" w:rsidRPr="00B86CCF">
        <w:rPr>
          <w:lang w:val="en-US"/>
        </w:rPr>
        <w:instrText xml:space="preserve"> REF _Ref143006242 \h </w:instrText>
      </w:r>
      <w:r w:rsidR="00120AAD" w:rsidRPr="00B86CCF">
        <w:rPr>
          <w:lang w:val="en-US"/>
        </w:rPr>
      </w:r>
      <w:r w:rsidR="00120AAD" w:rsidRPr="00B86CCF">
        <w:rPr>
          <w:lang w:val="en-US"/>
        </w:rPr>
        <w:fldChar w:fldCharType="separate"/>
      </w:r>
      <w:r w:rsidR="00B9355D">
        <w:t xml:space="preserve">Figure </w:t>
      </w:r>
      <w:r w:rsidR="00B9355D">
        <w:rPr>
          <w:noProof/>
        </w:rPr>
        <w:t>1</w:t>
      </w:r>
      <w:r w:rsidR="00120AAD" w:rsidRPr="00B86CCF">
        <w:rPr>
          <w:lang w:val="en-US"/>
        </w:rPr>
        <w:fldChar w:fldCharType="end"/>
      </w:r>
      <w:r w:rsidR="00120AAD" w:rsidRPr="00B86CCF">
        <w:rPr>
          <w:lang w:val="en-US"/>
        </w:rPr>
        <w:t>.</w:t>
      </w:r>
      <w:r>
        <w:rPr>
          <w:lang w:val="en-US"/>
        </w:rPr>
        <w:t xml:space="preserve"> When done experimenting make sure to turn of the power again. </w:t>
      </w:r>
    </w:p>
    <w:p w14:paraId="2CD1FF20" w14:textId="77777777" w:rsidR="00E4050F" w:rsidRPr="00B86CCF" w:rsidRDefault="00E4050F" w:rsidP="00B86CCF">
      <w:pPr>
        <w:rPr>
          <w:lang w:val="en-US"/>
        </w:rPr>
      </w:pPr>
    </w:p>
    <w:p w14:paraId="6449F812" w14:textId="77777777" w:rsidR="00120AAD" w:rsidRDefault="00120AAD" w:rsidP="00261833">
      <w:pPr>
        <w:keepNext/>
      </w:pPr>
      <w:r w:rsidRPr="00120AAD">
        <w:rPr>
          <w:noProof/>
        </w:rPr>
        <w:drawing>
          <wp:inline distT="0" distB="0" distL="0" distR="0" wp14:anchorId="6F42BFB2" wp14:editId="3F49A0A8">
            <wp:extent cx="3352800" cy="3620052"/>
            <wp:effectExtent l="0" t="0" r="0" b="0"/>
            <wp:docPr id="25" name="Picture 24" descr="A white electronic device with red buttons&#10;&#10;Description automatically generated with medium confidence">
              <a:extLst xmlns:a="http://schemas.openxmlformats.org/drawingml/2006/main">
                <a:ext uri="{FF2B5EF4-FFF2-40B4-BE49-F238E27FC236}">
                  <a16:creationId xmlns:a16="http://schemas.microsoft.com/office/drawing/2014/main" id="{84B8CA96-C4E7-2164-8F1E-86A0B89173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white electronic device with red buttons&#10;&#10;Description automatically generated with medium confidence">
                      <a:extLst>
                        <a:ext uri="{FF2B5EF4-FFF2-40B4-BE49-F238E27FC236}">
                          <a16:creationId xmlns:a16="http://schemas.microsoft.com/office/drawing/2014/main" id="{84B8CA96-C4E7-2164-8F1E-86A0B8917392}"/>
                        </a:ext>
                      </a:extLst>
                    </pic:cNvPr>
                    <pic:cNvPicPr>
                      <a:picLocks noChangeAspect="1"/>
                    </pic:cNvPicPr>
                  </pic:nvPicPr>
                  <pic:blipFill>
                    <a:blip r:embed="rId6"/>
                    <a:stretch>
                      <a:fillRect/>
                    </a:stretch>
                  </pic:blipFill>
                  <pic:spPr>
                    <a:xfrm>
                      <a:off x="0" y="0"/>
                      <a:ext cx="3389059" cy="3659201"/>
                    </a:xfrm>
                    <a:prstGeom prst="rect">
                      <a:avLst/>
                    </a:prstGeom>
                  </pic:spPr>
                </pic:pic>
              </a:graphicData>
            </a:graphic>
          </wp:inline>
        </w:drawing>
      </w:r>
    </w:p>
    <w:p w14:paraId="223151F0" w14:textId="50FA5942" w:rsidR="00120AAD" w:rsidRDefault="00120AAD" w:rsidP="00120AAD">
      <w:pPr>
        <w:pStyle w:val="Caption"/>
        <w:rPr>
          <w:lang w:val="en-US"/>
        </w:rPr>
      </w:pPr>
      <w:bookmarkStart w:id="1" w:name="_Ref143006242"/>
      <w:r>
        <w:t xml:space="preserve">Figure </w:t>
      </w:r>
      <w:r>
        <w:fldChar w:fldCharType="begin"/>
      </w:r>
      <w:r>
        <w:instrText>SEQ Figure \* ARABIC</w:instrText>
      </w:r>
      <w:r>
        <w:fldChar w:fldCharType="separate"/>
      </w:r>
      <w:r w:rsidR="00B9355D">
        <w:rPr>
          <w:noProof/>
        </w:rPr>
        <w:t>1</w:t>
      </w:r>
      <w:r>
        <w:fldChar w:fldCharType="end"/>
      </w:r>
      <w:bookmarkEnd w:id="1"/>
      <w:r>
        <w:rPr>
          <w:lang w:val="en-US"/>
        </w:rPr>
        <w:t xml:space="preserve"> - Power </w:t>
      </w:r>
      <w:r w:rsidR="00A049CF">
        <w:rPr>
          <w:lang w:val="en-US"/>
        </w:rPr>
        <w:t xml:space="preserve">switch </w:t>
      </w:r>
      <w:r w:rsidR="00F60F00">
        <w:rPr>
          <w:lang w:val="en-US"/>
        </w:rPr>
        <w:t>target</w:t>
      </w:r>
      <w:r w:rsidR="00A049CF">
        <w:rPr>
          <w:lang w:val="en-US"/>
        </w:rPr>
        <w:t xml:space="preserve"> system</w:t>
      </w:r>
    </w:p>
    <w:p w14:paraId="64FA63EB" w14:textId="351C551E" w:rsidR="00A049CF" w:rsidRDefault="26B95AF3" w:rsidP="00A049CF">
      <w:pPr>
        <w:pStyle w:val="Heading1"/>
        <w:rPr>
          <w:lang w:val="en-US"/>
        </w:rPr>
      </w:pPr>
      <w:bookmarkStart w:id="2" w:name="_Toc1985239387"/>
      <w:r w:rsidRPr="26B95AF3">
        <w:rPr>
          <w:lang w:val="en-US"/>
        </w:rPr>
        <w:lastRenderedPageBreak/>
        <w:t>Performing experiments</w:t>
      </w:r>
      <w:bookmarkEnd w:id="2"/>
    </w:p>
    <w:p w14:paraId="26B91E1D" w14:textId="5F48FA9A" w:rsidR="003C5FBA" w:rsidRPr="003C5FBA" w:rsidRDefault="00CA77D3" w:rsidP="003C5FBA">
      <w:pPr>
        <w:rPr>
          <w:lang w:val="en-US"/>
        </w:rPr>
      </w:pPr>
      <w:r>
        <w:rPr>
          <w:lang w:val="en-US"/>
        </w:rPr>
        <w:t>When operating the Arizona printer</w:t>
      </w:r>
      <w:r w:rsidR="001E6F01">
        <w:rPr>
          <w:lang w:val="en-US"/>
        </w:rPr>
        <w:t>, the following procedure needs to be followed:</w:t>
      </w:r>
    </w:p>
    <w:p w14:paraId="6AE54942" w14:textId="435E9765" w:rsidR="00120AAD" w:rsidRDefault="00120AAD" w:rsidP="00120AAD">
      <w:pPr>
        <w:pStyle w:val="ListParagraph"/>
        <w:numPr>
          <w:ilvl w:val="0"/>
          <w:numId w:val="2"/>
        </w:numPr>
        <w:rPr>
          <w:lang w:val="en-US"/>
        </w:rPr>
      </w:pPr>
      <w:r>
        <w:rPr>
          <w:lang w:val="en-US"/>
        </w:rPr>
        <w:t xml:space="preserve">Open the </w:t>
      </w:r>
      <w:r w:rsidR="0047533B">
        <w:rPr>
          <w:lang w:val="en-US"/>
        </w:rPr>
        <w:t>MATLAB</w:t>
      </w:r>
      <w:r>
        <w:rPr>
          <w:lang w:val="en-US"/>
        </w:rPr>
        <w:t xml:space="preserve"> script</w:t>
      </w:r>
      <w:r w:rsidR="00426969">
        <w:rPr>
          <w:lang w:val="en-US"/>
        </w:rPr>
        <w:t xml:space="preserve"> </w:t>
      </w:r>
      <w:r w:rsidR="00D706A6">
        <w:rPr>
          <w:lang w:val="en-US"/>
        </w:rPr>
        <w:t>“</w:t>
      </w:r>
      <w:proofErr w:type="spellStart"/>
      <w:r w:rsidR="003710A2">
        <w:rPr>
          <w:lang w:val="en-US"/>
        </w:rPr>
        <w:t>RUN_Arizona_base_GOAT</w:t>
      </w:r>
      <w:r w:rsidR="00D706A6">
        <w:rPr>
          <w:lang w:val="en-US"/>
        </w:rPr>
        <w:t>.m</w:t>
      </w:r>
      <w:proofErr w:type="spellEnd"/>
      <w:r w:rsidR="00D706A6">
        <w:rPr>
          <w:lang w:val="en-US"/>
        </w:rPr>
        <w:t>”</w:t>
      </w:r>
      <w:r w:rsidR="00B94C53">
        <w:rPr>
          <w:lang w:val="en-US"/>
        </w:rPr>
        <w:t xml:space="preserve"> under the directory</w:t>
      </w:r>
      <w:r w:rsidR="002A27F6">
        <w:rPr>
          <w:lang w:val="en-US"/>
        </w:rPr>
        <w:t>:</w:t>
      </w:r>
      <w:r w:rsidR="00CD656F">
        <w:rPr>
          <w:lang w:val="en-US"/>
        </w:rPr>
        <w:t xml:space="preserve"> </w:t>
      </w:r>
      <w:r w:rsidR="00CD656F" w:rsidRPr="00CD656F">
        <w:rPr>
          <w:lang w:val="en-US"/>
        </w:rPr>
        <w:t>C:\Users\Arizona_PC\Desktop\Arizona\ILC\Runfiles</w:t>
      </w:r>
    </w:p>
    <w:p w14:paraId="75AAD967" w14:textId="77777777" w:rsidR="00611C9D" w:rsidRDefault="00611C9D" w:rsidP="00611C9D">
      <w:pPr>
        <w:pStyle w:val="ListParagraph"/>
        <w:ind w:left="360"/>
        <w:rPr>
          <w:lang w:val="en-US"/>
        </w:rPr>
      </w:pPr>
    </w:p>
    <w:p w14:paraId="65E29FEC" w14:textId="1EE2D031" w:rsidR="002A27F6" w:rsidRDefault="00747395" w:rsidP="002A27F6">
      <w:pPr>
        <w:pStyle w:val="ListParagraph"/>
        <w:numPr>
          <w:ilvl w:val="0"/>
          <w:numId w:val="2"/>
        </w:numPr>
        <w:rPr>
          <w:lang w:val="en-US"/>
        </w:rPr>
      </w:pPr>
      <w:r>
        <w:rPr>
          <w:lang w:val="en-US"/>
        </w:rPr>
        <w:t>Set the desired settings in the</w:t>
      </w:r>
      <w:r w:rsidR="00D706A6">
        <w:rPr>
          <w:lang w:val="en-US"/>
        </w:rPr>
        <w:t xml:space="preserve"> </w:t>
      </w:r>
      <w:r w:rsidR="0047533B">
        <w:rPr>
          <w:lang w:val="en-US"/>
        </w:rPr>
        <w:t>MATLAB</w:t>
      </w:r>
      <w:r w:rsidR="009A3F1D">
        <w:rPr>
          <w:lang w:val="en-US"/>
        </w:rPr>
        <w:t xml:space="preserve"> script under </w:t>
      </w:r>
      <w:r w:rsidR="0047671E">
        <w:rPr>
          <w:lang w:val="en-US"/>
        </w:rPr>
        <w:t>the section “</w:t>
      </w:r>
      <w:r w:rsidR="00A80CAA">
        <w:rPr>
          <w:lang w:val="en-US"/>
        </w:rPr>
        <w:t xml:space="preserve">Arizona </w:t>
      </w:r>
      <w:r>
        <w:rPr>
          <w:lang w:val="en-US"/>
        </w:rPr>
        <w:t>option</w:t>
      </w:r>
      <w:r w:rsidR="009A3F1D">
        <w:rPr>
          <w:lang w:val="en-US"/>
        </w:rPr>
        <w:t>s</w:t>
      </w:r>
      <w:r w:rsidR="0047671E">
        <w:rPr>
          <w:lang w:val="en-US"/>
        </w:rPr>
        <w:t>”</w:t>
      </w:r>
      <w:r>
        <w:rPr>
          <w:lang w:val="en-US"/>
        </w:rPr>
        <w:t xml:space="preserve">. </w:t>
      </w:r>
    </w:p>
    <w:p w14:paraId="40AE5222" w14:textId="3A8A0CF4" w:rsidR="00611C9D" w:rsidRPr="002A27F6" w:rsidRDefault="00413342" w:rsidP="002A27F6">
      <w:pPr>
        <w:pStyle w:val="ListParagraph"/>
        <w:ind w:left="360"/>
        <w:rPr>
          <w:lang w:val="en-US"/>
        </w:rPr>
      </w:pPr>
      <w:r>
        <w:rPr>
          <w:lang w:val="en-US"/>
        </w:rPr>
        <w:t>A</w:t>
      </w:r>
      <w:r w:rsidR="009F7DAD">
        <w:rPr>
          <w:lang w:val="en-US"/>
        </w:rPr>
        <w:t xml:space="preserve">n </w:t>
      </w:r>
      <w:r w:rsidR="00AB5C47">
        <w:rPr>
          <w:lang w:val="en-US"/>
        </w:rPr>
        <w:t>ove</w:t>
      </w:r>
      <w:r w:rsidR="009F7DAD">
        <w:rPr>
          <w:lang w:val="en-US"/>
        </w:rPr>
        <w:t xml:space="preserve">rview of the available </w:t>
      </w:r>
      <w:r w:rsidR="00AB5C47">
        <w:rPr>
          <w:lang w:val="en-US"/>
        </w:rPr>
        <w:t>settings</w:t>
      </w:r>
      <w:r>
        <w:rPr>
          <w:lang w:val="en-US"/>
        </w:rPr>
        <w:t xml:space="preserve"> is provided in this document</w:t>
      </w:r>
      <w:r w:rsidR="00AB5C47">
        <w:rPr>
          <w:lang w:val="en-US"/>
        </w:rPr>
        <w:t>.</w:t>
      </w:r>
    </w:p>
    <w:p w14:paraId="544A47B8" w14:textId="77777777" w:rsidR="00611C9D" w:rsidRPr="00611C9D" w:rsidRDefault="00611C9D" w:rsidP="00611C9D">
      <w:pPr>
        <w:pStyle w:val="ListParagraph"/>
        <w:ind w:left="360"/>
        <w:rPr>
          <w:lang w:val="en-US"/>
        </w:rPr>
      </w:pPr>
    </w:p>
    <w:p w14:paraId="4EB8CFB6" w14:textId="4E92A55F" w:rsidR="00371291" w:rsidRPr="00371291" w:rsidRDefault="00A232AA" w:rsidP="009A3F1D">
      <w:pPr>
        <w:pStyle w:val="ListParagraph"/>
        <w:numPr>
          <w:ilvl w:val="0"/>
          <w:numId w:val="2"/>
        </w:numPr>
        <w:rPr>
          <w:color w:val="FF0000"/>
          <w:lang w:val="en-US"/>
        </w:rPr>
      </w:pPr>
      <w:r>
        <w:rPr>
          <w:lang w:val="en-US"/>
        </w:rPr>
        <w:t xml:space="preserve">Run the </w:t>
      </w:r>
      <w:r w:rsidR="0047533B">
        <w:rPr>
          <w:lang w:val="en-US"/>
        </w:rPr>
        <w:t>MATLAB</w:t>
      </w:r>
      <w:r>
        <w:rPr>
          <w:lang w:val="en-US"/>
        </w:rPr>
        <w:t xml:space="preserve"> script with the setting </w:t>
      </w:r>
      <w:proofErr w:type="spellStart"/>
      <w:r>
        <w:rPr>
          <w:lang w:val="en-US"/>
        </w:rPr>
        <w:t>optBuild</w:t>
      </w:r>
      <w:proofErr w:type="spellEnd"/>
      <w:r>
        <w:rPr>
          <w:lang w:val="en-US"/>
        </w:rPr>
        <w:t xml:space="preserve"> = ‘true’</w:t>
      </w:r>
      <w:r w:rsidR="00E51815">
        <w:rPr>
          <w:lang w:val="en-US"/>
        </w:rPr>
        <w:t>.</w:t>
      </w:r>
      <w:r w:rsidR="00611C9D">
        <w:rPr>
          <w:lang w:val="en-US"/>
        </w:rPr>
        <w:t xml:space="preserve"> </w:t>
      </w:r>
    </w:p>
    <w:p w14:paraId="67FD4ADD" w14:textId="65809600" w:rsidR="00611C9D" w:rsidRPr="009A3F1D" w:rsidRDefault="00371291" w:rsidP="00371291">
      <w:pPr>
        <w:pStyle w:val="ListParagraph"/>
        <w:ind w:left="360"/>
        <w:rPr>
          <w:color w:val="FF0000"/>
          <w:lang w:val="en-US"/>
        </w:rPr>
      </w:pPr>
      <w:r>
        <w:rPr>
          <w:color w:val="FF0000"/>
          <w:lang w:val="en-US"/>
        </w:rPr>
        <w:t>ALWAYS MAKE SURE THE POWER SWITCH</w:t>
      </w:r>
      <w:r w:rsidR="00A232AA" w:rsidRPr="009A3F1D">
        <w:rPr>
          <w:color w:val="FF0000"/>
          <w:lang w:val="en-US"/>
        </w:rPr>
        <w:t xml:space="preserve"> </w:t>
      </w:r>
      <w:r w:rsidR="00E51815" w:rsidRPr="009A3F1D">
        <w:rPr>
          <w:color w:val="FF0000"/>
          <w:lang w:val="en-US"/>
        </w:rPr>
        <w:t>(</w:t>
      </w:r>
      <w:r w:rsidR="00E51815" w:rsidRPr="009A3F1D">
        <w:rPr>
          <w:color w:val="FF0000"/>
          <w:lang w:val="en-US"/>
        </w:rPr>
        <w:fldChar w:fldCharType="begin"/>
      </w:r>
      <w:r w:rsidR="00E51815" w:rsidRPr="009A3F1D">
        <w:rPr>
          <w:color w:val="FF0000"/>
          <w:lang w:val="en-US"/>
        </w:rPr>
        <w:instrText xml:space="preserve"> REF _Ref143006418 \h </w:instrText>
      </w:r>
      <w:r w:rsidR="00E51815" w:rsidRPr="009A3F1D">
        <w:rPr>
          <w:color w:val="FF0000"/>
          <w:lang w:val="en-US"/>
        </w:rPr>
      </w:r>
      <w:r w:rsidR="00E51815" w:rsidRPr="009A3F1D">
        <w:rPr>
          <w:color w:val="FF0000"/>
          <w:lang w:val="en-US"/>
        </w:rPr>
        <w:fldChar w:fldCharType="separate"/>
      </w:r>
      <w:r w:rsidR="00B9355D">
        <w:t xml:space="preserve">Figure </w:t>
      </w:r>
      <w:r w:rsidR="00B9355D">
        <w:rPr>
          <w:noProof/>
        </w:rPr>
        <w:t>2</w:t>
      </w:r>
      <w:r w:rsidR="00E51815" w:rsidRPr="009A3F1D">
        <w:rPr>
          <w:color w:val="FF0000"/>
          <w:lang w:val="en-US"/>
        </w:rPr>
        <w:fldChar w:fldCharType="end"/>
      </w:r>
      <w:r w:rsidR="00E51815" w:rsidRPr="009A3F1D">
        <w:rPr>
          <w:color w:val="FF0000"/>
          <w:lang w:val="en-US"/>
        </w:rPr>
        <w:t xml:space="preserve">) </w:t>
      </w:r>
      <w:r>
        <w:rPr>
          <w:color w:val="FF0000"/>
          <w:lang w:val="en-US"/>
        </w:rPr>
        <w:t>IS TURNED OFF WHEN BUILDING!</w:t>
      </w:r>
    </w:p>
    <w:p w14:paraId="47FC1192" w14:textId="77777777" w:rsidR="00611C9D" w:rsidRPr="00611C9D" w:rsidRDefault="00611C9D" w:rsidP="00611C9D">
      <w:pPr>
        <w:pStyle w:val="ListParagraph"/>
        <w:rPr>
          <w:lang w:val="en-US"/>
        </w:rPr>
      </w:pPr>
    </w:p>
    <w:p w14:paraId="7493289F" w14:textId="5CE3D9C8" w:rsidR="7D993F11" w:rsidRDefault="7D993F11" w:rsidP="7D993F11">
      <w:pPr>
        <w:pStyle w:val="ListParagraph"/>
        <w:numPr>
          <w:ilvl w:val="0"/>
          <w:numId w:val="2"/>
        </w:numPr>
        <w:rPr>
          <w:lang w:val="en-US"/>
        </w:rPr>
      </w:pPr>
      <w:r w:rsidRPr="7D993F11">
        <w:rPr>
          <w:lang w:val="en-US"/>
        </w:rPr>
        <w:t xml:space="preserve">Run the MATLAB script with the setting </w:t>
      </w:r>
      <w:proofErr w:type="spellStart"/>
      <w:r w:rsidRPr="7D993F11">
        <w:rPr>
          <w:lang w:val="en-US"/>
        </w:rPr>
        <w:t>optBuild</w:t>
      </w:r>
      <w:proofErr w:type="spellEnd"/>
      <w:r w:rsidRPr="7D993F11">
        <w:rPr>
          <w:lang w:val="en-US"/>
        </w:rPr>
        <w:t xml:space="preserve"> = ‘false’. The trial data figure will be opened. When the prompt "Confirm that the reference stays within bounds!” </w:t>
      </w:r>
      <w:r w:rsidR="005F2F82">
        <w:rPr>
          <w:lang w:val="en-US"/>
        </w:rPr>
        <w:t xml:space="preserve">is shown, </w:t>
      </w:r>
      <w:r w:rsidRPr="7D993F11">
        <w:rPr>
          <w:lang w:val="en-US"/>
        </w:rPr>
        <w:t>check the loaded reference with respect to the Arizona bounds and the selected home position in the trial data figure.</w:t>
      </w:r>
    </w:p>
    <w:p w14:paraId="1FB23063" w14:textId="77777777" w:rsidR="00190B07" w:rsidRPr="00190B07" w:rsidRDefault="00190B07" w:rsidP="00190B07">
      <w:pPr>
        <w:pStyle w:val="ListParagraph"/>
        <w:rPr>
          <w:lang w:val="en-US"/>
        </w:rPr>
      </w:pPr>
    </w:p>
    <w:p w14:paraId="75578EA6" w14:textId="4DCBA726" w:rsidR="7D993F11" w:rsidRPr="00FC12B9" w:rsidRDefault="00611C9D" w:rsidP="7D993F11">
      <w:pPr>
        <w:pStyle w:val="ListParagraph"/>
        <w:numPr>
          <w:ilvl w:val="0"/>
          <w:numId w:val="2"/>
        </w:numPr>
        <w:rPr>
          <w:lang w:val="en-US"/>
        </w:rPr>
      </w:pPr>
      <w:r w:rsidRPr="00D37DFC">
        <w:rPr>
          <w:lang w:val="en-US"/>
        </w:rPr>
        <w:t>When the prompt</w:t>
      </w:r>
      <w:r w:rsidR="00E70EC3" w:rsidRPr="00D37DFC">
        <w:rPr>
          <w:lang w:val="en-US"/>
        </w:rPr>
        <w:t xml:space="preserve"> “Confirm that the Arizona power switch is on!” </w:t>
      </w:r>
      <w:r w:rsidR="00AA7B0F" w:rsidRPr="00D37DFC">
        <w:rPr>
          <w:lang w:val="en-US"/>
        </w:rPr>
        <w:t>i</w:t>
      </w:r>
      <w:r w:rsidR="006C3F61" w:rsidRPr="00D37DFC">
        <w:rPr>
          <w:lang w:val="en-US"/>
        </w:rPr>
        <w:t>s shown,</w:t>
      </w:r>
      <w:r w:rsidR="00AA7B0F" w:rsidRPr="00D37DFC">
        <w:rPr>
          <w:lang w:val="en-US"/>
        </w:rPr>
        <w:t xml:space="preserve"> </w:t>
      </w:r>
      <w:r w:rsidR="006C3F61" w:rsidRPr="00D37DFC">
        <w:rPr>
          <w:lang w:val="en-US"/>
        </w:rPr>
        <w:t>turn</w:t>
      </w:r>
      <w:r w:rsidR="00AA7B0F" w:rsidRPr="00D37DFC">
        <w:rPr>
          <w:lang w:val="en-US"/>
        </w:rPr>
        <w:t xml:space="preserve"> </w:t>
      </w:r>
      <w:r w:rsidR="006C3F61" w:rsidRPr="00D37DFC">
        <w:rPr>
          <w:lang w:val="en-US"/>
        </w:rPr>
        <w:t>switch (1) and press button (2)</w:t>
      </w:r>
      <w:r w:rsidR="00D37DFC">
        <w:rPr>
          <w:lang w:val="en-US"/>
        </w:rPr>
        <w:t xml:space="preserve">, </w:t>
      </w:r>
      <w:r w:rsidR="00337C09">
        <w:rPr>
          <w:lang w:val="en-US"/>
        </w:rPr>
        <w:t xml:space="preserve">as </w:t>
      </w:r>
      <w:r w:rsidR="00D37DFC">
        <w:rPr>
          <w:lang w:val="en-US"/>
        </w:rPr>
        <w:t xml:space="preserve">shown in </w:t>
      </w:r>
      <w:r w:rsidR="00D37DFC">
        <w:rPr>
          <w:lang w:val="en-US"/>
        </w:rPr>
        <w:fldChar w:fldCharType="begin"/>
      </w:r>
      <w:r w:rsidR="00D37DFC">
        <w:rPr>
          <w:lang w:val="en-US"/>
        </w:rPr>
        <w:instrText xml:space="preserve"> REF _Ref143006418 \h </w:instrText>
      </w:r>
      <w:r w:rsidR="00D37DFC">
        <w:rPr>
          <w:lang w:val="en-US"/>
        </w:rPr>
      </w:r>
      <w:r w:rsidR="00D37DFC">
        <w:rPr>
          <w:lang w:val="en-US"/>
        </w:rPr>
        <w:fldChar w:fldCharType="separate"/>
      </w:r>
      <w:r w:rsidR="00B9355D">
        <w:t xml:space="preserve">Figure </w:t>
      </w:r>
      <w:r w:rsidR="00B9355D">
        <w:rPr>
          <w:noProof/>
        </w:rPr>
        <w:t>2</w:t>
      </w:r>
      <w:r w:rsidR="00D37DFC">
        <w:rPr>
          <w:lang w:val="en-US"/>
        </w:rPr>
        <w:fldChar w:fldCharType="end"/>
      </w:r>
      <w:r w:rsidR="003F4D3D">
        <w:rPr>
          <w:lang w:val="en-US"/>
        </w:rPr>
        <w:t>.</w:t>
      </w:r>
      <w:r w:rsidR="00882D9D">
        <w:rPr>
          <w:lang w:val="en-US"/>
        </w:rPr>
        <w:t xml:space="preserve"> </w:t>
      </w:r>
    </w:p>
    <w:p w14:paraId="0810669F" w14:textId="4C475B2F" w:rsidR="002D0C3B" w:rsidRDefault="002D0C3B" w:rsidP="002D0C3B">
      <w:pPr>
        <w:rPr>
          <w:lang w:val="en-US"/>
        </w:rPr>
      </w:pPr>
      <w:r>
        <w:rPr>
          <w:noProof/>
        </w:rPr>
        <w:drawing>
          <wp:inline distT="0" distB="0" distL="0" distR="0" wp14:anchorId="6881E899" wp14:editId="3E296147">
            <wp:extent cx="3875774" cy="2230582"/>
            <wp:effectExtent l="0" t="0" r="0" b="0"/>
            <wp:docPr id="27665790" name="Picture 4" descr="A close up of a power out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898317" cy="2243556"/>
                    </a:xfrm>
                    <a:prstGeom prst="rect">
                      <a:avLst/>
                    </a:prstGeom>
                  </pic:spPr>
                </pic:pic>
              </a:graphicData>
            </a:graphic>
          </wp:inline>
        </w:drawing>
      </w:r>
    </w:p>
    <w:p w14:paraId="07622D48" w14:textId="7B82D46E" w:rsidR="002D0C3B" w:rsidRPr="002D0C3B" w:rsidRDefault="002D0C3B" w:rsidP="00242A95">
      <w:pPr>
        <w:pStyle w:val="Caption"/>
        <w:rPr>
          <w:lang w:val="en-US"/>
        </w:rPr>
      </w:pPr>
      <w:bookmarkStart w:id="3" w:name="_Ref143006418"/>
      <w:r>
        <w:t xml:space="preserve">Figure </w:t>
      </w:r>
      <w:r>
        <w:fldChar w:fldCharType="begin"/>
      </w:r>
      <w:r>
        <w:instrText>SEQ Figure \* ARABIC</w:instrText>
      </w:r>
      <w:r>
        <w:fldChar w:fldCharType="separate"/>
      </w:r>
      <w:r w:rsidR="00B9355D">
        <w:rPr>
          <w:noProof/>
        </w:rPr>
        <w:t>2</w:t>
      </w:r>
      <w:r>
        <w:fldChar w:fldCharType="end"/>
      </w:r>
      <w:bookmarkEnd w:id="3"/>
      <w:r>
        <w:rPr>
          <w:lang w:val="en-US"/>
        </w:rPr>
        <w:t xml:space="preserve"> – Power switch </w:t>
      </w:r>
      <w:r w:rsidR="000D3F39">
        <w:rPr>
          <w:lang w:val="en-US"/>
        </w:rPr>
        <w:t>Arizona</w:t>
      </w:r>
    </w:p>
    <w:p w14:paraId="511DC220" w14:textId="6488A49E" w:rsidR="79A18E82" w:rsidRPr="001B48D0" w:rsidRDefault="79A18E82" w:rsidP="001B48D0">
      <w:pPr>
        <w:pStyle w:val="ListParagraph"/>
        <w:numPr>
          <w:ilvl w:val="0"/>
          <w:numId w:val="2"/>
        </w:numPr>
        <w:rPr>
          <w:lang w:val="en-US"/>
        </w:rPr>
      </w:pPr>
      <w:r w:rsidRPr="79A18E82">
        <w:rPr>
          <w:lang w:val="en-US"/>
        </w:rPr>
        <w:t>When the prompt “Apply feedforward signal?” is shown, make sure to check the feedforward signal in the trial data figure. After confirming, the homing sequence will start. When the homing sequence is completed the trial sequence will begin immediately. Repeat this step until the desired number of trials are completed.</w:t>
      </w:r>
    </w:p>
    <w:p w14:paraId="6E64E74E" w14:textId="3FE1BB4E" w:rsidR="7D993F11" w:rsidRDefault="7D993F11" w:rsidP="7D993F11">
      <w:pPr>
        <w:pStyle w:val="ListParagraph"/>
        <w:ind w:left="0"/>
        <w:rPr>
          <w:lang w:val="en-US"/>
        </w:rPr>
      </w:pPr>
    </w:p>
    <w:p w14:paraId="371F5280" w14:textId="0F8FA9D3" w:rsidR="00F132B8" w:rsidRDefault="7D993F11" w:rsidP="00F132B8">
      <w:pPr>
        <w:pStyle w:val="ListParagraph"/>
        <w:numPr>
          <w:ilvl w:val="0"/>
          <w:numId w:val="2"/>
        </w:numPr>
        <w:rPr>
          <w:lang w:val="en-US"/>
        </w:rPr>
      </w:pPr>
      <w:r w:rsidRPr="7D993F11">
        <w:rPr>
          <w:lang w:val="en-US"/>
        </w:rPr>
        <w:t xml:space="preserve">After completing the specified number of trials, the prompt “Continue Experimenting?” will be shown. </w:t>
      </w:r>
    </w:p>
    <w:p w14:paraId="664FAD9B" w14:textId="5755AF19" w:rsidR="00352924" w:rsidRDefault="7D993F11" w:rsidP="00F0569E">
      <w:pPr>
        <w:pStyle w:val="ListParagraph"/>
        <w:numPr>
          <w:ilvl w:val="1"/>
          <w:numId w:val="2"/>
        </w:numPr>
        <w:rPr>
          <w:lang w:val="en-US"/>
        </w:rPr>
      </w:pPr>
      <w:r w:rsidRPr="7D993F11">
        <w:rPr>
          <w:lang w:val="en-US"/>
        </w:rPr>
        <w:t>“Yes”: A new experiment can be started without rebuilding. Rerun the MATLAB script with the updated settings. Note that changes that will affect the Simulink model e.g., changed array length of reference will require a rebuild.</w:t>
      </w:r>
    </w:p>
    <w:p w14:paraId="63B66B39" w14:textId="77777777" w:rsidR="00F96EB3" w:rsidRPr="00F0569E" w:rsidRDefault="00F96EB3" w:rsidP="00F96EB3">
      <w:pPr>
        <w:pStyle w:val="ListParagraph"/>
        <w:ind w:left="1080"/>
        <w:rPr>
          <w:lang w:val="en-US"/>
        </w:rPr>
      </w:pPr>
    </w:p>
    <w:p w14:paraId="775C1CB6" w14:textId="31451FC0" w:rsidR="7D993F11" w:rsidRPr="001B48D0" w:rsidRDefault="00637245" w:rsidP="001B48D0">
      <w:pPr>
        <w:pStyle w:val="ListParagraph"/>
        <w:numPr>
          <w:ilvl w:val="1"/>
          <w:numId w:val="2"/>
        </w:numPr>
        <w:rPr>
          <w:lang w:val="en-US"/>
        </w:rPr>
      </w:pPr>
      <w:r>
        <w:rPr>
          <w:lang w:val="en-US"/>
        </w:rPr>
        <w:t xml:space="preserve">“No”: </w:t>
      </w:r>
      <w:r w:rsidR="008966DB">
        <w:rPr>
          <w:lang w:val="en-US"/>
        </w:rPr>
        <w:t xml:space="preserve"> The </w:t>
      </w:r>
      <w:r w:rsidR="000D3F39">
        <w:rPr>
          <w:lang w:val="en-US"/>
        </w:rPr>
        <w:t xml:space="preserve">Simulink run will be stopped. Make sure to </w:t>
      </w:r>
      <w:r w:rsidR="00F96EB3">
        <w:rPr>
          <w:lang w:val="en-US"/>
        </w:rPr>
        <w:t xml:space="preserve">turn off the power to the Arizona again by pressing button (3) and turning switch (1) in </w:t>
      </w:r>
      <w:r w:rsidR="00F96EB3">
        <w:rPr>
          <w:lang w:val="en-US"/>
        </w:rPr>
        <w:fldChar w:fldCharType="begin"/>
      </w:r>
      <w:r w:rsidR="00F96EB3">
        <w:rPr>
          <w:lang w:val="en-US"/>
        </w:rPr>
        <w:instrText xml:space="preserve"> REF _Ref143006418 \h </w:instrText>
      </w:r>
      <w:r w:rsidR="00F96EB3">
        <w:rPr>
          <w:lang w:val="en-US"/>
        </w:rPr>
      </w:r>
      <w:r w:rsidR="00F96EB3">
        <w:rPr>
          <w:lang w:val="en-US"/>
        </w:rPr>
        <w:fldChar w:fldCharType="separate"/>
      </w:r>
      <w:r w:rsidR="00B9355D">
        <w:t xml:space="preserve">Figure </w:t>
      </w:r>
      <w:r w:rsidR="00B9355D">
        <w:rPr>
          <w:noProof/>
        </w:rPr>
        <w:t>2</w:t>
      </w:r>
      <w:r w:rsidR="00F96EB3">
        <w:rPr>
          <w:lang w:val="en-US"/>
        </w:rPr>
        <w:fldChar w:fldCharType="end"/>
      </w:r>
      <w:r w:rsidR="00F96EB3">
        <w:rPr>
          <w:lang w:val="en-US"/>
        </w:rPr>
        <w:t xml:space="preserve">. </w:t>
      </w:r>
      <w:r w:rsidR="00EF0065">
        <w:rPr>
          <w:lang w:val="en-US"/>
        </w:rPr>
        <w:t xml:space="preserve">If starting a new experiment </w:t>
      </w:r>
      <w:r w:rsidR="00AF47BF">
        <w:rPr>
          <w:lang w:val="en-US"/>
        </w:rPr>
        <w:t>redo the procedure.</w:t>
      </w:r>
    </w:p>
    <w:p w14:paraId="2937F579" w14:textId="59349DC2" w:rsidR="00FD3F64" w:rsidRDefault="26B95AF3" w:rsidP="001B5EE7">
      <w:pPr>
        <w:pStyle w:val="Heading1"/>
        <w:rPr>
          <w:lang w:val="en-US"/>
        </w:rPr>
      </w:pPr>
      <w:bookmarkStart w:id="4" w:name="_Toc1558290110"/>
      <w:r w:rsidRPr="26B95AF3">
        <w:rPr>
          <w:lang w:val="en-US"/>
        </w:rPr>
        <w:lastRenderedPageBreak/>
        <w:t>Overview option menu</w:t>
      </w:r>
      <w:bookmarkEnd w:id="4"/>
    </w:p>
    <w:p w14:paraId="2841F44B" w14:textId="0FFB005E" w:rsidR="0018230B" w:rsidRPr="0018230B" w:rsidRDefault="0018230B" w:rsidP="0018230B">
      <w:pPr>
        <w:rPr>
          <w:lang w:val="en-US"/>
        </w:rPr>
      </w:pPr>
      <w:r>
        <w:rPr>
          <w:lang w:val="en-US"/>
        </w:rPr>
        <w:t xml:space="preserve">The option menu is added such that the Arizona can mainly be </w:t>
      </w:r>
      <w:r w:rsidR="0039278A">
        <w:rPr>
          <w:lang w:val="en-US"/>
        </w:rPr>
        <w:t>operated</w:t>
      </w:r>
      <w:r>
        <w:rPr>
          <w:lang w:val="en-US"/>
        </w:rPr>
        <w:t xml:space="preserve"> </w:t>
      </w:r>
      <w:r w:rsidR="0039278A">
        <w:rPr>
          <w:lang w:val="en-US"/>
        </w:rPr>
        <w:t xml:space="preserve">by only making changes to this part of the MATLAB code. </w:t>
      </w:r>
      <w:r w:rsidR="00CF7522">
        <w:rPr>
          <w:lang w:val="en-US"/>
        </w:rPr>
        <w:t>The available options are:</w:t>
      </w:r>
    </w:p>
    <w:p w14:paraId="6303AF9A" w14:textId="4F0D78F3" w:rsidR="00795417" w:rsidRDefault="26B95AF3" w:rsidP="00307633">
      <w:pPr>
        <w:pStyle w:val="Heading2"/>
        <w:rPr>
          <w:lang w:val="en-US"/>
        </w:rPr>
      </w:pPr>
      <w:bookmarkStart w:id="5" w:name="_Toc1725608650"/>
      <w:r w:rsidRPr="26B95AF3">
        <w:rPr>
          <w:lang w:val="en-US"/>
        </w:rPr>
        <w:t>Building options</w:t>
      </w:r>
      <w:bookmarkEnd w:id="5"/>
    </w:p>
    <w:p w14:paraId="32A02CF5" w14:textId="05189EF1" w:rsidR="0088299A" w:rsidRDefault="00CE3D72" w:rsidP="00795417">
      <w:pPr>
        <w:rPr>
          <w:lang w:val="en-US"/>
        </w:rPr>
      </w:pPr>
      <w:r w:rsidRPr="00CE3D72">
        <w:rPr>
          <w:noProof/>
          <w:lang w:val="en-US"/>
        </w:rPr>
        <w:drawing>
          <wp:inline distT="0" distB="0" distL="0" distR="0" wp14:anchorId="7BC70731" wp14:editId="2DBEA71E">
            <wp:extent cx="4727702" cy="144780"/>
            <wp:effectExtent l="0" t="0" r="0" b="7620"/>
            <wp:docPr id="86529592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95923" name="Picture 1" descr="A white background with black dots&#10;&#10;Description automatically generated"/>
                    <pic:cNvPicPr/>
                  </pic:nvPicPr>
                  <pic:blipFill rotWithShape="1">
                    <a:blip r:embed="rId8"/>
                    <a:srcRect t="26922" b="48658"/>
                    <a:stretch/>
                  </pic:blipFill>
                  <pic:spPr bwMode="auto">
                    <a:xfrm>
                      <a:off x="0" y="0"/>
                      <a:ext cx="4740051" cy="145158"/>
                    </a:xfrm>
                    <a:prstGeom prst="rect">
                      <a:avLst/>
                    </a:prstGeom>
                    <a:ln>
                      <a:noFill/>
                    </a:ln>
                    <a:extLst>
                      <a:ext uri="{53640926-AAD7-44D8-BBD7-CCE9431645EC}">
                        <a14:shadowObscured xmlns:a14="http://schemas.microsoft.com/office/drawing/2010/main"/>
                      </a:ext>
                    </a:extLst>
                  </pic:spPr>
                </pic:pic>
              </a:graphicData>
            </a:graphic>
          </wp:inline>
        </w:drawing>
      </w:r>
    </w:p>
    <w:p w14:paraId="09B8C51A" w14:textId="47A43CA5" w:rsidR="00795417" w:rsidRDefault="7D993F11" w:rsidP="00795417">
      <w:pPr>
        <w:rPr>
          <w:lang w:val="en-US"/>
        </w:rPr>
      </w:pPr>
      <w:r w:rsidRPr="7D993F11">
        <w:rPr>
          <w:lang w:val="en-US"/>
        </w:rPr>
        <w:t xml:space="preserve">This setting controls building of the Simulink model and loading it to the target. When starting a new experiment session, the model needs to be built. Always make sure that the Arizona power switch is turned off when building the model. A rebuild is only necessary when changes affect the Simulink model. </w:t>
      </w:r>
    </w:p>
    <w:p w14:paraId="6494A8DC" w14:textId="361EDB7C" w:rsidR="0045618E" w:rsidRPr="00795417" w:rsidRDefault="0045618E" w:rsidP="00795417">
      <w:pPr>
        <w:rPr>
          <w:lang w:val="en-US"/>
        </w:rPr>
      </w:pPr>
      <w:r w:rsidRPr="00CE3D72">
        <w:rPr>
          <w:noProof/>
          <w:lang w:val="en-US"/>
        </w:rPr>
        <w:drawing>
          <wp:inline distT="0" distB="0" distL="0" distR="0" wp14:anchorId="58D6FC89" wp14:editId="332BF9A2">
            <wp:extent cx="4727702" cy="128905"/>
            <wp:effectExtent l="0" t="0" r="0" b="4445"/>
            <wp:docPr id="1827410680" name="Picture 1827410680"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95923" name="Picture 1" descr="A white background with black dots&#10;&#10;Description automatically generated"/>
                    <pic:cNvPicPr/>
                  </pic:nvPicPr>
                  <pic:blipFill rotWithShape="1">
                    <a:blip r:embed="rId8"/>
                    <a:srcRect t="50057" b="28200"/>
                    <a:stretch/>
                  </pic:blipFill>
                  <pic:spPr bwMode="auto">
                    <a:xfrm>
                      <a:off x="0" y="0"/>
                      <a:ext cx="4740051" cy="129242"/>
                    </a:xfrm>
                    <a:prstGeom prst="rect">
                      <a:avLst/>
                    </a:prstGeom>
                    <a:ln>
                      <a:noFill/>
                    </a:ln>
                    <a:extLst>
                      <a:ext uri="{53640926-AAD7-44D8-BBD7-CCE9431645EC}">
                        <a14:shadowObscured xmlns:a14="http://schemas.microsoft.com/office/drawing/2010/main"/>
                      </a:ext>
                    </a:extLst>
                  </pic:spPr>
                </pic:pic>
              </a:graphicData>
            </a:graphic>
          </wp:inline>
        </w:drawing>
      </w:r>
    </w:p>
    <w:p w14:paraId="3BA16EAE" w14:textId="165457A1" w:rsidR="00FD3F64" w:rsidRDefault="00307633" w:rsidP="00307633">
      <w:pPr>
        <w:rPr>
          <w:lang w:val="en-US"/>
        </w:rPr>
      </w:pPr>
      <w:r>
        <w:rPr>
          <w:lang w:val="en-US"/>
        </w:rPr>
        <w:t xml:space="preserve">When </w:t>
      </w:r>
      <w:r w:rsidR="009B65B6">
        <w:rPr>
          <w:lang w:val="en-US"/>
        </w:rPr>
        <w:t>set to “</w:t>
      </w:r>
      <w:r w:rsidR="00540753">
        <w:rPr>
          <w:lang w:val="en-US"/>
        </w:rPr>
        <w:t>t</w:t>
      </w:r>
      <w:r w:rsidR="009B65B6">
        <w:rPr>
          <w:lang w:val="en-US"/>
        </w:rPr>
        <w:t xml:space="preserve">rue” the data inspector in Simulink will be opened. </w:t>
      </w:r>
      <w:r w:rsidR="00427901">
        <w:rPr>
          <w:lang w:val="en-US"/>
        </w:rPr>
        <w:t xml:space="preserve">The </w:t>
      </w:r>
      <w:proofErr w:type="spellStart"/>
      <w:r w:rsidR="00853721">
        <w:rPr>
          <w:lang w:val="en-US"/>
        </w:rPr>
        <w:t>S</w:t>
      </w:r>
      <w:r w:rsidR="00427901">
        <w:rPr>
          <w:lang w:val="en-US"/>
        </w:rPr>
        <w:t>peedgoat</w:t>
      </w:r>
      <w:proofErr w:type="spellEnd"/>
      <w:r w:rsidR="00427901">
        <w:rPr>
          <w:lang w:val="en-US"/>
        </w:rPr>
        <w:t xml:space="preserve"> </w:t>
      </w:r>
      <w:r w:rsidR="00271EFE">
        <w:rPr>
          <w:lang w:val="en-US"/>
        </w:rPr>
        <w:t>tracks signals</w:t>
      </w:r>
      <w:r w:rsidR="00427901">
        <w:rPr>
          <w:lang w:val="en-US"/>
        </w:rPr>
        <w:t xml:space="preserve"> via the </w:t>
      </w:r>
      <w:r w:rsidR="00271EFE">
        <w:rPr>
          <w:lang w:val="en-US"/>
        </w:rPr>
        <w:t xml:space="preserve">Simulink </w:t>
      </w:r>
      <w:r w:rsidR="007069FD">
        <w:rPr>
          <w:lang w:val="en-US"/>
        </w:rPr>
        <w:t>option “Log Signal”</w:t>
      </w:r>
      <w:r w:rsidR="00427901">
        <w:rPr>
          <w:lang w:val="en-US"/>
        </w:rPr>
        <w:t xml:space="preserve"> and </w:t>
      </w:r>
      <w:r w:rsidR="00853721">
        <w:rPr>
          <w:lang w:val="en-US"/>
        </w:rPr>
        <w:t xml:space="preserve">each of these signals can be tracked </w:t>
      </w:r>
      <w:r w:rsidR="00CA703A">
        <w:rPr>
          <w:lang w:val="en-US"/>
        </w:rPr>
        <w:t xml:space="preserve">in real-time </w:t>
      </w:r>
      <w:r w:rsidR="004B3E82">
        <w:rPr>
          <w:lang w:val="en-US"/>
        </w:rPr>
        <w:t>via</w:t>
      </w:r>
      <w:r w:rsidR="00853721">
        <w:rPr>
          <w:lang w:val="en-US"/>
        </w:rPr>
        <w:t xml:space="preserve"> the data inspector.</w:t>
      </w:r>
    </w:p>
    <w:p w14:paraId="157D3851" w14:textId="77777777" w:rsidR="00526C4E" w:rsidRPr="00307633" w:rsidRDefault="00526C4E" w:rsidP="00307633">
      <w:pPr>
        <w:rPr>
          <w:lang w:val="en-US"/>
        </w:rPr>
      </w:pPr>
    </w:p>
    <w:p w14:paraId="56814AB3" w14:textId="69A93139" w:rsidR="00FD3F64" w:rsidRDefault="26B95AF3" w:rsidP="00946C2D">
      <w:pPr>
        <w:pStyle w:val="Heading2"/>
        <w:rPr>
          <w:lang w:val="en-US"/>
        </w:rPr>
      </w:pPr>
      <w:bookmarkStart w:id="6" w:name="_Toc1938908484"/>
      <w:r w:rsidRPr="26B95AF3">
        <w:rPr>
          <w:lang w:val="en-US"/>
        </w:rPr>
        <w:t>Homing Options</w:t>
      </w:r>
      <w:bookmarkEnd w:id="6"/>
    </w:p>
    <w:p w14:paraId="0E086AEC" w14:textId="18A046B1" w:rsidR="00946C2D" w:rsidRDefault="00E056F7" w:rsidP="00946C2D">
      <w:pPr>
        <w:rPr>
          <w:lang w:val="en-US"/>
        </w:rPr>
      </w:pPr>
      <w:r w:rsidRPr="00E056F7">
        <w:rPr>
          <w:noProof/>
          <w:lang w:val="en-US"/>
        </w:rPr>
        <w:drawing>
          <wp:inline distT="0" distB="0" distL="0" distR="0" wp14:anchorId="57C4A35B" wp14:editId="2DBBB699">
            <wp:extent cx="3977985" cy="152413"/>
            <wp:effectExtent l="0" t="0" r="3810" b="0"/>
            <wp:docPr id="211195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55933" name=""/>
                    <pic:cNvPicPr/>
                  </pic:nvPicPr>
                  <pic:blipFill>
                    <a:blip r:embed="rId9"/>
                    <a:stretch>
                      <a:fillRect/>
                    </a:stretch>
                  </pic:blipFill>
                  <pic:spPr>
                    <a:xfrm>
                      <a:off x="0" y="0"/>
                      <a:ext cx="3977985" cy="152413"/>
                    </a:xfrm>
                    <a:prstGeom prst="rect">
                      <a:avLst/>
                    </a:prstGeom>
                  </pic:spPr>
                </pic:pic>
              </a:graphicData>
            </a:graphic>
          </wp:inline>
        </w:drawing>
      </w:r>
    </w:p>
    <w:p w14:paraId="0A867E87" w14:textId="6729B0F3" w:rsidR="00E056F7" w:rsidRDefault="7D993F11" w:rsidP="00946C2D">
      <w:pPr>
        <w:rPr>
          <w:lang w:val="en-US"/>
        </w:rPr>
      </w:pPr>
      <w:r w:rsidRPr="7D993F11">
        <w:rPr>
          <w:lang w:val="en-US"/>
        </w:rPr>
        <w:t>This setting defines the zero position of the Arizona after the homing sequence has been completed. Two default positions are added e.g., corner and center. When selecting a location, always make sure the used reference remains within bounds.</w:t>
      </w:r>
    </w:p>
    <w:p w14:paraId="38A1D8DF" w14:textId="5CAAA9CA" w:rsidR="0018230B" w:rsidRDefault="0018230B" w:rsidP="00946C2D">
      <w:pPr>
        <w:rPr>
          <w:lang w:val="en-US"/>
        </w:rPr>
      </w:pPr>
      <w:r w:rsidRPr="0018230B">
        <w:rPr>
          <w:noProof/>
          <w:lang w:val="en-US"/>
        </w:rPr>
        <w:drawing>
          <wp:inline distT="0" distB="0" distL="0" distR="0" wp14:anchorId="1A408E6A" wp14:editId="39A43ECB">
            <wp:extent cx="3817951" cy="167655"/>
            <wp:effectExtent l="0" t="0" r="0" b="3810"/>
            <wp:docPr id="1458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028" name=""/>
                    <pic:cNvPicPr/>
                  </pic:nvPicPr>
                  <pic:blipFill>
                    <a:blip r:embed="rId10"/>
                    <a:stretch>
                      <a:fillRect/>
                    </a:stretch>
                  </pic:blipFill>
                  <pic:spPr>
                    <a:xfrm>
                      <a:off x="0" y="0"/>
                      <a:ext cx="3817951" cy="167655"/>
                    </a:xfrm>
                    <a:prstGeom prst="rect">
                      <a:avLst/>
                    </a:prstGeom>
                  </pic:spPr>
                </pic:pic>
              </a:graphicData>
            </a:graphic>
          </wp:inline>
        </w:drawing>
      </w:r>
    </w:p>
    <w:p w14:paraId="3CC783E9" w14:textId="4DE2C8B1" w:rsidR="00526C4E" w:rsidRDefault="7D993F11" w:rsidP="00946C2D">
      <w:pPr>
        <w:rPr>
          <w:lang w:val="en-US"/>
        </w:rPr>
      </w:pPr>
      <w:r w:rsidRPr="7D993F11">
        <w:rPr>
          <w:lang w:val="en-US"/>
        </w:rPr>
        <w:t xml:space="preserve">When set to “false” the homing sequence will only be used for the first trial. When set to “true” homing sequence will be used for all trials.    </w:t>
      </w:r>
    </w:p>
    <w:p w14:paraId="69B50CBB" w14:textId="77777777" w:rsidR="001B48D0" w:rsidRDefault="001B48D0" w:rsidP="00946C2D">
      <w:pPr>
        <w:rPr>
          <w:lang w:val="en-US"/>
        </w:rPr>
      </w:pPr>
    </w:p>
    <w:p w14:paraId="6A5FA756" w14:textId="37906628" w:rsidR="00B52265" w:rsidRDefault="26B95AF3" w:rsidP="00B52265">
      <w:pPr>
        <w:pStyle w:val="Heading2"/>
        <w:rPr>
          <w:lang w:val="en-US"/>
        </w:rPr>
      </w:pPr>
      <w:bookmarkStart w:id="7" w:name="_Toc1518077769"/>
      <w:r w:rsidRPr="26B95AF3">
        <w:rPr>
          <w:lang w:val="en-US"/>
        </w:rPr>
        <w:t>Reference Options</w:t>
      </w:r>
      <w:bookmarkEnd w:id="7"/>
    </w:p>
    <w:p w14:paraId="0F22652F" w14:textId="48B7E930" w:rsidR="00B52265" w:rsidRDefault="001231CB" w:rsidP="00B52265">
      <w:pPr>
        <w:rPr>
          <w:lang w:val="en-US"/>
        </w:rPr>
      </w:pPr>
      <w:r w:rsidRPr="001231CB">
        <w:rPr>
          <w:noProof/>
          <w:lang w:val="en-US"/>
        </w:rPr>
        <w:drawing>
          <wp:inline distT="0" distB="0" distL="0" distR="0" wp14:anchorId="5279AB2E" wp14:editId="20A8EE43">
            <wp:extent cx="2080440" cy="152413"/>
            <wp:effectExtent l="0" t="0" r="0" b="0"/>
            <wp:docPr id="162061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12938" name=""/>
                    <pic:cNvPicPr/>
                  </pic:nvPicPr>
                  <pic:blipFill>
                    <a:blip r:embed="rId11"/>
                    <a:stretch>
                      <a:fillRect/>
                    </a:stretch>
                  </pic:blipFill>
                  <pic:spPr>
                    <a:xfrm>
                      <a:off x="0" y="0"/>
                      <a:ext cx="2080440" cy="152413"/>
                    </a:xfrm>
                    <a:prstGeom prst="rect">
                      <a:avLst/>
                    </a:prstGeom>
                  </pic:spPr>
                </pic:pic>
              </a:graphicData>
            </a:graphic>
          </wp:inline>
        </w:drawing>
      </w:r>
    </w:p>
    <w:p w14:paraId="4284D733" w14:textId="181EBEE3" w:rsidR="001231CB" w:rsidRDefault="00884ADD" w:rsidP="00B52265">
      <w:pPr>
        <w:rPr>
          <w:lang w:val="en-US"/>
        </w:rPr>
      </w:pPr>
      <w:r>
        <w:rPr>
          <w:lang w:val="en-US"/>
        </w:rPr>
        <w:t>Here the name of the reference is specified. The name of the reference</w:t>
      </w:r>
      <w:r w:rsidR="00E66A9F">
        <w:rPr>
          <w:lang w:val="en-US"/>
        </w:rPr>
        <w:t xml:space="preserve"> is specified in the function file “</w:t>
      </w:r>
      <w:proofErr w:type="spellStart"/>
      <w:r w:rsidR="00E66A9F">
        <w:rPr>
          <w:lang w:val="en-US"/>
        </w:rPr>
        <w:t>select_reference.m</w:t>
      </w:r>
      <w:proofErr w:type="spellEnd"/>
      <w:r w:rsidR="00E66A9F">
        <w:rPr>
          <w:lang w:val="en-US"/>
        </w:rPr>
        <w:t xml:space="preserve">”, which can be found in the same directory as the </w:t>
      </w:r>
      <w:r w:rsidR="00E63B23">
        <w:rPr>
          <w:lang w:val="en-US"/>
        </w:rPr>
        <w:t>MATLAB script</w:t>
      </w:r>
      <w:r w:rsidR="00E66A9F">
        <w:rPr>
          <w:lang w:val="en-US"/>
        </w:rPr>
        <w:t>.</w:t>
      </w:r>
      <w:r w:rsidR="00444B5D">
        <w:rPr>
          <w:lang w:val="en-US"/>
        </w:rPr>
        <w:t xml:space="preserve"> New references can be added in this function file.</w:t>
      </w:r>
    </w:p>
    <w:p w14:paraId="410B3785" w14:textId="614375D8" w:rsidR="00E34B58" w:rsidRDefault="00E34B58" w:rsidP="00B52265">
      <w:pPr>
        <w:rPr>
          <w:lang w:val="en-US"/>
        </w:rPr>
      </w:pPr>
      <w:r w:rsidRPr="00E34B58">
        <w:rPr>
          <w:noProof/>
          <w:lang w:val="en-US"/>
        </w:rPr>
        <w:drawing>
          <wp:inline distT="0" distB="0" distL="0" distR="0" wp14:anchorId="740CD64D" wp14:editId="2B864B53">
            <wp:extent cx="2042337" cy="152413"/>
            <wp:effectExtent l="0" t="0" r="0" b="0"/>
            <wp:docPr id="138319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90983" name=""/>
                    <pic:cNvPicPr/>
                  </pic:nvPicPr>
                  <pic:blipFill>
                    <a:blip r:embed="rId12"/>
                    <a:stretch>
                      <a:fillRect/>
                    </a:stretch>
                  </pic:blipFill>
                  <pic:spPr>
                    <a:xfrm>
                      <a:off x="0" y="0"/>
                      <a:ext cx="2042337" cy="152413"/>
                    </a:xfrm>
                    <a:prstGeom prst="rect">
                      <a:avLst/>
                    </a:prstGeom>
                  </pic:spPr>
                </pic:pic>
              </a:graphicData>
            </a:graphic>
          </wp:inline>
        </w:drawing>
      </w:r>
    </w:p>
    <w:p w14:paraId="77AFB07B" w14:textId="699695D1" w:rsidR="00E34B58" w:rsidRDefault="00EB745D" w:rsidP="00B52265">
      <w:pPr>
        <w:rPr>
          <w:lang w:val="en-US"/>
        </w:rPr>
      </w:pPr>
      <w:r>
        <w:rPr>
          <w:lang w:val="en-US"/>
        </w:rPr>
        <w:t xml:space="preserve">Specify name of the second reference. </w:t>
      </w:r>
      <w:r w:rsidR="005E0FDD">
        <w:rPr>
          <w:lang w:val="en-US"/>
        </w:rPr>
        <w:t xml:space="preserve">This reference will be loaded </w:t>
      </w:r>
      <w:r w:rsidR="002D550D">
        <w:rPr>
          <w:lang w:val="en-US"/>
        </w:rPr>
        <w:t>after</w:t>
      </w:r>
      <w:r w:rsidR="000A0D85">
        <w:rPr>
          <w:lang w:val="en-US"/>
        </w:rPr>
        <w:t xml:space="preserve"> the trial specified in the option “</w:t>
      </w:r>
      <w:proofErr w:type="spellStart"/>
      <w:r w:rsidR="000A0D85">
        <w:rPr>
          <w:lang w:val="en-US"/>
        </w:rPr>
        <w:t>optTrialRefSwitch</w:t>
      </w:r>
      <w:proofErr w:type="spellEnd"/>
      <w:r w:rsidR="000A0D85">
        <w:rPr>
          <w:lang w:val="en-US"/>
        </w:rPr>
        <w:t>”.</w:t>
      </w:r>
    </w:p>
    <w:p w14:paraId="039D11EC" w14:textId="1A8557DD" w:rsidR="00BD0299" w:rsidRDefault="00BD0299" w:rsidP="00B52265">
      <w:pPr>
        <w:rPr>
          <w:lang w:val="en-US"/>
        </w:rPr>
      </w:pPr>
      <w:r w:rsidRPr="00BD0299">
        <w:rPr>
          <w:noProof/>
          <w:lang w:val="en-US"/>
        </w:rPr>
        <w:drawing>
          <wp:inline distT="0" distB="0" distL="0" distR="0" wp14:anchorId="08886EA3" wp14:editId="75092347">
            <wp:extent cx="3856054" cy="152413"/>
            <wp:effectExtent l="0" t="0" r="0" b="0"/>
            <wp:docPr id="89605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59097" name=""/>
                    <pic:cNvPicPr/>
                  </pic:nvPicPr>
                  <pic:blipFill>
                    <a:blip r:embed="rId13"/>
                    <a:stretch>
                      <a:fillRect/>
                    </a:stretch>
                  </pic:blipFill>
                  <pic:spPr>
                    <a:xfrm>
                      <a:off x="0" y="0"/>
                      <a:ext cx="3856054" cy="152413"/>
                    </a:xfrm>
                    <a:prstGeom prst="rect">
                      <a:avLst/>
                    </a:prstGeom>
                  </pic:spPr>
                </pic:pic>
              </a:graphicData>
            </a:graphic>
          </wp:inline>
        </w:drawing>
      </w:r>
    </w:p>
    <w:p w14:paraId="30FC88A1" w14:textId="3B4E2C0E" w:rsidR="00BD0299" w:rsidRDefault="7D993F11" w:rsidP="00B52265">
      <w:pPr>
        <w:rPr>
          <w:lang w:val="en-US"/>
        </w:rPr>
      </w:pPr>
      <w:r w:rsidRPr="7D993F11">
        <w:rPr>
          <w:lang w:val="en-US"/>
        </w:rPr>
        <w:t>Define in which directions (y, x, phi) the reference should be active. If set to zero, the reference in this direction will become an array of zeros.</w:t>
      </w:r>
    </w:p>
    <w:p w14:paraId="7008366F" w14:textId="4B7349BB" w:rsidR="00A27D63" w:rsidRDefault="007677D9" w:rsidP="00B52265">
      <w:pPr>
        <w:rPr>
          <w:lang w:val="en-US"/>
        </w:rPr>
      </w:pPr>
      <w:r w:rsidRPr="007677D9">
        <w:rPr>
          <w:noProof/>
          <w:lang w:val="en-US"/>
        </w:rPr>
        <w:drawing>
          <wp:inline distT="0" distB="0" distL="0" distR="0" wp14:anchorId="20E05DBB" wp14:editId="4BF30CC9">
            <wp:extent cx="2633746" cy="173875"/>
            <wp:effectExtent l="0" t="0" r="0" b="0"/>
            <wp:docPr id="86682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28378" name=""/>
                    <pic:cNvPicPr/>
                  </pic:nvPicPr>
                  <pic:blipFill rotWithShape="1">
                    <a:blip r:embed="rId14"/>
                    <a:srcRect l="1808" t="-4546" r="-1" b="47500"/>
                    <a:stretch/>
                  </pic:blipFill>
                  <pic:spPr bwMode="auto">
                    <a:xfrm>
                      <a:off x="0" y="0"/>
                      <a:ext cx="2633976" cy="173890"/>
                    </a:xfrm>
                    <a:prstGeom prst="rect">
                      <a:avLst/>
                    </a:prstGeom>
                    <a:ln>
                      <a:noFill/>
                    </a:ln>
                    <a:extLst>
                      <a:ext uri="{53640926-AAD7-44D8-BBD7-CCE9431645EC}">
                        <a14:shadowObscured xmlns:a14="http://schemas.microsoft.com/office/drawing/2010/main"/>
                      </a:ext>
                    </a:extLst>
                  </pic:spPr>
                </pic:pic>
              </a:graphicData>
            </a:graphic>
          </wp:inline>
        </w:drawing>
      </w:r>
    </w:p>
    <w:p w14:paraId="74C583F8" w14:textId="6AFD5A42" w:rsidR="003738C2" w:rsidRDefault="007677D9">
      <w:pPr>
        <w:rPr>
          <w:lang w:val="en-US"/>
        </w:rPr>
      </w:pPr>
      <w:r>
        <w:rPr>
          <w:lang w:val="en-US"/>
        </w:rPr>
        <w:t>Set trial number</w:t>
      </w:r>
      <w:r w:rsidR="00B370E5">
        <w:rPr>
          <w:lang w:val="en-US"/>
        </w:rPr>
        <w:t xml:space="preserve"> N</w:t>
      </w:r>
      <w:r>
        <w:rPr>
          <w:lang w:val="en-US"/>
        </w:rPr>
        <w:t xml:space="preserve"> at which a new reference should be loaded. Reference will be </w:t>
      </w:r>
      <w:r w:rsidR="00053B81">
        <w:rPr>
          <w:lang w:val="en-US"/>
        </w:rPr>
        <w:t>used</w:t>
      </w:r>
      <w:r>
        <w:rPr>
          <w:lang w:val="en-US"/>
        </w:rPr>
        <w:t xml:space="preserve"> </w:t>
      </w:r>
      <w:r w:rsidR="002A3873">
        <w:rPr>
          <w:lang w:val="en-US"/>
        </w:rPr>
        <w:t xml:space="preserve">on trial N+1. Note that both references must have equal array length. </w:t>
      </w:r>
      <w:r w:rsidR="00366687">
        <w:rPr>
          <w:lang w:val="en-US"/>
        </w:rPr>
        <w:t>If set to -1, no reference change will occur.</w:t>
      </w:r>
    </w:p>
    <w:p w14:paraId="018F825E" w14:textId="223DFF46" w:rsidR="00FD3F64" w:rsidRDefault="26B95AF3" w:rsidP="003738C2">
      <w:pPr>
        <w:pStyle w:val="Heading2"/>
        <w:rPr>
          <w:lang w:val="en-US"/>
        </w:rPr>
      </w:pPr>
      <w:bookmarkStart w:id="8" w:name="_Toc1522306112"/>
      <w:r w:rsidRPr="26B95AF3">
        <w:rPr>
          <w:lang w:val="en-US"/>
        </w:rPr>
        <w:lastRenderedPageBreak/>
        <w:t>Feedforward options</w:t>
      </w:r>
      <w:bookmarkEnd w:id="8"/>
    </w:p>
    <w:p w14:paraId="14F3BFD9" w14:textId="3B50BAE8" w:rsidR="007F0478" w:rsidRDefault="00335CC4" w:rsidP="007F0478">
      <w:pPr>
        <w:rPr>
          <w:lang w:val="en-US"/>
        </w:rPr>
      </w:pPr>
      <w:r w:rsidRPr="00335CC4">
        <w:rPr>
          <w:noProof/>
          <w:lang w:val="en-US"/>
        </w:rPr>
        <w:drawing>
          <wp:inline distT="0" distB="0" distL="0" distR="0" wp14:anchorId="1FC694C5" wp14:editId="204612EC">
            <wp:extent cx="3901778" cy="160034"/>
            <wp:effectExtent l="0" t="0" r="3810" b="0"/>
            <wp:docPr id="12901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3707" name=""/>
                    <pic:cNvPicPr/>
                  </pic:nvPicPr>
                  <pic:blipFill>
                    <a:blip r:embed="rId15"/>
                    <a:stretch>
                      <a:fillRect/>
                    </a:stretch>
                  </pic:blipFill>
                  <pic:spPr>
                    <a:xfrm>
                      <a:off x="0" y="0"/>
                      <a:ext cx="3901778" cy="160034"/>
                    </a:xfrm>
                    <a:prstGeom prst="rect">
                      <a:avLst/>
                    </a:prstGeom>
                  </pic:spPr>
                </pic:pic>
              </a:graphicData>
            </a:graphic>
          </wp:inline>
        </w:drawing>
      </w:r>
    </w:p>
    <w:p w14:paraId="0AC272A7" w14:textId="4B7CE855" w:rsidR="00526C4E" w:rsidRDefault="7D993F11" w:rsidP="007F0478">
      <w:pPr>
        <w:rPr>
          <w:lang w:val="en-US"/>
        </w:rPr>
      </w:pPr>
      <w:r w:rsidRPr="7D993F11">
        <w:rPr>
          <w:lang w:val="en-US"/>
        </w:rPr>
        <w:t>The feedforward update is done using a function file which can be found in the directory “C:\Users\</w:t>
      </w:r>
      <w:proofErr w:type="spellStart"/>
      <w:r w:rsidRPr="7D993F11">
        <w:rPr>
          <w:lang w:val="en-US"/>
        </w:rPr>
        <w:t>Arizona_PC</w:t>
      </w:r>
      <w:proofErr w:type="spellEnd"/>
      <w:r w:rsidRPr="7D993F11">
        <w:rPr>
          <w:lang w:val="en-US"/>
        </w:rPr>
        <w:t>\Desktop\Arizona\ILC\</w:t>
      </w:r>
      <w:proofErr w:type="spellStart"/>
      <w:r w:rsidRPr="7D993F11">
        <w:rPr>
          <w:lang w:val="en-US"/>
        </w:rPr>
        <w:t>ILC_updates</w:t>
      </w:r>
      <w:proofErr w:type="spellEnd"/>
      <w:r w:rsidRPr="7D993F11">
        <w:rPr>
          <w:lang w:val="en-US"/>
        </w:rPr>
        <w:t xml:space="preserve">”. Details of the feedforward update are specified in the function file. Use setting to specify which function file should be used in the experiment. </w:t>
      </w:r>
    </w:p>
    <w:p w14:paraId="0DA16185" w14:textId="72A0391A" w:rsidR="00E34B59" w:rsidRDefault="00E34B59" w:rsidP="007F0478">
      <w:pPr>
        <w:rPr>
          <w:lang w:val="en-US"/>
        </w:rPr>
      </w:pPr>
      <w:r w:rsidRPr="00E34B59">
        <w:rPr>
          <w:noProof/>
          <w:lang w:val="en-US"/>
        </w:rPr>
        <w:drawing>
          <wp:inline distT="0" distB="0" distL="0" distR="0" wp14:anchorId="07BB9ACD" wp14:editId="432E63CB">
            <wp:extent cx="4016088" cy="160034"/>
            <wp:effectExtent l="0" t="0" r="3810" b="0"/>
            <wp:docPr id="75571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10919" name=""/>
                    <pic:cNvPicPr/>
                  </pic:nvPicPr>
                  <pic:blipFill>
                    <a:blip r:embed="rId16"/>
                    <a:stretch>
                      <a:fillRect/>
                    </a:stretch>
                  </pic:blipFill>
                  <pic:spPr>
                    <a:xfrm>
                      <a:off x="0" y="0"/>
                      <a:ext cx="4016088" cy="160034"/>
                    </a:xfrm>
                    <a:prstGeom prst="rect">
                      <a:avLst/>
                    </a:prstGeom>
                  </pic:spPr>
                </pic:pic>
              </a:graphicData>
            </a:graphic>
          </wp:inline>
        </w:drawing>
      </w:r>
    </w:p>
    <w:p w14:paraId="19A6C40F" w14:textId="0C5C3FD5" w:rsidR="009A47D1" w:rsidRDefault="008F24B5" w:rsidP="007F0478">
      <w:pPr>
        <w:rPr>
          <w:lang w:val="en-US"/>
        </w:rPr>
      </w:pPr>
      <w:r>
        <w:rPr>
          <w:lang w:val="en-US"/>
        </w:rPr>
        <w:t>Define in which directions (y, x, phi) feedforward should be active. If set to zero</w:t>
      </w:r>
      <w:r w:rsidR="00B86564">
        <w:rPr>
          <w:lang w:val="en-US"/>
        </w:rPr>
        <w:t>,</w:t>
      </w:r>
      <w:r>
        <w:rPr>
          <w:lang w:val="en-US"/>
        </w:rPr>
        <w:t xml:space="preserve"> feedforward in this direction will become an array of zeros.</w:t>
      </w:r>
    </w:p>
    <w:p w14:paraId="25E2D20B" w14:textId="27AC624D" w:rsidR="009A47D1" w:rsidRPr="007F0478" w:rsidRDefault="009A47D1" w:rsidP="007F0478">
      <w:pPr>
        <w:rPr>
          <w:lang w:val="en-US"/>
        </w:rPr>
      </w:pPr>
      <w:r w:rsidRPr="009A47D1">
        <w:rPr>
          <w:noProof/>
          <w:lang w:val="en-US"/>
        </w:rPr>
        <w:drawing>
          <wp:inline distT="0" distB="0" distL="0" distR="0" wp14:anchorId="1B43ED54" wp14:editId="17F482B0">
            <wp:extent cx="1760373" cy="152413"/>
            <wp:effectExtent l="0" t="0" r="0" b="0"/>
            <wp:docPr id="143821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19877" name=""/>
                    <pic:cNvPicPr/>
                  </pic:nvPicPr>
                  <pic:blipFill>
                    <a:blip r:embed="rId17"/>
                    <a:stretch>
                      <a:fillRect/>
                    </a:stretch>
                  </pic:blipFill>
                  <pic:spPr>
                    <a:xfrm>
                      <a:off x="0" y="0"/>
                      <a:ext cx="1760373" cy="152413"/>
                    </a:xfrm>
                    <a:prstGeom prst="rect">
                      <a:avLst/>
                    </a:prstGeom>
                  </pic:spPr>
                </pic:pic>
              </a:graphicData>
            </a:graphic>
          </wp:inline>
        </w:drawing>
      </w:r>
    </w:p>
    <w:p w14:paraId="4F7DBC7E" w14:textId="0160C44F" w:rsidR="003738C2" w:rsidRDefault="008F24B5" w:rsidP="003738C2">
      <w:pPr>
        <w:rPr>
          <w:lang w:val="en-US"/>
        </w:rPr>
      </w:pPr>
      <w:r>
        <w:rPr>
          <w:lang w:val="en-US"/>
        </w:rPr>
        <w:t xml:space="preserve">Specify </w:t>
      </w:r>
      <w:r w:rsidR="00F1540A">
        <w:rPr>
          <w:lang w:val="en-US"/>
        </w:rPr>
        <w:t>number of trials.</w:t>
      </w:r>
    </w:p>
    <w:p w14:paraId="595C4F35" w14:textId="77777777" w:rsidR="007229AB" w:rsidRDefault="007229AB" w:rsidP="003738C2">
      <w:pPr>
        <w:rPr>
          <w:lang w:val="en-US"/>
        </w:rPr>
      </w:pPr>
    </w:p>
    <w:p w14:paraId="491CE9ED" w14:textId="424338A5" w:rsidR="007229AB" w:rsidRDefault="26B95AF3" w:rsidP="007229AB">
      <w:pPr>
        <w:pStyle w:val="Heading2"/>
        <w:rPr>
          <w:lang w:val="en-US"/>
        </w:rPr>
      </w:pPr>
      <w:bookmarkStart w:id="9" w:name="_Toc81199842"/>
      <w:r w:rsidRPr="26B95AF3">
        <w:rPr>
          <w:lang w:val="en-US"/>
        </w:rPr>
        <w:t>Penholder options</w:t>
      </w:r>
      <w:bookmarkEnd w:id="9"/>
    </w:p>
    <w:p w14:paraId="7BC7BD8E" w14:textId="4FC3306B" w:rsidR="007229AB" w:rsidRDefault="005C1C82" w:rsidP="007229AB">
      <w:pPr>
        <w:rPr>
          <w:lang w:val="en-US"/>
        </w:rPr>
      </w:pPr>
      <w:r>
        <w:rPr>
          <w:lang w:val="en-US"/>
        </w:rPr>
        <w:t>The penholder system is currently not working</w:t>
      </w:r>
    </w:p>
    <w:p w14:paraId="2C412C03" w14:textId="17C3CA63" w:rsidR="005C1C82" w:rsidRDefault="005C1C82" w:rsidP="007229AB">
      <w:pPr>
        <w:rPr>
          <w:lang w:val="en-US"/>
        </w:rPr>
      </w:pPr>
      <w:r>
        <w:rPr>
          <w:lang w:val="en-US"/>
        </w:rPr>
        <w:br w:type="page"/>
      </w:r>
    </w:p>
    <w:p w14:paraId="5D504A43" w14:textId="1942A427" w:rsidR="0058002E" w:rsidRDefault="26B95AF3" w:rsidP="0058002E">
      <w:pPr>
        <w:pStyle w:val="Heading1"/>
        <w:rPr>
          <w:lang w:val="en-US"/>
        </w:rPr>
      </w:pPr>
      <w:bookmarkStart w:id="10" w:name="_Toc607610730"/>
      <w:r w:rsidRPr="26B95AF3">
        <w:rPr>
          <w:lang w:val="en-US"/>
        </w:rPr>
        <w:lastRenderedPageBreak/>
        <w:t xml:space="preserve">Overview </w:t>
      </w:r>
      <w:proofErr w:type="spellStart"/>
      <w:r w:rsidRPr="26B95AF3">
        <w:rPr>
          <w:lang w:val="en-US"/>
        </w:rPr>
        <w:t>Speedgoat</w:t>
      </w:r>
      <w:proofErr w:type="spellEnd"/>
      <w:r w:rsidRPr="26B95AF3">
        <w:rPr>
          <w:lang w:val="en-US"/>
        </w:rPr>
        <w:t xml:space="preserve"> commands</w:t>
      </w:r>
      <w:bookmarkEnd w:id="10"/>
    </w:p>
    <w:p w14:paraId="18FAE9BC" w14:textId="47A728BB" w:rsidR="009B61C1" w:rsidRDefault="00E4050F" w:rsidP="00E4050F">
      <w:pPr>
        <w:rPr>
          <w:lang w:val="en-US"/>
        </w:rPr>
      </w:pPr>
      <w:r>
        <w:rPr>
          <w:lang w:val="en-US"/>
        </w:rPr>
        <w:t xml:space="preserve">This section gives a brief overview of </w:t>
      </w:r>
      <w:r w:rsidR="00C23FBD">
        <w:rPr>
          <w:lang w:val="en-US"/>
        </w:rPr>
        <w:t>some important</w:t>
      </w:r>
      <w:r>
        <w:rPr>
          <w:lang w:val="en-US"/>
        </w:rPr>
        <w:t xml:space="preserve"> </w:t>
      </w:r>
      <w:proofErr w:type="spellStart"/>
      <w:r>
        <w:rPr>
          <w:lang w:val="en-US"/>
        </w:rPr>
        <w:t>speedgoat</w:t>
      </w:r>
      <w:proofErr w:type="spellEnd"/>
      <w:r>
        <w:rPr>
          <w:lang w:val="en-US"/>
        </w:rPr>
        <w:t xml:space="preserve"> commands that </w:t>
      </w:r>
      <w:r w:rsidR="00C23FBD">
        <w:rPr>
          <w:lang w:val="en-US"/>
        </w:rPr>
        <w:t>are used to operate the Arizona.</w:t>
      </w:r>
    </w:p>
    <w:p w14:paraId="139FE5AF" w14:textId="783DADD0" w:rsidR="00FE53F8" w:rsidRPr="00924799" w:rsidRDefault="00155145" w:rsidP="00E4050F">
      <w:pPr>
        <w:rPr>
          <w:rFonts w:ascii="Courier New" w:hAnsi="Courier New" w:cs="Courier New"/>
          <w:color w:val="7030A0"/>
          <w:lang w:val="en-US"/>
        </w:rPr>
      </w:pPr>
      <w:proofErr w:type="spellStart"/>
      <w:r w:rsidRPr="00924799">
        <w:rPr>
          <w:rFonts w:ascii="Courier New" w:hAnsi="Courier New" w:cs="Courier New"/>
          <w:color w:val="7030A0"/>
          <w:lang w:val="en-US"/>
        </w:rPr>
        <w:t>tg</w:t>
      </w:r>
      <w:proofErr w:type="spellEnd"/>
      <w:r w:rsidRPr="00924799">
        <w:rPr>
          <w:rFonts w:ascii="Courier New" w:hAnsi="Courier New" w:cs="Courier New"/>
          <w:color w:val="7030A0"/>
          <w:lang w:val="en-US"/>
        </w:rPr>
        <w:t xml:space="preserve"> = </w:t>
      </w:r>
      <w:proofErr w:type="spellStart"/>
      <w:r w:rsidRPr="00924799">
        <w:rPr>
          <w:rFonts w:ascii="Courier New" w:hAnsi="Courier New" w:cs="Courier New"/>
          <w:color w:val="7030A0"/>
          <w:lang w:val="en-US"/>
        </w:rPr>
        <w:t>slrealtime</w:t>
      </w:r>
      <w:proofErr w:type="spellEnd"/>
      <w:r w:rsidRPr="00924799">
        <w:rPr>
          <w:rFonts w:ascii="Courier New" w:hAnsi="Courier New" w:cs="Courier New"/>
          <w:color w:val="7030A0"/>
          <w:lang w:val="en-US"/>
        </w:rPr>
        <w:t>('TargetPC1')</w:t>
      </w:r>
    </w:p>
    <w:p w14:paraId="11262E5C" w14:textId="73C1BF01" w:rsidR="00AE1185" w:rsidRPr="00FE53F8" w:rsidRDefault="26B95AF3" w:rsidP="7D993F11">
      <w:pPr>
        <w:rPr>
          <w:lang w:val="en-US"/>
        </w:rPr>
      </w:pPr>
      <w:r w:rsidRPr="26B95AF3">
        <w:rPr>
          <w:lang w:val="en-US"/>
        </w:rPr>
        <w:t xml:space="preserve">Create the target object for the default target computer. The variable defined via this command will be used to communicate to the target PC. </w:t>
      </w:r>
    </w:p>
    <w:p w14:paraId="3DEA0E4B" w14:textId="54528965" w:rsidR="00AE1185" w:rsidRPr="00924799" w:rsidRDefault="00AE1185" w:rsidP="00AE1185">
      <w:pPr>
        <w:rPr>
          <w:rFonts w:ascii="Courier New" w:hAnsi="Courier New" w:cs="Courier New"/>
          <w:color w:val="7030A0"/>
          <w:lang w:val="en-US"/>
        </w:rPr>
      </w:pPr>
      <w:proofErr w:type="spellStart"/>
      <w:r w:rsidRPr="00924799">
        <w:rPr>
          <w:rFonts w:ascii="Courier New" w:hAnsi="Courier New" w:cs="Courier New"/>
          <w:color w:val="7030A0"/>
          <w:lang w:val="en-US"/>
        </w:rPr>
        <w:t>slbuild</w:t>
      </w:r>
      <w:proofErr w:type="spellEnd"/>
      <w:r w:rsidRPr="00924799">
        <w:rPr>
          <w:rFonts w:ascii="Courier New" w:hAnsi="Courier New" w:cs="Courier New"/>
          <w:color w:val="7030A0"/>
          <w:lang w:val="en-US"/>
        </w:rPr>
        <w:t>(model)</w:t>
      </w:r>
    </w:p>
    <w:p w14:paraId="682E81F4" w14:textId="1D25ACCD" w:rsidR="00230EF6" w:rsidRPr="00924799" w:rsidRDefault="7D993F11" w:rsidP="7D993F11">
      <w:pPr>
        <w:rPr>
          <w:lang w:val="en-US"/>
        </w:rPr>
      </w:pPr>
      <w:r w:rsidRPr="7D993F11">
        <w:rPr>
          <w:lang w:val="en-US"/>
        </w:rPr>
        <w:t xml:space="preserve">Build the Simulink model and convert to C code. Before building the model, the used Simulink model must be opened using the </w:t>
      </w:r>
      <w:r w:rsidRPr="7D993F11">
        <w:rPr>
          <w:rFonts w:ascii="Courier New" w:hAnsi="Courier New" w:cs="Courier New"/>
          <w:color w:val="000000" w:themeColor="text1"/>
          <w:lang w:val="en-US"/>
        </w:rPr>
        <w:t>open(model)</w:t>
      </w:r>
      <w:r w:rsidRPr="7D993F11">
        <w:rPr>
          <w:lang w:val="en-US"/>
        </w:rPr>
        <w:t xml:space="preserve"> command.</w:t>
      </w:r>
    </w:p>
    <w:p w14:paraId="1383C0E6" w14:textId="58C116C6" w:rsidR="00230EF6" w:rsidRPr="00924799" w:rsidRDefault="7D993F11" w:rsidP="00AE1185">
      <w:pPr>
        <w:rPr>
          <w:rFonts w:ascii="Courier New" w:hAnsi="Courier New" w:cs="Courier New"/>
          <w:color w:val="7030A0"/>
          <w:lang w:val="en-US"/>
        </w:rPr>
      </w:pPr>
      <w:proofErr w:type="spellStart"/>
      <w:r w:rsidRPr="7D993F11">
        <w:rPr>
          <w:rFonts w:ascii="Courier New" w:hAnsi="Courier New" w:cs="Courier New"/>
          <w:color w:val="7030A0"/>
          <w:lang w:val="en-US"/>
        </w:rPr>
        <w:t>tg.load</w:t>
      </w:r>
      <w:proofErr w:type="spellEnd"/>
      <w:r w:rsidRPr="7D993F11">
        <w:rPr>
          <w:rFonts w:ascii="Courier New" w:hAnsi="Courier New" w:cs="Courier New"/>
          <w:color w:val="7030A0"/>
          <w:lang w:val="en-US"/>
        </w:rPr>
        <w:t>(model)</w:t>
      </w:r>
    </w:p>
    <w:p w14:paraId="3BEAA3AC" w14:textId="626FBA34" w:rsidR="004714AA" w:rsidRPr="00FE53F8" w:rsidRDefault="004714AA" w:rsidP="00AE1185">
      <w:pPr>
        <w:rPr>
          <w:rFonts w:cstheme="minorHAnsi"/>
        </w:rPr>
      </w:pPr>
      <w:r w:rsidRPr="00FE53F8">
        <w:rPr>
          <w:rFonts w:cstheme="minorHAnsi"/>
          <w:lang w:val="en-US"/>
        </w:rPr>
        <w:t xml:space="preserve">Load model to the target system. When performing this step, make sure the Arizona power is </w:t>
      </w:r>
      <w:r w:rsidR="006678C9">
        <w:rPr>
          <w:rFonts w:cstheme="minorHAnsi"/>
          <w:lang w:val="en-US"/>
        </w:rPr>
        <w:t>switched</w:t>
      </w:r>
      <w:r w:rsidRPr="00FE53F8">
        <w:rPr>
          <w:rFonts w:cstheme="minorHAnsi"/>
          <w:lang w:val="en-US"/>
        </w:rPr>
        <w:t xml:space="preserve"> off. </w:t>
      </w:r>
    </w:p>
    <w:p w14:paraId="1E253E7C" w14:textId="62528256" w:rsidR="009B61C1" w:rsidRPr="00924799" w:rsidRDefault="000A40ED" w:rsidP="00E4050F">
      <w:pPr>
        <w:rPr>
          <w:rFonts w:ascii="Courier New" w:hAnsi="Courier New" w:cs="Courier New"/>
          <w:color w:val="7030A0"/>
          <w:lang w:val="en-US"/>
        </w:rPr>
      </w:pPr>
      <w:proofErr w:type="spellStart"/>
      <w:r w:rsidRPr="00924799">
        <w:rPr>
          <w:rFonts w:ascii="Courier New" w:hAnsi="Courier New" w:cs="Courier New"/>
          <w:color w:val="7030A0"/>
          <w:lang w:val="en-US"/>
        </w:rPr>
        <w:t>t</w:t>
      </w:r>
      <w:r w:rsidR="009B61C1" w:rsidRPr="00924799">
        <w:rPr>
          <w:rFonts w:ascii="Courier New" w:hAnsi="Courier New" w:cs="Courier New"/>
          <w:color w:val="7030A0"/>
          <w:lang w:val="en-US"/>
        </w:rPr>
        <w:t>g.</w:t>
      </w:r>
      <w:r w:rsidR="001D572B" w:rsidRPr="00924799">
        <w:rPr>
          <w:rFonts w:ascii="Courier New" w:hAnsi="Courier New" w:cs="Courier New"/>
          <w:color w:val="7030A0"/>
          <w:lang w:val="en-US"/>
        </w:rPr>
        <w:t>start</w:t>
      </w:r>
      <w:proofErr w:type="spellEnd"/>
    </w:p>
    <w:p w14:paraId="0C798D64" w14:textId="67D2BD1E" w:rsidR="000A40ED" w:rsidRPr="000A40ED" w:rsidRDefault="002816A0" w:rsidP="00E4050F">
      <w:pPr>
        <w:rPr>
          <w:rFonts w:cstheme="minorHAnsi"/>
          <w:lang w:val="en-US"/>
        </w:rPr>
      </w:pPr>
      <w:r>
        <w:rPr>
          <w:rFonts w:cstheme="minorHAnsi"/>
          <w:lang w:val="en-US"/>
        </w:rPr>
        <w:t xml:space="preserve">Start running the Simulink model on the target system. Note that </w:t>
      </w:r>
      <w:r w:rsidR="00FB3F74">
        <w:rPr>
          <w:rFonts w:cstheme="minorHAnsi"/>
          <w:lang w:val="en-US"/>
        </w:rPr>
        <w:t xml:space="preserve">Simulink model must be loaded on the target using the </w:t>
      </w:r>
      <w:r w:rsidR="007A5758" w:rsidRPr="007A5758">
        <w:rPr>
          <w:rFonts w:ascii="Courier New" w:hAnsi="Courier New" w:cs="Courier New"/>
          <w:lang w:val="en-US"/>
        </w:rPr>
        <w:t>load(model)</w:t>
      </w:r>
      <w:r w:rsidR="00430F9A">
        <w:rPr>
          <w:rFonts w:cstheme="minorHAnsi"/>
          <w:lang w:val="en-US"/>
        </w:rPr>
        <w:t xml:space="preserve"> command</w:t>
      </w:r>
      <w:r w:rsidR="007A5758">
        <w:rPr>
          <w:rFonts w:cstheme="minorHAnsi"/>
          <w:lang w:val="en-US"/>
        </w:rPr>
        <w:t xml:space="preserve">. </w:t>
      </w:r>
    </w:p>
    <w:p w14:paraId="65199083" w14:textId="603F720A" w:rsidR="001D572B" w:rsidRPr="00924799" w:rsidRDefault="000A40ED" w:rsidP="00E4050F">
      <w:pPr>
        <w:rPr>
          <w:rFonts w:ascii="Courier New" w:hAnsi="Courier New" w:cs="Courier New"/>
          <w:color w:val="7030A0"/>
          <w:lang w:val="en-US"/>
        </w:rPr>
      </w:pPr>
      <w:proofErr w:type="spellStart"/>
      <w:r w:rsidRPr="00924799">
        <w:rPr>
          <w:rFonts w:ascii="Courier New" w:hAnsi="Courier New" w:cs="Courier New"/>
          <w:color w:val="7030A0"/>
          <w:lang w:val="en-US"/>
        </w:rPr>
        <w:t>t</w:t>
      </w:r>
      <w:r w:rsidR="001D572B" w:rsidRPr="00924799">
        <w:rPr>
          <w:rFonts w:ascii="Courier New" w:hAnsi="Courier New" w:cs="Courier New"/>
          <w:color w:val="7030A0"/>
          <w:lang w:val="en-US"/>
        </w:rPr>
        <w:t>g.stop</w:t>
      </w:r>
      <w:proofErr w:type="spellEnd"/>
    </w:p>
    <w:p w14:paraId="7F6A310A" w14:textId="53C35C71" w:rsidR="00740C56" w:rsidRPr="00740C56" w:rsidRDefault="7D993F11" w:rsidP="7D993F11">
      <w:pPr>
        <w:rPr>
          <w:lang w:val="en-US"/>
        </w:rPr>
      </w:pPr>
      <w:r w:rsidRPr="7D993F11">
        <w:rPr>
          <w:lang w:val="en-US"/>
        </w:rPr>
        <w:t>Stop running the Simulink model on the target system. Measurement data during run will be saved to workspace struct named ''</w:t>
      </w:r>
      <w:proofErr w:type="spellStart"/>
      <w:r w:rsidRPr="7D993F11">
        <w:rPr>
          <w:lang w:val="en-US"/>
        </w:rPr>
        <w:t>logsOut</w:t>
      </w:r>
      <w:proofErr w:type="spellEnd"/>
      <w:r w:rsidRPr="7D993F11">
        <w:rPr>
          <w:lang w:val="en-US"/>
        </w:rPr>
        <w:t>''.</w:t>
      </w:r>
    </w:p>
    <w:p w14:paraId="23FAC210" w14:textId="77777777" w:rsidR="00740C56" w:rsidRPr="00924799" w:rsidRDefault="00740C56" w:rsidP="00740C56">
      <w:pPr>
        <w:rPr>
          <w:rFonts w:ascii="Courier New" w:hAnsi="Courier New" w:cs="Courier New"/>
          <w:color w:val="7030A0"/>
          <w:lang w:val="en-US"/>
        </w:rPr>
      </w:pPr>
      <w:proofErr w:type="spellStart"/>
      <w:r w:rsidRPr="00924799">
        <w:rPr>
          <w:rFonts w:ascii="Courier New" w:hAnsi="Courier New" w:cs="Courier New"/>
          <w:color w:val="7030A0"/>
          <w:lang w:val="en-US"/>
        </w:rPr>
        <w:t>tg.stopRecording</w:t>
      </w:r>
      <w:proofErr w:type="spellEnd"/>
    </w:p>
    <w:p w14:paraId="22EA6BE8" w14:textId="0318BB79" w:rsidR="00BC15B0" w:rsidRPr="00236882" w:rsidRDefault="7D993F11" w:rsidP="7D993F11">
      <w:pPr>
        <w:rPr>
          <w:lang w:val="en-US"/>
        </w:rPr>
      </w:pPr>
      <w:r w:rsidRPr="7D993F11">
        <w:rPr>
          <w:lang w:val="en-US"/>
        </w:rPr>
        <w:t>When starting the model, the target will immediately begin streaming data. After calling this command, the data streaming will stop. The measurement data will be saved to workspace struct named ''</w:t>
      </w:r>
      <w:proofErr w:type="spellStart"/>
      <w:r w:rsidRPr="7D993F11">
        <w:rPr>
          <w:lang w:val="en-US"/>
        </w:rPr>
        <w:t>logsOut</w:t>
      </w:r>
      <w:proofErr w:type="spellEnd"/>
      <w:r w:rsidRPr="7D993F11">
        <w:rPr>
          <w:lang w:val="en-US"/>
        </w:rPr>
        <w:t xml:space="preserve">''. Model will keep running on target system. </w:t>
      </w:r>
    </w:p>
    <w:p w14:paraId="23AFFC93" w14:textId="77777777" w:rsidR="00BC15B0" w:rsidRDefault="00BC15B0" w:rsidP="00BC15B0">
      <w:pPr>
        <w:rPr>
          <w:rFonts w:ascii="Courier New" w:hAnsi="Courier New" w:cs="Courier New"/>
          <w:lang w:val="en-US"/>
        </w:rPr>
      </w:pPr>
      <w:proofErr w:type="spellStart"/>
      <w:r w:rsidRPr="00924799">
        <w:rPr>
          <w:rFonts w:ascii="Courier New" w:hAnsi="Courier New" w:cs="Courier New"/>
          <w:color w:val="7030A0"/>
          <w:lang w:val="en-US"/>
        </w:rPr>
        <w:t>tg.startRecording</w:t>
      </w:r>
      <w:proofErr w:type="spellEnd"/>
    </w:p>
    <w:p w14:paraId="4E761B1B" w14:textId="67891C90" w:rsidR="00740C56" w:rsidRPr="00527E00" w:rsidRDefault="7D993F11" w:rsidP="00E4050F">
      <w:pPr>
        <w:rPr>
          <w:rFonts w:cstheme="minorHAnsi"/>
          <w:lang w:val="en-US"/>
        </w:rPr>
      </w:pPr>
      <w:r w:rsidRPr="7D993F11">
        <w:rPr>
          <w:lang w:val="en-US"/>
        </w:rPr>
        <w:t xml:space="preserve">Start data streaming again after using the </w:t>
      </w:r>
      <w:proofErr w:type="spellStart"/>
      <w:r w:rsidRPr="7D993F11">
        <w:rPr>
          <w:lang w:val="en-US"/>
        </w:rPr>
        <w:t>stopRecording</w:t>
      </w:r>
      <w:proofErr w:type="spellEnd"/>
      <w:r w:rsidRPr="7D993F11">
        <w:rPr>
          <w:lang w:val="en-US"/>
        </w:rPr>
        <w:t xml:space="preserve"> command. </w:t>
      </w:r>
    </w:p>
    <w:p w14:paraId="3DC14B65" w14:textId="7674608E" w:rsidR="7D993F11" w:rsidRDefault="7D993F11" w:rsidP="7D993F11">
      <w:pPr>
        <w:rPr>
          <w:rFonts w:ascii="Courier New" w:hAnsi="Courier New" w:cs="Courier New"/>
          <w:color w:val="7030A0"/>
          <w:lang w:val="en-US"/>
        </w:rPr>
      </w:pPr>
      <w:proofErr w:type="spellStart"/>
      <w:r w:rsidRPr="7D993F11">
        <w:rPr>
          <w:rFonts w:ascii="Courier New" w:hAnsi="Courier New" w:cs="Courier New"/>
          <w:color w:val="7030A0"/>
          <w:lang w:val="en-US"/>
        </w:rPr>
        <w:t>tg.getparam</w:t>
      </w:r>
      <w:proofErr w:type="spellEnd"/>
      <w:r w:rsidRPr="7D993F11">
        <w:rPr>
          <w:rFonts w:ascii="Courier New" w:hAnsi="Courier New" w:cs="Courier New"/>
          <w:color w:val="7030A0"/>
          <w:lang w:val="en-US"/>
        </w:rPr>
        <w:t>(model, 'Simulink parameter name')</w:t>
      </w:r>
    </w:p>
    <w:p w14:paraId="004921A6" w14:textId="69DECC2E" w:rsidR="00527E00" w:rsidRPr="00527E00" w:rsidRDefault="7D993F11" w:rsidP="00E4050F">
      <w:pPr>
        <w:rPr>
          <w:rFonts w:cstheme="minorHAnsi"/>
          <w:lang w:val="en-US"/>
        </w:rPr>
      </w:pPr>
      <w:r w:rsidRPr="7D993F11">
        <w:rPr>
          <w:lang w:val="en-US"/>
        </w:rPr>
        <w:t>Get parameter value of Simulink object. Can be used while the model is running on the target system.</w:t>
      </w:r>
    </w:p>
    <w:p w14:paraId="34BC04C5" w14:textId="7F090244" w:rsidR="7D993F11" w:rsidRDefault="7D993F11" w:rsidP="7D993F11">
      <w:pPr>
        <w:rPr>
          <w:rFonts w:ascii="Courier New" w:hAnsi="Courier New" w:cs="Courier New"/>
          <w:color w:val="7030A0"/>
          <w:lang w:val="en-US"/>
        </w:rPr>
      </w:pPr>
      <w:proofErr w:type="spellStart"/>
      <w:r w:rsidRPr="7D993F11">
        <w:rPr>
          <w:rFonts w:ascii="Courier New" w:hAnsi="Courier New" w:cs="Courier New"/>
          <w:color w:val="7030A0"/>
          <w:lang w:val="en-US"/>
        </w:rPr>
        <w:t>tg.setparam</w:t>
      </w:r>
      <w:proofErr w:type="spellEnd"/>
      <w:r w:rsidRPr="7D993F11">
        <w:rPr>
          <w:rFonts w:ascii="Courier New" w:hAnsi="Courier New" w:cs="Courier New"/>
          <w:color w:val="7030A0"/>
          <w:lang w:val="en-US"/>
        </w:rPr>
        <w:t>(model, 'Simulink parameter name', workspace variable))</w:t>
      </w:r>
    </w:p>
    <w:p w14:paraId="27D81E52" w14:textId="23E2E084" w:rsidR="00527E00" w:rsidRPr="00527E00" w:rsidRDefault="00527E00" w:rsidP="00E4050F">
      <w:pPr>
        <w:rPr>
          <w:rFonts w:cstheme="minorHAnsi"/>
          <w:lang w:val="en-US"/>
        </w:rPr>
      </w:pPr>
      <w:r w:rsidRPr="00527E00">
        <w:rPr>
          <w:rFonts w:cstheme="minorHAnsi"/>
          <w:lang w:val="en-US"/>
        </w:rPr>
        <w:t>Set parameter value of Simulink object</w:t>
      </w:r>
      <w:r>
        <w:rPr>
          <w:rFonts w:cstheme="minorHAnsi"/>
          <w:lang w:val="en-US"/>
        </w:rPr>
        <w:t>. Can be used while the model is running on the target system.</w:t>
      </w:r>
    </w:p>
    <w:p w14:paraId="03D9CE7B" w14:textId="77777777" w:rsidR="00C23FBD" w:rsidRPr="00E4050F" w:rsidRDefault="00C23FBD" w:rsidP="00E4050F">
      <w:pPr>
        <w:rPr>
          <w:lang w:val="en-US"/>
        </w:rPr>
      </w:pPr>
    </w:p>
    <w:p w14:paraId="4535AF93" w14:textId="75C09F58" w:rsidR="00BF2955" w:rsidRPr="00190B07" w:rsidRDefault="0072503A" w:rsidP="0072503A">
      <w:pPr>
        <w:pStyle w:val="ListParagraph"/>
        <w:ind w:left="360"/>
        <w:rPr>
          <w:lang w:val="en-US"/>
        </w:rPr>
      </w:pPr>
      <w:r>
        <w:rPr>
          <w:lang w:val="en-US"/>
        </w:rPr>
        <w:t xml:space="preserve"> </w:t>
      </w:r>
    </w:p>
    <w:sectPr w:rsidR="00BF2955" w:rsidRPr="00190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E0C0B"/>
    <w:multiLevelType w:val="hybridMultilevel"/>
    <w:tmpl w:val="3ACABD1A"/>
    <w:lvl w:ilvl="0" w:tplc="B594990A">
      <w:start w:val="1"/>
      <w:numFmt w:val="decimal"/>
      <w:lvlText w:val="%1."/>
      <w:lvlJc w:val="left"/>
      <w:pPr>
        <w:ind w:left="360" w:hanging="360"/>
      </w:pPr>
      <w:rPr>
        <w:rFonts w:hint="default"/>
        <w:color w:val="000000" w:themeColor="text1"/>
      </w:rPr>
    </w:lvl>
    <w:lvl w:ilvl="1" w:tplc="20000003">
      <w:start w:val="1"/>
      <w:numFmt w:val="bullet"/>
      <w:lvlText w:val="o"/>
      <w:lvlJc w:val="left"/>
      <w:pPr>
        <w:ind w:left="1080" w:hanging="360"/>
      </w:pPr>
      <w:rPr>
        <w:rFonts w:ascii="Courier New" w:hAnsi="Courier New" w:cs="Courier New"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49766B2F"/>
    <w:multiLevelType w:val="hybridMultilevel"/>
    <w:tmpl w:val="FEE648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660901"/>
    <w:multiLevelType w:val="hybridMultilevel"/>
    <w:tmpl w:val="7B38B064"/>
    <w:lvl w:ilvl="0" w:tplc="59A477DA">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16841884">
    <w:abstractNumId w:val="1"/>
  </w:num>
  <w:num w:numId="2" w16cid:durableId="709763627">
    <w:abstractNumId w:val="0"/>
  </w:num>
  <w:num w:numId="3" w16cid:durableId="1487546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AD"/>
    <w:rsid w:val="00024596"/>
    <w:rsid w:val="00034310"/>
    <w:rsid w:val="00042A53"/>
    <w:rsid w:val="00043DB7"/>
    <w:rsid w:val="00053B81"/>
    <w:rsid w:val="000554C0"/>
    <w:rsid w:val="0009302D"/>
    <w:rsid w:val="000A0D85"/>
    <w:rsid w:val="000A40ED"/>
    <w:rsid w:val="000A6341"/>
    <w:rsid w:val="000B589A"/>
    <w:rsid w:val="000D3F39"/>
    <w:rsid w:val="000E02B3"/>
    <w:rsid w:val="000E62D3"/>
    <w:rsid w:val="00120AAD"/>
    <w:rsid w:val="001231CB"/>
    <w:rsid w:val="00135314"/>
    <w:rsid w:val="00155145"/>
    <w:rsid w:val="00156D46"/>
    <w:rsid w:val="0018230B"/>
    <w:rsid w:val="00190B07"/>
    <w:rsid w:val="001B48D0"/>
    <w:rsid w:val="001B5EE7"/>
    <w:rsid w:val="001D572B"/>
    <w:rsid w:val="001E6F01"/>
    <w:rsid w:val="002014E3"/>
    <w:rsid w:val="002022B0"/>
    <w:rsid w:val="00226B1A"/>
    <w:rsid w:val="0022773B"/>
    <w:rsid w:val="00230EF6"/>
    <w:rsid w:val="00236882"/>
    <w:rsid w:val="00242A95"/>
    <w:rsid w:val="002571E5"/>
    <w:rsid w:val="00261833"/>
    <w:rsid w:val="00271EFE"/>
    <w:rsid w:val="002816A0"/>
    <w:rsid w:val="0028425A"/>
    <w:rsid w:val="002A27F6"/>
    <w:rsid w:val="002A3873"/>
    <w:rsid w:val="002D0C3B"/>
    <w:rsid w:val="002D471E"/>
    <w:rsid w:val="002D550D"/>
    <w:rsid w:val="00307633"/>
    <w:rsid w:val="00326AD1"/>
    <w:rsid w:val="00335CC4"/>
    <w:rsid w:val="00337C09"/>
    <w:rsid w:val="00352924"/>
    <w:rsid w:val="00355C51"/>
    <w:rsid w:val="00366687"/>
    <w:rsid w:val="003710A2"/>
    <w:rsid w:val="00371291"/>
    <w:rsid w:val="003738C2"/>
    <w:rsid w:val="00373BDB"/>
    <w:rsid w:val="0039278A"/>
    <w:rsid w:val="00396A2B"/>
    <w:rsid w:val="003A6752"/>
    <w:rsid w:val="003C58F2"/>
    <w:rsid w:val="003C5FBA"/>
    <w:rsid w:val="003F4908"/>
    <w:rsid w:val="003F4D3D"/>
    <w:rsid w:val="003F7694"/>
    <w:rsid w:val="00413342"/>
    <w:rsid w:val="00426969"/>
    <w:rsid w:val="00427901"/>
    <w:rsid w:val="00430F9A"/>
    <w:rsid w:val="004324EA"/>
    <w:rsid w:val="0044264E"/>
    <w:rsid w:val="00444B5D"/>
    <w:rsid w:val="0044668B"/>
    <w:rsid w:val="0045618E"/>
    <w:rsid w:val="004577E5"/>
    <w:rsid w:val="004657B6"/>
    <w:rsid w:val="00466D06"/>
    <w:rsid w:val="004714AA"/>
    <w:rsid w:val="0047533B"/>
    <w:rsid w:val="0047671E"/>
    <w:rsid w:val="00496FBB"/>
    <w:rsid w:val="004B3E82"/>
    <w:rsid w:val="004B4DEF"/>
    <w:rsid w:val="004D0B6C"/>
    <w:rsid w:val="004D5833"/>
    <w:rsid w:val="005024C1"/>
    <w:rsid w:val="005142D5"/>
    <w:rsid w:val="00526C4E"/>
    <w:rsid w:val="00527E00"/>
    <w:rsid w:val="00540753"/>
    <w:rsid w:val="00542848"/>
    <w:rsid w:val="00543215"/>
    <w:rsid w:val="00567313"/>
    <w:rsid w:val="00577807"/>
    <w:rsid w:val="0058002E"/>
    <w:rsid w:val="005B08BC"/>
    <w:rsid w:val="005C1C82"/>
    <w:rsid w:val="005E0FDD"/>
    <w:rsid w:val="005F2F82"/>
    <w:rsid w:val="005F364D"/>
    <w:rsid w:val="00611C9D"/>
    <w:rsid w:val="00612E30"/>
    <w:rsid w:val="00636494"/>
    <w:rsid w:val="00637245"/>
    <w:rsid w:val="006678C9"/>
    <w:rsid w:val="006679E7"/>
    <w:rsid w:val="00670536"/>
    <w:rsid w:val="00673969"/>
    <w:rsid w:val="00680517"/>
    <w:rsid w:val="006B4B6B"/>
    <w:rsid w:val="006C3F61"/>
    <w:rsid w:val="006D0E23"/>
    <w:rsid w:val="0070112E"/>
    <w:rsid w:val="00702C90"/>
    <w:rsid w:val="007069FD"/>
    <w:rsid w:val="00706C14"/>
    <w:rsid w:val="007229AB"/>
    <w:rsid w:val="0072503A"/>
    <w:rsid w:val="00736CC7"/>
    <w:rsid w:val="00740C56"/>
    <w:rsid w:val="00747185"/>
    <w:rsid w:val="00747395"/>
    <w:rsid w:val="007532B0"/>
    <w:rsid w:val="00763340"/>
    <w:rsid w:val="00766998"/>
    <w:rsid w:val="007677D9"/>
    <w:rsid w:val="00785F93"/>
    <w:rsid w:val="00790F7A"/>
    <w:rsid w:val="00795417"/>
    <w:rsid w:val="007A5758"/>
    <w:rsid w:val="007A6888"/>
    <w:rsid w:val="007B10CF"/>
    <w:rsid w:val="007B278A"/>
    <w:rsid w:val="007C402A"/>
    <w:rsid w:val="007F0478"/>
    <w:rsid w:val="0080602A"/>
    <w:rsid w:val="008074AE"/>
    <w:rsid w:val="008118AD"/>
    <w:rsid w:val="008148DA"/>
    <w:rsid w:val="00830D6C"/>
    <w:rsid w:val="00835539"/>
    <w:rsid w:val="00846088"/>
    <w:rsid w:val="00853721"/>
    <w:rsid w:val="00856E27"/>
    <w:rsid w:val="00872CA1"/>
    <w:rsid w:val="0088299A"/>
    <w:rsid w:val="00882D9D"/>
    <w:rsid w:val="00884ADD"/>
    <w:rsid w:val="008932A5"/>
    <w:rsid w:val="008946A7"/>
    <w:rsid w:val="008966DB"/>
    <w:rsid w:val="008A74C4"/>
    <w:rsid w:val="008C0DB5"/>
    <w:rsid w:val="008C3E2A"/>
    <w:rsid w:val="008E66AF"/>
    <w:rsid w:val="008F24B5"/>
    <w:rsid w:val="008F56E5"/>
    <w:rsid w:val="008F5F81"/>
    <w:rsid w:val="0092429B"/>
    <w:rsid w:val="00924799"/>
    <w:rsid w:val="00946C2D"/>
    <w:rsid w:val="00995CC3"/>
    <w:rsid w:val="009A3F1D"/>
    <w:rsid w:val="009A47D1"/>
    <w:rsid w:val="009B179C"/>
    <w:rsid w:val="009B495A"/>
    <w:rsid w:val="009B61C1"/>
    <w:rsid w:val="009B65B6"/>
    <w:rsid w:val="009D1A97"/>
    <w:rsid w:val="009F34EE"/>
    <w:rsid w:val="009F7DAD"/>
    <w:rsid w:val="00A049CF"/>
    <w:rsid w:val="00A232AA"/>
    <w:rsid w:val="00A27D63"/>
    <w:rsid w:val="00A452A6"/>
    <w:rsid w:val="00A51A29"/>
    <w:rsid w:val="00A718E2"/>
    <w:rsid w:val="00A80CAA"/>
    <w:rsid w:val="00AA7B0F"/>
    <w:rsid w:val="00AB5C47"/>
    <w:rsid w:val="00AB6C6F"/>
    <w:rsid w:val="00AE1185"/>
    <w:rsid w:val="00AF47BF"/>
    <w:rsid w:val="00B05C03"/>
    <w:rsid w:val="00B171B4"/>
    <w:rsid w:val="00B31A9D"/>
    <w:rsid w:val="00B370E5"/>
    <w:rsid w:val="00B52265"/>
    <w:rsid w:val="00B57280"/>
    <w:rsid w:val="00B643DC"/>
    <w:rsid w:val="00B67F79"/>
    <w:rsid w:val="00B86564"/>
    <w:rsid w:val="00B86CCF"/>
    <w:rsid w:val="00B9355D"/>
    <w:rsid w:val="00B94C53"/>
    <w:rsid w:val="00BC15B0"/>
    <w:rsid w:val="00BC70FC"/>
    <w:rsid w:val="00BD0299"/>
    <w:rsid w:val="00BF2955"/>
    <w:rsid w:val="00C04626"/>
    <w:rsid w:val="00C23FBD"/>
    <w:rsid w:val="00C42BC3"/>
    <w:rsid w:val="00C72DB4"/>
    <w:rsid w:val="00CA703A"/>
    <w:rsid w:val="00CA77D3"/>
    <w:rsid w:val="00CC3E41"/>
    <w:rsid w:val="00CD656F"/>
    <w:rsid w:val="00CE3D72"/>
    <w:rsid w:val="00CE4054"/>
    <w:rsid w:val="00CF7522"/>
    <w:rsid w:val="00D34DCA"/>
    <w:rsid w:val="00D37DFC"/>
    <w:rsid w:val="00D41F43"/>
    <w:rsid w:val="00D429E4"/>
    <w:rsid w:val="00D614B1"/>
    <w:rsid w:val="00D706A6"/>
    <w:rsid w:val="00D76A10"/>
    <w:rsid w:val="00DB221B"/>
    <w:rsid w:val="00DF2686"/>
    <w:rsid w:val="00E056F7"/>
    <w:rsid w:val="00E34B58"/>
    <w:rsid w:val="00E34B59"/>
    <w:rsid w:val="00E37694"/>
    <w:rsid w:val="00E4050F"/>
    <w:rsid w:val="00E51815"/>
    <w:rsid w:val="00E63B23"/>
    <w:rsid w:val="00E66A9F"/>
    <w:rsid w:val="00E67DA9"/>
    <w:rsid w:val="00E70EC3"/>
    <w:rsid w:val="00E7209B"/>
    <w:rsid w:val="00E76CAB"/>
    <w:rsid w:val="00EB745D"/>
    <w:rsid w:val="00EC0034"/>
    <w:rsid w:val="00EF0065"/>
    <w:rsid w:val="00F00FA9"/>
    <w:rsid w:val="00F0569E"/>
    <w:rsid w:val="00F132B8"/>
    <w:rsid w:val="00F1540A"/>
    <w:rsid w:val="00F46D84"/>
    <w:rsid w:val="00F50DDD"/>
    <w:rsid w:val="00F54D46"/>
    <w:rsid w:val="00F56941"/>
    <w:rsid w:val="00F60F00"/>
    <w:rsid w:val="00F85052"/>
    <w:rsid w:val="00F96EB3"/>
    <w:rsid w:val="00FA4173"/>
    <w:rsid w:val="00FB3F74"/>
    <w:rsid w:val="00FC12B9"/>
    <w:rsid w:val="00FD3F64"/>
    <w:rsid w:val="00FD683F"/>
    <w:rsid w:val="00FE512B"/>
    <w:rsid w:val="00FE53F8"/>
    <w:rsid w:val="26B95AF3"/>
    <w:rsid w:val="79A18E82"/>
    <w:rsid w:val="7D993F1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B849"/>
  <w15:chartTrackingRefBased/>
  <w15:docId w15:val="{BF6862F8-2853-4ED0-8EBD-CA5D5B2E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A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0A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0AAD"/>
    <w:pPr>
      <w:ind w:left="720"/>
      <w:contextualSpacing/>
    </w:pPr>
  </w:style>
  <w:style w:type="paragraph" w:styleId="Caption">
    <w:name w:val="caption"/>
    <w:basedOn w:val="Normal"/>
    <w:next w:val="Normal"/>
    <w:uiPriority w:val="35"/>
    <w:unhideWhenUsed/>
    <w:qFormat/>
    <w:rsid w:val="00120AAD"/>
    <w:pPr>
      <w:spacing w:after="200" w:line="240" w:lineRule="auto"/>
    </w:pPr>
    <w:rPr>
      <w:i/>
      <w:iCs/>
      <w:color w:val="44546A" w:themeColor="text2"/>
      <w:sz w:val="18"/>
      <w:szCs w:val="18"/>
    </w:rPr>
  </w:style>
  <w:style w:type="paragraph" w:styleId="NoSpacing">
    <w:name w:val="No Spacing"/>
    <w:uiPriority w:val="1"/>
    <w:qFormat/>
    <w:rsid w:val="00B643DC"/>
    <w:pPr>
      <w:spacing w:after="0" w:line="240" w:lineRule="auto"/>
    </w:pPr>
  </w:style>
  <w:style w:type="character" w:customStyle="1" w:styleId="Heading2Char">
    <w:name w:val="Heading 2 Char"/>
    <w:basedOn w:val="DefaultParagraphFont"/>
    <w:link w:val="Heading2"/>
    <w:uiPriority w:val="9"/>
    <w:rsid w:val="003076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4050F"/>
    <w:pPr>
      <w:outlineLvl w:val="9"/>
    </w:pPr>
    <w:rPr>
      <w:kern w:val="0"/>
      <w:lang w:val="en-US"/>
      <w14:ligatures w14:val="none"/>
    </w:rPr>
  </w:style>
  <w:style w:type="paragraph" w:styleId="TOC1">
    <w:name w:val="toc 1"/>
    <w:basedOn w:val="Normal"/>
    <w:next w:val="Normal"/>
    <w:autoRedefine/>
    <w:uiPriority w:val="39"/>
    <w:unhideWhenUsed/>
    <w:rsid w:val="00E4050F"/>
    <w:pPr>
      <w:spacing w:after="100"/>
    </w:pPr>
  </w:style>
  <w:style w:type="paragraph" w:styleId="TOC2">
    <w:name w:val="toc 2"/>
    <w:basedOn w:val="Normal"/>
    <w:next w:val="Normal"/>
    <w:autoRedefine/>
    <w:uiPriority w:val="39"/>
    <w:unhideWhenUsed/>
    <w:rsid w:val="00E4050F"/>
    <w:pPr>
      <w:spacing w:after="100"/>
      <w:ind w:left="220"/>
    </w:pPr>
  </w:style>
  <w:style w:type="character" w:styleId="Hyperlink">
    <w:name w:val="Hyperlink"/>
    <w:basedOn w:val="DefaultParagraphFont"/>
    <w:uiPriority w:val="99"/>
    <w:unhideWhenUsed/>
    <w:rsid w:val="00E40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697">
      <w:bodyDiv w:val="1"/>
      <w:marLeft w:val="0"/>
      <w:marRight w:val="0"/>
      <w:marTop w:val="0"/>
      <w:marBottom w:val="0"/>
      <w:divBdr>
        <w:top w:val="none" w:sz="0" w:space="0" w:color="auto"/>
        <w:left w:val="none" w:sz="0" w:space="0" w:color="auto"/>
        <w:bottom w:val="none" w:sz="0" w:space="0" w:color="auto"/>
        <w:right w:val="none" w:sz="0" w:space="0" w:color="auto"/>
      </w:divBdr>
      <w:divsChild>
        <w:div w:id="1941255689">
          <w:marLeft w:val="0"/>
          <w:marRight w:val="0"/>
          <w:marTop w:val="0"/>
          <w:marBottom w:val="0"/>
          <w:divBdr>
            <w:top w:val="none" w:sz="0" w:space="0" w:color="auto"/>
            <w:left w:val="none" w:sz="0" w:space="0" w:color="auto"/>
            <w:bottom w:val="none" w:sz="0" w:space="0" w:color="auto"/>
            <w:right w:val="none" w:sz="0" w:space="0" w:color="auto"/>
          </w:divBdr>
          <w:divsChild>
            <w:div w:id="597955822">
              <w:marLeft w:val="0"/>
              <w:marRight w:val="0"/>
              <w:marTop w:val="0"/>
              <w:marBottom w:val="0"/>
              <w:divBdr>
                <w:top w:val="none" w:sz="0" w:space="0" w:color="auto"/>
                <w:left w:val="none" w:sz="0" w:space="0" w:color="auto"/>
                <w:bottom w:val="none" w:sz="0" w:space="0" w:color="auto"/>
                <w:right w:val="none" w:sz="0" w:space="0" w:color="auto"/>
              </w:divBdr>
            </w:div>
            <w:div w:id="1982804079">
              <w:marLeft w:val="0"/>
              <w:marRight w:val="0"/>
              <w:marTop w:val="0"/>
              <w:marBottom w:val="0"/>
              <w:divBdr>
                <w:top w:val="none" w:sz="0" w:space="0" w:color="auto"/>
                <w:left w:val="none" w:sz="0" w:space="0" w:color="auto"/>
                <w:bottom w:val="none" w:sz="0" w:space="0" w:color="auto"/>
                <w:right w:val="none" w:sz="0" w:space="0" w:color="auto"/>
              </w:divBdr>
            </w:div>
            <w:div w:id="9023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6617">
      <w:bodyDiv w:val="1"/>
      <w:marLeft w:val="0"/>
      <w:marRight w:val="0"/>
      <w:marTop w:val="0"/>
      <w:marBottom w:val="0"/>
      <w:divBdr>
        <w:top w:val="none" w:sz="0" w:space="0" w:color="auto"/>
        <w:left w:val="none" w:sz="0" w:space="0" w:color="auto"/>
        <w:bottom w:val="none" w:sz="0" w:space="0" w:color="auto"/>
        <w:right w:val="none" w:sz="0" w:space="0" w:color="auto"/>
      </w:divBdr>
      <w:divsChild>
        <w:div w:id="1846362846">
          <w:marLeft w:val="0"/>
          <w:marRight w:val="0"/>
          <w:marTop w:val="0"/>
          <w:marBottom w:val="0"/>
          <w:divBdr>
            <w:top w:val="none" w:sz="0" w:space="0" w:color="auto"/>
            <w:left w:val="none" w:sz="0" w:space="0" w:color="auto"/>
            <w:bottom w:val="none" w:sz="0" w:space="0" w:color="auto"/>
            <w:right w:val="none" w:sz="0" w:space="0" w:color="auto"/>
          </w:divBdr>
          <w:divsChild>
            <w:div w:id="9658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464">
      <w:bodyDiv w:val="1"/>
      <w:marLeft w:val="0"/>
      <w:marRight w:val="0"/>
      <w:marTop w:val="0"/>
      <w:marBottom w:val="0"/>
      <w:divBdr>
        <w:top w:val="none" w:sz="0" w:space="0" w:color="auto"/>
        <w:left w:val="none" w:sz="0" w:space="0" w:color="auto"/>
        <w:bottom w:val="none" w:sz="0" w:space="0" w:color="auto"/>
        <w:right w:val="none" w:sz="0" w:space="0" w:color="auto"/>
      </w:divBdr>
      <w:divsChild>
        <w:div w:id="562058959">
          <w:marLeft w:val="0"/>
          <w:marRight w:val="0"/>
          <w:marTop w:val="0"/>
          <w:marBottom w:val="0"/>
          <w:divBdr>
            <w:top w:val="none" w:sz="0" w:space="0" w:color="auto"/>
            <w:left w:val="none" w:sz="0" w:space="0" w:color="auto"/>
            <w:bottom w:val="none" w:sz="0" w:space="0" w:color="auto"/>
            <w:right w:val="none" w:sz="0" w:space="0" w:color="auto"/>
          </w:divBdr>
          <w:divsChild>
            <w:div w:id="9887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65406-B326-480F-A41E-31DDC3E3F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Hulst, Maarten van der</dc:creator>
  <cp:keywords/>
  <dc:description/>
  <cp:lastModifiedBy>Hulst, Maarten van der</cp:lastModifiedBy>
  <cp:revision>257</cp:revision>
  <cp:lastPrinted>2023-08-24T09:35:00Z</cp:lastPrinted>
  <dcterms:created xsi:type="dcterms:W3CDTF">2023-08-15T10:53:00Z</dcterms:created>
  <dcterms:modified xsi:type="dcterms:W3CDTF">2023-08-24T09:36:00Z</dcterms:modified>
</cp:coreProperties>
</file>