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B1F3A"/>
          <w:sz w:val="40"/>
        </w:rPr>
        <w:t>Prediction Market Terminal</w:t>
      </w:r>
    </w:p>
    <w:p>
      <w:pPr>
        <w:spacing w:after="160" w:before="0"/>
      </w:pPr>
      <w:r>
        <w:rPr>
          <w:i/>
          <w:color w:val="0D9488"/>
          <w:sz w:val="22"/>
        </w:rPr>
        <w:t>A Bloomberg-grade data, analytics, and intelligence layer for the prediction market asset class.</w:t>
      </w:r>
    </w:p>
    <w:p>
      <w:pPr>
        <w:spacing w:after="160"/>
      </w:pPr>
      <w:r>
        <w:rPr>
          <w:i/>
          <w:color w:val="4B5563"/>
          <w:sz w:val="18"/>
        </w:rPr>
        <w:t>Strategy v0.1  ·  April 2026  ·  Internal — pre-seed planning</w:t>
      </w:r>
    </w:p>
    <w:p>
      <w:pPr>
        <w:spacing w:before="160" w:after="40"/>
        <w:pBdr>
          <w:bottom w:val="single" w:sz="4" w:color="0D9488"/>
        </w:pBdr>
      </w:pPr>
      <w:r>
        <w:rPr>
          <w:rFonts w:ascii="Calibri" w:hAnsi="Calibri"/>
          <w:b/>
          <w:color w:val="0D9488"/>
          <w:sz w:val="20"/>
        </w:rPr>
        <w:t>ONE-LINER</w:t>
      </w:r>
    </w:p>
    <w:p>
      <w:pPr>
        <w:spacing w:after="80" w:before="0"/>
      </w:pPr>
      <w:r>
        <w:rPr>
          <w:color w:val="111827"/>
          <w:sz w:val="21"/>
        </w:rPr>
        <w:t>We turn prediction market data (Kalshi, Polymarket, and peers) into institutional-grade signal — a cross-venue terminal, historical dataset, and API that pro traders, macro funds, and newsrooms pay for because the exchanges alone don’t give them the view they need.</w:t>
      </w:r>
    </w:p>
    <w:p>
      <w:pPr>
        <w:spacing w:before="160" w:after="40"/>
        <w:pBdr>
          <w:bottom w:val="single" w:sz="4" w:color="0D9488"/>
        </w:pBdr>
      </w:pPr>
      <w:r>
        <w:rPr>
          <w:rFonts w:ascii="Calibri" w:hAnsi="Calibri"/>
          <w:b/>
          <w:color w:val="0D9488"/>
          <w:sz w:val="20"/>
        </w:rPr>
        <w:t>WHO WE’RE BUILDING FOR</w:t>
      </w:r>
    </w:p>
    <w:p>
      <w:pPr>
        <w:pStyle w:val="ListBullet"/>
        <w:spacing w:after="40" w:before="0"/>
        <w:ind w:left="317"/>
      </w:pPr>
      <w:r>
        <w:rPr>
          <w:b/>
          <w:sz w:val="21"/>
        </w:rPr>
        <w:t xml:space="preserve">Primary (v1): </w:t>
      </w:r>
      <w:r>
        <w:rPr>
          <w:sz w:val="21"/>
        </w:rPr>
        <w:t>Pro desks at crypto-native funds, macro hedge funds, and event-driven prop shops already trading or shadow-tracking Kalshi and Polymarket.</w:t>
      </w:r>
    </w:p>
    <w:p>
      <w:pPr>
        <w:pStyle w:val="ListBullet"/>
        <w:spacing w:after="40" w:before="0"/>
        <w:ind w:left="317"/>
      </w:pPr>
      <w:r>
        <w:rPr>
          <w:b/>
          <w:sz w:val="21"/>
        </w:rPr>
        <w:t xml:space="preserve">Secondary: </w:t>
      </w:r>
      <w:r>
        <w:rPr>
          <w:sz w:val="21"/>
        </w:rPr>
        <w:t>Prosumer quant traders and political/macro analysts who want clean history, cross-venue views, and an API — land-and-expand into funds.</w:t>
      </w:r>
    </w:p>
    <w:p>
      <w:pPr>
        <w:pStyle w:val="ListBullet"/>
        <w:spacing w:after="40" w:before="0"/>
        <w:ind w:left="317"/>
      </w:pPr>
      <w:r>
        <w:rPr>
          <w:b/>
          <w:sz w:val="21"/>
        </w:rPr>
        <w:t xml:space="preserve">Channel / monetization partner: </w:t>
      </w:r>
      <w:r>
        <w:rPr>
          <w:sz w:val="21"/>
        </w:rPr>
        <w:t>Newsrooms, research shops, and creators (CNN/CNBC have already signed data deals with Kalshi) who want embeddable widgets and a white-label feed.</w:t>
      </w:r>
    </w:p>
    <w:p>
      <w:pPr>
        <w:spacing w:before="160" w:after="40"/>
        <w:pBdr>
          <w:bottom w:val="single" w:sz="4" w:color="0D9488"/>
        </w:pBdr>
      </w:pPr>
      <w:r>
        <w:rPr>
          <w:rFonts w:ascii="Calibri" w:hAnsi="Calibri"/>
          <w:b/>
          <w:color w:val="0D9488"/>
          <w:sz w:val="20"/>
        </w:rPr>
        <w:t>THE WEDGE — THREE LAYERS, ONE PRODUCT</w:t>
      </w:r>
    </w:p>
    <w:p>
      <w:pPr>
        <w:pStyle w:val="ListBullet"/>
        <w:spacing w:after="40" w:before="0"/>
        <w:ind w:left="317"/>
      </w:pPr>
      <w:r>
        <w:rPr>
          <w:b/>
          <w:sz w:val="21"/>
        </w:rPr>
        <w:t xml:space="preserve">(1) Cross-venue aggregation: </w:t>
      </w:r>
      <w:r>
        <w:rPr>
          <w:sz w:val="21"/>
        </w:rPr>
        <w:t>one normalized order book across Kalshi, Polymarket, Manifold, PredictIt, and new DCM entrants. Unified tickers, implied probabilities, best bid/offer, spread, liquidity depth, arbitrage flags.</w:t>
      </w:r>
    </w:p>
    <w:p>
      <w:pPr>
        <w:pStyle w:val="ListBullet"/>
        <w:spacing w:after="40" w:before="0"/>
        <w:ind w:left="317"/>
      </w:pPr>
      <w:r>
        <w:rPr>
          <w:b/>
          <w:sz w:val="21"/>
        </w:rPr>
        <w:t xml:space="preserve">(2) Analytics &amp; signal layer: </w:t>
      </w:r>
      <w:r>
        <w:rPr>
          <w:sz w:val="21"/>
        </w:rPr>
        <w:t>historical tick and 1-min bars, calibration scores by category and issuer, realized-vs-implied tracking, correlations to macro/crypto/equity tape, and reproducible backtests.</w:t>
      </w:r>
    </w:p>
    <w:p>
      <w:pPr>
        <w:pStyle w:val="ListBullet"/>
        <w:spacing w:after="40" w:before="0"/>
        <w:ind w:left="317"/>
      </w:pPr>
      <w:r>
        <w:rPr>
          <w:b/>
          <w:sz w:val="21"/>
        </w:rPr>
        <w:t xml:space="preserve">(3) News &amp; event intelligence: </w:t>
      </w:r>
      <w:r>
        <w:rPr>
          <w:sz w:val="21"/>
        </w:rPr>
        <w:t>structured linkage of each market to the news, polls, filings, and on-chain events that move it — the “why is this moving” panel no existing venue ships.</w:t>
      </w:r>
    </w:p>
    <w:p>
      <w:pPr>
        <w:spacing w:after="80" w:before="0"/>
      </w:pPr>
      <w:r>
        <w:rPr>
          <w:color w:val="111827"/>
          <w:sz w:val="21"/>
        </w:rPr>
        <w:t>The moat is the dataset and the linkage graph, not the UI. By month 12 we want a cleaner, longer, better-annotated historical archive than any single venue publishes — and the only place you can query it across venues.</w:t>
      </w:r>
    </w:p>
    <w:p>
      <w:pPr>
        <w:spacing w:before="160" w:after="40"/>
        <w:pBdr>
          <w:bottom w:val="single" w:sz="4" w:color="0D9488"/>
        </w:pBdr>
      </w:pPr>
      <w:r>
        <w:rPr>
          <w:rFonts w:ascii="Calibri" w:hAnsi="Calibri"/>
          <w:b/>
          <w:color w:val="0D9488"/>
          <w:sz w:val="20"/>
        </w:rPr>
        <w:t>WHAT WE ARE NOT DOING</w:t>
      </w:r>
    </w:p>
    <w:p>
      <w:pPr>
        <w:pStyle w:val="ListBullet"/>
        <w:spacing w:after="40" w:before="0"/>
        <w:ind w:left="317"/>
      </w:pPr>
      <w:r>
        <w:rPr>
          <w:b/>
          <w:sz w:val="21"/>
        </w:rPr>
        <w:t xml:space="preserve">Running an exchange or brokering trades </w:t>
      </w:r>
      <w:r>
        <w:rPr>
          <w:sz w:val="21"/>
        </w:rPr>
        <w:t>in v1. No custody, no order routing, no SOR. Data + analytics only; trade buttons deep-link out.</w:t>
      </w:r>
    </w:p>
    <w:p>
      <w:pPr>
        <w:pStyle w:val="ListBullet"/>
        <w:spacing w:after="40" w:before="0"/>
        <w:ind w:left="317"/>
      </w:pPr>
      <w:r>
        <w:rPr>
          <w:b/>
          <w:sz w:val="21"/>
        </w:rPr>
        <w:t xml:space="preserve">Competing with venues on liquidity. </w:t>
      </w:r>
      <w:r>
        <w:rPr>
          <w:sz w:val="21"/>
        </w:rPr>
        <w:t>Kalshi, Polymarket, and friends have 9-figure-plus runway; we ride them, we don’t fight them.</w:t>
      </w:r>
    </w:p>
    <w:p>
      <w:pPr>
        <w:pStyle w:val="ListBullet"/>
        <w:spacing w:after="40" w:before="0"/>
        <w:ind w:left="317"/>
      </w:pPr>
      <w:r>
        <w:rPr>
          <w:b/>
          <w:sz w:val="21"/>
        </w:rPr>
        <w:t xml:space="preserve">Offshore/unregulated execution. </w:t>
      </w:r>
      <w:r>
        <w:rPr>
          <w:sz w:val="21"/>
        </w:rPr>
        <w:t>we are US-first on regulated data (Kalshi + post-QCEX Polymarket), data-only globally for v1. Execution stays off the roadmap until counsel signs off.</w:t>
      </w:r>
    </w:p>
    <w:p>
      <w:pPr>
        <w:pStyle w:val="ListBullet"/>
        <w:spacing w:after="40" w:before="0"/>
        <w:ind w:left="317"/>
      </w:pPr>
      <w:r>
        <w:rPr>
          <w:b/>
          <w:sz w:val="21"/>
        </w:rPr>
        <w:t xml:space="preserve">Chasing retail with a free app. </w:t>
      </w:r>
      <w:r>
        <w:rPr>
          <w:sz w:val="21"/>
        </w:rPr>
        <w:t>retail dashboards and free Twitter-style odds trackers (Oddpool, Alphascope, Verso) already exist. We differentiate by going up-market, not down.</w:t>
      </w:r>
    </w:p>
    <w:p>
      <w:pPr>
        <w:spacing w:before="160" w:after="40"/>
        <w:pBdr>
          <w:bottom w:val="single" w:sz="4" w:color="0D9488"/>
        </w:pBdr>
      </w:pPr>
      <w:r>
        <w:rPr>
          <w:rFonts w:ascii="Calibri" w:hAnsi="Calibri"/>
          <w:b/>
          <w:color w:val="0D9488"/>
          <w:sz w:val="20"/>
        </w:rPr>
        <w:t>WHY NOW</w:t>
      </w:r>
    </w:p>
    <w:p>
      <w:pPr>
        <w:spacing w:after="80" w:before="0"/>
      </w:pPr>
      <w:r>
        <w:rPr>
          <w:color w:val="111827"/>
          <w:sz w:val="21"/>
        </w:rPr>
        <w:t>CFTC issued an ANPRM on prediction markets in March 2026 and is actively widening the lane. The 3rd Circuit ruled for Kalshi on state preemption in April 2026. Polymarket reopened to US users in Dec 2025 via QCEX. DCM applications have more than doubled YoY. The asset class is legitimizing; the data layer hasn’t caught up.</w:t>
      </w:r>
    </w:p>
    <w:p>
      <w:pPr>
        <w:spacing w:before="160" w:after="40"/>
        <w:pBdr>
          <w:bottom w:val="single" w:sz="4" w:color="0D9488"/>
        </w:pBdr>
      </w:pPr>
      <w:r>
        <w:rPr>
          <w:rFonts w:ascii="Calibri" w:hAnsi="Calibri"/>
          <w:b/>
          <w:color w:val="0D9488"/>
          <w:sz w:val="20"/>
        </w:rPr>
        <w:t>MONETIZATION (PATH TO $100M)</w:t>
      </w:r>
    </w:p>
    <w:p>
      <w:pPr>
        <w:spacing w:after="80" w:before="0"/>
      </w:pPr>
      <w:r>
        <w:rPr>
          <w:color w:val="111827"/>
          <w:sz w:val="21"/>
        </w:rPr>
        <w:t>Four revenue lines: (a) Pro seat $79–$199/mo; (b) Desk/team $500–$2k/mo per seat; (c) Enterprise data + API $2–10k+/mo; (d) Media white-label widgets $5–60k/yr. Target mix at ~$5M ARR: 60% enterprise/desk, 25% pro seats, 15% media — the revenue quality that earns a 20–30x data/fintech multiple.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