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F3A"/>
          <w:sz w:val="48"/>
        </w:rPr>
        <w:t>Pitch Deck Outline</w:t>
      </w:r>
    </w:p>
    <w:p>
      <w:pPr>
        <w:spacing w:after="240"/>
      </w:pPr>
      <w:r>
        <w:rPr>
          <w:i/>
          <w:color w:val="4B5563"/>
          <w:sz w:val="22"/>
        </w:rPr>
        <w:t>"Bloomberg for prediction markets"  ·  Pre-seed / seed narrative  ·  12 slides  ·  v0.1, April 2026</w:t>
      </w:r>
    </w:p>
    <w:p>
      <w:pPr>
        <w:spacing w:after="120"/>
      </w:pPr>
      <w:r>
        <w:rPr>
          <w:color w:val="4B5563"/>
          <w:sz w:val="22"/>
        </w:rPr>
        <w:t>This is the slide-by-slide spine. Each entry has: the headline the slide should deliver, the supporting visual, 3–5 body points, and speaker notes. Build the .pptx off this — don’t let design drive the story.</w:t>
      </w:r>
    </w:p>
    <w:p>
      <w:pPr>
        <w:spacing w:before="280" w:after="60"/>
        <w:pBdr>
          <w:bottom w:val="single" w:sz="6" w:color="0D9488"/>
        </w:pBdr>
      </w:pPr>
      <w:r>
        <w:rPr>
          <w:b/>
          <w:color w:val="0D9488"/>
          <w:sz w:val="20"/>
        </w:rPr>
        <w:t xml:space="preserve">SLIDE 01  </w:t>
      </w:r>
      <w:r>
        <w:rPr>
          <w:b/>
          <w:color w:val="0B1F3A"/>
          <w:sz w:val="28"/>
        </w:rPr>
        <w:t>Cover</w:t>
      </w:r>
    </w:p>
    <w:p>
      <w:pPr>
        <w:spacing w:before="80" w:after="40"/>
      </w:pPr>
      <w:r>
        <w:rPr>
          <w:b/>
          <w:color w:val="0D9488"/>
          <w:sz w:val="18"/>
        </w:rPr>
        <w:t>Headline</w:t>
      </w:r>
      <w:r>
        <w:rPr>
          <w:sz w:val="21"/>
        </w:rPr>
        <w:t xml:space="preserve">  Prediction Market Terminal — the data &amp; intelligence layer for a newly legal asset class.</w:t>
      </w:r>
    </w:p>
    <w:p>
      <w:pPr>
        <w:spacing w:before="80" w:after="40"/>
      </w:pPr>
      <w:r>
        <w:rPr>
          <w:b/>
          <w:color w:val="0D9488"/>
          <w:sz w:val="18"/>
        </w:rPr>
        <w:t>Visual</w:t>
      </w:r>
      <w:r>
        <w:rPr>
          <w:sz w:val="21"/>
        </w:rPr>
        <w:t xml:space="preserve">  Full-bleed dark slide, mono-spaced ticker of live market probabilities across the bottom, logo top-left.</w:t>
      </w:r>
    </w:p>
    <w:p>
      <w:pPr>
        <w:spacing w:before="80" w:after="40"/>
      </w:pPr>
      <w:r>
        <w:rPr>
          <w:b/>
          <w:color w:val="0D9488"/>
          <w:sz w:val="18"/>
        </w:rPr>
        <w:t>Body</w:t>
      </w:r>
      <w:r>
        <w:rPr>
          <w:sz w:val="21"/>
        </w:rPr>
        <w:t xml:space="preserve">  </w:t>
      </w:r>
    </w:p>
    <w:p>
      <w:pPr>
        <w:pStyle w:val="ListBullet"/>
        <w:spacing w:after="40"/>
        <w:ind w:left="360"/>
      </w:pPr>
      <w:r>
        <w:rPr>
          <w:sz w:val="21"/>
        </w:rPr>
        <w:t>Company name + logo.</w:t>
      </w:r>
    </w:p>
    <w:p>
      <w:pPr>
        <w:pStyle w:val="ListBullet"/>
        <w:spacing w:after="40"/>
        <w:ind w:left="360"/>
      </w:pPr>
      <w:r>
        <w:rPr>
          <w:sz w:val="21"/>
        </w:rPr>
        <w:t>Tagline: ‘Bloomberg for prediction markets.’</w:t>
      </w:r>
    </w:p>
    <w:p>
      <w:pPr>
        <w:pStyle w:val="ListBullet"/>
        <w:spacing w:after="40"/>
        <w:ind w:left="360"/>
      </w:pPr>
      <w:r>
        <w:rPr>
          <w:sz w:val="21"/>
        </w:rPr>
        <w:t>Founder name, date, confidentiality line.</w:t>
      </w:r>
    </w:p>
    <w:p>
      <w:pPr>
        <w:spacing w:before="80" w:after="80"/>
        <w:ind w:left="144"/>
      </w:pPr>
      <w:r>
        <w:rPr>
          <w:b/>
          <w:i/>
          <w:color w:val="4B5563"/>
          <w:sz w:val="18"/>
        </w:rPr>
        <w:t xml:space="preserve">Speaker notes: </w:t>
      </w:r>
      <w:r>
        <w:rPr>
          <w:i/>
          <w:color w:val="4B5563"/>
          <w:sz w:val="18"/>
        </w:rPr>
        <w:t>Don't open with the tagline — open by saying you're here to talk about a market class that 18 months ago was semi-legal and today has a CFTC ANPRM and CNN/CNBC data deals. Then reveal the slide.</w:t>
      </w:r>
    </w:p>
    <w:p>
      <w:pPr>
        <w:spacing w:before="280" w:after="60"/>
        <w:pBdr>
          <w:bottom w:val="single" w:sz="6" w:color="0D9488"/>
        </w:pBdr>
      </w:pPr>
      <w:r>
        <w:rPr>
          <w:b/>
          <w:color w:val="0D9488"/>
          <w:sz w:val="20"/>
        </w:rPr>
        <w:t xml:space="preserve">SLIDE 02  </w:t>
      </w:r>
      <w:r>
        <w:rPr>
          <w:b/>
          <w:color w:val="0B1F3A"/>
          <w:sz w:val="28"/>
        </w:rPr>
        <w:t>The opportunity</w:t>
      </w:r>
    </w:p>
    <w:p>
      <w:pPr>
        <w:spacing w:before="80" w:after="40"/>
      </w:pPr>
      <w:r>
        <w:rPr>
          <w:b/>
          <w:color w:val="0D9488"/>
          <w:sz w:val="18"/>
        </w:rPr>
        <w:t>Headline</w:t>
      </w:r>
      <w:r>
        <w:rPr>
          <w:sz w:val="21"/>
        </w:rPr>
        <w:t xml:space="preserve">  Prediction markets just became a real US asset class. The data layer hasn’t caught up.</w:t>
      </w:r>
    </w:p>
    <w:p>
      <w:pPr>
        <w:spacing w:before="80" w:after="40"/>
      </w:pPr>
      <w:r>
        <w:rPr>
          <w:b/>
          <w:color w:val="0D9488"/>
          <w:sz w:val="18"/>
        </w:rPr>
        <w:t>Visual</w:t>
      </w:r>
      <w:r>
        <w:rPr>
          <w:sz w:val="21"/>
        </w:rPr>
        <w:t xml:space="preserve">  3 stat callouts: CFTC ANPRM Mar 2026 · 3rd Cir. Kalshi ruling Apr 2026 · Polymarket US relaunch Dec 2025.</w:t>
      </w:r>
    </w:p>
    <w:p>
      <w:pPr>
        <w:spacing w:before="80" w:after="40"/>
      </w:pPr>
      <w:r>
        <w:rPr>
          <w:b/>
          <w:color w:val="0D9488"/>
          <w:sz w:val="18"/>
        </w:rPr>
        <w:t>Body</w:t>
      </w:r>
      <w:r>
        <w:rPr>
          <w:sz w:val="21"/>
        </w:rPr>
        <w:t xml:space="preserve">  </w:t>
      </w:r>
    </w:p>
    <w:p>
      <w:pPr>
        <w:pStyle w:val="ListBullet"/>
        <w:spacing w:after="40"/>
        <w:ind w:left="360"/>
      </w:pPr>
      <w:r>
        <w:rPr>
          <w:sz w:val="21"/>
        </w:rPr>
        <w:t>1,600+ event contracts certified by DCMs in 2025 (CFTC). DCM applications more than doubled YoY.</w:t>
      </w:r>
    </w:p>
    <w:p>
      <w:pPr>
        <w:pStyle w:val="ListBullet"/>
        <w:spacing w:after="40"/>
        <w:ind w:left="360"/>
      </w:pPr>
      <w:r>
        <w:rPr>
          <w:sz w:val="21"/>
        </w:rPr>
        <w:t>Kalshi and Polymarket are now both CFTC-regulated DCMs. Traditional players (Robinhood, IBKR, DraftKings) are leaning in.</w:t>
      </w:r>
    </w:p>
    <w:p>
      <w:pPr>
        <w:pStyle w:val="ListBullet"/>
        <w:spacing w:after="40"/>
        <w:ind w:left="360"/>
      </w:pPr>
      <w:r>
        <w:rPr>
          <w:sz w:val="21"/>
        </w:rPr>
        <w:t>But there’s no Bloomberg. No cross-venue terminal. No clean historical dataset. No institutional-grade API for this asset class.</w:t>
      </w:r>
    </w:p>
    <w:p>
      <w:pPr>
        <w:spacing w:before="80" w:after="80"/>
        <w:ind w:left="144"/>
      </w:pPr>
      <w:r>
        <w:rPr>
          <w:b/>
          <w:i/>
          <w:color w:val="4B5563"/>
          <w:sz w:val="18"/>
        </w:rPr>
        <w:t xml:space="preserve">Speaker notes: </w:t>
      </w:r>
      <w:r>
        <w:rPr>
          <w:i/>
          <w:color w:val="4B5563"/>
          <w:sz w:val="18"/>
        </w:rPr>
        <w:t>Emphasize regulatory legitimization as the unlock. VCs passed on this space in 2022–23 because of regulatory tail risk. That tail just got cut off.</w:t>
      </w:r>
    </w:p>
    <w:p>
      <w:pPr>
        <w:spacing w:before="280" w:after="60"/>
        <w:pBdr>
          <w:bottom w:val="single" w:sz="6" w:color="0D9488"/>
        </w:pBdr>
      </w:pPr>
      <w:r>
        <w:rPr>
          <w:b/>
          <w:color w:val="0D9488"/>
          <w:sz w:val="20"/>
        </w:rPr>
        <w:t xml:space="preserve">SLIDE 03  </w:t>
      </w:r>
      <w:r>
        <w:rPr>
          <w:b/>
          <w:color w:val="0B1F3A"/>
          <w:sz w:val="28"/>
        </w:rPr>
        <w:t>The problem</w:t>
      </w:r>
    </w:p>
    <w:p>
      <w:pPr>
        <w:spacing w:before="80" w:after="40"/>
      </w:pPr>
      <w:r>
        <w:rPr>
          <w:b/>
          <w:color w:val="0D9488"/>
          <w:sz w:val="18"/>
        </w:rPr>
        <w:t>Headline</w:t>
      </w:r>
      <w:r>
        <w:rPr>
          <w:sz w:val="21"/>
        </w:rPr>
        <w:t xml:space="preserve">  Traders and funds already use prediction markets as signal — from inside spreadsheets and Twitter.</w:t>
      </w:r>
    </w:p>
    <w:p>
      <w:pPr>
        <w:spacing w:before="80" w:after="40"/>
      </w:pPr>
      <w:r>
        <w:rPr>
          <w:b/>
          <w:color w:val="0D9488"/>
          <w:sz w:val="18"/>
        </w:rPr>
        <w:t>Visual</w:t>
      </w:r>
      <w:r>
        <w:rPr>
          <w:sz w:val="21"/>
        </w:rPr>
        <w:t xml:space="preserve">  Split screen: left, messy screenshot-collage of how pros track today (browser tabs, Discord, scraped CSVs). Right, a clean terminal mockup.</w:t>
      </w:r>
    </w:p>
    <w:p>
      <w:pPr>
        <w:spacing w:before="80" w:after="40"/>
      </w:pPr>
      <w:r>
        <w:rPr>
          <w:b/>
          <w:color w:val="0D9488"/>
          <w:sz w:val="18"/>
        </w:rPr>
        <w:t>Body</w:t>
      </w:r>
      <w:r>
        <w:rPr>
          <w:sz w:val="21"/>
        </w:rPr>
        <w:t xml:space="preserve">  </w:t>
      </w:r>
    </w:p>
    <w:p>
      <w:pPr>
        <w:pStyle w:val="ListBullet"/>
        <w:spacing w:after="40"/>
        <w:ind w:left="360"/>
      </w:pPr>
      <w:r>
        <w:rPr>
          <w:sz w:val="21"/>
        </w:rPr>
        <w:t>Pros stitch data by hand across Kalshi + Polymarket APIs. No unified tickers, no historical archive.</w:t>
      </w:r>
    </w:p>
    <w:p>
      <w:pPr>
        <w:pStyle w:val="ListBullet"/>
        <w:spacing w:after="40"/>
        <w:ind w:left="360"/>
      </w:pPr>
      <w:r>
        <w:rPr>
          <w:sz w:val="21"/>
        </w:rPr>
        <w:t>Funds want calibration scores, realized-vs-implied, and macro overlays. Venues don’t publish them.</w:t>
      </w:r>
    </w:p>
    <w:p>
      <w:pPr>
        <w:pStyle w:val="ListBullet"/>
        <w:spacing w:after="40"/>
        <w:ind w:left="360"/>
      </w:pPr>
      <w:r>
        <w:rPr>
          <w:sz w:val="21"/>
        </w:rPr>
        <w:t>Newsrooms want embeddable live odds widgets (CNN/CNBC already signed Kalshi deals). The tooling is bespoke.</w:t>
      </w:r>
    </w:p>
    <w:p>
      <w:pPr>
        <w:spacing w:before="80" w:after="80"/>
        <w:ind w:left="144"/>
      </w:pPr>
      <w:r>
        <w:rPr>
          <w:b/>
          <w:i/>
          <w:color w:val="4B5563"/>
          <w:sz w:val="18"/>
        </w:rPr>
        <w:t xml:space="preserve">Speaker notes: </w:t>
      </w:r>
      <w:r>
        <w:rPr>
          <w:i/>
          <w:color w:val="4B5563"/>
          <w:sz w:val="18"/>
        </w:rPr>
        <w:t>Show at least one screenshot of a real analyst's messy workflow — ideally a scraped Google Sheet from public Twitter. Pain is the whole slide.</w:t>
      </w:r>
    </w:p>
    <w:p>
      <w:pPr>
        <w:spacing w:before="280" w:after="60"/>
        <w:pBdr>
          <w:bottom w:val="single" w:sz="6" w:color="0D9488"/>
        </w:pBdr>
      </w:pPr>
      <w:r>
        <w:rPr>
          <w:b/>
          <w:color w:val="0D9488"/>
          <w:sz w:val="20"/>
        </w:rPr>
        <w:t xml:space="preserve">SLIDE 04  </w:t>
      </w:r>
      <w:r>
        <w:rPr>
          <w:b/>
          <w:color w:val="0B1F3A"/>
          <w:sz w:val="28"/>
        </w:rPr>
        <w:t>Our solution</w:t>
      </w:r>
    </w:p>
    <w:p>
      <w:pPr>
        <w:spacing w:before="80" w:after="40"/>
      </w:pPr>
      <w:r>
        <w:rPr>
          <w:b/>
          <w:color w:val="0D9488"/>
          <w:sz w:val="18"/>
        </w:rPr>
        <w:t>Headline</w:t>
      </w:r>
      <w:r>
        <w:rPr>
          <w:sz w:val="21"/>
        </w:rPr>
        <w:t xml:space="preserve">  One terminal. One API. Three layers: aggregation, analytics, news intelligence.</w:t>
      </w:r>
    </w:p>
    <w:p>
      <w:pPr>
        <w:spacing w:before="80" w:after="40"/>
      </w:pPr>
      <w:r>
        <w:rPr>
          <w:b/>
          <w:color w:val="0D9488"/>
          <w:sz w:val="18"/>
        </w:rPr>
        <w:t>Visual</w:t>
      </w:r>
      <w:r>
        <w:rPr>
          <w:sz w:val="21"/>
        </w:rPr>
        <w:t xml:space="preserve">  Stacked diagram — Data (bottom: ingest from Kalshi, Polymarket, Manifold, PredictIt) → Analytics (middle: calibration, backtests, correlations) → Product (top: terminal, API, widgets).</w:t>
      </w:r>
    </w:p>
    <w:p>
      <w:pPr>
        <w:spacing w:before="80" w:after="40"/>
      </w:pPr>
      <w:r>
        <w:rPr>
          <w:b/>
          <w:color w:val="0D9488"/>
          <w:sz w:val="18"/>
        </w:rPr>
        <w:t>Body</w:t>
      </w:r>
      <w:r>
        <w:rPr>
          <w:sz w:val="21"/>
        </w:rPr>
        <w:t xml:space="preserve">  </w:t>
      </w:r>
    </w:p>
    <w:p>
      <w:pPr>
        <w:pStyle w:val="ListBullet"/>
        <w:spacing w:after="40"/>
        <w:ind w:left="360"/>
      </w:pPr>
      <w:r>
        <w:rPr>
          <w:sz w:val="21"/>
        </w:rPr>
        <w:t>Aggregation: unified book across every major venue. Normalized tickers, implied probabilities, best bid/offer.</w:t>
      </w:r>
    </w:p>
    <w:p>
      <w:pPr>
        <w:pStyle w:val="ListBullet"/>
        <w:spacing w:after="40"/>
        <w:ind w:left="360"/>
      </w:pPr>
      <w:r>
        <w:rPr>
          <w:sz w:val="21"/>
        </w:rPr>
        <w:t>Analytics: historical tick data, calibration scoring, macro/equity/crypto correlations, reproducible backtests.</w:t>
      </w:r>
    </w:p>
    <w:p>
      <w:pPr>
        <w:pStyle w:val="ListBullet"/>
        <w:spacing w:after="40"/>
        <w:ind w:left="360"/>
      </w:pPr>
      <w:r>
        <w:rPr>
          <w:sz w:val="21"/>
        </w:rPr>
        <w:t>News linkage: each market wired to the filings, polls, and on-chain events that move it. ‘Why is this moving’ on every chart.</w:t>
      </w:r>
    </w:p>
    <w:p>
      <w:pPr>
        <w:spacing w:before="80" w:after="80"/>
        <w:ind w:left="144"/>
      </w:pPr>
      <w:r>
        <w:rPr>
          <w:b/>
          <w:i/>
          <w:color w:val="4B5563"/>
          <w:sz w:val="18"/>
        </w:rPr>
        <w:t xml:space="preserve">Speaker notes: </w:t>
      </w:r>
      <w:r>
        <w:rPr>
          <w:i/>
          <w:color w:val="4B5563"/>
          <w:sz w:val="18"/>
        </w:rPr>
        <w:t>Be explicit: we are not the exchange. We are the data + intelligence layer. This protects margin, keeps compliance clean, and makes every venue a partner, not a competitor.</w:t>
      </w:r>
    </w:p>
    <w:p>
      <w:pPr>
        <w:spacing w:before="280" w:after="60"/>
        <w:pBdr>
          <w:bottom w:val="single" w:sz="6" w:color="0D9488"/>
        </w:pBdr>
      </w:pPr>
      <w:r>
        <w:rPr>
          <w:b/>
          <w:color w:val="0D9488"/>
          <w:sz w:val="20"/>
        </w:rPr>
        <w:t xml:space="preserve">SLIDE 05  </w:t>
      </w:r>
      <w:r>
        <w:rPr>
          <w:b/>
          <w:color w:val="0B1F3A"/>
          <w:sz w:val="28"/>
        </w:rPr>
        <w:t>Product preview</w:t>
      </w:r>
    </w:p>
    <w:p>
      <w:pPr>
        <w:spacing w:before="80" w:after="40"/>
      </w:pPr>
      <w:r>
        <w:rPr>
          <w:b/>
          <w:color w:val="0D9488"/>
          <w:sz w:val="18"/>
        </w:rPr>
        <w:t>Headline</w:t>
      </w:r>
      <w:r>
        <w:rPr>
          <w:sz w:val="21"/>
        </w:rPr>
        <w:t xml:space="preserve">  Terminal-grade UX, built for people who already use Bloomberg and FactSet.</w:t>
      </w:r>
    </w:p>
    <w:p>
      <w:pPr>
        <w:spacing w:before="80" w:after="40"/>
      </w:pPr>
      <w:r>
        <w:rPr>
          <w:b/>
          <w:color w:val="0D9488"/>
          <w:sz w:val="18"/>
        </w:rPr>
        <w:t>Visual</w:t>
      </w:r>
      <w:r>
        <w:rPr>
          <w:sz w:val="21"/>
        </w:rPr>
        <w:t xml:space="preserve">  2x2 screenshot grid: (1) cross-venue monitor, (2) probability chart w/ news markers, (3) calibration scorecard, (4) macro dashboard.</w:t>
      </w:r>
    </w:p>
    <w:p>
      <w:pPr>
        <w:spacing w:before="80" w:after="40"/>
      </w:pPr>
      <w:r>
        <w:rPr>
          <w:b/>
          <w:color w:val="0D9488"/>
          <w:sz w:val="18"/>
        </w:rPr>
        <w:t>Body</w:t>
      </w:r>
      <w:r>
        <w:rPr>
          <w:sz w:val="21"/>
        </w:rPr>
        <w:t xml:space="preserve">  </w:t>
      </w:r>
    </w:p>
    <w:p>
      <w:pPr>
        <w:pStyle w:val="ListBullet"/>
        <w:spacing w:after="40"/>
        <w:ind w:left="360"/>
      </w:pPr>
      <w:r>
        <w:rPr>
          <w:sz w:val="21"/>
        </w:rPr>
        <w:t>Monitor: every active contract across venues, sortable by liquidity, spread, volatility of implied prob.</w:t>
      </w:r>
    </w:p>
    <w:p>
      <w:pPr>
        <w:pStyle w:val="ListBullet"/>
        <w:spacing w:after="40"/>
        <w:ind w:left="360"/>
      </w:pPr>
      <w:r>
        <w:rPr>
          <w:sz w:val="21"/>
        </w:rPr>
        <w:t>Detail: price, depth, volume — overlaid with news &amp; filings that moved the market.</w:t>
      </w:r>
    </w:p>
    <w:p>
      <w:pPr>
        <w:pStyle w:val="ListBullet"/>
        <w:spacing w:after="40"/>
        <w:ind w:left="360"/>
      </w:pPr>
      <w:r>
        <w:rPr>
          <w:sz w:val="21"/>
        </w:rPr>
        <w:t>Dashboards: macro (CPI/Fed/jobs), politics, AI milestones, crypto, geopolitics.</w:t>
      </w:r>
    </w:p>
    <w:p>
      <w:pPr>
        <w:pStyle w:val="ListBullet"/>
        <w:spacing w:after="40"/>
        <w:ind w:left="360"/>
      </w:pPr>
      <w:r>
        <w:rPr>
          <w:sz w:val="21"/>
        </w:rPr>
        <w:t>Research: CSV export, Python SDK, Jupyter-friendly API keys.</w:t>
      </w:r>
    </w:p>
    <w:p>
      <w:pPr>
        <w:spacing w:before="80" w:after="80"/>
        <w:ind w:left="144"/>
      </w:pPr>
      <w:r>
        <w:rPr>
          <w:b/>
          <w:i/>
          <w:color w:val="4B5563"/>
          <w:sz w:val="18"/>
        </w:rPr>
        <w:t xml:space="preserve">Speaker notes: </w:t>
      </w:r>
      <w:r>
        <w:rPr>
          <w:i/>
          <w:color w:val="4B5563"/>
          <w:sz w:val="18"/>
        </w:rPr>
        <w:t>Even if product isn’t built, show Figma-quality mocks. No investor funds a Bloomberg killer off bullet points.</w:t>
      </w:r>
    </w:p>
    <w:p>
      <w:pPr>
        <w:spacing w:before="280" w:after="60"/>
        <w:pBdr>
          <w:bottom w:val="single" w:sz="6" w:color="0D9488"/>
        </w:pBdr>
      </w:pPr>
      <w:r>
        <w:rPr>
          <w:b/>
          <w:color w:val="0D9488"/>
          <w:sz w:val="20"/>
        </w:rPr>
        <w:t xml:space="preserve">SLIDE 06  </w:t>
      </w:r>
      <w:r>
        <w:rPr>
          <w:b/>
          <w:color w:val="0B1F3A"/>
          <w:sz w:val="28"/>
        </w:rPr>
        <w:t>Why now</w:t>
      </w:r>
    </w:p>
    <w:p>
      <w:pPr>
        <w:spacing w:before="80" w:after="40"/>
      </w:pPr>
      <w:r>
        <w:rPr>
          <w:b/>
          <w:color w:val="0D9488"/>
          <w:sz w:val="18"/>
        </w:rPr>
        <w:t>Headline</w:t>
      </w:r>
      <w:r>
        <w:rPr>
          <w:sz w:val="21"/>
        </w:rPr>
        <w:t xml:space="preserve">  Four tailwinds converging in the same 12-month window.</w:t>
      </w:r>
    </w:p>
    <w:p>
      <w:pPr>
        <w:spacing w:before="80" w:after="40"/>
      </w:pPr>
      <w:r>
        <w:rPr>
          <w:b/>
          <w:color w:val="0D9488"/>
          <w:sz w:val="18"/>
        </w:rPr>
        <w:t>Visual</w:t>
      </w:r>
      <w:r>
        <w:rPr>
          <w:sz w:val="21"/>
        </w:rPr>
        <w:t xml:space="preserve">  Four-quadrant tile layout, each with a one-line proof point.</w:t>
      </w:r>
    </w:p>
    <w:p>
      <w:pPr>
        <w:spacing w:before="80" w:after="40"/>
      </w:pPr>
      <w:r>
        <w:rPr>
          <w:b/>
          <w:color w:val="0D9488"/>
          <w:sz w:val="18"/>
        </w:rPr>
        <w:t>Body</w:t>
      </w:r>
      <w:r>
        <w:rPr>
          <w:sz w:val="21"/>
        </w:rPr>
        <w:t xml:space="preserve">  </w:t>
      </w:r>
    </w:p>
    <w:p>
      <w:pPr>
        <w:pStyle w:val="ListBullet"/>
        <w:spacing w:after="40"/>
        <w:ind w:left="360"/>
      </w:pPr>
      <w:r>
        <w:rPr>
          <w:sz w:val="21"/>
        </w:rPr>
        <w:t>Regulation: CFTC ANPRM (Mar 2026). 3rd Cir. ruling (Apr 2026). DCM applications doubling.</w:t>
      </w:r>
    </w:p>
    <w:p>
      <w:pPr>
        <w:pStyle w:val="ListBullet"/>
        <w:spacing w:after="40"/>
        <w:ind w:left="360"/>
      </w:pPr>
      <w:r>
        <w:rPr>
          <w:sz w:val="21"/>
        </w:rPr>
        <w:t>Legitimization: Polymarket re-entered US via QCEX. Robinhood, IBKR, Crypto.com rolling out contracts.</w:t>
      </w:r>
    </w:p>
    <w:p>
      <w:pPr>
        <w:pStyle w:val="ListBullet"/>
        <w:spacing w:after="40"/>
        <w:ind w:left="360"/>
      </w:pPr>
      <w:r>
        <w:rPr>
          <w:sz w:val="21"/>
        </w:rPr>
        <w:t>Media demand: CNN + CNBC signed data partnerships with Kalshi. Newsrooms need a neutral feed.</w:t>
      </w:r>
    </w:p>
    <w:p>
      <w:pPr>
        <w:pStyle w:val="ListBullet"/>
        <w:spacing w:after="40"/>
        <w:ind w:left="360"/>
      </w:pPr>
      <w:r>
        <w:rPr>
          <w:sz w:val="21"/>
        </w:rPr>
        <w:t>Capital: 2024 election proved prediction markets beat polls. Macro funds are hiring to cover this.</w:t>
      </w:r>
    </w:p>
    <w:p>
      <w:pPr>
        <w:spacing w:before="80" w:after="80"/>
        <w:ind w:left="144"/>
      </w:pPr>
      <w:r>
        <w:rPr>
          <w:b/>
          <w:i/>
          <w:color w:val="4B5563"/>
          <w:sz w:val="18"/>
        </w:rPr>
        <w:t xml:space="preserve">Speaker notes: </w:t>
      </w:r>
      <w:r>
        <w:rPr>
          <w:i/>
          <w:color w:val="4B5563"/>
          <w:sz w:val="18"/>
        </w:rPr>
        <w:t>This is the slide that neutralizes the ‘why didn’t someone build this years ago?’ question. Because the market wasn’t legal at this scale until 2025.</w:t>
      </w:r>
    </w:p>
    <w:p>
      <w:pPr>
        <w:spacing w:before="280" w:after="60"/>
        <w:pBdr>
          <w:bottom w:val="single" w:sz="6" w:color="0D9488"/>
        </w:pBdr>
      </w:pPr>
      <w:r>
        <w:rPr>
          <w:b/>
          <w:color w:val="0D9488"/>
          <w:sz w:val="20"/>
        </w:rPr>
        <w:t xml:space="preserve">SLIDE 07  </w:t>
      </w:r>
      <w:r>
        <w:rPr>
          <w:b/>
          <w:color w:val="0B1F3A"/>
          <w:sz w:val="28"/>
        </w:rPr>
        <w:t>Market size</w:t>
      </w:r>
    </w:p>
    <w:p>
      <w:pPr>
        <w:spacing w:before="80" w:after="40"/>
      </w:pPr>
      <w:r>
        <w:rPr>
          <w:b/>
          <w:color w:val="0D9488"/>
          <w:sz w:val="18"/>
        </w:rPr>
        <w:t>Headline</w:t>
      </w:r>
      <w:r>
        <w:rPr>
          <w:sz w:val="21"/>
        </w:rPr>
        <w:t xml:space="preserve">  $B+ event contract notional, $10B+ traditional-data TAM we displace as we grow.</w:t>
      </w:r>
    </w:p>
    <w:p>
      <w:pPr>
        <w:spacing w:before="80" w:after="40"/>
      </w:pPr>
      <w:r>
        <w:rPr>
          <w:b/>
          <w:color w:val="0D9488"/>
          <w:sz w:val="18"/>
        </w:rPr>
        <w:t>Visual</w:t>
      </w:r>
      <w:r>
        <w:rPr>
          <w:sz w:val="21"/>
        </w:rPr>
        <w:t xml:space="preserve">  Funnel: Prediction market data TAM (today) → Expanded when we pull in adjacent data → Bloomberg-adjacent terminal TAM.</w:t>
      </w:r>
    </w:p>
    <w:p>
      <w:pPr>
        <w:spacing w:before="80" w:after="40"/>
      </w:pPr>
      <w:r>
        <w:rPr>
          <w:b/>
          <w:color w:val="0D9488"/>
          <w:sz w:val="18"/>
        </w:rPr>
        <w:t>Body</w:t>
      </w:r>
      <w:r>
        <w:rPr>
          <w:sz w:val="21"/>
        </w:rPr>
        <w:t xml:space="preserve">  </w:t>
      </w:r>
    </w:p>
    <w:p>
      <w:pPr>
        <w:pStyle w:val="ListBullet"/>
        <w:spacing w:after="40"/>
        <w:ind w:left="360"/>
      </w:pPr>
      <w:r>
        <w:rPr>
          <w:sz w:val="21"/>
        </w:rPr>
        <w:t>Near-term TAM: ~$400M/yr spent by quant + event-driven desks on macro/news data that prediction markets directly inform.</w:t>
      </w:r>
    </w:p>
    <w:p>
      <w:pPr>
        <w:pStyle w:val="ListBullet"/>
        <w:spacing w:after="40"/>
        <w:ind w:left="360"/>
      </w:pPr>
      <w:r>
        <w:rPr>
          <w:sz w:val="21"/>
        </w:rPr>
        <w:t>Adjacent: embed/widget fees from newsrooms &amp; creators — nascent but growing (Kalshi/CNN deal size undisclosed).</w:t>
      </w:r>
    </w:p>
    <w:p>
      <w:pPr>
        <w:pStyle w:val="ListBullet"/>
        <w:spacing w:after="40"/>
        <w:ind w:left="360"/>
      </w:pPr>
      <w:r>
        <w:rPr>
          <w:sz w:val="21"/>
        </w:rPr>
        <w:t>Long-term: we are the prediction-market-native terminal; Bloomberg and Refinitiv will partner or acquire, not build.</w:t>
      </w:r>
    </w:p>
    <w:p>
      <w:pPr>
        <w:spacing w:before="80" w:after="80"/>
        <w:ind w:left="144"/>
      </w:pPr>
      <w:r>
        <w:rPr>
          <w:b/>
          <w:i/>
          <w:color w:val="4B5563"/>
          <w:sz w:val="18"/>
        </w:rPr>
        <w:t xml:space="preserve">Speaker notes: </w:t>
      </w:r>
      <w:r>
        <w:rPr>
          <w:i/>
          <w:color w:val="4B5563"/>
          <w:sz w:val="18"/>
        </w:rPr>
        <w:t>Don’t oversell TAM. Investors discount it. Anchor on the concrete ‘funds already pay Bloomberg $30k/seat; 1/10th of that to us is still a real business.’</w:t>
      </w:r>
    </w:p>
    <w:p>
      <w:pPr>
        <w:spacing w:before="280" w:after="60"/>
        <w:pBdr>
          <w:bottom w:val="single" w:sz="6" w:color="0D9488"/>
        </w:pBdr>
      </w:pPr>
      <w:r>
        <w:rPr>
          <w:b/>
          <w:color w:val="0D9488"/>
          <w:sz w:val="20"/>
        </w:rPr>
        <w:t xml:space="preserve">SLIDE 08  </w:t>
      </w:r>
      <w:r>
        <w:rPr>
          <w:b/>
          <w:color w:val="0B1F3A"/>
          <w:sz w:val="28"/>
        </w:rPr>
        <w:t>Business model</w:t>
      </w:r>
    </w:p>
    <w:p>
      <w:pPr>
        <w:spacing w:before="80" w:after="40"/>
      </w:pPr>
      <w:r>
        <w:rPr>
          <w:b/>
          <w:color w:val="0D9488"/>
          <w:sz w:val="18"/>
        </w:rPr>
        <w:t>Headline</w:t>
      </w:r>
      <w:r>
        <w:rPr>
          <w:sz w:val="21"/>
        </w:rPr>
        <w:t xml:space="preserve">  Four revenue lines. Enterprise mix drives valuation, not pro seats.</w:t>
      </w:r>
    </w:p>
    <w:p>
      <w:pPr>
        <w:spacing w:before="80" w:after="40"/>
      </w:pPr>
      <w:r>
        <w:rPr>
          <w:b/>
          <w:color w:val="0D9488"/>
          <w:sz w:val="18"/>
        </w:rPr>
        <w:t>Visual</w:t>
      </w:r>
      <w:r>
        <w:rPr>
          <w:sz w:val="21"/>
        </w:rPr>
        <w:t xml:space="preserve">  Horizontal stacked bar: target ARR mix at Year 3.</w:t>
      </w:r>
    </w:p>
    <w:p>
      <w:pPr>
        <w:spacing w:before="80" w:after="40"/>
      </w:pPr>
      <w:r>
        <w:rPr>
          <w:b/>
          <w:color w:val="0D9488"/>
          <w:sz w:val="18"/>
        </w:rPr>
        <w:t>Body</w:t>
      </w:r>
      <w:r>
        <w:rPr>
          <w:sz w:val="21"/>
        </w:rPr>
        <w:t xml:space="preserve">  </w:t>
      </w:r>
    </w:p>
    <w:p>
      <w:pPr>
        <w:pStyle w:val="ListBullet"/>
        <w:spacing w:after="40"/>
        <w:ind w:left="360"/>
      </w:pPr>
      <w:r>
        <w:rPr>
          <w:sz w:val="21"/>
        </w:rPr>
        <w:t>Pro seat: $79–$199/mo. Self-serve. Land.</w:t>
      </w:r>
    </w:p>
    <w:p>
      <w:pPr>
        <w:pStyle w:val="ListBullet"/>
        <w:spacing w:after="40"/>
        <w:ind w:left="360"/>
      </w:pPr>
      <w:r>
        <w:rPr>
          <w:sz w:val="21"/>
        </w:rPr>
        <w:t>Desk/team: $500–$2,000/mo per seat. Sold to funds &amp; prop shops. Expand.</w:t>
      </w:r>
    </w:p>
    <w:p>
      <w:pPr>
        <w:pStyle w:val="ListBullet"/>
        <w:spacing w:after="40"/>
        <w:ind w:left="360"/>
      </w:pPr>
      <w:r>
        <w:rPr>
          <w:sz w:val="21"/>
        </w:rPr>
        <w:t>Enterprise / API: $2k–$10k+/mo. Data feeds to funds, fintechs, sportsbooks.</w:t>
      </w:r>
    </w:p>
    <w:p>
      <w:pPr>
        <w:pStyle w:val="ListBullet"/>
        <w:spacing w:after="40"/>
        <w:ind w:left="360"/>
      </w:pPr>
      <w:r>
        <w:rPr>
          <w:sz w:val="21"/>
        </w:rPr>
        <w:t>Media / white-label: $5k–$60k/yr. Embeddable widgets for newsrooms and creators.</w:t>
      </w:r>
    </w:p>
    <w:p>
      <w:pPr>
        <w:spacing w:before="80" w:after="80"/>
        <w:ind w:left="144"/>
      </w:pPr>
      <w:r>
        <w:rPr>
          <w:b/>
          <w:i/>
          <w:color w:val="4B5563"/>
          <w:sz w:val="18"/>
        </w:rPr>
        <w:t xml:space="preserve">Speaker notes: </w:t>
      </w:r>
      <w:r>
        <w:rPr>
          <w:i/>
          <w:color w:val="4B5563"/>
          <w:sz w:val="18"/>
        </w:rPr>
        <w:t>Tie to comp table: data/fintech comps at 15–30x ARR in 2025–26. Mix matters. $5M ARR with 60% enterprise clears higher than $5M ARR with 80% pro seats.</w:t>
      </w:r>
    </w:p>
    <w:p>
      <w:pPr>
        <w:spacing w:before="280" w:after="60"/>
        <w:pBdr>
          <w:bottom w:val="single" w:sz="6" w:color="0D9488"/>
        </w:pBdr>
      </w:pPr>
      <w:r>
        <w:rPr>
          <w:b/>
          <w:color w:val="0D9488"/>
          <w:sz w:val="20"/>
        </w:rPr>
        <w:t xml:space="preserve">SLIDE 09  </w:t>
      </w:r>
      <w:r>
        <w:rPr>
          <w:b/>
          <w:color w:val="0B1F3A"/>
          <w:sz w:val="28"/>
        </w:rPr>
        <w:t>Competitive landscape</w:t>
      </w:r>
    </w:p>
    <w:p>
      <w:pPr>
        <w:spacing w:before="80" w:after="40"/>
      </w:pPr>
      <w:r>
        <w:rPr>
          <w:b/>
          <w:color w:val="0D9488"/>
          <w:sz w:val="18"/>
        </w:rPr>
        <w:t>Headline</w:t>
      </w:r>
      <w:r>
        <w:rPr>
          <w:sz w:val="21"/>
        </w:rPr>
        <w:t xml:space="preserve">  Three players claim our tagline. None have the dataset or the news layer.</w:t>
      </w:r>
    </w:p>
    <w:p>
      <w:pPr>
        <w:spacing w:before="80" w:after="40"/>
      </w:pPr>
      <w:r>
        <w:rPr>
          <w:b/>
          <w:color w:val="0D9488"/>
          <w:sz w:val="18"/>
        </w:rPr>
        <w:t>Visual</w:t>
      </w:r>
      <w:r>
        <w:rPr>
          <w:sz w:val="21"/>
        </w:rPr>
        <w:t xml:space="preserve">  Feature matrix: rows = features (cross-venue book, historical tick, calibration, news linkage, API, compliance posture). Columns = Oddpool, Verso, Matchr, Alphascope, Us.</w:t>
      </w:r>
    </w:p>
    <w:p>
      <w:pPr>
        <w:spacing w:before="80" w:after="40"/>
      </w:pPr>
      <w:r>
        <w:rPr>
          <w:b/>
          <w:color w:val="0D9488"/>
          <w:sz w:val="18"/>
        </w:rPr>
        <w:t>Body</w:t>
      </w:r>
      <w:r>
        <w:rPr>
          <w:sz w:val="21"/>
        </w:rPr>
        <w:t xml:space="preserve">  </w:t>
      </w:r>
    </w:p>
    <w:p>
      <w:pPr>
        <w:pStyle w:val="ListBullet"/>
        <w:spacing w:after="40"/>
        <w:ind w:left="360"/>
      </w:pPr>
      <w:r>
        <w:rPr>
          <w:sz w:val="21"/>
        </w:rPr>
        <w:t>Oddpool / Verso / Alphascope: early, thin datasets, thin UX, no news-graph moat.</w:t>
      </w:r>
    </w:p>
    <w:p>
      <w:pPr>
        <w:pStyle w:val="ListBullet"/>
        <w:spacing w:after="40"/>
        <w:ind w:left="360"/>
      </w:pPr>
      <w:r>
        <w:rPr>
          <w:sz w:val="21"/>
        </w:rPr>
        <w:t>Matchr: routing-first → regulatory exposure. Different business.</w:t>
      </w:r>
    </w:p>
    <w:p>
      <w:pPr>
        <w:pStyle w:val="ListBullet"/>
        <w:spacing w:after="40"/>
        <w:ind w:left="360"/>
      </w:pPr>
      <w:r>
        <w:rPr>
          <w:sz w:val="21"/>
        </w:rPr>
        <w:t>Bloomberg / Refinitiv / FactSet: slow to add new asset classes — they acquire.</w:t>
      </w:r>
    </w:p>
    <w:p>
      <w:pPr>
        <w:pStyle w:val="ListBullet"/>
        <w:spacing w:after="40"/>
        <w:ind w:left="360"/>
      </w:pPr>
      <w:r>
        <w:rPr>
          <w:sz w:val="21"/>
        </w:rPr>
        <w:t>Venues (Kalshi, Poly): they sell access, not intelligence. We’re a partner, not a competitor.</w:t>
      </w:r>
    </w:p>
    <w:p>
      <w:pPr>
        <w:spacing w:before="80" w:after="80"/>
        <w:ind w:left="144"/>
      </w:pPr>
      <w:r>
        <w:rPr>
          <w:b/>
          <w:i/>
          <w:color w:val="4B5563"/>
          <w:sz w:val="18"/>
        </w:rPr>
        <w:t xml:space="preserve">Speaker notes: </w:t>
      </w:r>
      <w:r>
        <w:rPr>
          <w:i/>
          <w:color w:val="4B5563"/>
          <w:sz w:val="18"/>
        </w:rPr>
        <w:t>Be honest that ‘Bloomberg for prediction markets’ is already claimed. Differentiate on dataset depth, news/event linkage, and institutional rigor — not positioning.</w:t>
      </w:r>
    </w:p>
    <w:p>
      <w:pPr>
        <w:spacing w:before="280" w:after="60"/>
        <w:pBdr>
          <w:bottom w:val="single" w:sz="6" w:color="0D9488"/>
        </w:pBdr>
      </w:pPr>
      <w:r>
        <w:rPr>
          <w:b/>
          <w:color w:val="0D9488"/>
          <w:sz w:val="20"/>
        </w:rPr>
        <w:t xml:space="preserve">SLIDE 10  </w:t>
      </w:r>
      <w:r>
        <w:rPr>
          <w:b/>
          <w:color w:val="0B1F3A"/>
          <w:sz w:val="28"/>
        </w:rPr>
        <w:t>Go-to-market</w:t>
      </w:r>
    </w:p>
    <w:p>
      <w:pPr>
        <w:spacing w:before="80" w:after="40"/>
      </w:pPr>
      <w:r>
        <w:rPr>
          <w:b/>
          <w:color w:val="0D9488"/>
          <w:sz w:val="18"/>
        </w:rPr>
        <w:t>Headline</w:t>
      </w:r>
      <w:r>
        <w:rPr>
          <w:sz w:val="21"/>
        </w:rPr>
        <w:t xml:space="preserve">  Land with pro seats via Twitter/X credibility. Expand to desks via personal networks. Enterprise sold outbound.</w:t>
      </w:r>
    </w:p>
    <w:p>
      <w:pPr>
        <w:spacing w:before="80" w:after="40"/>
      </w:pPr>
      <w:r>
        <w:rPr>
          <w:b/>
          <w:color w:val="0D9488"/>
          <w:sz w:val="18"/>
        </w:rPr>
        <w:t>Visual</w:t>
      </w:r>
      <w:r>
        <w:rPr>
          <w:sz w:val="21"/>
        </w:rPr>
        <w:t xml:space="preserve">  Three-lane GTM diagram: content &amp; community → prosumer seats → desk expansion → enterprise.</w:t>
      </w:r>
    </w:p>
    <w:p>
      <w:pPr>
        <w:spacing w:before="80" w:after="40"/>
      </w:pPr>
      <w:r>
        <w:rPr>
          <w:b/>
          <w:color w:val="0D9488"/>
          <w:sz w:val="18"/>
        </w:rPr>
        <w:t>Body</w:t>
      </w:r>
      <w:r>
        <w:rPr>
          <w:sz w:val="21"/>
        </w:rPr>
        <w:t xml:space="preserve">  </w:t>
      </w:r>
    </w:p>
    <w:p>
      <w:pPr>
        <w:pStyle w:val="ListBullet"/>
        <w:spacing w:after="40"/>
        <w:ind w:left="360"/>
      </w:pPr>
      <w:r>
        <w:rPr>
          <w:sz w:val="21"/>
        </w:rPr>
        <w:t>Content: launch with a free research report using our own data (e.g., ‘Calibration of Kalshi vs. Polymarket on macro events’).</w:t>
      </w:r>
    </w:p>
    <w:p>
      <w:pPr>
        <w:pStyle w:val="ListBullet"/>
        <w:spacing w:after="40"/>
        <w:ind w:left="360"/>
      </w:pPr>
      <w:r>
        <w:rPr>
          <w:sz w:val="21"/>
        </w:rPr>
        <w:t>Community: seed with 50 power users from the Polymarket/Kalshi communities.</w:t>
      </w:r>
    </w:p>
    <w:p>
      <w:pPr>
        <w:pStyle w:val="ListBullet"/>
        <w:spacing w:after="40"/>
        <w:ind w:left="360"/>
      </w:pPr>
      <w:r>
        <w:rPr>
          <w:sz w:val="21"/>
        </w:rPr>
        <w:t>Desks: founder-led sales to 30 funds in year 1. Warm intros via angel network.</w:t>
      </w:r>
    </w:p>
    <w:p>
      <w:pPr>
        <w:pStyle w:val="ListBullet"/>
        <w:spacing w:after="40"/>
        <w:ind w:left="360"/>
      </w:pPr>
      <w:r>
        <w:rPr>
          <w:sz w:val="21"/>
        </w:rPr>
        <w:t>Media: one lighthouse partnership (regional news + one national creator) in year 1.</w:t>
      </w:r>
    </w:p>
    <w:p>
      <w:pPr>
        <w:spacing w:before="80" w:after="80"/>
        <w:ind w:left="144"/>
      </w:pPr>
      <w:r>
        <w:rPr>
          <w:b/>
          <w:i/>
          <w:color w:val="4B5563"/>
          <w:sz w:val="18"/>
        </w:rPr>
        <w:t xml:space="preserve">Speaker notes: </w:t>
      </w:r>
      <w:r>
        <w:rPr>
          <w:i/>
          <w:color w:val="4B5563"/>
          <w:sz w:val="18"/>
        </w:rPr>
        <w:t>Investors want to see a concrete content-marketing flywheel — research that gets traded on X becomes lead gen for pro seats.</w:t>
      </w:r>
    </w:p>
    <w:p>
      <w:pPr>
        <w:spacing w:before="280" w:after="60"/>
        <w:pBdr>
          <w:bottom w:val="single" w:sz="6" w:color="0D9488"/>
        </w:pBdr>
      </w:pPr>
      <w:r>
        <w:rPr>
          <w:b/>
          <w:color w:val="0D9488"/>
          <w:sz w:val="20"/>
        </w:rPr>
        <w:t xml:space="preserve">SLIDE 11  </w:t>
      </w:r>
      <w:r>
        <w:rPr>
          <w:b/>
          <w:color w:val="0B1F3A"/>
          <w:sz w:val="28"/>
        </w:rPr>
        <w:t>Team &amp; ask</w:t>
      </w:r>
    </w:p>
    <w:p>
      <w:pPr>
        <w:spacing w:before="80" w:after="40"/>
      </w:pPr>
      <w:r>
        <w:rPr>
          <w:b/>
          <w:color w:val="0D9488"/>
          <w:sz w:val="18"/>
        </w:rPr>
        <w:t>Headline</w:t>
      </w:r>
      <w:r>
        <w:rPr>
          <w:sz w:val="21"/>
        </w:rPr>
        <w:t xml:space="preserve">  Founding team + $[X]M seed to build v1, close lighthouse desks, prove enterprise motion.</w:t>
      </w:r>
    </w:p>
    <w:p>
      <w:pPr>
        <w:spacing w:before="80" w:after="40"/>
      </w:pPr>
      <w:r>
        <w:rPr>
          <w:b/>
          <w:color w:val="0D9488"/>
          <w:sz w:val="18"/>
        </w:rPr>
        <w:t>Visual</w:t>
      </w:r>
      <w:r>
        <w:rPr>
          <w:sz w:val="21"/>
        </w:rPr>
        <w:t xml:space="preserve">  Team photo row + ask box.</w:t>
      </w:r>
    </w:p>
    <w:p>
      <w:pPr>
        <w:spacing w:before="80" w:after="40"/>
      </w:pPr>
      <w:r>
        <w:rPr>
          <w:b/>
          <w:color w:val="0D9488"/>
          <w:sz w:val="18"/>
        </w:rPr>
        <w:t>Body</w:t>
      </w:r>
      <w:r>
        <w:rPr>
          <w:sz w:val="21"/>
        </w:rPr>
        <w:t xml:space="preserve">  </w:t>
      </w:r>
    </w:p>
    <w:p>
      <w:pPr>
        <w:pStyle w:val="ListBullet"/>
        <w:spacing w:after="40"/>
        <w:ind w:left="360"/>
      </w:pPr>
      <w:r>
        <w:rPr>
          <w:sz w:val="21"/>
        </w:rPr>
        <w:t>Founder(s) — relevant background, why you.</w:t>
      </w:r>
    </w:p>
    <w:p>
      <w:pPr>
        <w:pStyle w:val="ListBullet"/>
        <w:spacing w:after="40"/>
        <w:ind w:left="360"/>
      </w:pPr>
      <w:r>
        <w:rPr>
          <w:sz w:val="21"/>
        </w:rPr>
        <w:t>Advisors: 1 fintech/derivatives lawyer, 1 macro-fund trader, 1 data-platform veteran.</w:t>
      </w:r>
    </w:p>
    <w:p>
      <w:pPr>
        <w:pStyle w:val="ListBullet"/>
        <w:spacing w:after="40"/>
        <w:ind w:left="360"/>
      </w:pPr>
      <w:r>
        <w:rPr>
          <w:sz w:val="21"/>
        </w:rPr>
        <w:t>Ask: $[X]M seed to fund 12–18 months: 2 eng, 1 data, 1 design, founder-led sales.</w:t>
      </w:r>
    </w:p>
    <w:p>
      <w:pPr>
        <w:pStyle w:val="ListBullet"/>
        <w:spacing w:after="40"/>
        <w:ind w:left="360"/>
      </w:pPr>
      <w:r>
        <w:rPr>
          <w:sz w:val="21"/>
        </w:rPr>
        <w:t>Milestones we’ll hit on this capital: full cross-venue coverage; 500 paying pro seats; 10 desk customers; 2 enterprise deals; lighthouse media partner.</w:t>
      </w:r>
    </w:p>
    <w:p>
      <w:pPr>
        <w:spacing w:before="80" w:after="80"/>
        <w:ind w:left="144"/>
      </w:pPr>
      <w:r>
        <w:rPr>
          <w:b/>
          <w:i/>
          <w:color w:val="4B5563"/>
          <w:sz w:val="18"/>
        </w:rPr>
        <w:t xml:space="preserve">Speaker notes: </w:t>
      </w:r>
      <w:r>
        <w:rPr>
          <w:i/>
          <w:color w:val="4B5563"/>
          <w:sz w:val="18"/>
        </w:rPr>
        <w:t>Be specific on the raise. Round amount, use of funds breakdown (eng %, GTM %, compliance %), and concrete 18-month milestones.</w:t>
      </w:r>
    </w:p>
    <w:p>
      <w:pPr>
        <w:spacing w:before="280" w:after="60"/>
        <w:pBdr>
          <w:bottom w:val="single" w:sz="6" w:color="0D9488"/>
        </w:pBdr>
      </w:pPr>
      <w:r>
        <w:rPr>
          <w:b/>
          <w:color w:val="0D9488"/>
          <w:sz w:val="20"/>
        </w:rPr>
        <w:t xml:space="preserve">SLIDE 12  </w:t>
      </w:r>
      <w:r>
        <w:rPr>
          <w:b/>
          <w:color w:val="0B1F3A"/>
          <w:sz w:val="28"/>
        </w:rPr>
        <w:t>Vision</w:t>
      </w:r>
    </w:p>
    <w:p>
      <w:pPr>
        <w:spacing w:before="80" w:after="40"/>
      </w:pPr>
      <w:r>
        <w:rPr>
          <w:b/>
          <w:color w:val="0D9488"/>
          <w:sz w:val="18"/>
        </w:rPr>
        <w:t>Headline</w:t>
      </w:r>
      <w:r>
        <w:rPr>
          <w:sz w:val="21"/>
        </w:rPr>
        <w:t xml:space="preserve">  The S&amp;P of probabilities. The data standard every trader, fund, and newsroom uses to price the future.</w:t>
      </w:r>
    </w:p>
    <w:p>
      <w:pPr>
        <w:spacing w:before="80" w:after="40"/>
      </w:pPr>
      <w:r>
        <w:rPr>
          <w:b/>
          <w:color w:val="0D9488"/>
          <w:sz w:val="18"/>
        </w:rPr>
        <w:t>Visual</w:t>
      </w:r>
      <w:r>
        <w:rPr>
          <w:sz w:val="21"/>
        </w:rPr>
        <w:t xml:space="preserve">  Dark slide, single large quote, logo bottom-right.</w:t>
      </w:r>
    </w:p>
    <w:p>
      <w:pPr>
        <w:spacing w:before="80" w:after="40"/>
      </w:pPr>
      <w:r>
        <w:rPr>
          <w:b/>
          <w:color w:val="0D9488"/>
          <w:sz w:val="18"/>
        </w:rPr>
        <w:t>Body</w:t>
      </w:r>
      <w:r>
        <w:rPr>
          <w:sz w:val="21"/>
        </w:rPr>
        <w:t xml:space="preserve">  </w:t>
      </w:r>
    </w:p>
    <w:p>
      <w:pPr>
        <w:pStyle w:val="ListBullet"/>
        <w:spacing w:after="40"/>
        <w:ind w:left="360"/>
      </w:pPr>
      <w:r>
        <w:rPr>
          <w:sz w:val="21"/>
        </w:rPr>
        <w:t>In 10 years, every macro forecast embeds an implied probability from our index.</w:t>
      </w:r>
    </w:p>
    <w:p>
      <w:pPr>
        <w:pStyle w:val="ListBullet"/>
        <w:spacing w:after="40"/>
        <w:ind w:left="360"/>
      </w:pPr>
      <w:r>
        <w:rPr>
          <w:sz w:val="21"/>
        </w:rPr>
        <w:t>Every news site shows our widgets next to election and rate-cut coverage.</w:t>
      </w:r>
    </w:p>
    <w:p>
      <w:pPr>
        <w:pStyle w:val="ListBullet"/>
        <w:spacing w:after="40"/>
        <w:ind w:left="360"/>
      </w:pPr>
      <w:r>
        <w:rPr>
          <w:sz w:val="21"/>
        </w:rPr>
        <w:t>Every fund’s risk model consumes our API.</w:t>
      </w:r>
    </w:p>
    <w:p>
      <w:pPr>
        <w:spacing w:before="80" w:after="80"/>
        <w:ind w:left="144"/>
      </w:pPr>
      <w:r>
        <w:rPr>
          <w:b/>
          <w:i/>
          <w:color w:val="4B5563"/>
          <w:sz w:val="18"/>
        </w:rPr>
        <w:t xml:space="preserve">Speaker notes: </w:t>
      </w:r>
      <w:r>
        <w:rPr>
          <w:i/>
          <w:color w:val="4B5563"/>
          <w:sz w:val="18"/>
        </w:rPr>
        <w:t>Close on vision, not tactics. Keep it under 30 seconds spoken. Then stop talking.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