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B1F3A"/>
          <w:sz w:val="44"/>
        </w:rPr>
        <w:t>Prediction Market Regulation — Briefing &amp; Counsel Questions</w:t>
      </w:r>
    </w:p>
    <w:p>
      <w:pPr>
        <w:spacing w:after="120"/>
      </w:pPr>
      <w:r>
        <w:rPr>
          <w:i/>
          <w:color w:val="4B5563"/>
          <w:sz w:val="22"/>
        </w:rPr>
        <w:t>Prepared April 2026  ·  For: fintech / derivatives counsel intake  ·  Status: internal working doc, not legal advice</w:t>
      </w:r>
    </w:p>
    <w:p>
      <w:pPr>
        <w:spacing w:before="120" w:after="160"/>
        <w:ind w:left="216" w:right="216"/>
        <w:pBdr>
          <w:left w:val="single" w:sz="18" w:color="B45D09"/>
        </w:pBdr>
      </w:pPr>
      <w:r>
        <w:rPr>
          <w:i/>
          <w:color w:val="B45D09"/>
          <w:sz w:val="22"/>
        </w:rPr>
        <w:t>Purpose: give a fintech lawyer the shortest possible version of what we’re building and the exact questions we need answered before we commit to architecture, marketing copy, and fundraising. Everything below is background, not legal advice.</w:t>
      </w:r>
    </w:p>
    <w:p>
      <w:pPr>
        <w:spacing w:before="280" w:after="80"/>
        <w:pBdr>
          <w:bottom w:val="single" w:sz="6" w:color="0D9488"/>
        </w:pBdr>
      </w:pPr>
      <w:r>
        <w:rPr>
          <w:b/>
          <w:color w:val="0D9488"/>
          <w:sz w:val="22"/>
        </w:rPr>
        <w:t>WHAT WE ARE (AND ARE NOT) BUILDING</w:t>
      </w:r>
    </w:p>
    <w:p>
      <w:pPr>
        <w:spacing w:after="120"/>
      </w:pPr>
      <w:r>
        <w:rPr>
          <w:color w:val="111827"/>
          <w:sz w:val="22"/>
        </w:rPr>
        <w:t>We are building a data, analytics, and intelligence product layered on top of CFTC-regulated prediction market venues (Kalshi, Polymarket, and other DCMs). We aggregate public market data, enrich it with historical archives and news linkage, and sell access to (a) individual pro traders, (b) funds, (c) enterprise API customers, and (d) media / newsroom partners via embeddable widgets.</w:t>
      </w:r>
    </w:p>
    <w:p>
      <w:pPr>
        <w:pStyle w:val="ListBullet"/>
        <w:spacing w:after="60"/>
        <w:ind w:left="360"/>
      </w:pPr>
      <w:r>
        <w:rPr>
          <w:b/>
          <w:sz w:val="22"/>
        </w:rPr>
        <w:t xml:space="preserve">We do NOT: </w:t>
      </w:r>
      <w:r>
        <w:rPr>
          <w:sz w:val="22"/>
        </w:rPr>
        <w:t>No custody of user funds.</w:t>
      </w:r>
    </w:p>
    <w:p>
      <w:pPr>
        <w:pStyle w:val="ListBullet"/>
        <w:spacing w:after="60"/>
        <w:ind w:left="360"/>
      </w:pPr>
      <w:r>
        <w:rPr>
          <w:b/>
          <w:sz w:val="22"/>
        </w:rPr>
        <w:t xml:space="preserve">We do NOT: </w:t>
      </w:r>
      <w:r>
        <w:rPr>
          <w:sz w:val="22"/>
        </w:rPr>
        <w:t xml:space="preserve">No order routing, no smart order routing, no brokerage. </w:t>
      </w:r>
    </w:p>
    <w:p>
      <w:pPr>
        <w:pStyle w:val="ListBullet"/>
        <w:spacing w:after="60"/>
        <w:ind w:left="360"/>
      </w:pPr>
      <w:r>
        <w:rPr>
          <w:b/>
          <w:sz w:val="22"/>
        </w:rPr>
        <w:t xml:space="preserve">We do NOT: </w:t>
      </w:r>
      <w:r>
        <w:rPr>
          <w:sz w:val="22"/>
        </w:rPr>
        <w:t xml:space="preserve">No hosting or operating an exchange or order book. </w:t>
      </w:r>
    </w:p>
    <w:p>
      <w:pPr>
        <w:pStyle w:val="ListBullet"/>
        <w:spacing w:after="60"/>
        <w:ind w:left="360"/>
      </w:pPr>
      <w:r>
        <w:rPr>
          <w:b/>
          <w:sz w:val="22"/>
        </w:rPr>
        <w:t xml:space="preserve">We do NOT: </w:t>
      </w:r>
      <w:r>
        <w:rPr>
          <w:sz w:val="22"/>
        </w:rPr>
        <w:t>No accepting or transmitting orders to any venue on a user’s behalf.</w:t>
      </w:r>
    </w:p>
    <w:p>
      <w:pPr>
        <w:pStyle w:val="ListBullet"/>
        <w:spacing w:after="60"/>
        <w:ind w:left="360"/>
      </w:pPr>
      <w:r>
        <w:rPr>
          <w:b/>
          <w:sz w:val="22"/>
        </w:rPr>
        <w:t xml:space="preserve">We DO (v1): </w:t>
      </w:r>
      <w:r>
        <w:rPr>
          <w:sz w:val="22"/>
        </w:rPr>
        <w:t>Trade buttons inside our product will deep-link to the venue’s own site or app; the user places the order there under the venue’s KYC/compliance regime, not ours.</w:t>
      </w:r>
    </w:p>
    <w:p>
      <w:pPr>
        <w:spacing w:before="280" w:after="80"/>
        <w:pBdr>
          <w:bottom w:val="single" w:sz="6" w:color="0D9488"/>
        </w:pBdr>
      </w:pPr>
      <w:r>
        <w:rPr>
          <w:b/>
          <w:color w:val="0D9488"/>
          <w:sz w:val="22"/>
        </w:rPr>
        <w:t>KEY REGULATORY FACTS AS OF APRIL 2026</w:t>
      </w:r>
    </w:p>
    <w:p>
      <w:pPr>
        <w:spacing w:before="200" w:after="40"/>
      </w:pPr>
      <w:r>
        <w:rPr>
          <w:b/>
          <w:color w:val="0B1F3A"/>
          <w:sz w:val="26"/>
        </w:rPr>
        <w:t>1. CFTC rulemaking is live</w:t>
      </w:r>
    </w:p>
    <w:p>
      <w:pPr>
        <w:spacing w:after="120"/>
      </w:pPr>
      <w:r>
        <w:rPr>
          <w:color w:val="111827"/>
          <w:sz w:val="22"/>
        </w:rPr>
        <w:t>On March 12, 2026, the CFTC issued an Advance Notice of Proposed Rulemaking (ANPRM) on prediction market event contracts, soliciting public comment through April 30, 2026. The same day, Division of Market Oversight issued staff guidance on how existing rules apply to prediction markets. The CFTC has indicated it will decide whether to approve or prohibit sports-related event contracts by Q3 2026, and has withdrawn earlier proposed prohibitions — the regulatory direction has clearly shifted toward permitting and supervising event contracts rather than banning them.</w:t>
      </w:r>
    </w:p>
    <w:p>
      <w:pPr>
        <w:spacing w:before="200" w:after="40"/>
      </w:pPr>
      <w:r>
        <w:rPr>
          <w:b/>
          <w:color w:val="0B1F3A"/>
          <w:sz w:val="26"/>
        </w:rPr>
        <w:t>2. Federal preemption of state gambling law is taking shape</w:t>
      </w:r>
    </w:p>
    <w:p>
      <w:pPr>
        <w:spacing w:after="120"/>
      </w:pPr>
      <w:r>
        <w:rPr>
          <w:color w:val="111827"/>
          <w:sz w:val="22"/>
        </w:rPr>
        <w:t>On April 6, 2026, a divided panel of the U.S. Court of Appeals for the Third Circuit (KalshiEX LLC v. Flaherty) held that the Commodity Exchange Act preempts state gambling laws as applied to sports event contracts traded on CFTC-registered DCMs. This is the first federal appellate ruling directly on the point. New Jersey may petition for rehearing en banc (due late May 2026). Market participants price ~64% odds that the Supreme Court accepts a related case by end of 2026.</w:t>
      </w:r>
    </w:p>
    <w:p>
      <w:pPr>
        <w:spacing w:before="200" w:after="40"/>
      </w:pPr>
      <w:r>
        <w:rPr>
          <w:b/>
          <w:color w:val="0B1F3A"/>
          <w:sz w:val="26"/>
        </w:rPr>
        <w:t>3. Polymarket is now a US DCM</w:t>
      </w:r>
    </w:p>
    <w:p>
      <w:pPr>
        <w:spacing w:after="120"/>
      </w:pPr>
      <w:r>
        <w:rPr>
          <w:color w:val="111827"/>
          <w:sz w:val="22"/>
        </w:rPr>
        <w:t>Polymarket paid a $1.4M CFTC penalty in 2022 and exited the US market. In November 2025 the CFTC issued an Amended Order of Designation after Polymarket acquired QCEX (a CFTC-licensed DCM and clearinghouse) for $112M. Polymarket relaunched for US users on December 2, 2025 as a fully regulated DCM. In January 2026, the Nevada Gaming Control Board filed a civil complaint seeking to block Polymarket from offering event contracts to Nevada residents absent a state gaming license — an unresolved state-vs-federal test case.</w:t>
      </w:r>
    </w:p>
    <w:p>
      <w:pPr>
        <w:spacing w:before="200" w:after="40"/>
      </w:pPr>
      <w:r>
        <w:rPr>
          <w:b/>
          <w:color w:val="0B1F3A"/>
          <w:sz w:val="26"/>
        </w:rPr>
        <w:t>4. State pushback is the main remaining risk</w:t>
      </w:r>
    </w:p>
    <w:p>
      <w:pPr>
        <w:spacing w:after="120"/>
      </w:pPr>
      <w:r>
        <w:rPr>
          <w:color w:val="111827"/>
          <w:sz w:val="22"/>
        </w:rPr>
        <w:t>Kalshi, Robinhood, Crypto.com and Polymarket are collectively facing more than 20 state-level lawsuits, cease-and-desist orders, and tribal-interest challenges. This matters for us less as a trading surface (we don’t trade) and more as a content / marketing / data-distribution question: what can we say, embed, and sell in which states without incurring exposure?</w:t>
      </w:r>
    </w:p>
    <w:p>
      <w:pPr>
        <w:spacing w:before="280" w:after="80"/>
        <w:pBdr>
          <w:bottom w:val="single" w:sz="6" w:color="0D9488"/>
        </w:pBdr>
      </w:pPr>
      <w:r>
        <w:rPr>
          <w:b/>
          <w:color w:val="0D9488"/>
          <w:sz w:val="22"/>
        </w:rPr>
        <w:t>OUR WORKING REGULATORY POSTURE (TO PRESSURE-TEST)</w:t>
      </w:r>
    </w:p>
    <w:p>
      <w:pPr>
        <w:pStyle w:val="ListNumber"/>
        <w:spacing w:after="60"/>
        <w:ind w:left="504"/>
      </w:pPr>
      <w:r>
        <w:rPr>
          <w:b/>
          <w:sz w:val="22"/>
        </w:rPr>
        <w:t xml:space="preserve">Role: </w:t>
      </w:r>
      <w:r>
        <w:rPr>
          <w:sz w:val="22"/>
        </w:rPr>
        <w:t>Pure data/analytics product. No custody, no routing, no brokerage.</w:t>
      </w:r>
    </w:p>
    <w:p>
      <w:pPr>
        <w:pStyle w:val="ListNumber"/>
        <w:spacing w:after="60"/>
        <w:ind w:left="504"/>
      </w:pPr>
      <w:r>
        <w:rPr>
          <w:b/>
          <w:sz w:val="22"/>
        </w:rPr>
        <w:t xml:space="preserve">Geography: </w:t>
      </w:r>
      <w:r>
        <w:rPr>
          <w:sz w:val="22"/>
        </w:rPr>
        <w:t>Operate in all US states for data and analytics. Place disclaimers; link out to venues rather than accepting orders.</w:t>
      </w:r>
    </w:p>
    <w:p>
      <w:pPr>
        <w:pStyle w:val="ListNumber"/>
        <w:spacing w:after="60"/>
        <w:ind w:left="504"/>
      </w:pPr>
      <w:r>
        <w:rPr>
          <w:b/>
          <w:sz w:val="22"/>
        </w:rPr>
        <w:t xml:space="preserve">Investment advice: </w:t>
      </w:r>
      <w:r>
        <w:rPr>
          <w:sz w:val="22"/>
        </w:rPr>
        <w:t>No personalized trade recommendations; general research and analytics only. Disclaimers on calibration scores / backtests.</w:t>
      </w:r>
    </w:p>
    <w:p>
      <w:pPr>
        <w:pStyle w:val="ListNumber"/>
        <w:spacing w:after="60"/>
        <w:ind w:left="504"/>
      </w:pPr>
      <w:r>
        <w:rPr>
          <w:b/>
          <w:sz w:val="22"/>
        </w:rPr>
        <w:t xml:space="preserve">Data: </w:t>
      </w:r>
      <w:r>
        <w:rPr>
          <w:sz w:val="22"/>
        </w:rPr>
        <w:t>Data is licensed from venues where required; public market data is used under venue terms of service.</w:t>
      </w:r>
    </w:p>
    <w:p>
      <w:pPr>
        <w:pStyle w:val="ListNumber"/>
        <w:spacing w:after="60"/>
        <w:ind w:left="504"/>
      </w:pPr>
      <w:r>
        <w:rPr>
          <w:b/>
          <w:sz w:val="22"/>
        </w:rPr>
        <w:t xml:space="preserve">User accounts: </w:t>
      </w:r>
      <w:r>
        <w:rPr>
          <w:sz w:val="22"/>
        </w:rPr>
        <w:t>If we offer any form of ‘account link’ (e.g., read-only API key integration), we treat the user’s credentials as sensitive and avoid anything that could be recharacterized as a control over customer funds.</w:t>
      </w:r>
    </w:p>
    <w:p>
      <w:pPr>
        <w:pStyle w:val="ListNumber"/>
        <w:spacing w:after="60"/>
        <w:ind w:left="504"/>
      </w:pPr>
      <w:r>
        <w:rPr>
          <w:b/>
          <w:sz w:val="22"/>
        </w:rPr>
        <w:t xml:space="preserve">Media: </w:t>
      </w:r>
      <w:r>
        <w:rPr>
          <w:sz w:val="22"/>
        </w:rPr>
        <w:t>In media deals (widgets, white-label feeds), we contract as a data vendor; we do not share in venue economics that could be recharacterized as an intro-broker relationship.</w:t>
      </w:r>
    </w:p>
    <w:p>
      <w:pPr>
        <w:spacing w:before="280" w:after="80"/>
        <w:pBdr>
          <w:bottom w:val="single" w:sz="6" w:color="0D9488"/>
        </w:pBdr>
      </w:pPr>
      <w:r>
        <w:rPr>
          <w:b/>
          <w:color w:val="0D9488"/>
          <w:sz w:val="22"/>
        </w:rPr>
        <w:t>QUESTIONS FOR COUNSEL</w:t>
      </w:r>
    </w:p>
    <w:p>
      <w:pPr>
        <w:spacing w:after="120"/>
      </w:pPr>
      <w:r>
        <w:rPr>
          <w:i/>
          <w:color w:val="4B5563"/>
          <w:sz w:val="22"/>
        </w:rPr>
        <w:t>Prioritized. Each question lists what we already believe and where we need a legal check.</w:t>
      </w:r>
    </w:p>
    <w:p>
      <w:pPr>
        <w:spacing w:before="200" w:after="40"/>
      </w:pPr>
      <w:r>
        <w:rPr>
          <w:b/>
          <w:color w:val="0B1F3A"/>
          <w:sz w:val="26"/>
        </w:rPr>
        <w:t>Tier 1 — ship-blocking (must answer before v1 launch)</w:t>
      </w:r>
    </w:p>
    <w:p>
      <w:pPr>
        <w:pStyle w:val="ListNumber"/>
        <w:spacing w:after="60"/>
        <w:ind w:left="504"/>
      </w:pPr>
      <w:r>
        <w:rPr>
          <w:b/>
          <w:sz w:val="22"/>
        </w:rPr>
        <w:t xml:space="preserve">1. </w:t>
      </w:r>
      <w:r>
        <w:rPr>
          <w:sz w:val="22"/>
        </w:rPr>
        <w:t>Is a pure data + analytics platform that deep-links to CFTC-regulated DCMs outside the definitions of ‘Futures Commission Merchant,’ ‘Introducing Broker,’ ‘Commodity Trading Advisor,’ and ‘Commodity Pool Operator’ under the CEA — and are there any fact patterns (deep links with prefilled orders, affiliate revenue, API-key integrations) that could flip that analysis?</w:t>
      </w:r>
    </w:p>
    <w:p>
      <w:pPr>
        <w:pStyle w:val="ListNumber"/>
        <w:spacing w:after="60"/>
        <w:ind w:left="504"/>
      </w:pPr>
      <w:r>
        <w:rPr>
          <w:b/>
          <w:sz w:val="22"/>
        </w:rPr>
        <w:t xml:space="preserve">2. </w:t>
      </w:r>
      <w:r>
        <w:rPr>
          <w:sz w:val="22"/>
        </w:rPr>
        <w:t>What specific disclaimers, geofencing, and UX rules do we need to keep calibration scores, backtests, and macro research out of ‘investment advice’ territory under the CEA and SEC frameworks?</w:t>
      </w:r>
    </w:p>
    <w:p>
      <w:pPr>
        <w:pStyle w:val="ListNumber"/>
        <w:spacing w:after="60"/>
        <w:ind w:left="504"/>
      </w:pPr>
      <w:r>
        <w:rPr>
          <w:b/>
          <w:sz w:val="22"/>
        </w:rPr>
        <w:t xml:space="preserve">3. </w:t>
      </w:r>
      <w:r>
        <w:rPr>
          <w:sz w:val="22"/>
        </w:rPr>
        <w:t>Can we legally distribute (a) real-time quotes, (b) delayed quotes, and (c) historical tick data from Kalshi, Polymarket, and other DCMs — and under what licensing structure? Is there an equivalent of the exchange market-data regime we should expect?</w:t>
      </w:r>
    </w:p>
    <w:p>
      <w:pPr>
        <w:pStyle w:val="ListNumber"/>
        <w:spacing w:after="60"/>
        <w:ind w:left="504"/>
      </w:pPr>
      <w:r>
        <w:rPr>
          <w:b/>
          <w:sz w:val="22"/>
        </w:rPr>
        <w:t xml:space="preserve">4. </w:t>
      </w:r>
      <w:r>
        <w:rPr>
          <w:sz w:val="22"/>
        </w:rPr>
        <w:t>How does the ANPRM comment position we file (by April 30, 2026) affect our future ability to offer specific features (e.g., embedded news linkage to markets that might later be classed as ‘gaming’)? Should we file a comment, and if so what position?</w:t>
      </w:r>
    </w:p>
    <w:p>
      <w:pPr>
        <w:spacing w:before="200" w:after="40"/>
      </w:pPr>
      <w:r>
        <w:rPr>
          <w:b/>
          <w:color w:val="0B1F3A"/>
          <w:sz w:val="26"/>
        </w:rPr>
        <w:t>Tier 2 — near-term (answer before first enterprise contract)</w:t>
      </w:r>
    </w:p>
    <w:p>
      <w:pPr>
        <w:pStyle w:val="ListNumber"/>
        <w:spacing w:after="60"/>
        <w:ind w:left="504"/>
      </w:pPr>
      <w:r>
        <w:rPr>
          <w:b/>
          <w:sz w:val="22"/>
        </w:rPr>
        <w:t xml:space="preserve">5. </w:t>
      </w:r>
      <w:r>
        <w:rPr>
          <w:sz w:val="22"/>
        </w:rPr>
        <w:t>What is the state-by-state risk map for (a) selling data feeds to funds, (b) selling widgets to newsrooms, (c) running paid marketing visible to residents of New York, New Jersey, Nevada, Massachusetts, Connecticut, Maryland, Ohio, Michigan, and other states with active enforcement against Kalshi/Robinhood?</w:t>
      </w:r>
    </w:p>
    <w:p>
      <w:pPr>
        <w:pStyle w:val="ListNumber"/>
        <w:spacing w:after="60"/>
        <w:ind w:left="504"/>
      </w:pPr>
      <w:r>
        <w:rPr>
          <w:b/>
          <w:sz w:val="22"/>
        </w:rPr>
        <w:t xml:space="preserve">6. </w:t>
      </w:r>
      <w:r>
        <w:rPr>
          <w:sz w:val="22"/>
        </w:rPr>
        <w:t>Do our enterprise customers (funds, data vendors) need any specific representations, redistribution limits, or licensing pass-throughs in their contracts given that the underlying data originates from DCMs?</w:t>
      </w:r>
    </w:p>
    <w:p>
      <w:pPr>
        <w:pStyle w:val="ListNumber"/>
        <w:spacing w:after="60"/>
        <w:ind w:left="504"/>
      </w:pPr>
      <w:r>
        <w:rPr>
          <w:b/>
          <w:sz w:val="22"/>
        </w:rPr>
        <w:t xml:space="preserve">7. </w:t>
      </w:r>
      <w:r>
        <w:rPr>
          <w:sz w:val="22"/>
        </w:rPr>
        <w:t>For media/white-label: is there any risk that embedding live odds in a newsroom page constitutes ‘advertising gambling’ in states that classify sports event contracts as gambling? Does the 3rd Circuit Flaherty ruling change the answer?</w:t>
      </w:r>
    </w:p>
    <w:p>
      <w:pPr>
        <w:pStyle w:val="ListNumber"/>
        <w:spacing w:after="60"/>
        <w:ind w:left="504"/>
      </w:pPr>
      <w:r>
        <w:rPr>
          <w:b/>
          <w:sz w:val="22"/>
        </w:rPr>
        <w:t xml:space="preserve">8. </w:t>
      </w:r>
      <w:r>
        <w:rPr>
          <w:sz w:val="22"/>
        </w:rPr>
        <w:t>If a customer uses our API to build a robo-trading system that routes orders to Kalshi or Polymarket, does that change our characterization under the CEA? What contractual terms can we use to protect against derivative liability?</w:t>
      </w:r>
    </w:p>
    <w:p>
      <w:pPr>
        <w:spacing w:before="200" w:after="40"/>
      </w:pPr>
      <w:r>
        <w:rPr>
          <w:b/>
          <w:color w:val="0B1F3A"/>
          <w:sz w:val="26"/>
        </w:rPr>
        <w:t>Tier 3 — roadmap (answer before considering execution features)</w:t>
      </w:r>
    </w:p>
    <w:p>
      <w:pPr>
        <w:pStyle w:val="ListNumber"/>
        <w:spacing w:after="60"/>
        <w:ind w:left="504"/>
      </w:pPr>
      <w:r>
        <w:rPr>
          <w:b/>
          <w:sz w:val="22"/>
        </w:rPr>
        <w:t xml:space="preserve">9. </w:t>
      </w:r>
      <w:r>
        <w:rPr>
          <w:sz w:val="22"/>
        </w:rPr>
        <w:t>If and when we consider adding order routing or an introducing-broker relationship, what is the registration path (CFTC registration, NFA membership), expected timeline, and capital requirement?</w:t>
      </w:r>
    </w:p>
    <w:p>
      <w:pPr>
        <w:pStyle w:val="ListNumber"/>
        <w:spacing w:after="60"/>
        <w:ind w:left="504"/>
      </w:pPr>
      <w:r>
        <w:rPr>
          <w:b/>
          <w:sz w:val="22"/>
        </w:rPr>
        <w:t xml:space="preserve">10. </w:t>
      </w:r>
      <w:r>
        <w:rPr>
          <w:sz w:val="22"/>
        </w:rPr>
        <w:t>Is there a viable path to register as a DCM-adjacent data vendor or SEF-like reporting entity that would give us a legal moat around bulk historical data distribution?</w:t>
      </w:r>
    </w:p>
    <w:p>
      <w:pPr>
        <w:pStyle w:val="ListNumber"/>
        <w:spacing w:after="60"/>
        <w:ind w:left="504"/>
      </w:pPr>
      <w:r>
        <w:rPr>
          <w:b/>
          <w:sz w:val="22"/>
        </w:rPr>
        <w:t xml:space="preserve">11. </w:t>
      </w:r>
      <w:r>
        <w:rPr>
          <w:sz w:val="22"/>
        </w:rPr>
        <w:t>International: what changes if we distribute data into the UK (Gambling Commission / FCA), EU (MiFID II / MiCA), Canada (provincial regulators), Australia (ASIC)? Which jurisdictions are safe for data-only, and which require local registration?</w:t>
      </w:r>
    </w:p>
    <w:p>
      <w:pPr>
        <w:pStyle w:val="ListNumber"/>
        <w:spacing w:after="60"/>
        <w:ind w:left="504"/>
      </w:pPr>
      <w:r>
        <w:rPr>
          <w:b/>
          <w:sz w:val="22"/>
        </w:rPr>
        <w:t xml:space="preserve">12. </w:t>
      </w:r>
      <w:r>
        <w:rPr>
          <w:sz w:val="22"/>
        </w:rPr>
        <w:t>AI / model risk: we plan to ship calibration scoring and probabilistic forecasts derived from market data plus third-party news. Are there model-governance, disclosure, or CFPB/FTC considerations we should treat as ship-blockers?</w:t>
      </w:r>
    </w:p>
    <w:p>
      <w:pPr>
        <w:spacing w:before="280" w:after="80"/>
        <w:pBdr>
          <w:bottom w:val="single" w:sz="6" w:color="0D9488"/>
        </w:pBdr>
      </w:pPr>
      <w:r>
        <w:rPr>
          <w:b/>
          <w:color w:val="0D9488"/>
          <w:sz w:val="22"/>
        </w:rPr>
        <w:t>MATERIALS WE WILL PROVIDE TO COUNSEL</w:t>
      </w:r>
    </w:p>
    <w:p>
      <w:pPr>
        <w:pStyle w:val="ListBullet"/>
        <w:spacing w:after="60"/>
        <w:ind w:left="360"/>
      </w:pPr>
      <w:r>
        <w:rPr>
          <w:sz w:val="22"/>
        </w:rPr>
        <w:t>Product architecture one-pager (we can send this week).</w:t>
      </w:r>
    </w:p>
    <w:p>
      <w:pPr>
        <w:pStyle w:val="ListBullet"/>
        <w:spacing w:after="60"/>
        <w:ind w:left="360"/>
      </w:pPr>
      <w:r>
        <w:rPr>
          <w:sz w:val="22"/>
        </w:rPr>
        <w:t>Current and planned data sources with license status (Kalshi terms, Polymarket terms, Manifold API TOS, PredictIt TOS).</w:t>
      </w:r>
    </w:p>
    <w:p>
      <w:pPr>
        <w:pStyle w:val="ListBullet"/>
        <w:spacing w:after="60"/>
        <w:ind w:left="360"/>
      </w:pPr>
      <w:r>
        <w:rPr>
          <w:sz w:val="22"/>
        </w:rPr>
        <w:t>Mockups of the terminal, the widget, and the API docs landing page.</w:t>
      </w:r>
    </w:p>
    <w:p>
      <w:pPr>
        <w:pStyle w:val="ListBullet"/>
        <w:spacing w:after="60"/>
        <w:ind w:left="360"/>
      </w:pPr>
      <w:r>
        <w:rPr>
          <w:sz w:val="22"/>
        </w:rPr>
        <w:t>Draft marketing copy for website + first research report.</w:t>
      </w:r>
    </w:p>
    <w:p>
      <w:pPr>
        <w:pStyle w:val="ListBullet"/>
        <w:spacing w:after="60"/>
        <w:ind w:left="360"/>
      </w:pPr>
      <w:r>
        <w:rPr>
          <w:sz w:val="22"/>
        </w:rPr>
        <w:t>Draft enterprise and media contracts for review (once we have first targets).</w:t>
      </w:r>
    </w:p>
    <w:p>
      <w:pPr>
        <w:spacing w:before="280" w:after="80"/>
        <w:pBdr>
          <w:bottom w:val="single" w:sz="6" w:color="0D9488"/>
        </w:pBdr>
      </w:pPr>
      <w:r>
        <w:rPr>
          <w:b/>
          <w:color w:val="0D9488"/>
          <w:sz w:val="22"/>
        </w:rPr>
        <w:t>WHAT GOOD LOOKS LIKE FROM THIS ENGAGEMENT</w:t>
      </w:r>
    </w:p>
    <w:p>
      <w:pPr>
        <w:pStyle w:val="ListBullet"/>
        <w:spacing w:after="60"/>
        <w:ind w:left="360"/>
      </w:pPr>
      <w:r>
        <w:rPr>
          <w:b/>
          <w:sz w:val="22"/>
        </w:rPr>
        <w:t xml:space="preserve">Memo. </w:t>
      </w:r>
      <w:r>
        <w:rPr>
          <w:sz w:val="22"/>
        </w:rPr>
        <w:t>A written memo we can share with investors summarizing our regulatory posture and residual risk.</w:t>
      </w:r>
    </w:p>
    <w:p>
      <w:pPr>
        <w:pStyle w:val="ListBullet"/>
        <w:spacing w:after="60"/>
        <w:ind w:left="360"/>
      </w:pPr>
      <w:r>
        <w:rPr>
          <w:b/>
          <w:sz w:val="22"/>
        </w:rPr>
        <w:t xml:space="preserve">Operating guardrails. </w:t>
      </w:r>
      <w:r>
        <w:rPr>
          <w:sz w:val="22"/>
        </w:rPr>
        <w:t>A 1-page do/don’t rulebook the team can reference when shipping features.</w:t>
      </w:r>
    </w:p>
    <w:p>
      <w:pPr>
        <w:pStyle w:val="ListBullet"/>
        <w:spacing w:after="60"/>
        <w:ind w:left="360"/>
      </w:pPr>
      <w:r>
        <w:rPr>
          <w:b/>
          <w:sz w:val="22"/>
        </w:rPr>
        <w:t xml:space="preserve">Contract templates. </w:t>
      </w:r>
      <w:r>
        <w:rPr>
          <w:sz w:val="22"/>
        </w:rPr>
        <w:t>Standard-form disclaimers, ToS, privacy language, and contract language for enterprise/media deals.</w:t>
      </w:r>
    </w:p>
    <w:p>
      <w:pPr>
        <w:pStyle w:val="ListBullet"/>
        <w:spacing w:after="60"/>
        <w:ind w:left="360"/>
      </w:pPr>
      <w:r>
        <w:rPr>
          <w:b/>
          <w:sz w:val="22"/>
        </w:rPr>
        <w:t xml:space="preserve">Update cadence. </w:t>
      </w:r>
      <w:r>
        <w:rPr>
          <w:sz w:val="22"/>
        </w:rPr>
        <w:t>A monitoring SLA: who flags CFTC releases, state enforcement, and 3rd Circuit/SCOTUS developments as they land.</w:t>
      </w:r>
    </w:p>
    <w:p>
      <w:pPr>
        <w:spacing w:before="280" w:after="80"/>
        <w:pBdr>
          <w:bottom w:val="single" w:sz="6" w:color="0D9488"/>
        </w:pBdr>
      </w:pPr>
      <w:r>
        <w:rPr>
          <w:b/>
          <w:color w:val="0D9488"/>
          <w:sz w:val="22"/>
        </w:rPr>
        <w:t>SOURCES CONSULTED FOR THIS BRIEFING (PUBLIC)</w:t>
      </w:r>
    </w:p>
    <w:p>
      <w:pPr>
        <w:pStyle w:val="ListBullet"/>
        <w:spacing w:after="60"/>
        <w:ind w:left="360"/>
      </w:pPr>
      <w:r>
        <w:rPr>
          <w:sz w:val="22"/>
        </w:rPr>
        <w:t>CFTC ANPRM on Prediction Markets, Federal Register, March 2026.</w:t>
      </w:r>
    </w:p>
    <w:p>
      <w:pPr>
        <w:pStyle w:val="ListBullet"/>
        <w:spacing w:after="60"/>
        <w:ind w:left="360"/>
      </w:pPr>
      <w:r>
        <w:rPr>
          <w:sz w:val="22"/>
        </w:rPr>
        <w:t>U.S. Court of Appeals for the Third Circuit, KalshiEX LLC v. Flaherty (April 6, 2026).</w:t>
      </w:r>
    </w:p>
    <w:p>
      <w:pPr>
        <w:pStyle w:val="ListBullet"/>
        <w:spacing w:after="60"/>
        <w:ind w:left="360"/>
      </w:pPr>
      <w:r>
        <w:rPr>
          <w:sz w:val="22"/>
        </w:rPr>
        <w:t>Sidley Austin LLP client alerts (Feb–Mar 2026) on CFTC rulemaking signals.</w:t>
      </w:r>
    </w:p>
    <w:p>
      <w:pPr>
        <w:pStyle w:val="ListBullet"/>
        <w:spacing w:after="60"/>
        <w:ind w:left="360"/>
      </w:pPr>
      <w:r>
        <w:rPr>
          <w:sz w:val="22"/>
        </w:rPr>
        <w:t>Morgan Lewis and Crowell &amp; Moring client alerts (Mar 2026) on CFTC / DMO prediction-market releases.</w:t>
      </w:r>
    </w:p>
    <w:p>
      <w:pPr>
        <w:pStyle w:val="ListBullet"/>
        <w:spacing w:after="60"/>
        <w:ind w:left="360"/>
      </w:pPr>
      <w:r>
        <w:rPr>
          <w:sz w:val="22"/>
        </w:rPr>
        <w:t>Holland &amp; Knight insights (Apr 2026) on federal appellate jurisdiction over sports event contracts.</w:t>
      </w:r>
    </w:p>
    <w:p>
      <w:pPr>
        <w:pStyle w:val="ListBullet"/>
        <w:spacing w:after="60"/>
        <w:ind w:left="360"/>
      </w:pPr>
      <w:r>
        <w:rPr>
          <w:sz w:val="22"/>
        </w:rPr>
        <w:t>Reason magazine coverage (Jan 2026) of Polymarket’s US relaunch; Rodman Law Group analysis of the CFTC Amended Order.</w:t>
      </w:r>
    </w:p>
    <w:p>
      <w:pPr>
        <w:pStyle w:val="ListBullet"/>
        <w:spacing w:after="60"/>
        <w:ind w:left="360"/>
      </w:pPr>
      <w:r>
        <w:rPr>
          <w:sz w:val="22"/>
        </w:rPr>
        <w:t>Polymarket and Kalshi public filings and press.</w:t>
      </w:r>
    </w:p>
    <w:p>
      <w:pPr>
        <w:spacing w:after="120"/>
      </w:pPr>
      <w:r>
        <w:rPr>
          <w:color w:val="111827"/>
          <w:sz w:val="22"/>
        </w:rPr>
        <w:t xml:space="preserve"> </w:t>
      </w:r>
    </w:p>
    <w:p>
      <w:pPr>
        <w:spacing w:after="120"/>
      </w:pPr>
      <w:r>
        <w:rPr>
          <w:i/>
          <w:color w:val="4B5563"/>
          <w:sz w:val="22"/>
        </w:rPr>
        <w:t>Nothing in this document is legal advice. All positions above are working assumptions prepared by the company for counsel to pressure-test.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