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B677" w14:textId="77777777" w:rsidR="00555D24" w:rsidRDefault="00000000">
      <w:pPr>
        <w:spacing w:after="270" w:line="259" w:lineRule="auto"/>
        <w:ind w:left="10" w:right="710"/>
        <w:jc w:val="center"/>
      </w:pPr>
      <w:r>
        <w:rPr>
          <w:sz w:val="34"/>
        </w:rPr>
        <w:t>Governing the (Privatized) Commons: Evidence from the</w:t>
      </w:r>
    </w:p>
    <w:p w14:paraId="556AD3E3" w14:textId="77777777" w:rsidR="00555D24" w:rsidRDefault="00000000">
      <w:pPr>
        <w:spacing w:after="296" w:line="259" w:lineRule="auto"/>
        <w:ind w:left="10" w:right="710"/>
        <w:jc w:val="center"/>
      </w:pPr>
      <w:r>
        <w:rPr>
          <w:sz w:val="34"/>
        </w:rPr>
        <w:t>introduction of Water Boards</w:t>
      </w:r>
    </w:p>
    <w:p w14:paraId="7E4F9170" w14:textId="77777777" w:rsidR="00555D24" w:rsidRDefault="00000000">
      <w:pPr>
        <w:spacing w:after="178" w:line="265" w:lineRule="auto"/>
        <w:ind w:left="10" w:right="625"/>
        <w:jc w:val="center"/>
      </w:pPr>
      <w:r>
        <w:rPr>
          <w:sz w:val="24"/>
        </w:rPr>
        <w:t>Maximiliano Garc´ıa [JMP]</w:t>
      </w:r>
      <w:r>
        <w:rPr>
          <w:rFonts w:ascii="Calibri" w:eastAsia="Calibri" w:hAnsi="Calibri" w:cs="Calibri"/>
          <w:sz w:val="24"/>
          <w:vertAlign w:val="superscript"/>
        </w:rPr>
        <w:footnoteReference w:id="1"/>
      </w:r>
    </w:p>
    <w:p w14:paraId="4D8B7E0E" w14:textId="77777777" w:rsidR="00555D24" w:rsidRDefault="00000000">
      <w:pPr>
        <w:spacing w:after="229" w:line="265" w:lineRule="auto"/>
        <w:ind w:left="10" w:right="710"/>
        <w:jc w:val="center"/>
      </w:pPr>
      <w:r>
        <w:rPr>
          <w:sz w:val="24"/>
        </w:rPr>
        <w:t>Jose Belmar</w:t>
      </w:r>
    </w:p>
    <w:p w14:paraId="7B6FCF66" w14:textId="77777777" w:rsidR="00555D24" w:rsidRDefault="00000000">
      <w:pPr>
        <w:spacing w:after="933" w:line="265" w:lineRule="auto"/>
        <w:ind w:left="10" w:right="710"/>
        <w:jc w:val="center"/>
      </w:pPr>
      <w:r>
        <w:rPr>
          <w:sz w:val="24"/>
        </w:rPr>
        <w:t>November 7, 2023</w:t>
      </w:r>
    </w:p>
    <w:p w14:paraId="0B7486FA" w14:textId="77777777" w:rsidR="00555D24" w:rsidRDefault="00000000">
      <w:pPr>
        <w:spacing w:after="587" w:line="259" w:lineRule="auto"/>
        <w:ind w:left="0" w:right="710" w:firstLine="0"/>
        <w:jc w:val="center"/>
      </w:pPr>
      <w:hyperlink r:id="rId7">
        <w:r>
          <w:rPr>
            <w:color w:val="0000FF"/>
          </w:rPr>
          <w:t>Updated frequently. Check here for latest version.</w:t>
        </w:r>
      </w:hyperlink>
    </w:p>
    <w:p w14:paraId="106ACF4F" w14:textId="77777777" w:rsidR="00555D24" w:rsidRDefault="00000000">
      <w:pPr>
        <w:pStyle w:val="Ttulo1"/>
        <w:spacing w:after="257"/>
        <w:ind w:left="0" w:right="710" w:firstLine="0"/>
        <w:jc w:val="center"/>
      </w:pPr>
      <w:r>
        <w:rPr>
          <w:sz w:val="20"/>
        </w:rPr>
        <w:t>Abstract</w:t>
      </w:r>
    </w:p>
    <w:p w14:paraId="6C9FBCCC" w14:textId="77777777" w:rsidR="00555D24" w:rsidRDefault="00000000">
      <w:pPr>
        <w:spacing w:after="557" w:line="395" w:lineRule="auto"/>
        <w:ind w:left="956" w:right="1666" w:firstLine="299"/>
      </w:pPr>
      <w:r>
        <w:rPr>
          <w:sz w:val="20"/>
        </w:rPr>
        <w:t>This paper studies the role of legally empowered users’ organizations when river waters are allocated through private property in a context of weak state enforcement. Our analysis is based on a novel dataset that integrates administrative records, geographic information, and satellite imagery. We show that the establishment of such organizations limits the creation of conflicting new property rights, and results in the redistribution of water towards users more exposed to over-extraction by others, primarily due to improved enforcement of extant property rights. This redistribution increases agricultural yield, mostly among large downstream farmers. A misallocation test suggests that these organizations reduce misallocation caused by the natural advantage of upstream users to over-extract. Our results provide micro-evidence of the consequences of effective governance for both allocative efficiency and equity.</w:t>
      </w:r>
    </w:p>
    <w:p w14:paraId="471AD9AB" w14:textId="77777777" w:rsidR="00555D24" w:rsidRDefault="00000000">
      <w:pPr>
        <w:pStyle w:val="Ttulo1"/>
        <w:tabs>
          <w:tab w:val="center" w:pos="491"/>
          <w:tab w:val="center" w:pos="1783"/>
        </w:tabs>
        <w:ind w:left="0" w:firstLine="0"/>
      </w:pPr>
      <w:r>
        <w:rPr>
          <w:rFonts w:ascii="Calibri" w:eastAsia="Calibri" w:hAnsi="Calibri" w:cs="Calibri"/>
          <w:b w:val="0"/>
          <w:sz w:val="22"/>
        </w:rPr>
        <w:tab/>
      </w:r>
      <w:r>
        <w:t>1</w:t>
      </w:r>
      <w:r>
        <w:tab/>
        <w:t>Introduction</w:t>
      </w:r>
    </w:p>
    <w:p w14:paraId="6C1D3CD3" w14:textId="77777777" w:rsidR="00555D24" w:rsidRDefault="00000000">
      <w:pPr>
        <w:ind w:left="419" w:right="1106"/>
      </w:pPr>
      <w:r>
        <w:t xml:space="preserve">Control over natural resources is often presented as a tradeoff between well-defined individual property rights -where enforcement relies on a fence or wall, and a means of legal recourse if rights are violated- or community management, in which decisions and allocations about resources are made collectively. In practice, there is a wide array of possible governance </w:t>
      </w:r>
      <w:r>
        <w:lastRenderedPageBreak/>
        <w:t>arrangements, which may incorporate elements of both community management as well as enforceable rights in order to regulate resource use (Ostrom, 1990). The decision to allocate rights, for example, may be enacted by community deliberation, and a community may organize together to ensure property rights are enforced, while at the same time giving exclusive access to some users to a given resource (e.g. Rossignol, Lowes, and Montero, 2023).</w:t>
      </w:r>
    </w:p>
    <w:p w14:paraId="38B36456" w14:textId="77777777" w:rsidR="00555D24" w:rsidRDefault="00000000">
      <w:pPr>
        <w:ind w:left="409" w:right="1106" w:firstLine="478"/>
      </w:pPr>
      <w:r>
        <w:t>Different institutional arrangements will naturally have distinct implications for the efficiency and equity with which resources are allocated. Economists have studied extensively the efficiency benefits of private property rights, but there is limited evidence on the types of entities that can effectively enforce these rights. We commonly assume that the state should act as enforcer (North, 1990), but this may be infeasible in settings in which a government is unable or unwilling to perform this role (e.g. Baland and Platteau, 1998; Sanchez de la Sierra, 2020).</w:t>
      </w:r>
    </w:p>
    <w:p w14:paraId="551D107B" w14:textId="77777777" w:rsidR="00555D24" w:rsidRDefault="00000000">
      <w:pPr>
        <w:ind w:left="409" w:right="1106" w:firstLine="478"/>
      </w:pPr>
      <w:r>
        <w:t>In this paper, we study the effects of one such “hybrid” arrangement: communitygoverned enforcement of private property rights. Specifically, we examine the economic impacts of the establishment of legally empowered boards, called Water Boards (</w:t>
      </w:r>
      <w:r>
        <w:rPr>
          <w:i/>
        </w:rPr>
        <w:t>Juntas de Vigilancia</w:t>
      </w:r>
      <w:r>
        <w:t>). These organizations are organized, elected and funded by the users themselves, with the mandate to provide enforcement of water rights –formal private property rights over river waters in Chile. Water rights enjoy constitutional protection against expropriation, are inheritable and fully tradable, and their property is separated from the land, implying that most of the friction sources studied in other natural resources markets are absent (e.g. Chari, Liu, Wang, and Wang, 2021; Manysheva, 2022). To protect users against expropriation, the regulation of water matters and courts in Chile have restrained government action, but these limits also have made it difficult to constrain upstream users from using large amounts of water even during times of scarcity, thus leaving downstream users without access to their water allotments.</w:t>
      </w:r>
    </w:p>
    <w:p w14:paraId="570E2556" w14:textId="77777777" w:rsidR="00555D24" w:rsidRDefault="00000000">
      <w:pPr>
        <w:ind w:left="409" w:right="1106" w:firstLine="478"/>
      </w:pPr>
      <w:r>
        <w:t xml:space="preserve">These boards have the power to enforce water allocation and to adjudicate conflicts among users, and thus may have the potential to step in to protect users’ access rights in the absence of government oversight. The basins governed by such boards –established independently and autonomously over time– are otherwise legally identical to neighboring </w:t>
      </w:r>
      <w:r>
        <w:lastRenderedPageBreak/>
        <w:t>areas, providing a setting that is well-suited to studying the economic implications of enforcement of property rights and governance over economic resources. We show how property rights enforcement via Water Boards increases river streamflows, slows the process of appropriation of rivers, increases downstream water consumption and agricultural yield, and increases usage of summer crops; thus covering the full causal chain between the institution and the economic outcomes. The resultant redistribution, in turn, eliminates differences in the shadow value of water within a basin, implying the reduction of misallocation of water.</w:t>
      </w:r>
    </w:p>
    <w:p w14:paraId="54BB283C" w14:textId="77777777" w:rsidR="00555D24" w:rsidRDefault="00000000">
      <w:pPr>
        <w:ind w:left="409" w:right="1106" w:firstLine="478"/>
      </w:pPr>
      <w:r>
        <w:t>In our first set of results, we use a difference-in-differences design, exploiting the staggered adoption of water boards, to show how enforcement changes the distribution of water across a basin. Water Board adoption increases river streamflows in the dry season –when incentives to over-extract are strongest– by more than 20%. These results suggest that the lack of enforcement in the absence of Water Boards allows over-extraction from upstream</w:t>
      </w:r>
    </w:p>
    <w:p w14:paraId="2B037764" w14:textId="77777777" w:rsidR="00555D24" w:rsidRDefault="00000000">
      <w:pPr>
        <w:spacing w:after="160" w:line="259" w:lineRule="auto"/>
        <w:ind w:left="419" w:right="1106"/>
      </w:pPr>
      <w:r>
        <w:t>users.</w:t>
      </w:r>
    </w:p>
    <w:p w14:paraId="3F07F8E4" w14:textId="77777777" w:rsidR="00555D24" w:rsidRDefault="00000000">
      <w:pPr>
        <w:ind w:left="409" w:right="1106" w:firstLine="478"/>
      </w:pPr>
      <w:r>
        <w:t>We also study the legal allocation of rivers. The rivers under study were overallocated, as a result of the lack of information and control by the government (Barr´ıa, Sandoval, Guzman, Chadwick, Alvarez-Garreton, D´ıaz-Vasconcellos, Ocampo-Melgar, and Fuster, 2021b). We provide evidence that these boards slow down the appropriation of the river, by stopping the issuance of new water rights that interfere with pre-existing ones. This reduction can be attributed to better monitoring of the water source. We decompose the increase in streamflows into the direct effect of water boards –which arguably reflects the effect of introducing property rights enforcement– and their indirect effect through water rights (i.e. the increase in streamflows caused by the lower rate of appropriation). We show that just 11% can be attributed to better monitoring, and so 89% of the increase in streamflows is the direct effect of Water Boards (i.e. mainly enforcement).</w:t>
      </w:r>
    </w:p>
    <w:p w14:paraId="2FE41A32" w14:textId="77777777" w:rsidR="00555D24" w:rsidRDefault="00000000">
      <w:pPr>
        <w:ind w:left="409" w:right="1106" w:firstLine="478"/>
      </w:pPr>
      <w:r>
        <w:t>Second, we develop a novel database, containing remote sensing-based estimates of water consumption and agricultural yield for more than 75</w:t>
      </w:r>
      <w:r>
        <w:rPr>
          <w:i/>
        </w:rPr>
        <w:t>,</w:t>
      </w:r>
      <w:r>
        <w:t xml:space="preserve">000 farms with access to canals across our sample area over 20 years. This dataset allows us to measure effective water consumption at the farm-plot level in different locations within a basin. We use these data to </w:t>
      </w:r>
      <w:r>
        <w:lastRenderedPageBreak/>
        <w:t>show that downstream farms under the authority of a Water Board consume 5% more water than downstream farms without boards, while upstream farms under the authority of a Water Board consume 9% less water than farms outside boards’ jurisdictions.</w:t>
      </w:r>
    </w:p>
    <w:p w14:paraId="5CCDC20F" w14:textId="77777777" w:rsidR="00555D24" w:rsidRDefault="00000000">
      <w:pPr>
        <w:ind w:left="409" w:right="1106" w:firstLine="478"/>
      </w:pPr>
      <w:r>
        <w:t>The establishment of a Water Board is endogenous, which raises concerns about the preceding estimates. In particular, conflict over water is more likely to happen in areas where water is scarcer, and at the same time, downstream users may be particularly active in the establishment of an authority in charge of distributing water, to ensure access to water. By contrast, upstream users may prefer to remain outside of their authority, as a board will restrict their water consumption.</w:t>
      </w:r>
    </w:p>
    <w:p w14:paraId="5C9AA7BE" w14:textId="77777777" w:rsidR="00555D24" w:rsidRDefault="00000000">
      <w:pPr>
        <w:ind w:left="409" w:right="1106" w:firstLine="478"/>
      </w:pPr>
      <w:r>
        <w:t>To address this concern, we construct separate instruments for downstream and upstream locations, based on the costs of establishing a water board: the process of creating a board will be initiated in a court located in the most upstream provincial capital city in the basin, in a context where most basins cover several provinces.</w:t>
      </w:r>
    </w:p>
    <w:p w14:paraId="34220C40" w14:textId="77777777" w:rsidR="00555D24" w:rsidRDefault="00000000">
      <w:pPr>
        <w:ind w:left="409" w:right="1106" w:firstLine="478"/>
      </w:pPr>
      <w:r>
        <w:t>Our IV estimates suggest that our cross-sectional results understate the economic consequences of redistribution: Water Boards increase water consumption per unit of area by 49% among farms located in the last third of each basin, while they reduce consumption among upstream farms by 17%. We observe qualitatively similar effects in agricultural yield: an increase of 24% among downstream irrigated farmers, and a decrease of 4% among upstream ones.</w:t>
      </w:r>
    </w:p>
    <w:p w14:paraId="193CC021" w14:textId="77777777" w:rsidR="00555D24" w:rsidRDefault="00000000">
      <w:pPr>
        <w:spacing w:after="150"/>
        <w:ind w:left="409" w:right="1106" w:firstLine="478"/>
      </w:pPr>
      <w:r>
        <w:t xml:space="preserve">By identifying individual land plots, we are able to analyze these distributive impacts across the distribution of farm size, and to check whether small or large farms benefits more from Water Boards’ introduction. We find stronger increases in water consumption among larger farms downstream, while upstream reductions are more substantial among smaller farms. In addition, in our difference-in-differences analysis, we show that most of the results regarding increases in streamflow happen among basins with higher land concentration. Voting power and representation in water boards mimic the structure of water ownership within the jurisdiction, which may be a driver for these distributional effects; in the main IV analysis we discuss alternative mechanisms. Overall, our results suggest that the creation of these water boards is driven by intra-elite conflict: large downstream farmers –i.e. those with </w:t>
      </w:r>
      <w:r>
        <w:lastRenderedPageBreak/>
        <w:t>enough resources– are the largest beneficiaries of restraining over-extraction by large upstream users.</w:t>
      </w:r>
    </w:p>
    <w:p w14:paraId="4AA37366" w14:textId="77777777" w:rsidR="00555D24" w:rsidRDefault="00000000">
      <w:pPr>
        <w:ind w:left="409" w:right="1106" w:firstLine="478"/>
      </w:pPr>
      <w:r>
        <w:t>Finally, we measure the allocative consequences of Water Boards. A market equilibrium should equalize the marginal value of the resource within a market, and deviations from this benchmark would imply a Pareto inefficient allocation or unexploited arbitrage opportunities. We design a misallocation test, that compares the shadow value of water at different locations in a basin. We then test for differences in the productivity of irrigation water within a basin, based on the revenue response to rainfall shocks within locations within a year. Our results imply that the average marginal productivity of water is constant within basins governed by water boards, while in areas without boards the marginal productivity of water is higher downstream, suggesting over-extraction by upstream users. This is a measure of economic losses even after accounting for adaptation, entry and exit decisions, and private arrangements made by the agents.</w:t>
      </w:r>
    </w:p>
    <w:p w14:paraId="7B8EFFD8" w14:textId="77777777" w:rsidR="00555D24" w:rsidRDefault="00000000">
      <w:pPr>
        <w:ind w:left="409" w:right="1106" w:firstLine="478"/>
      </w:pPr>
      <w:r>
        <w:t>The last set of results indicate that individual adaptation and markets cannot fully offset the lack of effective governance in ensuring efficient resource use. Our context satisfies the most widely discussed conditions for the application of Coase Theorem –namely, clearly defined property rights and the presence of externalities–, but does not satisfy a less discussed one: property rights enforcement (Coase, 1960; Medema, 2020; Deryugina, Moore, and Tol, 2021). The lack of enforcement is a consequence of a deliberate regulatory design that was intended to rely on decentralized transactions rather than government intervention (Bauer, 2004; Tamayo and Carmona, 2019). It therefore reflects an inherent tension in market design: giving more power to users relative to a governing authority may reduce some market frictions, but the presence of externalities without an authority to manage them could ultimately lead to inefficiencies.</w:t>
      </w:r>
    </w:p>
    <w:p w14:paraId="37FA01F9" w14:textId="77777777" w:rsidR="00555D24" w:rsidRDefault="00000000">
      <w:pPr>
        <w:ind w:left="409" w:right="1106" w:firstLine="478"/>
      </w:pPr>
      <w:r>
        <w:t xml:space="preserve">To summarize, this paper provides new insights into how markets allocate resources under private property, and how the success of natural resources privatization relies heavily on the governance institutions used to manage property rights. The same decision-making power and infrastructure that allows the government to enforce contracts could be used to expropriate, explicitly or implicitly (e.g. Esp´ın-Sa´nchez and Truffa, 2020). Protections </w:t>
      </w:r>
      <w:r>
        <w:lastRenderedPageBreak/>
        <w:t>against expropriation in the Chilean context effectively left the state powerless to enforce private property rights in water matters. The institution of Water Boards partially filled this institutional void. We thus provide evidence of the tension in market design between effective governance and protections against expropriation.</w:t>
      </w:r>
    </w:p>
    <w:p w14:paraId="0D2A74B8" w14:textId="77777777" w:rsidR="00555D24" w:rsidRDefault="00000000">
      <w:pPr>
        <w:spacing w:after="455"/>
        <w:ind w:left="409" w:right="1106" w:firstLine="478"/>
      </w:pPr>
      <w:r>
        <w:t>We also offer new evidence on the distributive effects of institutions. Our results suggest that the introduction of governance works most effectively in unequal basins, but also that even though most downstream farms benefit from this institution, the benefits are stronger among larger farms, while the costs of redistribution are born disproportionately by smaller upstream farms. While it is not possible to construct an appropriate counterfactual of a similar institution with a distinct governance structure (e.g., one in which the votes do not reflect directly the ownership over the resource, as in these boards), it illustrates how policies that increase efficiency may also exacerbate inequalities.</w:t>
      </w:r>
    </w:p>
    <w:p w14:paraId="30CC605B" w14:textId="77777777" w:rsidR="00555D24" w:rsidRDefault="00000000">
      <w:pPr>
        <w:ind w:left="419" w:right="1106"/>
      </w:pPr>
      <w:r>
        <w:rPr>
          <w:rFonts w:ascii="Calibri" w:eastAsia="Calibri" w:hAnsi="Calibri" w:cs="Calibri"/>
          <w:i/>
        </w:rPr>
        <w:t xml:space="preserve">Related Literature. </w:t>
      </w:r>
      <w:r>
        <w:t>Our paper contributes to a range of literatures, including management of common pool resources, frictions in developing markets, the economic impacts of agricultural infrastructure and the economics of climate change. We first contribute to the body of work in environmental economics on the management of common resources. Water is considered a common pool resource, given the difficulties in enforcing exclusion, and the rivalry on its consumption (Ostrom and Gardner, 1993), implying the emergence of a “Tragedy of the Commons”, where free-riding behavior leads to the over-exploitation of the resource (Hardin, 1968). Traditional approaches to managing common pool resources allocate the decision rights over the resource to either the state or private agents through privatization, but implicitly assign the tasks of monitoring and enforcing the decisions to the state. The literature on the different institutional arrangements over water is extensive; Meinzen-Dick (2007) and Ostrom (2010) provide good reviews and discussions on this topic.</w:t>
      </w:r>
    </w:p>
    <w:p w14:paraId="2B994EAA" w14:textId="77777777" w:rsidR="00555D24" w:rsidRDefault="00000000">
      <w:pPr>
        <w:ind w:left="409" w:right="1106" w:firstLine="478"/>
      </w:pPr>
      <w:r>
        <w:t xml:space="preserve">In a classic work, Ostrom (1990) identifies local communities as a third possible managing agent and discusses conditions under which communities can succeed in environments where neither state management nor privatization can, by introducing locally managed monitoring and enforcement and decision-making. Among these conditions, she </w:t>
      </w:r>
      <w:r>
        <w:lastRenderedPageBreak/>
        <w:t>identifies monitoring capability, availability of sanctions among community members and closed access to outsiders. Most of the related literature has focused on testing these conditions in case studies or lab-in-the-field experiments in small-scale settings (e.g. Cardenas and Carpenter, 2008; Ca´rdenas and Ostrom, 2004; Henrich, McElreath, Barr, Ensminger, Barrett, Bolyanatz, Cardenas, Michael, Edwins, Henrich, Lesorogol, Marlowe, Tracer, and Ziker, 2006). In the environment we are studying –distribution of water within basins encompassing several local communities–, these conditions do not apply</w:t>
      </w:r>
      <w:r>
        <w:rPr>
          <w:vertAlign w:val="superscript"/>
        </w:rPr>
        <w:footnoteReference w:id="2"/>
      </w:r>
      <w:r>
        <w:t>. Our results, therefore, extend Ostrom’s by showing how local communities can address free-riding problems in wider environments by relying on tools usually reserved for the state, like the authority to resolve legal disputes or establish legal punishments.</w:t>
      </w:r>
    </w:p>
    <w:p w14:paraId="336B8DCD" w14:textId="77777777" w:rsidR="00555D24" w:rsidRDefault="00000000">
      <w:pPr>
        <w:ind w:left="409" w:right="1106" w:firstLine="478"/>
      </w:pPr>
      <w:r>
        <w:t>Another strand of the literature focuses on contexts with private property rights over water, opening questions about how water markets work. The prior work closest to our own includes Rafey (2023a), who estimates the gains from trading water rights in the context of Australia, where the government exerts stronger monitoring, control and enforcement of property rights over water across the full country. Studies that compare markets versus others allocation mechanisms include Ryan and Sudarshan (2022), who estimate the efficiency losses from rationing groundwater relative to a counterfactual Pigouvian allocation, and Donna and Esp´ın-Sa´nchez (2023), who study how liquidity constraints may imply that markets are less efficient than a quota system on allocating water in Spain. This work studies the efficiency gains associated with different institutional arrangements. Our work complements them by exploring how governance and enforcement are preexisting conditions for the proper operation of markets.</w:t>
      </w:r>
    </w:p>
    <w:p w14:paraId="402BB43C" w14:textId="77777777" w:rsidR="00555D24" w:rsidRDefault="00000000">
      <w:pPr>
        <w:ind w:left="409" w:right="1106" w:firstLine="478"/>
      </w:pPr>
      <w:r>
        <w:t xml:space="preserve">A related line of research explores the economic consequences of water infrastructure. Duflo and Pande (2007) estimates the productivity and distributional impacts of dams using an instrumental variable approach, showing that even though the net impacts are positive but modest, they have substantial distributional consequences, with downstream areas getting </w:t>
      </w:r>
      <w:r>
        <w:lastRenderedPageBreak/>
        <w:t>substantial benefits at the expense of upstream areas. Asher, Campion, Gollin, and Novosad (2022) and Blakeslee, Dar, Fishman, Malik, Pelegrina, and Singh (2021), using different identification strategies based on the local geography, estimate the structural transformation consequences of canals; both papers show that canals increase agricultural productivity but do not affect the productivity of other sectors, which they attribute to labor displacement. The context of all these papers is India, data and do not discuss much of the institutional context. Our contribution is to show how the productivity and distributional consequences of infrastructure -in particular, canals- are shaped by the interaction between institutions and geography.</w:t>
      </w:r>
    </w:p>
    <w:p w14:paraId="67AE3591" w14:textId="77777777" w:rsidR="00555D24" w:rsidRDefault="00000000">
      <w:pPr>
        <w:ind w:left="409" w:right="1106" w:firstLine="478"/>
      </w:pPr>
      <w:r>
        <w:t>We contribute to a growing empirical literature on agriculture and adaptation to climate shocks, that increasingly relies on design-based strategies to understand the causal effects of climate shocks and different adaptations. Early contributions include Schlenker, Hanemann, and Fisher (2005), Lobell, Roberts, Schlenker, Braun, Little, Rejesus, and Hammer (2014) and Burke and Emerick (2016), who use different methods to characterize the extent to which adaptation can mitigate the agricultural costs of climate shocks. More recent contributions include Hagerty (2021), who studies short and long-term adaptations to changes in water availability by farmers through crop and operation decisions. Our contribution is to provide a new misallocation test on a key resource, and also to show how institutions may shape how farmers adapt, and the effectiveness of such adaptations.</w:t>
      </w:r>
    </w:p>
    <w:p w14:paraId="2149D85D" w14:textId="77777777" w:rsidR="00555D24" w:rsidRDefault="00000000">
      <w:pPr>
        <w:ind w:left="409" w:right="1106" w:firstLine="478"/>
      </w:pPr>
      <w:r>
        <w:t>We also contribute to the literature on the economic consequences of natural resources, privatization and misallocation. While this literature is extensive, to our knowledge, this is the first paper to causally estimate the economic impact of enforcement of private property rights, and also over water specifically. Most of the related work identifies misallocation caused by legal limits to the exercise of property rights, which translates into market frictions. We provide evidence of the opposite: how limits to government action -in place to avoid their interference over markets- can also be a source of misallocation (Bauer, 2004).</w:t>
      </w:r>
    </w:p>
    <w:p w14:paraId="28FE35B6" w14:textId="77777777" w:rsidR="00555D24" w:rsidRDefault="00000000">
      <w:pPr>
        <w:ind w:left="409" w:right="1106" w:firstLine="478"/>
      </w:pPr>
      <w:r>
        <w:t xml:space="preserve">Related work includes De Janvry, Emerick, Gonzalez-Navarro, and Sadoulet (2015), which finds that land titling enables land reallocation towards more efficient farmers and labor reallocation through migration, and Chari, Liu, Wang, and Wang (2021) that shows how </w:t>
      </w:r>
      <w:r>
        <w:lastRenderedPageBreak/>
        <w:t>a property rights reform that allows farmers to lease out their land increases productivity and output by reallocating land towards more efficient producers. Our work shows that a necessary condition for the realization of such efficiency gains is the proper enforcement of property rights under trade. A related strand of the literature is the one studying the economic consequences of input misallocation. Recent examples of this literature include Manysheva (2022) who quantifies the efficiency gains from reducing frictions in the land market in the presence of credit constraints, and Gollin and Udry (2020), who improve on previous misallocation estimates by addressing measurement error.</w:t>
      </w:r>
    </w:p>
    <w:p w14:paraId="3B5F5D5C" w14:textId="77777777" w:rsidR="00555D24" w:rsidRDefault="00000000">
      <w:pPr>
        <w:spacing w:after="494"/>
        <w:ind w:left="409" w:right="1106" w:firstLine="478"/>
      </w:pPr>
      <w:r>
        <w:t>This paper is organized as follows: in Section 2 we present the Chilean system of property rights over water, the institution of Water Boards and how both operate and in Section 3 we present the different datasets we use on our analysis. In Section 4 we present our river segment-level analysis, and show the results of our difference-in-differences exercise. In Section 5 we present our farm-level dataset with satellite estimates of water consumption, agricultural production and instrument, and our IV results. Finally, in Section 6 we present our misallocation test and our results.</w:t>
      </w:r>
    </w:p>
    <w:p w14:paraId="548D6EE2" w14:textId="77777777" w:rsidR="00555D24" w:rsidRDefault="00000000">
      <w:pPr>
        <w:pStyle w:val="Ttulo1"/>
        <w:tabs>
          <w:tab w:val="center" w:pos="491"/>
          <w:tab w:val="center" w:pos="1462"/>
        </w:tabs>
        <w:ind w:left="0" w:firstLine="0"/>
      </w:pPr>
      <w:r>
        <w:rPr>
          <w:rFonts w:ascii="Calibri" w:eastAsia="Calibri" w:hAnsi="Calibri" w:cs="Calibri"/>
          <w:b w:val="0"/>
          <w:sz w:val="22"/>
        </w:rPr>
        <w:tab/>
      </w:r>
      <w:r>
        <w:t>2</w:t>
      </w:r>
      <w:r>
        <w:tab/>
        <w:t>Context</w:t>
      </w:r>
    </w:p>
    <w:p w14:paraId="50E3B37C" w14:textId="77777777" w:rsidR="00555D24" w:rsidRDefault="00000000">
      <w:pPr>
        <w:spacing w:after="455"/>
        <w:ind w:left="419" w:right="1106"/>
      </w:pPr>
      <w:r>
        <w:t>We study the introduction of Water Boards, a local governance institution that manage rivers in periods of water scarcity and solve legal conflicts among users. Thanks to their local nature, Water Boards know and interact with water users -in contrast to most centralized bureaucracies in charge of water management. In this section, we provide background information on the study area, the system of property rights over water, and the characteristics of Water Boards.</w:t>
      </w:r>
    </w:p>
    <w:p w14:paraId="4A697EA7" w14:textId="77777777" w:rsidR="00555D24" w:rsidRDefault="00000000">
      <w:pPr>
        <w:ind w:left="419" w:right="1106"/>
      </w:pPr>
      <w:r>
        <w:rPr>
          <w:rFonts w:ascii="Calibri" w:eastAsia="Calibri" w:hAnsi="Calibri" w:cs="Calibri"/>
          <w:i/>
        </w:rPr>
        <w:t xml:space="preserve">Geography. </w:t>
      </w:r>
      <w:r>
        <w:t>The area under study covers latitudes −30 to −38 and the full longitudinal range of Chile in this area (approximately −68 to −72</w:t>
      </w:r>
      <w:r>
        <w:rPr>
          <w:i/>
        </w:rPr>
        <w:t>.</w:t>
      </w:r>
      <w:r>
        <w:t xml:space="preserve">5) as shown in the central panel of figure 2. This area covers 87% of Chile’s population and 85% of the agricultural GDP. The geography is marked by both the Andes -which defines the eastern border of the countryand Coastal Mountain Ranges that extend in a North-South axis. Most agricultural activity takes place in </w:t>
      </w:r>
      <w:r>
        <w:lastRenderedPageBreak/>
        <w:t>the Central Valley that separates both ranges, and most rivers run from the Andes (East) to the Coast (West)(Fern´andez and Giron´as, 2021). This rugged geography makes very costly the construction of infrastructure connecting basins.</w:t>
      </w:r>
    </w:p>
    <w:p w14:paraId="4C2CA801" w14:textId="77777777" w:rsidR="00555D24" w:rsidRDefault="00000000">
      <w:pPr>
        <w:spacing w:after="455"/>
        <w:ind w:left="409" w:right="1106" w:firstLine="478"/>
      </w:pPr>
      <w:r>
        <w:t>The climate in this area is Mediterranean with rainfall increasing in a North-South gradient; and a dry season that goes from November to March. Rivers in this area are mostly fed by both rainfall and snow-melting (Varas and Varas, 2021; CNR, 2018a). This implies that rivers reach their maximum stream levels in the boreal winter and spring, and decline reaching minimum levels in summer and early fall (between February and April). Importantly, longer days make summer a key period for agricultural production, implying that irrigation is most important in the driest months.</w:t>
      </w:r>
    </w:p>
    <w:p w14:paraId="6836184F" w14:textId="77777777" w:rsidR="00555D24" w:rsidRDefault="00000000">
      <w:pPr>
        <w:ind w:left="419" w:right="1106"/>
      </w:pPr>
      <w:r>
        <w:rPr>
          <w:rFonts w:ascii="Calibri" w:eastAsia="Calibri" w:hAnsi="Calibri" w:cs="Calibri"/>
          <w:i/>
        </w:rPr>
        <w:t xml:space="preserve">Background on the Chilean System of Private Property Rights. </w:t>
      </w:r>
      <w:r>
        <w:t>Since 1981, Chile has been the only country in the world where perpetual private property rights over water (water rights in what follows) have constitutional protection against expropriation, which has resulted in limited administrative action by governments (Bauer, 2004; World Bank, 2011a, 2021). These rights are fully transferable, separated from land, and they are legally considered real estate; so a legal transaction of water rights is equivalent to a purchase of land (CNR, 2018a)</w:t>
      </w:r>
      <w:r>
        <w:rPr>
          <w:vertAlign w:val="superscript"/>
        </w:rPr>
        <w:footnoteReference w:id="3"/>
      </w:r>
      <w:r>
        <w:t>. These rights are defined in terms of a stream of water (measured in liters per second) to be extracted from a specific location and source and following a monthly schedule; all these attributes are defined during the creation of each water right. Figure 19 in Appendix A presents an example of a water right.</w:t>
      </w:r>
    </w:p>
    <w:p w14:paraId="7E4F88C1" w14:textId="77777777" w:rsidR="00555D24" w:rsidRDefault="00000000">
      <w:pPr>
        <w:spacing w:after="182"/>
        <w:ind w:left="409" w:right="1106" w:firstLine="478"/>
      </w:pPr>
      <w:r>
        <w:t>These rights can be claimed for free through public requests to the Directorate of Water (DGA, a national public institution similar to the US Bureau of Reclamation), the technical government institution in charge of assessing water resources and applying the law on water matters. These rights can be created until the DGA declares the river exhausted. The process comprehends the following steps (the process is summarized in figure 1):</w:t>
      </w:r>
    </w:p>
    <w:p w14:paraId="4C3E5032" w14:textId="77777777" w:rsidR="00555D24" w:rsidRDefault="00000000">
      <w:pPr>
        <w:spacing w:after="189"/>
        <w:ind w:left="966" w:right="1106"/>
      </w:pPr>
      <w:r>
        <w:rPr>
          <w:b/>
        </w:rPr>
        <w:lastRenderedPageBreak/>
        <w:t xml:space="preserve">Step 1: </w:t>
      </w:r>
      <w:r>
        <w:t>The person or firm interested in claiming the water starts a claim at the DGA.</w:t>
      </w:r>
    </w:p>
    <w:p w14:paraId="0D976037" w14:textId="77777777" w:rsidR="00555D24" w:rsidRDefault="00000000">
      <w:pPr>
        <w:spacing w:after="189"/>
        <w:ind w:left="966" w:right="1106"/>
      </w:pPr>
      <w:r>
        <w:rPr>
          <w:b/>
        </w:rPr>
        <w:t xml:space="preserve">Step 2: </w:t>
      </w:r>
      <w:r>
        <w:t>The DGA sends a field officer, who will check the physical and legal availability of water in the source.</w:t>
      </w:r>
    </w:p>
    <w:p w14:paraId="0352CD7D" w14:textId="77777777" w:rsidR="00555D24" w:rsidRDefault="00000000">
      <w:pPr>
        <w:spacing w:after="192" w:line="265" w:lineRule="auto"/>
        <w:ind w:left="10" w:right="1106"/>
        <w:jc w:val="right"/>
      </w:pPr>
      <w:r>
        <w:rPr>
          <w:b/>
        </w:rPr>
        <w:t xml:space="preserve">Step 3: </w:t>
      </w:r>
      <w:r>
        <w:t>The agent interested in the water right has to publish the claim. There is a</w:t>
      </w:r>
    </w:p>
    <w:p w14:paraId="1AA1EE08" w14:textId="77777777" w:rsidR="00555D24" w:rsidRDefault="00000000">
      <w:pPr>
        <w:spacing w:after="155" w:line="265" w:lineRule="auto"/>
        <w:ind w:left="10" w:right="1106"/>
        <w:jc w:val="right"/>
      </w:pPr>
      <w:r>
        <w:t>30 business days period open for complaints, and for other potential users to express interest in the newly established right (if it is not possible to create rights for the two</w:t>
      </w:r>
    </w:p>
    <w:p w14:paraId="51357689" w14:textId="77777777" w:rsidR="00555D24" w:rsidRDefault="00000000">
      <w:pPr>
        <w:spacing w:after="366" w:line="259" w:lineRule="auto"/>
        <w:ind w:left="966" w:right="1106"/>
      </w:pPr>
      <w:r>
        <w:t>users).</w:t>
      </w:r>
    </w:p>
    <w:p w14:paraId="0B113725" w14:textId="77777777" w:rsidR="00555D24" w:rsidRDefault="00000000">
      <w:pPr>
        <w:numPr>
          <w:ilvl w:val="0"/>
          <w:numId w:val="1"/>
        </w:numPr>
        <w:spacing w:after="95"/>
        <w:ind w:left="1437" w:right="1106" w:hanging="235"/>
      </w:pPr>
      <w:r>
        <w:t>Any complaints will be reviewed by a judge; if the judge rules them as valid, the new water right is not created.</w:t>
      </w:r>
    </w:p>
    <w:p w14:paraId="2E7D43F5" w14:textId="77777777" w:rsidR="00555D24" w:rsidRDefault="00000000">
      <w:pPr>
        <w:numPr>
          <w:ilvl w:val="0"/>
          <w:numId w:val="1"/>
        </w:numPr>
        <w:spacing w:after="377" w:line="259" w:lineRule="auto"/>
        <w:ind w:left="1437" w:right="1106" w:hanging="235"/>
      </w:pPr>
      <w:r>
        <w:t>If any other user is interested in the water right, there is an auction.</w:t>
      </w:r>
    </w:p>
    <w:p w14:paraId="16A4ECB7" w14:textId="77777777" w:rsidR="00555D24" w:rsidRDefault="00000000">
      <w:pPr>
        <w:spacing w:after="350" w:line="259" w:lineRule="auto"/>
        <w:ind w:left="966" w:right="1106"/>
      </w:pPr>
      <w:r>
        <w:rPr>
          <w:b/>
        </w:rPr>
        <w:t xml:space="preserve">Step 4: </w:t>
      </w:r>
      <w:r>
        <w:t>The title is created, legalized and registered in a local property registrar.</w:t>
      </w:r>
    </w:p>
    <w:p w14:paraId="5019F2BC" w14:textId="77777777" w:rsidR="00555D24" w:rsidRDefault="00000000">
      <w:pPr>
        <w:ind w:left="419" w:right="1106"/>
      </w:pPr>
      <w:r>
        <w:t>After a source is declared exhausted, any user needing water rights in the area must purchase them from other users. They can be freely traded among both individuals and firms, without any interference by the government, and legally they are considered real estate (Biblioteca del Congreso Nacional, 1981).</w:t>
      </w:r>
    </w:p>
    <w:p w14:paraId="0E81F05D" w14:textId="77777777" w:rsidR="00555D24" w:rsidRDefault="00000000">
      <w:pPr>
        <w:ind w:left="409" w:right="1106" w:firstLine="478"/>
      </w:pPr>
      <w:r>
        <w:t>The law that regulates water matters is the Water Code of 1981</w:t>
      </w:r>
      <w:r>
        <w:rPr>
          <w:vertAlign w:val="superscript"/>
        </w:rPr>
        <w:footnoteReference w:id="4"/>
      </w:r>
      <w:r>
        <w:t>. Enforcement in principle relies on the actions of the DGA, which is supposed to address water stealing and over-extraction. However, this institution has been overruled and their actions limited systematically by courts (Bauer, 2004). A second enforcement layer is that the infrastructure in place should be built consistent with the water rights owned: the diameter of the pipe -</w:t>
      </w:r>
      <w:r>
        <w:lastRenderedPageBreak/>
        <w:t>checked by DGA agents at the moment of the reclamation- connecting the farm to the canal or well limits the total extraction capacity (CNR, 2018a). This coarse measure limits over-extraction in normal times by limiting the maximum water intake, but it does not during droughts: while the law establishes that users should limit their water extraction proportionally to the reduction in total streamflow (Biblioteca del Congreso Nacional,</w:t>
      </w:r>
    </w:p>
    <w:p w14:paraId="29EEE000" w14:textId="77777777" w:rsidR="00555D24" w:rsidRDefault="00000000">
      <w:pPr>
        <w:ind w:left="419" w:right="1106"/>
      </w:pPr>
      <w:r>
        <w:t>1981), the infrastructure does not adapt accordingly.</w:t>
      </w:r>
    </w:p>
    <w:p w14:paraId="4C142D07" w14:textId="77777777" w:rsidR="00555D24" w:rsidRDefault="00000000">
      <w:pPr>
        <w:ind w:left="419" w:right="1106"/>
      </w:pPr>
      <w:r>
        <w:rPr>
          <w:rFonts w:ascii="Calibri" w:eastAsia="Calibri" w:hAnsi="Calibri" w:cs="Calibri"/>
          <w:i/>
        </w:rPr>
        <w:t xml:space="preserve">Background on Water Boards. </w:t>
      </w:r>
      <w:r>
        <w:t>Droughts reduce the total stream flow, and the law establishes that these reductions should be prorated proportionally among all users: a reduction of 50% of the total river streamflow should imply a 50% reduction in the maximum extractions by all users. Until recently, public agencies have not been able to intervene effectively in the allocation of water under scarcity, due to restrictions on administrative government action and lack of resources, leaving a void in the enforcement of droughtinduced reductions (Bauer, 2004).</w:t>
      </w:r>
    </w:p>
    <w:p w14:paraId="3D1034E4" w14:textId="77777777" w:rsidR="00555D24" w:rsidRDefault="00000000">
      <w:pPr>
        <w:spacing w:after="170"/>
        <w:ind w:left="409" w:right="1106" w:firstLine="478"/>
      </w:pPr>
      <w:r>
        <w:t>In response to droughts, early in the XX century agricultural users created Water Boards as a representative of the water users (Pen˜a, 2021). After the passing of the the Water Code of 1981, Water Boards have the legal authority to:</w:t>
      </w:r>
    </w:p>
    <w:p w14:paraId="31C9F661" w14:textId="77777777" w:rsidR="00555D24" w:rsidRDefault="00000000">
      <w:pPr>
        <w:spacing w:after="170"/>
        <w:ind w:left="966" w:right="1106"/>
      </w:pPr>
      <w:r>
        <w:t>determine and enforce water allocations across legal users under extraordinary circumstances, such as drought,</w:t>
      </w:r>
    </w:p>
    <w:p w14:paraId="2BFDC221" w14:textId="77777777" w:rsidR="00555D24" w:rsidRDefault="00000000">
      <w:pPr>
        <w:spacing w:after="340" w:line="259" w:lineRule="auto"/>
        <w:ind w:left="966" w:right="1106"/>
      </w:pPr>
      <w:r>
        <w:t>adjudicate disputes among users within their jurisdiction,</w:t>
      </w:r>
    </w:p>
    <w:p w14:paraId="410D2C21" w14:textId="77777777" w:rsidR="00555D24" w:rsidRDefault="00000000">
      <w:pPr>
        <w:spacing w:after="340" w:line="259" w:lineRule="auto"/>
        <w:ind w:left="966" w:right="1106"/>
      </w:pPr>
      <w:r>
        <w:t>keep track of Water Rights claims, and</w:t>
      </w:r>
    </w:p>
    <w:p w14:paraId="3162B40C" w14:textId="77777777" w:rsidR="00555D24" w:rsidRDefault="00000000">
      <w:pPr>
        <w:spacing w:after="170"/>
        <w:ind w:left="966" w:right="1106"/>
      </w:pPr>
      <w:r>
        <w:t>provide common goods such as legal assistance and common infrastructure, and define its own funding sources.</w:t>
      </w:r>
    </w:p>
    <w:p w14:paraId="32A203D5" w14:textId="77777777" w:rsidR="00555D24" w:rsidRDefault="00000000">
      <w:pPr>
        <w:ind w:left="419" w:right="1106"/>
      </w:pPr>
      <w:r>
        <w:t>They report only to their constituents –who elect them with votes weighted by their Water Rights streamflow property– during their 2 or 3-year tenure. They are subject to regulation by the DGA, but courts have curtailed DGA’s intervention. Therefore, Water Boards are effectively the highest administrative authority in water-related issues in the basins under their jurisdiction, except for emergency situations</w:t>
      </w:r>
    </w:p>
    <w:p w14:paraId="0C79C332" w14:textId="77777777" w:rsidR="00555D24" w:rsidRDefault="00000000">
      <w:pPr>
        <w:spacing w:after="159"/>
        <w:ind w:left="409" w:right="1106" w:firstLine="478"/>
      </w:pPr>
      <w:r>
        <w:lastRenderedPageBreak/>
        <w:t>The creation of Water Boards is triggered by either an agreement by at least half of the water rights owners within the area under consideration, or a lawsuit by at least one water user. This process is under the jurisdiction of an ordinary judge housed in the most upstream province capital city within the basin in question</w:t>
      </w:r>
      <w:r>
        <w:rPr>
          <w:vertAlign w:val="superscript"/>
        </w:rPr>
        <w:footnoteReference w:id="5"/>
      </w:r>
      <w:r>
        <w:t>. During this process, each community agrees on the final jurisdiction and statutes, which are subject to restrictions by the Water Code. The location and establishment date of these boards are presented in</w:t>
      </w:r>
    </w:p>
    <w:p w14:paraId="36420D36" w14:textId="77777777" w:rsidR="00555D24" w:rsidRDefault="00000000">
      <w:pPr>
        <w:spacing w:after="480"/>
        <w:ind w:left="419" w:right="1106"/>
      </w:pPr>
      <w:r>
        <w:t>figure 2.</w:t>
      </w:r>
    </w:p>
    <w:p w14:paraId="1F01A55D" w14:textId="77777777" w:rsidR="00555D24" w:rsidRDefault="00000000">
      <w:pPr>
        <w:ind w:left="419" w:right="1106"/>
      </w:pPr>
      <w:r>
        <w:rPr>
          <w:rFonts w:ascii="Calibri" w:eastAsia="Calibri" w:hAnsi="Calibri" w:cs="Calibri"/>
          <w:i/>
        </w:rPr>
        <w:t xml:space="preserve">Administrative and legal jurisdiction. </w:t>
      </w:r>
      <w:r>
        <w:t>Water Boards’ jurisdictions covers surface water bodies within their boundaries</w:t>
      </w:r>
      <w:r>
        <w:rPr>
          <w:vertAlign w:val="superscript"/>
        </w:rPr>
        <w:footnoteReference w:id="6"/>
      </w:r>
      <w:r>
        <w:t>. We present in figure 3 flowcharts of how water boards relate to the administrative (figure 3a) and legal institutions (figure 3b) in Chile on water matters. Administrative decisions, such as cutting allotments in the context of drought, will be decided by the Water Board, for water rights within their jurisdiction</w:t>
      </w:r>
      <w:r>
        <w:rPr>
          <w:vertAlign w:val="superscript"/>
        </w:rPr>
        <w:t>6</w:t>
      </w:r>
      <w:r>
        <w:t>. If any user wants to dispute this decision, they can appeal to the DGA; however, in practice, DGA’s capacity is limited and its decisions have been overruled by courts in several lawsuits (Bauer, 2004; World Bank, 2011b).</w:t>
      </w:r>
    </w:p>
    <w:p w14:paraId="1D31A4F9" w14:textId="77777777" w:rsidR="00555D24" w:rsidRDefault="00000000">
      <w:pPr>
        <w:ind w:left="409" w:right="1106" w:firstLine="478"/>
      </w:pPr>
      <w:r>
        <w:t>In the case of legal actions, any people and firms owning water rights should ask for a ruling from the Water Board that has jurisdiction over the source</w:t>
      </w:r>
      <w:r>
        <w:rPr>
          <w:vertAlign w:val="superscript"/>
        </w:rPr>
        <w:footnoteReference w:id="7"/>
      </w:r>
      <w:r>
        <w:t xml:space="preserve">. Part of the duties of a Water Board is to appoint a “Judge of Waters”, who most of the time is part of the board or an employee of the board. This judge has full authority to solve legal disputes and to enforce their ruling, with the authority of the Water Board. In the absence of a Water Board, instead, the only option users face is to initiate legal action on ordinary courts (civil or penal courts, </w:t>
      </w:r>
      <w:r>
        <w:lastRenderedPageBreak/>
        <w:t>depending on the nature of the conflict). Water Boards substitute ordinary courts on water matters, with additional field expertise.</w:t>
      </w:r>
    </w:p>
    <w:p w14:paraId="1492A32D" w14:textId="77777777" w:rsidR="00555D24" w:rsidRDefault="00000000">
      <w:pPr>
        <w:spacing w:after="656"/>
        <w:ind w:left="409" w:right="1106" w:firstLine="478"/>
      </w:pPr>
      <w:r>
        <w:t>Appeals to Water Board rulings -or lawsuits against the boards themselves- must be made to the Appeals Courts -which almost in all cases have jurisdiction over Regions, the first level administrative unit in Chile-, and eventually can be escalated to the Supreme Court. Bauer (2004) discusses how higher courts lacked water-specific knowledge and have ignored in their rulings substantive water issues, focusing exclusively on the legal issues at hand and emphasizing the “letter of the law”.</w:t>
      </w:r>
    </w:p>
    <w:p w14:paraId="588AAA19" w14:textId="77777777" w:rsidR="00555D24" w:rsidRDefault="00000000">
      <w:pPr>
        <w:pStyle w:val="Ttulo1"/>
        <w:tabs>
          <w:tab w:val="center" w:pos="491"/>
          <w:tab w:val="center" w:pos="1238"/>
        </w:tabs>
        <w:spacing w:after="329"/>
        <w:ind w:left="0" w:firstLine="0"/>
      </w:pPr>
      <w:r>
        <w:rPr>
          <w:rFonts w:ascii="Calibri" w:eastAsia="Calibri" w:hAnsi="Calibri" w:cs="Calibri"/>
          <w:b w:val="0"/>
          <w:sz w:val="22"/>
        </w:rPr>
        <w:tab/>
      </w:r>
      <w:r>
        <w:t>3</w:t>
      </w:r>
      <w:r>
        <w:tab/>
        <w:t>Data</w:t>
      </w:r>
    </w:p>
    <w:p w14:paraId="5AAC5620" w14:textId="77777777" w:rsidR="00555D24" w:rsidRDefault="00000000">
      <w:pPr>
        <w:spacing w:after="337"/>
        <w:ind w:left="419" w:right="1106"/>
      </w:pPr>
      <w:r>
        <w:t xml:space="preserve">We gathered a richness of information that reflects the </w:t>
      </w:r>
      <w:r>
        <w:rPr>
          <w:i/>
        </w:rPr>
        <w:t xml:space="preserve">de jure </w:t>
      </w:r>
      <w:r>
        <w:t xml:space="preserve">and </w:t>
      </w:r>
      <w:r>
        <w:rPr>
          <w:i/>
        </w:rPr>
        <w:t xml:space="preserve">de facto </w:t>
      </w:r>
      <w:r>
        <w:t>allocation of water across space and time, together with detailed agricultural information to measure outcomes and climatic controls. Our analysis has three stages: first, a basin level analysis, then a farm level analysis, and finally our Misallocation Test, implemented using farm level data.</w:t>
      </w:r>
    </w:p>
    <w:p w14:paraId="2070E9AF" w14:textId="77777777" w:rsidR="00555D24" w:rsidRDefault="00000000">
      <w:pPr>
        <w:pStyle w:val="Ttulo2"/>
        <w:tabs>
          <w:tab w:val="center" w:pos="583"/>
          <w:tab w:val="center" w:pos="2161"/>
        </w:tabs>
        <w:ind w:left="0" w:firstLine="0"/>
      </w:pPr>
      <w:r>
        <w:rPr>
          <w:rFonts w:ascii="Calibri" w:eastAsia="Calibri" w:hAnsi="Calibri" w:cs="Calibri"/>
          <w:b w:val="0"/>
          <w:sz w:val="22"/>
        </w:rPr>
        <w:tab/>
      </w:r>
      <w:r>
        <w:t>3.1</w:t>
      </w:r>
      <w:r>
        <w:tab/>
        <w:t>Basin level analysis</w:t>
      </w:r>
    </w:p>
    <w:p w14:paraId="26C1B32C" w14:textId="77777777" w:rsidR="00555D24" w:rsidRDefault="00000000">
      <w:pPr>
        <w:spacing w:after="455"/>
        <w:ind w:left="419" w:right="1106"/>
      </w:pPr>
      <w:r>
        <w:rPr>
          <w:rFonts w:ascii="Calibri" w:eastAsia="Calibri" w:hAnsi="Calibri" w:cs="Calibri"/>
          <w:i/>
        </w:rPr>
        <w:t xml:space="preserve">Water Organizations. </w:t>
      </w:r>
      <w:r>
        <w:t>The information on the jurisdictions and establishment date of Water Boards was provided by the DGA. This institution also provided the maps of the jurisdictions of each board, and also information on the location and jurisdiction of Canal Associations.</w:t>
      </w:r>
    </w:p>
    <w:p w14:paraId="7003553B" w14:textId="77777777" w:rsidR="00555D24" w:rsidRDefault="00000000">
      <w:pPr>
        <w:spacing w:after="162" w:line="259" w:lineRule="auto"/>
        <w:ind w:left="419" w:right="1106"/>
      </w:pPr>
      <w:r>
        <w:rPr>
          <w:rFonts w:ascii="Calibri" w:eastAsia="Calibri" w:hAnsi="Calibri" w:cs="Calibri"/>
          <w:i/>
        </w:rPr>
        <w:t xml:space="preserve">Basins, Streamflows and Climate. </w:t>
      </w:r>
      <w:r>
        <w:t>The DGA publishes the maps of the network of</w:t>
      </w:r>
    </w:p>
    <w:p w14:paraId="4AE9A5C1" w14:textId="77777777" w:rsidR="00555D24" w:rsidRDefault="00000000">
      <w:pPr>
        <w:spacing w:after="35"/>
        <w:ind w:left="419" w:right="1106"/>
      </w:pPr>
      <w:r>
        <w:t>rivers, together with the boundaries of all basins and aquifers identified in the country. Also, the DGA maintains a network of 803 monitoring stations in rivers and canals across the country since 1913. Our main sample is composed of 516 of these stations that have been created before 1980 and operated for at least 10 years after this. The Center for Climate and Resilience Research (CR</w:t>
      </w:r>
      <w:r>
        <w:rPr>
          <w:vertAlign w:val="superscript"/>
        </w:rPr>
        <w:t>2</w:t>
      </w:r>
      <w:r>
        <w:t>) has identified the drainage areas of each monitoring station.</w:t>
      </w:r>
    </w:p>
    <w:p w14:paraId="0088B78E" w14:textId="77777777" w:rsidR="00555D24" w:rsidRDefault="00000000">
      <w:pPr>
        <w:ind w:left="409" w:right="1106" w:firstLine="478"/>
      </w:pPr>
      <w:r>
        <w:t>In parallel, CR</w:t>
      </w:r>
      <w:r>
        <w:rPr>
          <w:vertAlign w:val="superscript"/>
        </w:rPr>
        <w:t xml:space="preserve">2 </w:t>
      </w:r>
      <w:r>
        <w:t>has also created daily climatic estimates for the entire Chilean territory at a 70</w:t>
      </w:r>
      <w:r>
        <w:rPr>
          <w:i/>
        </w:rPr>
        <w:t>km</w:t>
      </w:r>
      <w:r>
        <w:t>×70</w:t>
      </w:r>
      <w:r>
        <w:rPr>
          <w:i/>
        </w:rPr>
        <w:t xml:space="preserve">km </w:t>
      </w:r>
      <w:r>
        <w:t xml:space="preserve">resolution, by calibrating satellite measures with local input from climatic </w:t>
      </w:r>
      <w:r>
        <w:lastRenderedPageBreak/>
        <w:t>monitoring stations (Alvarez-Garreton, Mendoza, Boisier, Addor, Galleguillos, ZambranoBigiarini, Lara, Puelma, Cortes, Garreaud, McPhee, and Ayala, 2018). These estimates include precipitation, potential evapotranspiration and minimum and maximum temperatures. We aggregate these climatic estimates at the drainage basin or the county level, according to the analysis on which the data is being used.</w:t>
      </w:r>
    </w:p>
    <w:p w14:paraId="17F67F48" w14:textId="77777777" w:rsidR="00555D24" w:rsidRDefault="00000000">
      <w:pPr>
        <w:spacing w:after="337"/>
        <w:ind w:left="419" w:right="1106"/>
      </w:pPr>
      <w:r>
        <w:rPr>
          <w:rFonts w:ascii="Calibri" w:eastAsia="Calibri" w:hAnsi="Calibri" w:cs="Calibri"/>
          <w:i/>
        </w:rPr>
        <w:t xml:space="preserve">Water Rights. </w:t>
      </w:r>
      <w:r>
        <w:t>The DGA has been collecting information on water rights since 2010 across the different local agencies and registrars where the titles have been created. With this input, the DGA publishes a Water Rights Cadaster, that includes detailed information about each water right, including the monthly schedule of extractions, the source (including if the source is a surface water body or groundwater), the name of the original owner of the right and the geographic coordinates of the water intake. From the name of the original owner, we infer if they are people or firms (and in the latter case, their economic sector when it is reflected by the name).</w:t>
      </w:r>
    </w:p>
    <w:p w14:paraId="667DA594" w14:textId="77777777" w:rsidR="00555D24" w:rsidRDefault="00000000">
      <w:pPr>
        <w:pStyle w:val="Ttulo2"/>
        <w:tabs>
          <w:tab w:val="center" w:pos="583"/>
          <w:tab w:val="center" w:pos="2220"/>
        </w:tabs>
        <w:ind w:left="0" w:firstLine="0"/>
      </w:pPr>
      <w:r>
        <w:rPr>
          <w:rFonts w:ascii="Calibri" w:eastAsia="Calibri" w:hAnsi="Calibri" w:cs="Calibri"/>
          <w:b w:val="0"/>
          <w:sz w:val="22"/>
        </w:rPr>
        <w:tab/>
      </w:r>
      <w:r>
        <w:t>3.2</w:t>
      </w:r>
      <w:r>
        <w:tab/>
        <w:t>Farm Level Analysis</w:t>
      </w:r>
    </w:p>
    <w:p w14:paraId="7D45FB7C" w14:textId="77777777" w:rsidR="00555D24" w:rsidRDefault="00000000">
      <w:pPr>
        <w:spacing w:after="455"/>
        <w:ind w:left="419" w:right="1106"/>
      </w:pPr>
      <w:r>
        <w:rPr>
          <w:rFonts w:ascii="Calibri" w:eastAsia="Calibri" w:hAnsi="Calibri" w:cs="Calibri"/>
          <w:i/>
        </w:rPr>
        <w:t xml:space="preserve">Land plot limits. </w:t>
      </w:r>
      <w:r>
        <w:t>SII (the Chilean Tax Authority) maintains for tax purposes a Land Cadaster, with detailed information on each plot of land in the country. CIREN geocoded the Land Cadaster for 2013. Our sample corresponds to land plots located less than 1km from a canal.</w:t>
      </w:r>
    </w:p>
    <w:p w14:paraId="00CDCEF8" w14:textId="77777777" w:rsidR="00555D24" w:rsidRDefault="00000000">
      <w:pPr>
        <w:ind w:left="419" w:right="1106"/>
      </w:pPr>
      <w:r>
        <w:rPr>
          <w:rFonts w:ascii="Calibri" w:eastAsia="Calibri" w:hAnsi="Calibri" w:cs="Calibri"/>
          <w:i/>
        </w:rPr>
        <w:t xml:space="preserve">Satellite information on Evapotranspiration and Greenness. </w:t>
      </w:r>
      <w:r>
        <w:t>EEFlux is a platform that provides Evapotranspiration estimates using the METRIC method (Allen, Morton, Kamble, Kilic, Huntington, Thau, Gorelick, Erickson, Moore, Trezza, and others, 2015) using as input images from Landsat 7, 8, 9 and Sentinel 1 and 2. This method recovers Evapotranspiration from an Energy Balance condition that equates the measured sun radiation on the surface to the calculated surface reflectance, estimated soil heat absorption and Evapotranspiration (which is recovered as a residual)(Allen, Morton, Kamble, Kilic, Huntington, Thau, Gorelick, Erickson, Moore, Trezza, and others, 2015). We use images captured since the year 2000 using as input Landsat-7 images, with a resolution of 30</w:t>
      </w:r>
      <w:r>
        <w:rPr>
          <w:i/>
        </w:rPr>
        <w:t xml:space="preserve">m </w:t>
      </w:r>
      <w:r>
        <w:t>× 30</w:t>
      </w:r>
      <w:r>
        <w:rPr>
          <w:i/>
        </w:rPr>
        <w:t>m</w:t>
      </w:r>
      <w:r>
        <w:t xml:space="preserve">, a resolution fine enough to allow us to </w:t>
      </w:r>
      <w:r>
        <w:lastRenderedPageBreak/>
        <w:t>perform farm-level analysis. We also use NDVI and EVI estimates based on Landsat 7 images from the USGS, and so they also have a resolution of 30</w:t>
      </w:r>
      <w:r>
        <w:rPr>
          <w:i/>
        </w:rPr>
        <w:t xml:space="preserve">m </w:t>
      </w:r>
      <w:r>
        <w:t>× 30</w:t>
      </w:r>
      <w:r>
        <w:rPr>
          <w:i/>
        </w:rPr>
        <w:t>m</w:t>
      </w:r>
      <w:r>
        <w:t>.</w:t>
      </w:r>
    </w:p>
    <w:p w14:paraId="7289AA93" w14:textId="77777777" w:rsidR="00555D24" w:rsidRDefault="00000000">
      <w:pPr>
        <w:pStyle w:val="Ttulo2"/>
        <w:tabs>
          <w:tab w:val="center" w:pos="583"/>
          <w:tab w:val="center" w:pos="2801"/>
        </w:tabs>
        <w:ind w:left="0" w:firstLine="0"/>
      </w:pPr>
      <w:r>
        <w:rPr>
          <w:rFonts w:ascii="Calibri" w:eastAsia="Calibri" w:hAnsi="Calibri" w:cs="Calibri"/>
          <w:b w:val="0"/>
          <w:sz w:val="22"/>
        </w:rPr>
        <w:tab/>
      </w:r>
      <w:r>
        <w:t>3.3</w:t>
      </w:r>
      <w:r>
        <w:tab/>
        <w:t>Farm level, Misallocation Test</w:t>
      </w:r>
    </w:p>
    <w:p w14:paraId="2661C93C" w14:textId="77777777" w:rsidR="00555D24" w:rsidRDefault="00000000">
      <w:pPr>
        <w:spacing w:after="934"/>
        <w:ind w:left="419" w:right="1106"/>
      </w:pPr>
      <w:r>
        <w:rPr>
          <w:rFonts w:ascii="Calibri" w:eastAsia="Calibri" w:hAnsi="Calibri" w:cs="Calibri"/>
          <w:i/>
        </w:rPr>
        <w:t xml:space="preserve">2007 Agricultural Census. </w:t>
      </w:r>
      <w:r>
        <w:t>The misallocation test uses data from the 2007 Agricultural Census, collected by the National Statistic Bureau (INE, the official statistical office of Chile). This Census includes operation-level information on land use and extension, crop choice, capital and employment decisions, managerial characteristics and legal organization. Importantly, includes information on production for more than 20 crops, and self-reported information on the use of irrigation and the sources and legal status of irrigation water, together with affiliation to agricultural organizations (specifically to Canal Associations).</w:t>
      </w:r>
    </w:p>
    <w:p w14:paraId="1071BD2B" w14:textId="77777777" w:rsidR="00555D24" w:rsidRDefault="00000000">
      <w:pPr>
        <w:pStyle w:val="Ttulo1"/>
        <w:tabs>
          <w:tab w:val="center" w:pos="491"/>
          <w:tab w:val="center" w:pos="2260"/>
        </w:tabs>
        <w:ind w:left="0" w:firstLine="0"/>
      </w:pPr>
      <w:r>
        <w:rPr>
          <w:rFonts w:ascii="Calibri" w:eastAsia="Calibri" w:hAnsi="Calibri" w:cs="Calibri"/>
          <w:b w:val="0"/>
          <w:sz w:val="22"/>
        </w:rPr>
        <w:tab/>
      </w:r>
      <w:r>
        <w:t>4</w:t>
      </w:r>
      <w:r>
        <w:tab/>
        <w:t>Basin level analysis</w:t>
      </w:r>
    </w:p>
    <w:p w14:paraId="7672E133" w14:textId="77777777" w:rsidR="00555D24" w:rsidRDefault="00000000">
      <w:pPr>
        <w:spacing w:after="336"/>
        <w:ind w:left="419" w:right="1106"/>
      </w:pPr>
      <w:r>
        <w:t xml:space="preserve">To study the effect of governance, we explore the full causal chain that links board establishment and agricultural outcomes. The first stage is to show that boards cause changes in both the </w:t>
      </w:r>
      <w:r>
        <w:rPr>
          <w:i/>
        </w:rPr>
        <w:t xml:space="preserve">de jure </w:t>
      </w:r>
      <w:r>
        <w:t xml:space="preserve">allocation of water (i.e. that they modify the rate of creation of water rights) and the </w:t>
      </w:r>
      <w:r>
        <w:rPr>
          <w:i/>
        </w:rPr>
        <w:t xml:space="preserve">de facto </w:t>
      </w:r>
      <w:r>
        <w:t>allocation of water (i.e. streamflows, which reflect where water is being extracted). In the second stage, we show how this affects the actual water consumption by farms, and in our final stage, we show the economic consequences of the reallocation of water caused by the establishment of the boards.</w:t>
      </w:r>
    </w:p>
    <w:p w14:paraId="303665C7" w14:textId="77777777" w:rsidR="00555D24" w:rsidRDefault="00000000">
      <w:pPr>
        <w:pStyle w:val="Ttulo2"/>
        <w:tabs>
          <w:tab w:val="center" w:pos="583"/>
          <w:tab w:val="center" w:pos="2346"/>
        </w:tabs>
        <w:ind w:left="0" w:firstLine="0"/>
      </w:pPr>
      <w:r>
        <w:rPr>
          <w:rFonts w:ascii="Calibri" w:eastAsia="Calibri" w:hAnsi="Calibri" w:cs="Calibri"/>
          <w:b w:val="0"/>
          <w:sz w:val="22"/>
        </w:rPr>
        <w:tab/>
      </w:r>
      <w:r>
        <w:t>4.1</w:t>
      </w:r>
      <w:r>
        <w:tab/>
        <w:t>Identification Strategy</w:t>
      </w:r>
    </w:p>
    <w:p w14:paraId="31EB4DB3" w14:textId="77777777" w:rsidR="00555D24" w:rsidRDefault="00000000">
      <w:pPr>
        <w:ind w:left="419" w:right="1106"/>
      </w:pPr>
      <w:r>
        <w:t xml:space="preserve">In our first stage of the analysis, we exploit the staggered adoption of Water Boards across basins to estimate the causal impact of property rights enforcement and governance on the allocation of water. Table 15 in Appendix A presents the year of establishment of Water Boards, and the number of river segments under their jurisdiction -defined by the locations </w:t>
      </w:r>
      <w:r>
        <w:lastRenderedPageBreak/>
        <w:t>of streamflow monitoring stations in the river network. Given the data available and the institutional design in place, we focus our analysis on the boards established after 1982</w:t>
      </w:r>
      <w:r>
        <w:rPr>
          <w:vertAlign w:val="superscript"/>
        </w:rPr>
        <w:footnoteReference w:id="8"/>
      </w:r>
      <w:r>
        <w:t>.</w:t>
      </w:r>
    </w:p>
    <w:p w14:paraId="2B108DAB" w14:textId="77777777" w:rsidR="00555D24" w:rsidRDefault="00000000">
      <w:pPr>
        <w:ind w:left="419" w:right="1106"/>
      </w:pPr>
      <w:r>
        <w:rPr>
          <w:rFonts w:ascii="Calibri" w:eastAsia="Calibri" w:hAnsi="Calibri" w:cs="Calibri"/>
          <w:i/>
        </w:rPr>
        <w:t xml:space="preserve">Sample. </w:t>
      </w:r>
      <w:r>
        <w:t>The establishment of Water Boards is triggered by either an agreement among water users or a lawsuit by one user that perceives their interest to be affected by the lack of governance in the basin. In both cases, there is conflict latent over the resource, driven by both water supply and demand factors. The process is long and irreversible, though, implying that the more likely driver of their adoption is long-term conflict</w:t>
      </w:r>
      <w:r>
        <w:rPr>
          <w:vertAlign w:val="superscript"/>
        </w:rPr>
        <w:footnoteReference w:id="9"/>
      </w:r>
      <w:r>
        <w:t>.</w:t>
      </w:r>
    </w:p>
    <w:p w14:paraId="35179118" w14:textId="77777777" w:rsidR="00555D24" w:rsidRDefault="00000000">
      <w:pPr>
        <w:ind w:left="409" w:right="1106" w:firstLine="478"/>
      </w:pPr>
      <w:r>
        <w:t>The first challenge in building the counterfactual water availability and reclamation for treated areas is to identify a proper set of control river segments. Two key features of rivers that may determine conflict around them are total streamflow and hydrologic regime . While the first is linked directly to water scarcity, the second attribute is linked to the temporal availability of water over the agricultural cycle. Rivers with a nivo-glacial regime (i.e. the streamflow is high in the seasons when snow and glaciers are melting) will have relatively more water available in the Summer. This season is when water is more needed for irrigation, especially for high-value crops and fruits that need year-round water input.</w:t>
      </w:r>
    </w:p>
    <w:p w14:paraId="6426137E" w14:textId="77777777" w:rsidR="00555D24" w:rsidRDefault="00000000">
      <w:pPr>
        <w:ind w:left="409" w:right="1106" w:firstLine="478"/>
      </w:pPr>
      <w:r>
        <w:t>In figure 4a, we present the monthly pre-1985 streamflow and precipitation medians for all river segments without boards before 1980, separating between those that eventually were under a Water Board (treated segments onwards) and those that are not (control segments). Relative to control river segments, treated segments have lower streamflow and total precipitation, with hydrological regimes less dependent on rainfall and more on snowmelting, which is reflected by having streamflow peaks during the Austral Spring (October and November) instead of the Winter.</w:t>
      </w:r>
    </w:p>
    <w:p w14:paraId="23C6B772" w14:textId="77777777" w:rsidR="00555D24" w:rsidRDefault="00000000">
      <w:pPr>
        <w:spacing w:after="118"/>
        <w:ind w:left="409" w:right="1106" w:firstLine="478"/>
      </w:pPr>
      <w:r>
        <w:t>To ensure a comparable control group, we identify non-treated units that satisfy three sets of conditions:</w:t>
      </w:r>
    </w:p>
    <w:p w14:paraId="19784EC2" w14:textId="77777777" w:rsidR="00555D24" w:rsidRDefault="00000000">
      <w:pPr>
        <w:spacing w:after="194"/>
        <w:ind w:left="966" w:right="1106"/>
      </w:pPr>
      <w:r>
        <w:rPr>
          <w:b/>
        </w:rPr>
        <w:lastRenderedPageBreak/>
        <w:t xml:space="preserve">Condition 1: </w:t>
      </w:r>
      <w:r>
        <w:t>Common Support: we identify a Common Support condition based on two observable measures in the baseline: average streamflows and total water rights in 1980</w:t>
      </w:r>
      <w:r>
        <w:rPr>
          <w:vertAlign w:val="superscript"/>
        </w:rPr>
        <w:footnoteReference w:id="10"/>
      </w:r>
      <w:r>
        <w:t>. For each measure, we identify the support of the distribution for the treated and exclude control segments whose values fall out of it. Since both quantities are non-negative and the minimum values for the treated and control groups are similar and close to zero, this implies excluding segments with streamflows and water rights higher than the maximum observed for the treated group.</w:t>
      </w:r>
    </w:p>
    <w:p w14:paraId="377220C0" w14:textId="77777777" w:rsidR="00555D24" w:rsidRDefault="00000000">
      <w:pPr>
        <w:spacing w:after="178"/>
        <w:ind w:left="966" w:right="1106"/>
      </w:pPr>
      <w:r>
        <w:rPr>
          <w:b/>
        </w:rPr>
        <w:t>Condition 2</w:t>
      </w:r>
      <w:r>
        <w:t>: Only non-yet-treated units: to address non-observable trends, we only consider river segments where water boards were eventually established.</w:t>
      </w:r>
    </w:p>
    <w:p w14:paraId="305F2909" w14:textId="77777777" w:rsidR="00555D24" w:rsidRDefault="00000000">
      <w:pPr>
        <w:spacing w:after="128"/>
        <w:ind w:left="966" w:right="1106"/>
      </w:pPr>
      <w:r>
        <w:rPr>
          <w:b/>
        </w:rPr>
        <w:t xml:space="preserve">Condition 3: </w:t>
      </w:r>
      <w:r>
        <w:t>No externalities: we exclude all river segments subject to that were located downstream of any previously established boards, or water boards established before the 1981 Water Code.</w:t>
      </w:r>
    </w:p>
    <w:p w14:paraId="4DB61C74" w14:textId="77777777" w:rsidR="00555D24" w:rsidRDefault="00000000">
      <w:pPr>
        <w:ind w:left="419" w:right="1106"/>
      </w:pPr>
      <w:r>
        <w:t>Figure 4b presents streamflows over the year and precipitation for the final sample; treated and control units have comparable streamflows across the whole year, and overall a similar hydrological regime.</w:t>
      </w:r>
    </w:p>
    <w:p w14:paraId="5E6E7457" w14:textId="77777777" w:rsidR="00555D24" w:rsidRDefault="00000000">
      <w:pPr>
        <w:ind w:left="409" w:right="1106" w:firstLine="478"/>
      </w:pPr>
      <w:r>
        <w:t>To gain power, we take advantage of the staggered adoption of the boards by including segments within the jurisdiction of water boards established in future periods as control segments for board establishment events with a time difference of at least 5 years. Table 1 presents the number of river segments in the full sample (excluding those subject to externalities and those with boards before 1981) and those in the Study Sample (i.e. those who satisfy Conditions 1, 2 and 3 above).</w:t>
      </w:r>
    </w:p>
    <w:p w14:paraId="4E722484" w14:textId="77777777" w:rsidR="00555D24" w:rsidRDefault="00000000">
      <w:pPr>
        <w:ind w:left="409" w:right="1106" w:firstLine="478"/>
      </w:pPr>
      <w:r>
        <w:t xml:space="preserve">Our identification strategy relies on the assumption that the timing of adoption is as good as random, conditional on the set of fixed effects and covariates; such that there are no unobservable trends affecting treated and control units differently around the event. In our case, we argue that all the basins in our sample are facing increasing long-term counterfactual water demand, and so the differences in adoption timing are driven by longterm water </w:t>
      </w:r>
      <w:r>
        <w:lastRenderedPageBreak/>
        <w:t>availability and possibly short-term observable water availability shocks, but not by short-term unobservable shocks. Economically, this is reasonable: it is a permanent institution, implying permanent monetary costs (in the form of organization fees) and expected loss of control under foreseeable circumstances, such as future droughts. As anecdotal evidence suggests that establishing a Water Board is a slow process even in the case of agreement among users (Andres Arriagada Puentes, Claudia Quiroz S´anchez,</w:t>
      </w:r>
    </w:p>
    <w:p w14:paraId="0BEFBFE9" w14:textId="77777777" w:rsidR="00555D24" w:rsidRDefault="00000000">
      <w:pPr>
        <w:ind w:left="419" w:right="1106"/>
      </w:pPr>
      <w:r>
        <w:t>Natacha Valenzuela L´opez, Blanca Rivera Flores, Jos´e Contreras Ur´ızar, and Ovidio Melo Jara, 2018), it does not seem appropriate as a tool to deal with temporary shocks, such as a current drought. In particular, droughts in Chile are frequent but not long-lasting (Fern´andez and Giron´as, 2021): while 45 years during XX century can be classified as dry, the longest critical meteorological drought event between 1940 and 1988 lasted only 22 months (Ferna´ndez, Bonifacio, Gebhardt, A, and Vial JA, 1990).</w:t>
      </w:r>
    </w:p>
    <w:p w14:paraId="07A20CF6" w14:textId="77777777" w:rsidR="00555D24" w:rsidRDefault="00000000">
      <w:pPr>
        <w:ind w:left="409" w:right="1106" w:firstLine="478"/>
      </w:pPr>
      <w:r>
        <w:t>To support this argument, we present different characteristics of the different areas adopting water boards by year of adoption in figures 5, 21 and 22. Figure 5 presents three different measures of water availability before 1985: precipitations (5a), river streamflow 5b and glacier surface in the basin 5c. We separate the figures for areas where the board was established before 1981 -when the Water Code of 1981 was passed- and after; the distinction is relevant, as it was the Water Code of 1981 that opened the reclamation of rivers and established the water markets we are studying.</w:t>
      </w:r>
    </w:p>
    <w:p w14:paraId="6ED7FF7F" w14:textId="77777777" w:rsidR="00555D24" w:rsidRDefault="00000000">
      <w:pPr>
        <w:ind w:left="409" w:right="1106" w:firstLine="478"/>
      </w:pPr>
      <w:r>
        <w:t>Figure 5a shows that even though the average precipitation was higher in areas that established boards before 1981 -areas where agriculture developed earlier-, we can see that for those boards established after</w:t>
      </w:r>
      <w:r>
        <w:rPr>
          <w:vertAlign w:val="superscript"/>
        </w:rPr>
        <w:footnoteReference w:id="11"/>
      </w:r>
      <w:r>
        <w:t xml:space="preserve">, there is a trend: higher precipitation in areas where boards were established later. This is consistent with boards facing dryer long-term conditions adopted boards earlier. In figure 5b we see that the average streamflows increase with the year of establishment, too. Finally, we consider the share of the basin that is covered by glaciers at the head of the rivers, in the Andes. This is a measure of the natural availability of water during the Summer: glaciers smooth the relationship of precipitations and </w:t>
      </w:r>
      <w:r>
        <w:lastRenderedPageBreak/>
        <w:t>streamflows, by accumulating snow during the winters, and slowing down the melting process, allowing solid water to melt and flow downstream during the Spring and Summer. Figure 5c shows that except for the years 1982 and 1983, it seems that the presence of glaciers increases as the year of establishment increases. This is consistent with boards being adopted earlier in places with less natural water availability during Summer when water is most needed for irrigation.</w:t>
      </w:r>
    </w:p>
    <w:p w14:paraId="6F71ABF0" w14:textId="77777777" w:rsidR="00555D24" w:rsidRDefault="00000000">
      <w:pPr>
        <w:spacing w:after="455"/>
        <w:ind w:left="409" w:right="1106" w:firstLine="478"/>
      </w:pPr>
      <w:r>
        <w:t>Figure 21 presents similar figures for the average minimum and maximum temperatures, latitude and longitude of monitoring stations. For basins that adopted boards after the passing of the Water Code of 1981, minimum and maximum temperatures seem to increase with the year of establishment of boards. Latitude and longitude do not display any distinctive pattern. Finally, in figure 22 we present some measures of long-term agricultural activity: agricultural land surface between 1980 and 2010, and water rights established before 1985. While agricultural activity is endogenous to water governance -as we show later in this paper-, most of the increases in water demand and changes in agriculture are a result of intensification and technological change in a fixed agricultural area (Meza, Gil, and Melo, 2021). Basins that adopt boards earlier actually have a lower agricultural land share -at odds with the idea that early adopters might be facing stronger demand driven by extensive agriculture-; and there is no clear pattern regarding the early (i.e. before 1985) creation of water rights.</w:t>
      </w:r>
    </w:p>
    <w:p w14:paraId="76DDF951" w14:textId="77777777" w:rsidR="00555D24" w:rsidRDefault="00000000">
      <w:pPr>
        <w:spacing w:after="45" w:line="422" w:lineRule="auto"/>
        <w:ind w:left="396" w:right="1106" w:firstLine="0"/>
        <w:jc w:val="left"/>
      </w:pPr>
      <w:r>
        <w:rPr>
          <w:rFonts w:ascii="Calibri" w:eastAsia="Calibri" w:hAnsi="Calibri" w:cs="Calibri"/>
          <w:i/>
        </w:rPr>
        <w:t xml:space="preserve">Difference-in-Difference Design for Water Rights creation. </w:t>
      </w:r>
      <w:r>
        <w:t>We implement Cengiz, Dube, Lindner, and Zipperer (2019) Stacked DID design to estimate the following baseline equation:</w:t>
      </w:r>
    </w:p>
    <w:p w14:paraId="3CB27E41" w14:textId="77777777" w:rsidR="00555D24" w:rsidRDefault="00000000">
      <w:pPr>
        <w:tabs>
          <w:tab w:val="center" w:pos="4726"/>
          <w:tab w:val="center" w:pos="8911"/>
        </w:tabs>
        <w:spacing w:after="427" w:line="265" w:lineRule="auto"/>
        <w:ind w:left="0" w:right="0" w:firstLine="0"/>
        <w:jc w:val="left"/>
      </w:pPr>
      <w:r>
        <w:rPr>
          <w:rFonts w:ascii="Calibri" w:eastAsia="Calibri" w:hAnsi="Calibri" w:cs="Calibri"/>
        </w:rPr>
        <w:tab/>
      </w:r>
      <w:r>
        <w:t>Water Rights</w:t>
      </w:r>
      <w:r>
        <w:rPr>
          <w:i/>
          <w:vertAlign w:val="subscript"/>
        </w:rPr>
        <w:t xml:space="preserve">gst </w:t>
      </w:r>
      <w:r>
        <w:t xml:space="preserve">= </w:t>
      </w:r>
      <w:r>
        <w:rPr>
          <w:i/>
        </w:rPr>
        <w:t>β</w:t>
      </w:r>
      <w:r>
        <w:t>Board</w:t>
      </w:r>
      <w:r>
        <w:rPr>
          <w:i/>
          <w:vertAlign w:val="subscript"/>
        </w:rPr>
        <w:t xml:space="preserve">gst </w:t>
      </w:r>
      <w:r>
        <w:t xml:space="preserve">+ </w:t>
      </w:r>
      <w:r>
        <w:rPr>
          <w:i/>
        </w:rPr>
        <w:t>γX</w:t>
      </w:r>
      <w:r>
        <w:rPr>
          <w:i/>
          <w:vertAlign w:val="subscript"/>
        </w:rPr>
        <w:t xml:space="preserve">gst </w:t>
      </w:r>
      <w:r>
        <w:t xml:space="preserve">+ </w:t>
      </w:r>
      <w:r>
        <w:rPr>
          <w:i/>
        </w:rPr>
        <w:t>µ</w:t>
      </w:r>
      <w:r>
        <w:rPr>
          <w:i/>
          <w:vertAlign w:val="subscript"/>
        </w:rPr>
        <w:t xml:space="preserve">t </w:t>
      </w:r>
      <w:r>
        <w:t xml:space="preserve">+ </w:t>
      </w:r>
      <w:r>
        <w:rPr>
          <w:i/>
        </w:rPr>
        <w:t>η</w:t>
      </w:r>
      <w:r>
        <w:rPr>
          <w:i/>
          <w:vertAlign w:val="subscript"/>
        </w:rPr>
        <w:t xml:space="preserve">g </w:t>
      </w:r>
      <w:r>
        <w:t xml:space="preserve">+ </w:t>
      </w:r>
      <w:r>
        <w:rPr>
          <w:i/>
        </w:rPr>
        <w:t>ε</w:t>
      </w:r>
      <w:r>
        <w:rPr>
          <w:i/>
          <w:vertAlign w:val="subscript"/>
        </w:rPr>
        <w:t>gst</w:t>
      </w:r>
      <w:r>
        <w:rPr>
          <w:i/>
          <w:vertAlign w:val="subscript"/>
        </w:rPr>
        <w:tab/>
      </w:r>
      <w:r>
        <w:t>(1)</w:t>
      </w:r>
    </w:p>
    <w:p w14:paraId="26A257C2" w14:textId="77777777" w:rsidR="00555D24" w:rsidRDefault="00000000">
      <w:pPr>
        <w:ind w:left="419" w:right="1106"/>
      </w:pPr>
      <w:r>
        <w:t>where WR</w:t>
      </w:r>
      <w:r>
        <w:rPr>
          <w:i/>
          <w:vertAlign w:val="subscript"/>
        </w:rPr>
        <w:t xml:space="preserve">gst </w:t>
      </w:r>
      <w:r>
        <w:t xml:space="preserve">denote the total water rights issued in river segment </w:t>
      </w:r>
      <w:r>
        <w:rPr>
          <w:i/>
        </w:rPr>
        <w:t xml:space="preserve">g </w:t>
      </w:r>
      <w:r>
        <w:t xml:space="preserve">in basin </w:t>
      </w:r>
      <w:r>
        <w:rPr>
          <w:i/>
        </w:rPr>
        <w:t xml:space="preserve">s </w:t>
      </w:r>
      <w:r>
        <w:t xml:space="preserve">and year </w:t>
      </w:r>
      <w:r>
        <w:rPr>
          <w:i/>
        </w:rPr>
        <w:t xml:space="preserve">t </w:t>
      </w:r>
      <w:r>
        <w:t>and Board</w:t>
      </w:r>
      <w:r>
        <w:rPr>
          <w:i/>
          <w:vertAlign w:val="subscript"/>
        </w:rPr>
        <w:t xml:space="preserve">gt </w:t>
      </w:r>
      <w:r>
        <w:t xml:space="preserve">is an indicator function that equals 1 if segment </w:t>
      </w:r>
      <w:r>
        <w:rPr>
          <w:i/>
        </w:rPr>
        <w:t xml:space="preserve">g </w:t>
      </w:r>
      <w:r>
        <w:t xml:space="preserve">is within a Water Board jurisdiction. </w:t>
      </w:r>
      <w:r>
        <w:rPr>
          <w:i/>
        </w:rPr>
        <w:t>X</w:t>
      </w:r>
      <w:r>
        <w:rPr>
          <w:i/>
          <w:vertAlign w:val="subscript"/>
        </w:rPr>
        <w:t xml:space="preserve">gst </w:t>
      </w:r>
      <w:r>
        <w:t xml:space="preserve">is a vector of covariates that include rainfall, potential evapotranspiration and temperatures, </w:t>
      </w:r>
      <w:r>
        <w:rPr>
          <w:i/>
        </w:rPr>
        <w:t>η</w:t>
      </w:r>
      <w:r>
        <w:rPr>
          <w:i/>
          <w:vertAlign w:val="subscript"/>
        </w:rPr>
        <w:t xml:space="preserve">g </w:t>
      </w:r>
      <w:r>
        <w:t xml:space="preserve">correspond to segment fixed effects and </w:t>
      </w:r>
      <w:r>
        <w:rPr>
          <w:i/>
        </w:rPr>
        <w:t>µ</w:t>
      </w:r>
      <w:r>
        <w:rPr>
          <w:i/>
          <w:vertAlign w:val="subscript"/>
        </w:rPr>
        <w:t xml:space="preserve">st </w:t>
      </w:r>
      <w:r>
        <w:t>are year fixed effects</w:t>
      </w:r>
      <w:r>
        <w:rPr>
          <w:vertAlign w:val="superscript"/>
        </w:rPr>
        <w:footnoteReference w:id="12"/>
      </w:r>
      <w:r>
        <w:t xml:space="preserve">. We use </w:t>
      </w:r>
      <w:r>
        <w:lastRenderedPageBreak/>
        <w:t>detailed georeferenced Water Rights records from the National Water Rights Cadaster, combined with climatic estimates by Alvarez-Garreton, Mendoza, Boisier, Addor, Galleguillos, Zambrano-Bigiarini, Lara, Puelma, Cortes, Garreaud, McPhee, and Ayala (2018) and the geological basin borders identified by CR2.</w:t>
      </w:r>
    </w:p>
    <w:p w14:paraId="3D0D86A4" w14:textId="77777777" w:rsidR="00555D24" w:rsidRDefault="00000000">
      <w:pPr>
        <w:spacing w:after="260" w:line="262" w:lineRule="auto"/>
        <w:ind w:left="772" w:right="1443"/>
        <w:jc w:val="center"/>
      </w:pPr>
      <w:r>
        <w:t>To address potential pre-trends, we also estimate a dynamic effects specification:</w:t>
      </w:r>
    </w:p>
    <w:p w14:paraId="4AF32143" w14:textId="77777777" w:rsidR="00555D24" w:rsidRDefault="00000000">
      <w:pPr>
        <w:spacing w:after="305" w:line="265" w:lineRule="auto"/>
        <w:ind w:left="3191" w:right="0"/>
        <w:jc w:val="left"/>
      </w:pPr>
      <w:r>
        <w:rPr>
          <w:sz w:val="16"/>
        </w:rPr>
        <w:t>4</w:t>
      </w:r>
    </w:p>
    <w:p w14:paraId="6C4FDF74" w14:textId="77777777" w:rsidR="00555D24" w:rsidRDefault="00000000">
      <w:pPr>
        <w:tabs>
          <w:tab w:val="center" w:pos="4726"/>
          <w:tab w:val="center" w:pos="8911"/>
        </w:tabs>
        <w:spacing w:after="3" w:line="265" w:lineRule="auto"/>
        <w:ind w:left="0" w:right="0" w:firstLine="0"/>
        <w:jc w:val="left"/>
      </w:pPr>
      <w:r>
        <w:rPr>
          <w:rFonts w:ascii="Calibri" w:eastAsia="Calibri" w:hAnsi="Calibri" w:cs="Calibri"/>
        </w:rPr>
        <w:tab/>
      </w:r>
      <w:r>
        <w:t>Water Rights</w:t>
      </w:r>
      <w:r>
        <w:rPr>
          <w:i/>
          <w:vertAlign w:val="subscript"/>
        </w:rPr>
        <w:t xml:space="preserve">gst </w:t>
      </w:r>
      <w:r>
        <w:t xml:space="preserve">= </w:t>
      </w:r>
      <w:r>
        <w:rPr>
          <w:sz w:val="34"/>
          <w:vertAlign w:val="superscript"/>
        </w:rPr>
        <w:t xml:space="preserve">X </w:t>
      </w:r>
      <w:r>
        <w:rPr>
          <w:i/>
        </w:rPr>
        <w:t>β</w:t>
      </w:r>
      <w:r>
        <w:rPr>
          <w:i/>
          <w:vertAlign w:val="subscript"/>
        </w:rPr>
        <w:t>i</w:t>
      </w:r>
      <w:r>
        <w:t>Board</w:t>
      </w:r>
      <w:r>
        <w:rPr>
          <w:i/>
          <w:vertAlign w:val="subscript"/>
        </w:rPr>
        <w:t xml:space="preserve">gst </w:t>
      </w:r>
      <w:r>
        <w:t>× 1[</w:t>
      </w:r>
      <w:r>
        <w:rPr>
          <w:i/>
        </w:rPr>
        <w:t xml:space="preserve">t </w:t>
      </w:r>
      <w:r>
        <w:t xml:space="preserve">− </w:t>
      </w:r>
      <w:r>
        <w:rPr>
          <w:i/>
        </w:rPr>
        <w:t>t</w:t>
      </w:r>
      <w:r>
        <w:rPr>
          <w:vertAlign w:val="superscript"/>
        </w:rPr>
        <w:t xml:space="preserve">∗ </w:t>
      </w:r>
      <w:r>
        <w:t xml:space="preserve">= </w:t>
      </w:r>
      <w:r>
        <w:rPr>
          <w:i/>
        </w:rPr>
        <w:t>i</w:t>
      </w:r>
      <w:r>
        <w:t xml:space="preserve">] + </w:t>
      </w:r>
      <w:r>
        <w:rPr>
          <w:i/>
        </w:rPr>
        <w:t>γX</w:t>
      </w:r>
      <w:r>
        <w:rPr>
          <w:i/>
          <w:vertAlign w:val="subscript"/>
        </w:rPr>
        <w:t xml:space="preserve">gst </w:t>
      </w:r>
      <w:r>
        <w:t xml:space="preserve">+ </w:t>
      </w:r>
      <w:r>
        <w:rPr>
          <w:i/>
        </w:rPr>
        <w:t>µ</w:t>
      </w:r>
      <w:r>
        <w:rPr>
          <w:i/>
          <w:vertAlign w:val="subscript"/>
        </w:rPr>
        <w:t xml:space="preserve">t </w:t>
      </w:r>
      <w:r>
        <w:t xml:space="preserve">+ </w:t>
      </w:r>
      <w:r>
        <w:rPr>
          <w:i/>
        </w:rPr>
        <w:t>η</w:t>
      </w:r>
      <w:r>
        <w:rPr>
          <w:i/>
          <w:vertAlign w:val="subscript"/>
        </w:rPr>
        <w:t xml:space="preserve">g </w:t>
      </w:r>
      <w:r>
        <w:t xml:space="preserve">+ </w:t>
      </w:r>
      <w:r>
        <w:rPr>
          <w:i/>
        </w:rPr>
        <w:t>ε</w:t>
      </w:r>
      <w:r>
        <w:rPr>
          <w:i/>
          <w:vertAlign w:val="subscript"/>
        </w:rPr>
        <w:t>gst</w:t>
      </w:r>
      <w:r>
        <w:rPr>
          <w:i/>
          <w:vertAlign w:val="subscript"/>
        </w:rPr>
        <w:tab/>
      </w:r>
      <w:r>
        <w:t>(2)</w:t>
      </w:r>
    </w:p>
    <w:p w14:paraId="4F3C565B" w14:textId="77777777" w:rsidR="00555D24" w:rsidRDefault="00000000">
      <w:pPr>
        <w:spacing w:after="48" w:line="265" w:lineRule="auto"/>
        <w:ind w:left="3030" w:right="0"/>
        <w:jc w:val="left"/>
      </w:pPr>
      <w:r>
        <w:rPr>
          <w:i/>
          <w:sz w:val="16"/>
        </w:rPr>
        <w:t>i</w:t>
      </w:r>
      <w:r>
        <w:rPr>
          <w:sz w:val="16"/>
        </w:rPr>
        <w:t>=−4</w:t>
      </w:r>
    </w:p>
    <w:p w14:paraId="58C9CC94" w14:textId="77777777" w:rsidR="00555D24" w:rsidRDefault="00000000">
      <w:pPr>
        <w:ind w:left="419" w:right="1106"/>
      </w:pPr>
      <w:r>
        <w:t xml:space="preserve">where </w:t>
      </w:r>
      <w:r>
        <w:rPr>
          <w:i/>
        </w:rPr>
        <w:t>t</w:t>
      </w:r>
      <w:r>
        <w:rPr>
          <w:vertAlign w:val="superscript"/>
        </w:rPr>
        <w:t xml:space="preserve">∗ </w:t>
      </w:r>
      <w:r>
        <w:t xml:space="preserve">denotes the year where the event of board establishment takes place. This means that </w:t>
      </w:r>
      <w:r>
        <w:rPr>
          <w:i/>
        </w:rPr>
        <w:t xml:space="preserve">i </w:t>
      </w:r>
      <w:r>
        <w:t>= −4</w:t>
      </w:r>
      <w:r>
        <w:rPr>
          <w:i/>
        </w:rPr>
        <w:t>,</w:t>
      </w:r>
      <w:r>
        <w:t>−3</w:t>
      </w:r>
      <w:r>
        <w:rPr>
          <w:i/>
        </w:rPr>
        <w:t>,</w:t>
      </w:r>
      <w:r>
        <w:t>−2</w:t>
      </w:r>
      <w:r>
        <w:rPr>
          <w:i/>
        </w:rPr>
        <w:t>,</w:t>
      </w:r>
      <w:r>
        <w:t>−1</w:t>
      </w:r>
      <w:r>
        <w:rPr>
          <w:i/>
        </w:rPr>
        <w:t>,</w:t>
      </w:r>
      <w:r>
        <w:t>0</w:t>
      </w:r>
      <w:r>
        <w:rPr>
          <w:i/>
        </w:rPr>
        <w:t>,</w:t>
      </w:r>
      <w:r>
        <w:t>1</w:t>
      </w:r>
      <w:r>
        <w:rPr>
          <w:i/>
        </w:rPr>
        <w:t>,</w:t>
      </w:r>
      <w:r>
        <w:t>2</w:t>
      </w:r>
      <w:r>
        <w:rPr>
          <w:i/>
        </w:rPr>
        <w:t>,</w:t>
      </w:r>
      <w:r>
        <w:t>3</w:t>
      </w:r>
      <w:r>
        <w:rPr>
          <w:i/>
        </w:rPr>
        <w:t>,</w:t>
      </w:r>
      <w:r>
        <w:t>4 represent years relative to the event of board establishment. In our specifications, we consider relative year −1 as the baseline period, and include only observations within 4 years of the establishment.</w:t>
      </w:r>
    </w:p>
    <w:p w14:paraId="50BA3CB4" w14:textId="77777777" w:rsidR="00555D24" w:rsidRDefault="00000000">
      <w:pPr>
        <w:ind w:left="409" w:right="1106" w:firstLine="478"/>
      </w:pPr>
      <w:r>
        <w:t>The identification assumption in both cases corresponds to parallel counterfactual trends: water rights created in treated basins would have grown the same as control basins’ water rights grew around the establishment of a board. We use Poisson Regression in our preferred estimates of equations 1 and 2 as it allows to deal with heavy right-tails while properly dealing with zeroes(Chen and Roth, 2023); our data on water rights satisfies both</w:t>
      </w:r>
    </w:p>
    <w:p w14:paraId="13B7B7A9" w14:textId="77777777" w:rsidR="00555D24" w:rsidRDefault="00000000">
      <w:pPr>
        <w:spacing w:after="480"/>
        <w:ind w:left="419" w:right="1106"/>
      </w:pPr>
      <w:r>
        <w:t>characteristics.</w:t>
      </w:r>
    </w:p>
    <w:p w14:paraId="0A0D81F3" w14:textId="77777777" w:rsidR="00555D24" w:rsidRDefault="00000000">
      <w:pPr>
        <w:spacing w:after="105"/>
        <w:ind w:left="419" w:right="904"/>
      </w:pPr>
      <w:r>
        <w:rPr>
          <w:rFonts w:ascii="Calibri" w:eastAsia="Calibri" w:hAnsi="Calibri" w:cs="Calibri"/>
          <w:i/>
        </w:rPr>
        <w:t xml:space="preserve">Difference-in-Difference Design for Streamflow. </w:t>
      </w:r>
      <w:r>
        <w:t>Streamflow effects estimations present the additional challenge of seasonality: rivers and precipitation display seasonal patterns that introduce noise in the estimation, and could potentially bias the estimation of board effects when focusing on the dry season. To address this, we estimate:</w:t>
      </w:r>
    </w:p>
    <w:p w14:paraId="433EF98E" w14:textId="77777777" w:rsidR="00555D24" w:rsidRDefault="00000000">
      <w:pPr>
        <w:spacing w:after="9" w:line="265" w:lineRule="auto"/>
        <w:ind w:left="2743" w:right="0"/>
        <w:jc w:val="left"/>
      </w:pPr>
      <w:r>
        <w:rPr>
          <w:i/>
          <w:sz w:val="16"/>
        </w:rPr>
        <w:t>m</w:t>
      </w:r>
      <w:r>
        <w:rPr>
          <w:sz w:val="16"/>
        </w:rPr>
        <w:t>−</w:t>
      </w:r>
      <w:r>
        <w:rPr>
          <w:i/>
          <w:sz w:val="16"/>
        </w:rPr>
        <w:t>L</w:t>
      </w:r>
    </w:p>
    <w:p w14:paraId="61F891DA" w14:textId="77777777" w:rsidR="00555D24" w:rsidRDefault="00000000">
      <w:pPr>
        <w:spacing w:line="259" w:lineRule="auto"/>
        <w:ind w:left="419" w:right="0"/>
      </w:pPr>
      <w:r>
        <w:t>Stream</w:t>
      </w:r>
      <w:r>
        <w:rPr>
          <w:i/>
          <w:sz w:val="16"/>
        </w:rPr>
        <w:t xml:space="preserve">gmt </w:t>
      </w:r>
      <w:r>
        <w:t>=</w:t>
      </w:r>
      <w:r>
        <w:rPr>
          <w:i/>
        </w:rPr>
        <w:t>δ</w:t>
      </w:r>
      <w:r>
        <w:t>Board</w:t>
      </w:r>
      <w:r>
        <w:rPr>
          <w:noProof/>
        </w:rPr>
        <w:drawing>
          <wp:inline distT="0" distB="0" distL="0" distR="0" wp14:anchorId="2C2DD7C8" wp14:editId="75BBEF11">
            <wp:extent cx="688848" cy="198120"/>
            <wp:effectExtent l="0" t="0" r="0" b="0"/>
            <wp:docPr id="236675" name="Picture 236675"/>
            <wp:cNvGraphicFramePr/>
            <a:graphic xmlns:a="http://schemas.openxmlformats.org/drawingml/2006/main">
              <a:graphicData uri="http://schemas.openxmlformats.org/drawingml/2006/picture">
                <pic:pic xmlns:pic="http://schemas.openxmlformats.org/drawingml/2006/picture">
                  <pic:nvPicPr>
                    <pic:cNvPr id="236675" name="Picture 236675"/>
                    <pic:cNvPicPr/>
                  </pic:nvPicPr>
                  <pic:blipFill>
                    <a:blip r:embed="rId8"/>
                    <a:stretch>
                      <a:fillRect/>
                    </a:stretch>
                  </pic:blipFill>
                  <pic:spPr>
                    <a:xfrm>
                      <a:off x="0" y="0"/>
                      <a:ext cx="688848" cy="198120"/>
                    </a:xfrm>
                    <a:prstGeom prst="rect">
                      <a:avLst/>
                    </a:prstGeom>
                  </pic:spPr>
                </pic:pic>
              </a:graphicData>
            </a:graphic>
          </wp:inline>
        </w:drawing>
      </w:r>
      <w:r>
        <w:t>Rain</w:t>
      </w:r>
      <w:r>
        <w:rPr>
          <w:i/>
          <w:sz w:val="16"/>
        </w:rPr>
        <w:t xml:space="preserve">gskt </w:t>
      </w:r>
      <w:r>
        <w:t xml:space="preserve">+ </w:t>
      </w:r>
      <w:r>
        <w:rPr>
          <w:i/>
        </w:rPr>
        <w:t>α</w:t>
      </w:r>
      <w:r>
        <w:rPr>
          <w:sz w:val="16"/>
        </w:rPr>
        <w:t>3</w:t>
      </w:r>
      <w:r>
        <w:t>PET</w:t>
      </w:r>
      <w:r>
        <w:rPr>
          <w:i/>
          <w:sz w:val="16"/>
        </w:rPr>
        <w:t xml:space="preserve">gmt </w:t>
      </w:r>
      <w:r>
        <w:t xml:space="preserve">+ </w:t>
      </w:r>
      <w:r>
        <w:rPr>
          <w:i/>
        </w:rPr>
        <w:t>α</w:t>
      </w:r>
      <w:r>
        <w:rPr>
          <w:sz w:val="16"/>
        </w:rPr>
        <w:t>4</w:t>
      </w:r>
      <w:r>
        <w:t>Water Rights</w:t>
      </w:r>
      <w:r>
        <w:rPr>
          <w:i/>
          <w:sz w:val="16"/>
        </w:rPr>
        <w:t xml:space="preserve">gmt </w:t>
      </w:r>
      <w:r>
        <w:t xml:space="preserve">+ </w:t>
      </w:r>
      <w:r>
        <w:rPr>
          <w:i/>
        </w:rPr>
        <w:t>µ</w:t>
      </w:r>
      <w:r>
        <w:rPr>
          <w:i/>
          <w:sz w:val="16"/>
        </w:rPr>
        <w:t xml:space="preserve">t </w:t>
      </w:r>
      <w:r>
        <w:t xml:space="preserve">+ </w:t>
      </w:r>
      <w:r>
        <w:rPr>
          <w:i/>
        </w:rPr>
        <w:t>η</w:t>
      </w:r>
      <w:r>
        <w:rPr>
          <w:i/>
          <w:sz w:val="16"/>
        </w:rPr>
        <w:t xml:space="preserve">gm </w:t>
      </w:r>
      <w:r>
        <w:t xml:space="preserve">+ </w:t>
      </w:r>
      <w:r>
        <w:rPr>
          <w:i/>
        </w:rPr>
        <w:t>ε</w:t>
      </w:r>
      <w:r>
        <w:rPr>
          <w:i/>
          <w:sz w:val="16"/>
        </w:rPr>
        <w:t>gmt</w:t>
      </w:r>
    </w:p>
    <w:p w14:paraId="18004D29" w14:textId="77777777" w:rsidR="00555D24" w:rsidRDefault="00000000">
      <w:pPr>
        <w:spacing w:after="141" w:line="265" w:lineRule="auto"/>
        <w:ind w:left="2743" w:right="0"/>
        <w:jc w:val="left"/>
      </w:pPr>
      <w:r>
        <w:rPr>
          <w:i/>
          <w:sz w:val="16"/>
        </w:rPr>
        <w:t>k</w:t>
      </w:r>
      <w:r>
        <w:rPr>
          <w:sz w:val="16"/>
        </w:rPr>
        <w:t>=</w:t>
      </w:r>
      <w:r>
        <w:rPr>
          <w:i/>
          <w:sz w:val="16"/>
        </w:rPr>
        <w:t>m</w:t>
      </w:r>
    </w:p>
    <w:p w14:paraId="5E9CE620" w14:textId="77777777" w:rsidR="00555D24" w:rsidRDefault="00000000">
      <w:pPr>
        <w:spacing w:after="411" w:line="265" w:lineRule="auto"/>
        <w:ind w:left="10" w:right="1106"/>
        <w:jc w:val="right"/>
      </w:pPr>
      <w:r>
        <w:t>(3)</w:t>
      </w:r>
    </w:p>
    <w:p w14:paraId="4435375C" w14:textId="77777777" w:rsidR="00555D24" w:rsidRDefault="00000000">
      <w:pPr>
        <w:spacing w:after="27"/>
        <w:ind w:left="419" w:right="1106"/>
      </w:pPr>
      <w:r>
        <w:t>where Stream</w:t>
      </w:r>
      <w:r>
        <w:rPr>
          <w:i/>
          <w:vertAlign w:val="subscript"/>
        </w:rPr>
        <w:t xml:space="preserve">gmt </w:t>
      </w:r>
      <w:r>
        <w:t xml:space="preserve">is the streamflow in segment </w:t>
      </w:r>
      <w:r>
        <w:rPr>
          <w:i/>
        </w:rPr>
        <w:t xml:space="preserve">g </w:t>
      </w:r>
      <w:r>
        <w:t xml:space="preserve">in month </w:t>
      </w:r>
      <w:r>
        <w:rPr>
          <w:i/>
        </w:rPr>
        <w:t xml:space="preserve">m </w:t>
      </w:r>
      <w:r>
        <w:t xml:space="preserve">and year </w:t>
      </w:r>
      <w:r>
        <w:rPr>
          <w:i/>
        </w:rPr>
        <w:t xml:space="preserve">t </w:t>
      </w:r>
      <w:r>
        <w:t>and Board</w:t>
      </w:r>
      <w:r>
        <w:rPr>
          <w:i/>
          <w:vertAlign w:val="subscript"/>
        </w:rPr>
        <w:t xml:space="preserve">gt </w:t>
      </w:r>
      <w:r>
        <w:t xml:space="preserve">is equal to 1 if segment </w:t>
      </w:r>
      <w:r>
        <w:rPr>
          <w:i/>
        </w:rPr>
        <w:t xml:space="preserve">g </w:t>
      </w:r>
      <w:r>
        <w:t xml:space="preserve">is under the jurisdiction of a Water Board in year </w:t>
      </w:r>
      <w:r>
        <w:rPr>
          <w:i/>
        </w:rPr>
        <w:t>t</w:t>
      </w:r>
      <w:r>
        <w:t>. Upstream</w:t>
      </w:r>
      <w:r>
        <w:rPr>
          <w:i/>
          <w:vertAlign w:val="subscript"/>
        </w:rPr>
        <w:t>g</w:t>
      </w:r>
      <w:r>
        <w:rPr>
          <w:vertAlign w:val="subscript"/>
        </w:rPr>
        <w:t>−1</w:t>
      </w:r>
      <w:r>
        <w:rPr>
          <w:i/>
          <w:vertAlign w:val="subscript"/>
        </w:rPr>
        <w:t xml:space="preserve">mt </w:t>
      </w:r>
      <w:r>
        <w:t>is the streamflow at the head of the segment, Rain</w:t>
      </w:r>
      <w:r>
        <w:rPr>
          <w:i/>
          <w:vertAlign w:val="subscript"/>
        </w:rPr>
        <w:t>gsmt</w:t>
      </w:r>
      <w:r>
        <w:t>, PET</w:t>
      </w:r>
      <w:r>
        <w:rPr>
          <w:i/>
          <w:vertAlign w:val="subscript"/>
        </w:rPr>
        <w:t xml:space="preserve">gmt </w:t>
      </w:r>
      <w:r>
        <w:t>and WR</w:t>
      </w:r>
      <w:r>
        <w:rPr>
          <w:i/>
          <w:vertAlign w:val="subscript"/>
        </w:rPr>
        <w:t xml:space="preserve">gmt </w:t>
      </w:r>
      <w:r>
        <w:t xml:space="preserve">denote monthly rainfall and </w:t>
      </w:r>
      <w:r>
        <w:lastRenderedPageBreak/>
        <w:t xml:space="preserve">potential evapotranspiration, and Water Rights issued in the segment. </w:t>
      </w:r>
      <w:r>
        <w:rPr>
          <w:i/>
        </w:rPr>
        <w:t>µ</w:t>
      </w:r>
      <w:r>
        <w:rPr>
          <w:i/>
          <w:vertAlign w:val="subscript"/>
        </w:rPr>
        <w:t xml:space="preserve">t </w:t>
      </w:r>
      <w:r>
        <w:t xml:space="preserve">and </w:t>
      </w:r>
      <w:r>
        <w:rPr>
          <w:i/>
        </w:rPr>
        <w:t>η</w:t>
      </w:r>
      <w:r>
        <w:rPr>
          <w:i/>
          <w:vertAlign w:val="subscript"/>
        </w:rPr>
        <w:t xml:space="preserve">gm </w:t>
      </w:r>
      <w:r>
        <w:t xml:space="preserve">are year and segment-month fixed effects, accounting for seasonality at the segment level. We include </w:t>
      </w:r>
      <w:r>
        <w:rPr>
          <w:i/>
        </w:rPr>
        <w:t xml:space="preserve">L </w:t>
      </w:r>
      <w:r>
        <w:t>lags of precipitation (including the current period precipitation) to account for streamflow fed by snow-melting instead of rainfall runoff.</w:t>
      </w:r>
    </w:p>
    <w:p w14:paraId="4899A72D" w14:textId="77777777" w:rsidR="00555D24" w:rsidRDefault="00000000">
      <w:pPr>
        <w:spacing w:after="263" w:line="259" w:lineRule="auto"/>
        <w:ind w:left="899" w:right="1106"/>
      </w:pPr>
      <w:r>
        <w:t>We also estimate dynamic effects according to the following equation:</w:t>
      </w:r>
    </w:p>
    <w:p w14:paraId="49AF529F" w14:textId="77777777" w:rsidR="00555D24" w:rsidRDefault="00000000">
      <w:pPr>
        <w:spacing w:after="287" w:line="265" w:lineRule="auto"/>
        <w:ind w:left="1859" w:right="0"/>
        <w:jc w:val="left"/>
      </w:pPr>
      <w:r>
        <w:rPr>
          <w:sz w:val="16"/>
        </w:rPr>
        <w:t>4</w:t>
      </w:r>
    </w:p>
    <w:p w14:paraId="66017F77" w14:textId="77777777" w:rsidR="00555D24" w:rsidRDefault="00000000">
      <w:pPr>
        <w:spacing w:line="259" w:lineRule="auto"/>
        <w:ind w:left="419" w:right="1106"/>
      </w:pPr>
      <w:r>
        <w:t>Stream</w:t>
      </w:r>
      <w:r>
        <w:rPr>
          <w:i/>
          <w:vertAlign w:val="subscript"/>
        </w:rPr>
        <w:t xml:space="preserve">gmt </w:t>
      </w:r>
      <w:r>
        <w:t xml:space="preserve">= </w:t>
      </w:r>
      <w:r>
        <w:rPr>
          <w:sz w:val="34"/>
          <w:vertAlign w:val="superscript"/>
        </w:rPr>
        <w:t xml:space="preserve">X </w:t>
      </w:r>
      <w:r>
        <w:rPr>
          <w:i/>
        </w:rPr>
        <w:t>δ</w:t>
      </w:r>
      <w:r>
        <w:rPr>
          <w:i/>
          <w:vertAlign w:val="subscript"/>
        </w:rPr>
        <w:t>i</w:t>
      </w:r>
      <w:r>
        <w:t>Board</w:t>
      </w:r>
      <w:r>
        <w:rPr>
          <w:i/>
          <w:vertAlign w:val="subscript"/>
        </w:rPr>
        <w:t xml:space="preserve">gst </w:t>
      </w:r>
      <w:r>
        <w:t>× 1[</w:t>
      </w:r>
      <w:r>
        <w:rPr>
          <w:i/>
        </w:rPr>
        <w:t xml:space="preserve">t </w:t>
      </w:r>
      <w:r>
        <w:t xml:space="preserve">− </w:t>
      </w:r>
      <w:r>
        <w:rPr>
          <w:i/>
        </w:rPr>
        <w:t>t</w:t>
      </w:r>
      <w:r>
        <w:rPr>
          <w:vertAlign w:val="superscript"/>
        </w:rPr>
        <w:t xml:space="preserve">∗ </w:t>
      </w:r>
      <w:r>
        <w:t xml:space="preserve">= </w:t>
      </w:r>
      <w:r>
        <w:rPr>
          <w:i/>
        </w:rPr>
        <w:t>i</w:t>
      </w:r>
      <w:r>
        <w:t>]</w:t>
      </w:r>
    </w:p>
    <w:p w14:paraId="6283F309" w14:textId="77777777" w:rsidR="00555D24" w:rsidRDefault="00000000">
      <w:pPr>
        <w:spacing w:after="48" w:line="265" w:lineRule="auto"/>
        <w:ind w:left="1683" w:right="0"/>
        <w:jc w:val="left"/>
      </w:pPr>
      <w:r>
        <w:rPr>
          <w:i/>
          <w:sz w:val="16"/>
        </w:rPr>
        <w:t>i</w:t>
      </w:r>
      <w:r>
        <w:rPr>
          <w:sz w:val="16"/>
        </w:rPr>
        <w:t>=−4</w:t>
      </w:r>
    </w:p>
    <w:p w14:paraId="7B0F954E" w14:textId="77777777" w:rsidR="00555D24" w:rsidRDefault="00000000">
      <w:pPr>
        <w:spacing w:after="9" w:line="265" w:lineRule="auto"/>
        <w:ind w:left="3628" w:right="0"/>
        <w:jc w:val="left"/>
      </w:pPr>
      <w:r>
        <w:rPr>
          <w:i/>
          <w:sz w:val="16"/>
        </w:rPr>
        <w:t>m</w:t>
      </w:r>
      <w:r>
        <w:rPr>
          <w:sz w:val="16"/>
        </w:rPr>
        <w:t>−</w:t>
      </w:r>
      <w:r>
        <w:rPr>
          <w:i/>
          <w:sz w:val="16"/>
        </w:rPr>
        <w:t>L</w:t>
      </w:r>
    </w:p>
    <w:p w14:paraId="1FDFC6E7" w14:textId="77777777" w:rsidR="00555D24" w:rsidRDefault="00000000">
      <w:pPr>
        <w:spacing w:after="3" w:line="265" w:lineRule="auto"/>
        <w:ind w:left="10" w:right="0"/>
        <w:jc w:val="right"/>
      </w:pPr>
      <w:r>
        <w:t xml:space="preserve">+ </w:t>
      </w:r>
      <w:r>
        <w:rPr>
          <w:i/>
        </w:rPr>
        <w:t>α</w:t>
      </w:r>
      <w:r>
        <w:rPr>
          <w:vertAlign w:val="subscript"/>
        </w:rPr>
        <w:t>1</w:t>
      </w:r>
      <w:r>
        <w:t>Upstream</w:t>
      </w:r>
      <w:r>
        <w:rPr>
          <w:noProof/>
        </w:rPr>
        <w:drawing>
          <wp:inline distT="0" distB="0" distL="0" distR="0" wp14:anchorId="45CF5018" wp14:editId="3D40785E">
            <wp:extent cx="920496" cy="198120"/>
            <wp:effectExtent l="0" t="0" r="0" b="0"/>
            <wp:docPr id="236676" name="Picture 236676"/>
            <wp:cNvGraphicFramePr/>
            <a:graphic xmlns:a="http://schemas.openxmlformats.org/drawingml/2006/main">
              <a:graphicData uri="http://schemas.openxmlformats.org/drawingml/2006/picture">
                <pic:pic xmlns:pic="http://schemas.openxmlformats.org/drawingml/2006/picture">
                  <pic:nvPicPr>
                    <pic:cNvPr id="236676" name="Picture 236676"/>
                    <pic:cNvPicPr/>
                  </pic:nvPicPr>
                  <pic:blipFill>
                    <a:blip r:embed="rId9"/>
                    <a:stretch>
                      <a:fillRect/>
                    </a:stretch>
                  </pic:blipFill>
                  <pic:spPr>
                    <a:xfrm>
                      <a:off x="0" y="0"/>
                      <a:ext cx="920496" cy="198120"/>
                    </a:xfrm>
                    <a:prstGeom prst="rect">
                      <a:avLst/>
                    </a:prstGeom>
                  </pic:spPr>
                </pic:pic>
              </a:graphicData>
            </a:graphic>
          </wp:inline>
        </w:drawing>
      </w:r>
      <w:r>
        <w:t>Rain</w:t>
      </w:r>
      <w:r>
        <w:rPr>
          <w:i/>
          <w:vertAlign w:val="subscript"/>
        </w:rPr>
        <w:t xml:space="preserve">gskt </w:t>
      </w:r>
      <w:r>
        <w:t xml:space="preserve">+ </w:t>
      </w:r>
      <w:r>
        <w:rPr>
          <w:i/>
        </w:rPr>
        <w:t>α</w:t>
      </w:r>
      <w:r>
        <w:rPr>
          <w:vertAlign w:val="subscript"/>
        </w:rPr>
        <w:t>3</w:t>
      </w:r>
      <w:r>
        <w:t>PET</w:t>
      </w:r>
      <w:r>
        <w:rPr>
          <w:i/>
          <w:vertAlign w:val="subscript"/>
        </w:rPr>
        <w:t xml:space="preserve">gmt </w:t>
      </w:r>
      <w:r>
        <w:t xml:space="preserve">+ </w:t>
      </w:r>
      <w:r>
        <w:rPr>
          <w:i/>
        </w:rPr>
        <w:t>α</w:t>
      </w:r>
      <w:r>
        <w:rPr>
          <w:vertAlign w:val="subscript"/>
        </w:rPr>
        <w:t>4</w:t>
      </w:r>
      <w:r>
        <w:t>Water Rights</w:t>
      </w:r>
      <w:r>
        <w:rPr>
          <w:i/>
          <w:vertAlign w:val="subscript"/>
        </w:rPr>
        <w:t xml:space="preserve">gmt </w:t>
      </w:r>
      <w:r>
        <w:t xml:space="preserve">+ </w:t>
      </w:r>
      <w:r>
        <w:rPr>
          <w:i/>
        </w:rPr>
        <w:t>µ</w:t>
      </w:r>
      <w:r>
        <w:rPr>
          <w:i/>
          <w:vertAlign w:val="subscript"/>
        </w:rPr>
        <w:t xml:space="preserve">t </w:t>
      </w:r>
      <w:r>
        <w:t xml:space="preserve">+ </w:t>
      </w:r>
      <w:r>
        <w:rPr>
          <w:i/>
        </w:rPr>
        <w:t>η</w:t>
      </w:r>
      <w:r>
        <w:rPr>
          <w:i/>
          <w:vertAlign w:val="subscript"/>
        </w:rPr>
        <w:t xml:space="preserve">gm </w:t>
      </w:r>
      <w:r>
        <w:t xml:space="preserve">+ </w:t>
      </w:r>
      <w:r>
        <w:rPr>
          <w:i/>
        </w:rPr>
        <w:t>ε</w:t>
      </w:r>
      <w:r>
        <w:rPr>
          <w:i/>
          <w:vertAlign w:val="subscript"/>
        </w:rPr>
        <w:t>gmt</w:t>
      </w:r>
    </w:p>
    <w:p w14:paraId="66DE3F3E" w14:textId="77777777" w:rsidR="00555D24" w:rsidRDefault="00000000">
      <w:pPr>
        <w:spacing w:after="141" w:line="265" w:lineRule="auto"/>
        <w:ind w:left="3639" w:right="0"/>
        <w:jc w:val="left"/>
      </w:pPr>
      <w:r>
        <w:rPr>
          <w:i/>
          <w:sz w:val="16"/>
        </w:rPr>
        <w:t>k</w:t>
      </w:r>
      <w:r>
        <w:rPr>
          <w:sz w:val="16"/>
        </w:rPr>
        <w:t>=</w:t>
      </w:r>
      <w:r>
        <w:rPr>
          <w:i/>
          <w:sz w:val="16"/>
        </w:rPr>
        <w:t>m</w:t>
      </w:r>
    </w:p>
    <w:p w14:paraId="772D179E" w14:textId="77777777" w:rsidR="00555D24" w:rsidRDefault="00000000">
      <w:pPr>
        <w:spacing w:after="374" w:line="265" w:lineRule="auto"/>
        <w:ind w:left="10" w:right="1106"/>
        <w:jc w:val="right"/>
      </w:pPr>
      <w:r>
        <w:t>(4)</w:t>
      </w:r>
    </w:p>
    <w:p w14:paraId="17F01065" w14:textId="77777777" w:rsidR="00555D24" w:rsidRDefault="00000000">
      <w:pPr>
        <w:spacing w:after="160" w:line="259" w:lineRule="auto"/>
        <w:ind w:left="419" w:right="1106"/>
      </w:pPr>
      <w:r>
        <w:t>This specification will allow us to identify pre-trends.</w:t>
      </w:r>
    </w:p>
    <w:p w14:paraId="6FB1C03D" w14:textId="77777777" w:rsidR="00555D24" w:rsidRDefault="00000000">
      <w:pPr>
        <w:ind w:left="409" w:right="1106" w:firstLine="478"/>
      </w:pPr>
      <w:r>
        <w:t>Equations 3 and 4 are derived from a water balance equation, where the inflows equalize outflows in a basin. The equation does not exactly hold, given the use of proxy variables and measurement error. The most important concern regards the potential endogeneity of water rights: this is literally among our outcome variables, given the mechanisms discussed above –i.e. Water Boards can provide better monitoring, and so to stop the creation of new water rights that may interfere with preexisting ones. Our results are not sensitive on their</w:t>
      </w:r>
    </w:p>
    <w:p w14:paraId="1128E44A" w14:textId="77777777" w:rsidR="00555D24" w:rsidRDefault="00000000">
      <w:pPr>
        <w:spacing w:after="362"/>
        <w:ind w:left="419" w:right="1106"/>
      </w:pPr>
      <w:r>
        <w:t>inclusion.</w:t>
      </w:r>
    </w:p>
    <w:p w14:paraId="68CAB5BC" w14:textId="77777777" w:rsidR="00555D24" w:rsidRDefault="00000000">
      <w:pPr>
        <w:pStyle w:val="Ttulo2"/>
        <w:tabs>
          <w:tab w:val="center" w:pos="583"/>
          <w:tab w:val="center" w:pos="1456"/>
        </w:tabs>
        <w:ind w:left="0" w:firstLine="0"/>
      </w:pPr>
      <w:r>
        <w:rPr>
          <w:rFonts w:ascii="Calibri" w:eastAsia="Calibri" w:hAnsi="Calibri" w:cs="Calibri"/>
          <w:b w:val="0"/>
          <w:sz w:val="22"/>
        </w:rPr>
        <w:tab/>
      </w:r>
      <w:r>
        <w:t>4.2</w:t>
      </w:r>
      <w:r>
        <w:tab/>
        <w:t>Results</w:t>
      </w:r>
    </w:p>
    <w:p w14:paraId="43AAD8BF" w14:textId="77777777" w:rsidR="00555D24" w:rsidRDefault="00000000">
      <w:pPr>
        <w:spacing w:after="455"/>
        <w:ind w:left="419" w:right="1106"/>
      </w:pPr>
      <w:r>
        <w:t>In this section, we present estimates of the impact of Water Boards on the creation of water rights and streamflows. Using OLS and Poisson regressions, in subsection 4.2 we show that the establishment of boards decreases the rate of water rights creation by 40% in the 4 years after its establishment. We find limited evidence of displacement of the demand for new water rights from surface to groundwater sources, which are outside the Water Boards’ jurisdiction. Using a similar strategy, in subsection 4.2 we find that streamflows increase by between 5% to 8%, and more than 20% during the dry season. Additional results show these effects are concentrated in upstream locations.</w:t>
      </w:r>
    </w:p>
    <w:p w14:paraId="0C49DD00" w14:textId="77777777" w:rsidR="00555D24" w:rsidRDefault="00000000">
      <w:pPr>
        <w:spacing w:after="37"/>
        <w:ind w:left="419" w:right="1106"/>
      </w:pPr>
      <w:r>
        <w:rPr>
          <w:rFonts w:ascii="Calibri" w:eastAsia="Calibri" w:hAnsi="Calibri" w:cs="Calibri"/>
          <w:i/>
        </w:rPr>
        <w:lastRenderedPageBreak/>
        <w:t xml:space="preserve">Water Boards impact on water rights creation. </w:t>
      </w:r>
      <w:r>
        <w:t>In this section, we present the impacts of Water Boards’ establishment on water rights creation. While water boards are not entitled to prevent the creation of water rights, they can affect their growth indirectly by identifying potential conflicts between new applications for water rights creation with already existing rights. We expect Water Boards to do this faster than the government because they keep detailed updated records of water rights in their jurisdiction</w:t>
      </w:r>
      <w:r>
        <w:rPr>
          <w:vertAlign w:val="superscript"/>
        </w:rPr>
        <w:footnoteReference w:id="13"/>
      </w:r>
    </w:p>
    <w:p w14:paraId="08AFF2AA" w14:textId="77777777" w:rsidR="00555D24" w:rsidRDefault="00000000">
      <w:pPr>
        <w:ind w:left="409" w:right="1106" w:firstLine="478"/>
      </w:pPr>
      <w:r>
        <w:t xml:space="preserve">We present our results on the estimation of equation 1 using Poisson Regression in table 2. Column 1 shows the results for the total streamflow allocated through new water rights within 4 years after the establishment of a water board, while column 2 shows the result for total surface water rights per </w:t>
      </w:r>
      <w:r>
        <w:rPr>
          <w:i/>
        </w:rPr>
        <w:t>km</w:t>
      </w:r>
      <w:r>
        <w:rPr>
          <w:vertAlign w:val="superscript"/>
        </w:rPr>
        <w:t xml:space="preserve">2 </w:t>
      </w:r>
      <w:r>
        <w:t>of the surface of the basin: the coefficient implies a reduction of 36% in the reclamation of the river. We present the results using OLS over water rights creation in levels and using the Inverse Hyperbolic Sine in table A</w:t>
      </w:r>
      <w:r>
        <w:rPr>
          <w:b/>
        </w:rPr>
        <w:t>??</w:t>
      </w:r>
      <w:r>
        <w:t>; the qualitative results are the same</w:t>
      </w:r>
    </w:p>
    <w:p w14:paraId="60FD16EF" w14:textId="77777777" w:rsidR="00555D24" w:rsidRDefault="00000000">
      <w:pPr>
        <w:ind w:left="409" w:right="1106" w:firstLine="478"/>
      </w:pPr>
      <w:r>
        <w:t xml:space="preserve">We test for the displacement of the demand towards less regulated sources of water in columns 3 and 4, where we present the results for total groundwater rights (column 3) and for groundwater rights per </w:t>
      </w:r>
      <w:r>
        <w:rPr>
          <w:i/>
        </w:rPr>
        <w:t>km</w:t>
      </w:r>
      <w:r>
        <w:rPr>
          <w:vertAlign w:val="superscript"/>
        </w:rPr>
        <w:t xml:space="preserve">2 </w:t>
      </w:r>
      <w:r>
        <w:t>(column 4). Aquifers were outside the Water Boards’ jurisdiction until 2005. There is an increase in groundwater rights of a similar magnitude to the reduction in surface water rights found in column 2. The coefficients are similar, but they imply an increase of around 55%.</w:t>
      </w:r>
    </w:p>
    <w:p w14:paraId="6865AAFC" w14:textId="77777777" w:rsidR="00555D24" w:rsidRDefault="00000000">
      <w:pPr>
        <w:ind w:left="409" w:right="1106" w:firstLine="478"/>
      </w:pPr>
      <w:r>
        <w:t>Figure 6 presents estimates of dynamic effects (i.e. equation 2) over total water rights created in the segment, for surface sources and for groundwater sources. There is no evidence of pre-trends for surface rights, and for groundwater rights, anticipation seems limited to the last year before the establishment of the board. Also, the figure shows the reduction in surface water rights and an increase of similar magnitude for groundwater rights but with more noisy estimates.</w:t>
      </w:r>
    </w:p>
    <w:p w14:paraId="1F5D6F6C" w14:textId="77777777" w:rsidR="00555D24" w:rsidRDefault="00000000">
      <w:pPr>
        <w:spacing w:after="627"/>
        <w:ind w:left="409" w:right="1106" w:firstLine="478"/>
      </w:pPr>
      <w:r>
        <w:lastRenderedPageBreak/>
        <w:t xml:space="preserve">In Appendix A we include as robustness checks dynamic effect estimates using OLS, by total water rights (figure 20) and water rights created by </w:t>
      </w:r>
      <w:r>
        <w:rPr>
          <w:i/>
        </w:rPr>
        <w:t>km</w:t>
      </w:r>
      <w:r>
        <w:rPr>
          <w:vertAlign w:val="superscript"/>
        </w:rPr>
        <w:t xml:space="preserve">2 </w:t>
      </w:r>
      <w:r>
        <w:t>of surface in the basin (figure 23); the results are similar. Tables 17 and 18 present the full set of estimates of dynamic effects over surface and groundwater water rights, both totals and per unit of surface, using OLS and Poisson regression. Overall, we conclude that water boards reduce the creation of water rights on surface water -where they have jurisdiction-, while there is some non-robust evidence of displacement.</w:t>
      </w:r>
    </w:p>
    <w:p w14:paraId="5E884EF6" w14:textId="77777777" w:rsidR="00555D24" w:rsidRDefault="00000000">
      <w:pPr>
        <w:ind w:left="419" w:right="1106"/>
      </w:pPr>
      <w:r>
        <w:rPr>
          <w:rFonts w:ascii="Calibri" w:eastAsia="Calibri" w:hAnsi="Calibri" w:cs="Calibri"/>
          <w:i/>
        </w:rPr>
        <w:t xml:space="preserve">Water Boards impact on streamflows. </w:t>
      </w:r>
      <w:r>
        <w:t xml:space="preserve">In this subsection, we present the impacts of the establishment of water boards on river streamflows. This is the most important outcome in this section, given that this reflects the effects of water boards on the </w:t>
      </w:r>
      <w:r>
        <w:rPr>
          <w:i/>
        </w:rPr>
        <w:t xml:space="preserve">de facto </w:t>
      </w:r>
      <w:r>
        <w:t>allocation of water. We expect that enforcement will cause increases in the streamflow, as this would reflect previous extraction by agents located upstream of a monitoring station, that once is stopped by the water board, allows more water (i.e. water that otherwise would have been consumed upstream of the station) to flow.</w:t>
      </w:r>
    </w:p>
    <w:p w14:paraId="2E4A0D35" w14:textId="77777777" w:rsidR="00555D24" w:rsidRDefault="00000000">
      <w:pPr>
        <w:ind w:left="409" w:right="1106" w:firstLine="478"/>
      </w:pPr>
      <w:r>
        <w:t>We do not expect this effect to be uniform across the agricultural production cycle, though. Irrigation does not have the same intensity across months, as in wet months it is possible to rely only on precipitation (and so irrigation may even be damaging), and so the incentives to over-extract will be strongest in the dry season. At the same time, the mandate of Water Boards to guarantee access to water to their lawful users may not require any actions under normal circumstances, and would only require their intervention in the dryest seasons and years.</w:t>
      </w:r>
    </w:p>
    <w:p w14:paraId="69E97BEC" w14:textId="77777777" w:rsidR="00555D24" w:rsidRDefault="00000000">
      <w:pPr>
        <w:ind w:left="409" w:right="1106" w:firstLine="478"/>
      </w:pPr>
      <w:r>
        <w:t>Table 3 presents the results of estimating equation 3 for 4 years after the establishment of the board, for the full year. Panel A presents the results for the Common Support sample: a board establishment event increases the average streamflow between 4% to 10%, but the increase is not significant.</w:t>
      </w:r>
    </w:p>
    <w:p w14:paraId="3D440C7D" w14:textId="77777777" w:rsidR="00555D24" w:rsidRDefault="00000000">
      <w:pPr>
        <w:ind w:left="409" w:right="1106" w:firstLine="478"/>
      </w:pPr>
      <w:r>
        <w:t>The former results ignore the fact that most irrigation takes place in the dry season. Table 4, therefore, estimates the same models but only for the months of January and February, when water is more scarce and there is more irrigation, and so, incentives to over-</w:t>
      </w:r>
      <w:r>
        <w:lastRenderedPageBreak/>
        <w:t>extract are stronger. The estimated effect is stable across specifications: water boards increase the streamflow between 0</w:t>
      </w:r>
      <w:r>
        <w:rPr>
          <w:i/>
        </w:rPr>
        <w:t>.</w:t>
      </w:r>
      <w:r>
        <w:t>96 and 1</w:t>
      </w:r>
      <w:r>
        <w:rPr>
          <w:i/>
        </w:rPr>
        <w:t>.</w:t>
      </w:r>
      <w:r>
        <w:t xml:space="preserve">46 </w:t>
      </w:r>
      <w:r>
        <w:rPr>
          <w:i/>
        </w:rPr>
        <w:t>m</w:t>
      </w:r>
      <w:r>
        <w:rPr>
          <w:vertAlign w:val="superscript"/>
        </w:rPr>
        <w:t>3</w:t>
      </w:r>
      <w:r>
        <w:rPr>
          <w:i/>
        </w:rPr>
        <w:t>/s</w:t>
      </w:r>
      <w:r>
        <w:t>, which represents an increase between 23% to and 34% of the average seasonal streamflow.</w:t>
      </w:r>
    </w:p>
    <w:p w14:paraId="769FE5A2" w14:textId="77777777" w:rsidR="00555D24" w:rsidRDefault="00000000">
      <w:pPr>
        <w:ind w:left="409" w:right="1106" w:firstLine="478"/>
      </w:pPr>
      <w:r>
        <w:t>To understand better the results in tables 3 and 4, we estimate equation 3 but interacting the Board establishment dummy with dummies per month. These coefficients will reflect the impact of Water Boards on streamflow for each month. We present the results of this exercise in figure 7.</w:t>
      </w:r>
    </w:p>
    <w:p w14:paraId="6F3969F7" w14:textId="77777777" w:rsidR="00555D24" w:rsidRDefault="00000000">
      <w:pPr>
        <w:spacing w:after="465"/>
        <w:ind w:left="409" w:right="1106" w:firstLine="478"/>
      </w:pPr>
      <w:r>
        <w:t>For both samples, we find increases in the streamflow for the dry season, while in the months with the highest streamflow due to snow-melting (October and November) we observe zero effects or even nonsignificant reductions in streamflow. The increase in the Summer streamflows is almost 45% for January and 30% for February for the Event Study sample, while the increments in the middle of the year (July - August) are just around 13%, and during the Spring (October - November) the effects are nonsignificant and between 0 and −10%. Figure 24 in Appendix A presents the results using Poisson regression.</w:t>
      </w:r>
    </w:p>
    <w:p w14:paraId="08A31B26" w14:textId="77777777" w:rsidR="00555D24" w:rsidRDefault="00000000">
      <w:pPr>
        <w:ind w:left="419" w:right="1106"/>
      </w:pPr>
      <w:r>
        <w:rPr>
          <w:rFonts w:ascii="Calibri" w:eastAsia="Calibri" w:hAnsi="Calibri" w:cs="Calibri"/>
          <w:i/>
        </w:rPr>
        <w:t xml:space="preserve">Dynamic effects. </w:t>
      </w:r>
      <w:r>
        <w:t>In this subsection, we present estimates of dynamic effects using equation 4 using OLS. The intra-segment-inter-year variance in streamflows is high for Central Chile, due to short-term cycles with droughts of varying intensity every 2 to 7 years -mostly associated with the ENSO (El Nin˜o-Southern Oscillation cycle)(Ferna´ndez and Girona´s, 2021). Given this challenge, we estimate dynamic effects binning relative years to gain power. The results are presented in figures 8a for the full year and 8b for the dry season. We fixed as the baseline period the bin containing the two years prior to the board establishment event.</w:t>
      </w:r>
    </w:p>
    <w:p w14:paraId="7455425D" w14:textId="77777777" w:rsidR="00555D24" w:rsidRDefault="00000000">
      <w:pPr>
        <w:spacing w:after="455"/>
        <w:ind w:left="409" w:right="1106" w:firstLine="478"/>
      </w:pPr>
      <w:r>
        <w:t xml:space="preserve">In both figures, there is no evidence of pre-trends in years prior to the establishment of the board, and the specifications that control only for the set of fixed effects and contemporaneous climatic variables display persistent effects across all years post-board establishment. While for the full year (figure 8a) there is weak evidence of increases in the first 2 bins(years 0 to 3), for the dry season (figure 8b) the evidence is clear, with all specifications giving statistically and economically significant increases in streamflows. In the third bin (years 4 and 5 after board establishment), instead, the results are mixed, so effects </w:t>
      </w:r>
      <w:r>
        <w:lastRenderedPageBreak/>
        <w:t>continue to be significant in the model that do not control for lags of precipitation or water rights.Tables 19 in Appendix A present the full set of estimates of dynamic effects over streamflows during the full year and in the dry season. Overall, we conclude that the boards have a short-term positive effect on streamflows.</w:t>
      </w:r>
    </w:p>
    <w:p w14:paraId="05DFE785" w14:textId="77777777" w:rsidR="00555D24" w:rsidRDefault="00000000">
      <w:pPr>
        <w:ind w:left="419" w:right="1106"/>
      </w:pPr>
      <w:r>
        <w:rPr>
          <w:rFonts w:ascii="Calibri" w:eastAsia="Calibri" w:hAnsi="Calibri" w:cs="Calibri"/>
          <w:i/>
        </w:rPr>
        <w:t xml:space="preserve">Redistribution within the basin. </w:t>
      </w:r>
      <w:r>
        <w:t>Increases in streamflow reflect more water flowing downstream from a given point where we measure water. If there are no lawful users downstream of a location, then there is no incentive nor (non-environmental) reason to keep water flowing after that point. Therefore, we expect to find a stronger effect upstream, as river segments located downstream will have relatively fewer lawful users located below them.</w:t>
      </w:r>
    </w:p>
    <w:p w14:paraId="79C184FF" w14:textId="77777777" w:rsidR="00555D24" w:rsidRDefault="00000000">
      <w:pPr>
        <w:ind w:left="409" w:right="1106" w:firstLine="478"/>
      </w:pPr>
      <w:r>
        <w:t>Figures 9a, 9b and 9c illustrate why we expect higher streamflow increases in upstream locations: in normal times (figure 9a), the infrastructure itself restricts users from over-extracting water. In a drought, the total streamflow available for distribution is reduced, and so the law established proportional reductions for all users. Figure 9b presents this case when no board is in charge of enforcing water rights: as the infrastructure is not binding anymore, the users upstream are able to over-extract, leaving not enough water for downstream users. Figure 9c shows how this situation changes in the presence of water boards: enforcement by the water boards implies increased streamflows between upstream and downstream locations. The increase in streamflow will be captured by the monitoring stations located between the users that would over-extract in the absence of a board, and those who receive water thanks to the board.</w:t>
      </w:r>
    </w:p>
    <w:p w14:paraId="101826DF" w14:textId="77777777" w:rsidR="00555D24" w:rsidRDefault="00000000">
      <w:pPr>
        <w:spacing w:after="0" w:line="422" w:lineRule="auto"/>
        <w:ind w:left="396" w:right="1106" w:firstLine="478"/>
        <w:jc w:val="left"/>
      </w:pPr>
      <w:r>
        <w:t>Table 5 presents estimates of heterogeneous effects, by interacting the treatment variable with dummy variables for river segments closer to the coast (below the median of the distribution of distances to the coast, in degrees) or farther away from the coast. Columns 1 and 2 consider the full year, while columns 2 and 4 only include the dry season.</w:t>
      </w:r>
    </w:p>
    <w:p w14:paraId="0997F2C9" w14:textId="77777777" w:rsidR="00555D24" w:rsidRDefault="00000000">
      <w:pPr>
        <w:spacing w:after="455"/>
        <w:ind w:left="409" w:right="1106" w:firstLine="478"/>
      </w:pPr>
      <w:r>
        <w:t xml:space="preserve">The results show that the coefficients are higher for upstream locations in the full year, and for the dry season when we control for precipitation lags. Also, the coefficients are strongly significant for the dry season only for upstream locations, while for downstream locations are significant only at the 10% when controlling for precipitation lags. Finally, the </w:t>
      </w:r>
      <w:r>
        <w:lastRenderedPageBreak/>
        <w:t>table reaffirms the previous results that the effect is economically and statistically significant only for the dry season.</w:t>
      </w:r>
    </w:p>
    <w:p w14:paraId="2549BE38" w14:textId="77777777" w:rsidR="00555D24" w:rsidRDefault="00000000">
      <w:pPr>
        <w:spacing w:after="153"/>
        <w:ind w:left="419" w:right="1106"/>
      </w:pPr>
      <w:r>
        <w:rPr>
          <w:rFonts w:ascii="Calibri" w:eastAsia="Calibri" w:hAnsi="Calibri" w:cs="Calibri"/>
          <w:i/>
        </w:rPr>
        <w:t xml:space="preserve">Land Concentration and Water Boards. </w:t>
      </w:r>
      <w:r>
        <w:t>Water boards allocate power according to property: each water rights owner have a vote that is proportional to their streamflow ownership. This is a departure from conventional democratic rules that may imply improved economic outcomes (e.g Alesina and Rodrik, 1994), but also could reinforce elite capture dynamics (Bardhan and Mookherjee, 2000; Banerjee, Mookherjee, Munshi, and Ray, 2001).</w:t>
      </w:r>
    </w:p>
    <w:p w14:paraId="191342D6" w14:textId="77777777" w:rsidR="00555D24" w:rsidRDefault="00000000">
      <w:pPr>
        <w:ind w:left="409" w:right="1106" w:firstLine="478"/>
      </w:pPr>
      <w:r>
        <w:t>In table 6 we compare the impacts of the establishment of Water Boards in basins with higher versus lower land concentration. Using 2013 data on farm size, we measure land concentration for all the river segments under analysis</w:t>
      </w:r>
      <w:r>
        <w:rPr>
          <w:vertAlign w:val="superscript"/>
        </w:rPr>
        <w:footnoteReference w:id="14"/>
      </w:r>
      <w:r>
        <w:t>.</w:t>
      </w:r>
    </w:p>
    <w:p w14:paraId="12F7D314" w14:textId="77777777" w:rsidR="00555D24" w:rsidRDefault="00000000">
      <w:pPr>
        <w:ind w:left="409" w:right="1106" w:firstLine="478"/>
      </w:pPr>
      <w:r>
        <w:t>Our results suggest that most of the observed impacts of Water Boards are driven by areas with higher land concentration. Columns 1 and 2 show that the reduction in the creation of water rights is similar for areas with low and high land concentration (although the effect is not significant in areas with higher land concentration due to higher standard errors). Columns 3 and 4, instead, show that all the increase in groundwater rights (i.e. the displacement of the demand) happens in basins with higher land concentration. Finally, columns 5 and 6 show that the streamflow increase in the irrigation season is significant and higher for areas with higher land concentration, while for lower land concentration this does not happen.</w:t>
      </w:r>
    </w:p>
    <w:p w14:paraId="486956BE" w14:textId="77777777" w:rsidR="00555D24" w:rsidRDefault="00000000">
      <w:pPr>
        <w:spacing w:after="454"/>
        <w:ind w:left="409" w:right="1106" w:firstLine="478"/>
      </w:pPr>
      <w:r>
        <w:t>One interpretation for the former results is that the presence of local elites -associated with higher land concentration- enhances the performance of water boards: local elites may be able to discipline more effectively the team managing the river</w:t>
      </w:r>
      <w:r>
        <w:rPr>
          <w:vertAlign w:val="superscript"/>
        </w:rPr>
        <w:footnoteReference w:id="15"/>
      </w:r>
      <w:r>
        <w:t xml:space="preserve">. It is possible, too, that these aggregate results hide heterogeneous distributional impacts, and so these </w:t>
      </w:r>
      <w:r>
        <w:lastRenderedPageBreak/>
        <w:t>improvements in property rights enforcement are beneficial only for local elites We will revisit this question in section 5.2.</w:t>
      </w:r>
    </w:p>
    <w:p w14:paraId="0C31A4DF" w14:textId="77777777" w:rsidR="00555D24" w:rsidRDefault="00000000">
      <w:pPr>
        <w:spacing w:after="194"/>
        <w:ind w:left="419" w:right="1106"/>
      </w:pPr>
      <w:r>
        <w:rPr>
          <w:rFonts w:ascii="Calibri" w:eastAsia="Calibri" w:hAnsi="Calibri" w:cs="Calibri"/>
          <w:i/>
        </w:rPr>
        <w:t xml:space="preserve">Monitoring and Enforcement. </w:t>
      </w:r>
      <w:r>
        <w:t>So far, we have argued that water boards affect the allocation of water through two main mechanisms:</w:t>
      </w:r>
    </w:p>
    <w:p w14:paraId="678EBD6D" w14:textId="77777777" w:rsidR="00555D24" w:rsidRDefault="00000000">
      <w:pPr>
        <w:ind w:left="966" w:right="1106"/>
      </w:pPr>
      <w:r>
        <w:rPr>
          <w:b/>
        </w:rPr>
        <w:t xml:space="preserve">Monitoring: </w:t>
      </w:r>
      <w:r>
        <w:t>water boards, by keeping track of the creation of water rights, are in a better position than both the state and the water users to identify interference by new water rights, and so introduce more complaints to stop the creation of rights.</w:t>
      </w:r>
    </w:p>
    <w:p w14:paraId="6A05E433" w14:textId="77777777" w:rsidR="00555D24" w:rsidRDefault="00000000">
      <w:pPr>
        <w:spacing w:after="168"/>
        <w:ind w:left="966" w:right="1106"/>
      </w:pPr>
      <w:r>
        <w:rPr>
          <w:b/>
        </w:rPr>
        <w:t xml:space="preserve">Enforcement: </w:t>
      </w:r>
      <w:r>
        <w:t>water boards reallocate water according to the legal mandate to enforce the existing water rights.</w:t>
      </w:r>
    </w:p>
    <w:p w14:paraId="7F105E0D" w14:textId="77777777" w:rsidR="00555D24" w:rsidRDefault="00000000">
      <w:pPr>
        <w:ind w:left="419" w:right="1106"/>
      </w:pPr>
      <w:r>
        <w:t>Our results in sections 4.2 and 4.2 suggest that both mechanisms are working, opening the question of their relative roles in shaping the allocation of water in the space.</w:t>
      </w:r>
    </w:p>
    <w:p w14:paraId="31F51DA6" w14:textId="77777777" w:rsidR="00555D24" w:rsidRDefault="00000000">
      <w:pPr>
        <w:ind w:left="409" w:right="1106" w:firstLine="478"/>
      </w:pPr>
      <w:r>
        <w:t>In order to disentangle the relative roles of both mechanisms, we apply a statistical mediation argument (Baron and Kenny, 1986; Valeri and VanderWeele, 2013) to estimate the direct causal effect of water boards on streamflows, and their indirect effect, mediated by their effect on water rights. Statistical mediation exercises rely on several assumptions, but the Difference-in-difference design already assumes part of them</w:t>
      </w:r>
      <w:r>
        <w:rPr>
          <w:vertAlign w:val="superscript"/>
        </w:rPr>
        <w:footnoteReference w:id="16"/>
      </w:r>
      <w:r>
        <w:t>.</w:t>
      </w:r>
    </w:p>
    <w:p w14:paraId="237F25C6" w14:textId="77777777" w:rsidR="00555D24" w:rsidRDefault="00000000">
      <w:pPr>
        <w:spacing w:after="407"/>
        <w:ind w:left="409" w:right="1106" w:firstLine="478"/>
      </w:pPr>
      <w:r>
        <w:t>To formalize the argument, let’s consider a simplified version of equation 2 i.e. our models for water rights:</w:t>
      </w:r>
    </w:p>
    <w:p w14:paraId="5FD8E6CF" w14:textId="77777777" w:rsidR="00555D24" w:rsidRDefault="00000000">
      <w:pPr>
        <w:tabs>
          <w:tab w:val="center" w:pos="4726"/>
          <w:tab w:val="center" w:pos="8911"/>
        </w:tabs>
        <w:spacing w:after="518" w:line="265" w:lineRule="auto"/>
        <w:ind w:left="0" w:right="0" w:firstLine="0"/>
        <w:jc w:val="left"/>
      </w:pPr>
      <w:r>
        <w:rPr>
          <w:rFonts w:ascii="Calibri" w:eastAsia="Calibri" w:hAnsi="Calibri" w:cs="Calibri"/>
        </w:rPr>
        <w:tab/>
      </w:r>
      <w:r>
        <w:t>WR</w:t>
      </w:r>
      <w:r>
        <w:rPr>
          <w:i/>
          <w:sz w:val="16"/>
        </w:rPr>
        <w:t xml:space="preserve">gst </w:t>
      </w:r>
      <w:r>
        <w:t xml:space="preserve">= </w:t>
      </w:r>
      <w:r>
        <w:rPr>
          <w:i/>
        </w:rPr>
        <w:t>β</w:t>
      </w:r>
      <w:r>
        <w:rPr>
          <w:sz w:val="16"/>
        </w:rPr>
        <w:t>1</w:t>
      </w:r>
      <w:r>
        <w:t>Board</w:t>
      </w:r>
      <w:r>
        <w:rPr>
          <w:i/>
          <w:sz w:val="16"/>
        </w:rPr>
        <w:t xml:space="preserve">gst </w:t>
      </w:r>
      <w:r>
        <w:t xml:space="preserve">+ </w:t>
      </w:r>
      <w:r>
        <w:rPr>
          <w:i/>
        </w:rPr>
        <w:t>β</w:t>
      </w:r>
      <w:r>
        <w:rPr>
          <w:sz w:val="16"/>
        </w:rPr>
        <w:t>2</w:t>
      </w:r>
      <w:r>
        <w:rPr>
          <w:i/>
        </w:rPr>
        <w:t>X</w:t>
      </w:r>
      <w:r>
        <w:rPr>
          <w:i/>
          <w:sz w:val="16"/>
        </w:rPr>
        <w:t xml:space="preserve">gst </w:t>
      </w:r>
      <w:r>
        <w:t xml:space="preserve">+ </w:t>
      </w:r>
      <w:r>
        <w:rPr>
          <w:i/>
        </w:rPr>
        <w:t>µ</w:t>
      </w:r>
      <w:r>
        <w:rPr>
          <w:i/>
          <w:sz w:val="16"/>
        </w:rPr>
        <w:t xml:space="preserve">t </w:t>
      </w:r>
      <w:r>
        <w:t xml:space="preserve">+ </w:t>
      </w:r>
      <w:r>
        <w:rPr>
          <w:i/>
        </w:rPr>
        <w:t>η</w:t>
      </w:r>
      <w:r>
        <w:rPr>
          <w:i/>
          <w:sz w:val="16"/>
        </w:rPr>
        <w:t xml:space="preserve">g </w:t>
      </w:r>
      <w:r>
        <w:t xml:space="preserve">+ </w:t>
      </w:r>
      <w:r>
        <w:rPr>
          <w:i/>
        </w:rPr>
        <w:t>ε</w:t>
      </w:r>
      <w:r>
        <w:rPr>
          <w:i/>
          <w:sz w:val="16"/>
        </w:rPr>
        <w:t>gst</w:t>
      </w:r>
      <w:r>
        <w:rPr>
          <w:i/>
          <w:sz w:val="16"/>
        </w:rPr>
        <w:tab/>
      </w:r>
      <w:r>
        <w:t>(5)</w:t>
      </w:r>
    </w:p>
    <w:p w14:paraId="1F1B70C9" w14:textId="77777777" w:rsidR="00555D24" w:rsidRDefault="00000000">
      <w:pPr>
        <w:spacing w:after="344"/>
        <w:ind w:left="419" w:right="1106"/>
      </w:pPr>
      <w:r>
        <w:lastRenderedPageBreak/>
        <w:t>With this definition, we can define the counterfactual expected water rights under water boards and without water boards as respectively:</w:t>
      </w:r>
    </w:p>
    <w:p w14:paraId="7AC2A3D6" w14:textId="77777777" w:rsidR="00555D24" w:rsidRDefault="00000000">
      <w:pPr>
        <w:tabs>
          <w:tab w:val="center" w:pos="3402"/>
          <w:tab w:val="center" w:pos="6633"/>
        </w:tabs>
        <w:spacing w:after="312" w:line="259" w:lineRule="auto"/>
        <w:ind w:left="0" w:right="0" w:firstLine="0"/>
        <w:jc w:val="left"/>
      </w:pPr>
      <w:r>
        <w:rPr>
          <w:rFonts w:ascii="Calibri" w:eastAsia="Calibri" w:hAnsi="Calibri" w:cs="Calibri"/>
        </w:rPr>
        <w:tab/>
      </w:r>
      <w:r>
        <w:t xml:space="preserve">WR(Board = 1) = </w:t>
      </w:r>
      <w:r>
        <w:rPr>
          <w:rFonts w:ascii="Calibri" w:eastAsia="Calibri" w:hAnsi="Calibri" w:cs="Calibri"/>
        </w:rPr>
        <w:t>E</w:t>
      </w:r>
      <w:r>
        <w:t>[WR</w:t>
      </w:r>
      <w:r>
        <w:rPr>
          <w:i/>
          <w:vertAlign w:val="subscript"/>
        </w:rPr>
        <w:t>gst</w:t>
      </w:r>
      <w:r>
        <w:t>|Board = 1] =</w:t>
      </w:r>
      <w:r>
        <w:tab/>
      </w:r>
      <w:r>
        <w:rPr>
          <w:i/>
        </w:rPr>
        <w:t>β</w:t>
      </w:r>
      <w:r>
        <w:rPr>
          <w:vertAlign w:val="subscript"/>
        </w:rPr>
        <w:t xml:space="preserve">1 </w:t>
      </w:r>
      <w:r>
        <w:t xml:space="preserve">+ </w:t>
      </w:r>
      <w:r>
        <w:rPr>
          <w:i/>
        </w:rPr>
        <w:t>β</w:t>
      </w:r>
      <w:r>
        <w:rPr>
          <w:vertAlign w:val="subscript"/>
        </w:rPr>
        <w:t>2</w:t>
      </w:r>
      <w:r>
        <w:rPr>
          <w:i/>
        </w:rPr>
        <w:t>X</w:t>
      </w:r>
      <w:r>
        <w:rPr>
          <w:i/>
          <w:vertAlign w:val="subscript"/>
        </w:rPr>
        <w:t xml:space="preserve">gst </w:t>
      </w:r>
      <w:r>
        <w:t xml:space="preserve">+ </w:t>
      </w:r>
      <w:r>
        <w:rPr>
          <w:i/>
        </w:rPr>
        <w:t>µ</w:t>
      </w:r>
      <w:r>
        <w:rPr>
          <w:i/>
          <w:vertAlign w:val="subscript"/>
        </w:rPr>
        <w:t xml:space="preserve">t </w:t>
      </w:r>
      <w:r>
        <w:t xml:space="preserve">+ </w:t>
      </w:r>
      <w:r>
        <w:rPr>
          <w:i/>
        </w:rPr>
        <w:t>η</w:t>
      </w:r>
      <w:r>
        <w:rPr>
          <w:i/>
          <w:vertAlign w:val="subscript"/>
        </w:rPr>
        <w:t>g</w:t>
      </w:r>
    </w:p>
    <w:p w14:paraId="18143A43" w14:textId="77777777" w:rsidR="00555D24" w:rsidRDefault="00000000">
      <w:pPr>
        <w:tabs>
          <w:tab w:val="center" w:pos="3402"/>
          <w:tab w:val="center" w:pos="6875"/>
        </w:tabs>
        <w:spacing w:after="405" w:line="259" w:lineRule="auto"/>
        <w:ind w:left="0" w:right="0" w:firstLine="0"/>
        <w:jc w:val="left"/>
      </w:pPr>
      <w:r>
        <w:rPr>
          <w:rFonts w:ascii="Calibri" w:eastAsia="Calibri" w:hAnsi="Calibri" w:cs="Calibri"/>
        </w:rPr>
        <w:tab/>
      </w:r>
      <w:r>
        <w:t xml:space="preserve">WR(Board = 0) = </w:t>
      </w:r>
      <w:r>
        <w:rPr>
          <w:rFonts w:ascii="Calibri" w:eastAsia="Calibri" w:hAnsi="Calibri" w:cs="Calibri"/>
        </w:rPr>
        <w:t>E</w:t>
      </w:r>
      <w:r>
        <w:t>[WR</w:t>
      </w:r>
      <w:r>
        <w:rPr>
          <w:i/>
          <w:vertAlign w:val="subscript"/>
        </w:rPr>
        <w:t>gst</w:t>
      </w:r>
      <w:r>
        <w:t>|Board = 0] =</w:t>
      </w:r>
      <w:r>
        <w:tab/>
      </w:r>
      <w:r>
        <w:rPr>
          <w:i/>
        </w:rPr>
        <w:t>β</w:t>
      </w:r>
      <w:r>
        <w:rPr>
          <w:vertAlign w:val="subscript"/>
        </w:rPr>
        <w:t>2</w:t>
      </w:r>
      <w:r>
        <w:rPr>
          <w:i/>
        </w:rPr>
        <w:t>X</w:t>
      </w:r>
      <w:r>
        <w:rPr>
          <w:i/>
          <w:vertAlign w:val="subscript"/>
        </w:rPr>
        <w:t xml:space="preserve">gst </w:t>
      </w:r>
      <w:r>
        <w:t xml:space="preserve">+ </w:t>
      </w:r>
      <w:r>
        <w:rPr>
          <w:i/>
        </w:rPr>
        <w:t>µ</w:t>
      </w:r>
      <w:r>
        <w:rPr>
          <w:i/>
          <w:vertAlign w:val="subscript"/>
        </w:rPr>
        <w:t xml:space="preserve">t </w:t>
      </w:r>
      <w:r>
        <w:t xml:space="preserve">+ </w:t>
      </w:r>
      <w:r>
        <w:rPr>
          <w:i/>
        </w:rPr>
        <w:t>η</w:t>
      </w:r>
      <w:r>
        <w:rPr>
          <w:i/>
          <w:vertAlign w:val="subscript"/>
        </w:rPr>
        <w:t>g</w:t>
      </w:r>
    </w:p>
    <w:p w14:paraId="5B0BD702" w14:textId="77777777" w:rsidR="00555D24" w:rsidRDefault="00000000">
      <w:pPr>
        <w:spacing w:after="337"/>
        <w:ind w:left="419" w:right="1106"/>
      </w:pPr>
      <w:r>
        <w:t>Now, we can extend our model for streamflows, allowing water boards to affect also the relationship between water rights and streamflows:</w:t>
      </w:r>
    </w:p>
    <w:p w14:paraId="70444A2E" w14:textId="77777777" w:rsidR="00555D24" w:rsidRDefault="00000000">
      <w:pPr>
        <w:spacing w:after="0" w:line="262" w:lineRule="auto"/>
        <w:ind w:left="772" w:right="1482"/>
        <w:jc w:val="center"/>
      </w:pPr>
      <w:r>
        <w:t>Stream</w:t>
      </w:r>
      <w:r>
        <w:rPr>
          <w:i/>
          <w:sz w:val="16"/>
        </w:rPr>
        <w:t xml:space="preserve">gmt </w:t>
      </w:r>
      <w:r>
        <w:t>=</w:t>
      </w:r>
      <w:r>
        <w:rPr>
          <w:i/>
        </w:rPr>
        <w:t>α</w:t>
      </w:r>
      <w:r>
        <w:rPr>
          <w:sz w:val="16"/>
        </w:rPr>
        <w:t>1</w:t>
      </w:r>
      <w:r>
        <w:t>Board</w:t>
      </w:r>
      <w:r>
        <w:rPr>
          <w:i/>
          <w:sz w:val="16"/>
        </w:rPr>
        <w:t xml:space="preserve">gt </w:t>
      </w:r>
      <w:r>
        <w:t xml:space="preserve">+ </w:t>
      </w:r>
      <w:r>
        <w:rPr>
          <w:i/>
        </w:rPr>
        <w:t>α</w:t>
      </w:r>
      <w:r>
        <w:rPr>
          <w:sz w:val="16"/>
        </w:rPr>
        <w:t>2</w:t>
      </w:r>
      <w:r>
        <w:t>WR</w:t>
      </w:r>
      <w:r>
        <w:rPr>
          <w:i/>
          <w:sz w:val="16"/>
        </w:rPr>
        <w:t xml:space="preserve">gmt </w:t>
      </w:r>
      <w:r>
        <w:t xml:space="preserve">+ </w:t>
      </w:r>
      <w:r>
        <w:rPr>
          <w:i/>
        </w:rPr>
        <w:t>α</w:t>
      </w:r>
      <w:r>
        <w:rPr>
          <w:sz w:val="16"/>
        </w:rPr>
        <w:t>3</w:t>
      </w:r>
      <w:r>
        <w:t>Board</w:t>
      </w:r>
      <w:r>
        <w:rPr>
          <w:i/>
          <w:sz w:val="16"/>
        </w:rPr>
        <w:t xml:space="preserve">gt </w:t>
      </w:r>
      <w:r>
        <w:t>× WR</w:t>
      </w:r>
      <w:r>
        <w:rPr>
          <w:i/>
          <w:sz w:val="16"/>
        </w:rPr>
        <w:t>gmt</w:t>
      </w:r>
    </w:p>
    <w:p w14:paraId="06DEBA7B" w14:textId="77777777" w:rsidR="00555D24" w:rsidRDefault="00000000">
      <w:pPr>
        <w:spacing w:after="70" w:line="265" w:lineRule="auto"/>
        <w:ind w:left="10" w:right="1106"/>
        <w:jc w:val="right"/>
      </w:pPr>
      <w:r>
        <w:t>(6)</w:t>
      </w:r>
    </w:p>
    <w:p w14:paraId="29A4A639" w14:textId="77777777" w:rsidR="00555D24" w:rsidRDefault="00000000">
      <w:pPr>
        <w:spacing w:after="179" w:line="265" w:lineRule="auto"/>
        <w:ind w:left="10" w:right="999"/>
        <w:jc w:val="center"/>
      </w:pPr>
      <w:r>
        <w:t xml:space="preserve">+ </w:t>
      </w:r>
      <w:r>
        <w:rPr>
          <w:i/>
        </w:rPr>
        <w:t>α</w:t>
      </w:r>
      <w:r>
        <w:rPr>
          <w:sz w:val="16"/>
        </w:rPr>
        <w:t>4</w:t>
      </w:r>
      <w:r>
        <w:t>X</w:t>
      </w:r>
      <w:r>
        <w:rPr>
          <w:i/>
          <w:sz w:val="16"/>
        </w:rPr>
        <w:t xml:space="preserve">gsmt </w:t>
      </w:r>
      <w:r>
        <w:t xml:space="preserve">+ </w:t>
      </w:r>
      <w:r>
        <w:rPr>
          <w:i/>
        </w:rPr>
        <w:t>µ</w:t>
      </w:r>
      <w:r>
        <w:rPr>
          <w:i/>
          <w:sz w:val="16"/>
        </w:rPr>
        <w:t xml:space="preserve">t </w:t>
      </w:r>
      <w:r>
        <w:t xml:space="preserve">+ </w:t>
      </w:r>
      <w:r>
        <w:rPr>
          <w:i/>
        </w:rPr>
        <w:t>η</w:t>
      </w:r>
      <w:r>
        <w:rPr>
          <w:i/>
          <w:sz w:val="16"/>
        </w:rPr>
        <w:t xml:space="preserve">gm </w:t>
      </w:r>
      <w:r>
        <w:t xml:space="preserve">+ </w:t>
      </w:r>
      <w:r>
        <w:rPr>
          <w:i/>
        </w:rPr>
        <w:t>ε</w:t>
      </w:r>
      <w:r>
        <w:rPr>
          <w:i/>
          <w:sz w:val="16"/>
        </w:rPr>
        <w:t>gmt</w:t>
      </w:r>
    </w:p>
    <w:p w14:paraId="2C89B29F" w14:textId="77777777" w:rsidR="00555D24" w:rsidRDefault="00000000">
      <w:pPr>
        <w:ind w:left="419" w:right="1106"/>
      </w:pPr>
      <w:r>
        <w:t>Then, from estimates of equations 5 and 6, we can recover the effect of water boards on streamflows, mediated by water rights. Following Baron and Kenny (1986) and Valeri and</w:t>
      </w:r>
    </w:p>
    <w:p w14:paraId="39965667" w14:textId="77777777" w:rsidR="00555D24" w:rsidRDefault="00000000">
      <w:pPr>
        <w:spacing w:after="340" w:line="259" w:lineRule="auto"/>
        <w:ind w:left="419" w:right="1106"/>
      </w:pPr>
      <w:r>
        <w:t>VanderWeele (2013), we define</w:t>
      </w:r>
    </w:p>
    <w:p w14:paraId="577D82AF" w14:textId="77777777" w:rsidR="00555D24" w:rsidRDefault="00000000">
      <w:pPr>
        <w:numPr>
          <w:ilvl w:val="0"/>
          <w:numId w:val="2"/>
        </w:numPr>
        <w:spacing w:after="450" w:line="259" w:lineRule="auto"/>
        <w:ind w:right="1162" w:hanging="279"/>
      </w:pPr>
      <w:r>
        <w:t>Natural Direct Effect of Water Boards on Streamflows:</w:t>
      </w:r>
    </w:p>
    <w:p w14:paraId="050B688B" w14:textId="77777777" w:rsidR="00555D24" w:rsidRDefault="00000000">
      <w:pPr>
        <w:spacing w:after="316" w:line="259" w:lineRule="auto"/>
        <w:ind w:left="1227" w:right="1106"/>
      </w:pPr>
      <w:r>
        <w:rPr>
          <w:rFonts w:ascii="Calibri" w:eastAsia="Calibri" w:hAnsi="Calibri" w:cs="Calibri"/>
        </w:rPr>
        <w:t>E</w:t>
      </w:r>
      <w:r>
        <w:t>[Stream|Board = 1</w:t>
      </w:r>
      <w:r>
        <w:rPr>
          <w:i/>
        </w:rPr>
        <w:t>,</w:t>
      </w:r>
      <w:r>
        <w:t xml:space="preserve">WR(Board = 0)] − </w:t>
      </w:r>
      <w:r>
        <w:rPr>
          <w:rFonts w:ascii="Calibri" w:eastAsia="Calibri" w:hAnsi="Calibri" w:cs="Calibri"/>
        </w:rPr>
        <w:t>E</w:t>
      </w:r>
      <w:r>
        <w:t>[Stream|Board = 0</w:t>
      </w:r>
      <w:r>
        <w:rPr>
          <w:i/>
        </w:rPr>
        <w:t>,</w:t>
      </w:r>
      <w:r>
        <w:t>WR(Board = 0)]</w:t>
      </w:r>
    </w:p>
    <w:p w14:paraId="21B63E5E" w14:textId="77777777" w:rsidR="00555D24" w:rsidRDefault="00000000">
      <w:pPr>
        <w:spacing w:after="352"/>
        <w:ind w:left="1433" w:right="1106"/>
      </w:pPr>
      <w:r>
        <w:t xml:space="preserve">= </w:t>
      </w:r>
      <w:r>
        <w:rPr>
          <w:i/>
        </w:rPr>
        <w:t>α</w:t>
      </w:r>
      <w:r>
        <w:rPr>
          <w:vertAlign w:val="subscript"/>
        </w:rPr>
        <w:t xml:space="preserve">1 </w:t>
      </w:r>
      <w:r>
        <w:t xml:space="preserve">+ </w:t>
      </w:r>
      <w:r>
        <w:rPr>
          <w:i/>
        </w:rPr>
        <w:t>α</w:t>
      </w:r>
      <w:r>
        <w:rPr>
          <w:vertAlign w:val="subscript"/>
        </w:rPr>
        <w:t>3</w:t>
      </w:r>
      <w:r>
        <w:rPr>
          <w:rFonts w:ascii="Calibri" w:eastAsia="Calibri" w:hAnsi="Calibri" w:cs="Calibri"/>
        </w:rPr>
        <w:t>E</w:t>
      </w:r>
      <w:r>
        <w:t>[WR|Board = 0]</w:t>
      </w:r>
    </w:p>
    <w:p w14:paraId="67835385" w14:textId="77777777" w:rsidR="00555D24" w:rsidRDefault="00000000">
      <w:pPr>
        <w:numPr>
          <w:ilvl w:val="0"/>
          <w:numId w:val="2"/>
        </w:numPr>
        <w:spacing w:after="487" w:line="265" w:lineRule="auto"/>
        <w:ind w:right="1162" w:hanging="279"/>
      </w:pPr>
      <w:r>
        <w:t>Natural Indirect Effect of Water Boards on Streamflows, mediated by Water Rights</w:t>
      </w:r>
    </w:p>
    <w:p w14:paraId="3427F813" w14:textId="77777777" w:rsidR="00555D24" w:rsidRDefault="00000000">
      <w:pPr>
        <w:spacing w:after="315" w:line="259" w:lineRule="auto"/>
        <w:ind w:left="1227" w:right="1106"/>
      </w:pPr>
      <w:r>
        <w:rPr>
          <w:rFonts w:ascii="Calibri" w:eastAsia="Calibri" w:hAnsi="Calibri" w:cs="Calibri"/>
        </w:rPr>
        <w:t>E</w:t>
      </w:r>
      <w:r>
        <w:t>[Stream|Board = 1</w:t>
      </w:r>
      <w:r>
        <w:rPr>
          <w:i/>
        </w:rPr>
        <w:t>,</w:t>
      </w:r>
      <w:r>
        <w:t xml:space="preserve">WR(Board = 1)] − </w:t>
      </w:r>
      <w:r>
        <w:rPr>
          <w:rFonts w:ascii="Calibri" w:eastAsia="Calibri" w:hAnsi="Calibri" w:cs="Calibri"/>
        </w:rPr>
        <w:t>E</w:t>
      </w:r>
      <w:r>
        <w:t>[Stream|Board = 1</w:t>
      </w:r>
      <w:r>
        <w:rPr>
          <w:i/>
        </w:rPr>
        <w:t>,</w:t>
      </w:r>
      <w:r>
        <w:t>WR(Board = 0)]</w:t>
      </w:r>
    </w:p>
    <w:p w14:paraId="7C64B3CF" w14:textId="77777777" w:rsidR="00555D24" w:rsidRDefault="00000000">
      <w:pPr>
        <w:spacing w:after="354"/>
        <w:ind w:left="1433" w:right="1106"/>
      </w:pPr>
      <w:r>
        <w:t>= (</w:t>
      </w:r>
      <w:r>
        <w:rPr>
          <w:i/>
        </w:rPr>
        <w:t>α</w:t>
      </w:r>
      <w:r>
        <w:rPr>
          <w:vertAlign w:val="subscript"/>
        </w:rPr>
        <w:t xml:space="preserve">2 </w:t>
      </w:r>
      <w:r>
        <w:t xml:space="preserve">+ </w:t>
      </w:r>
      <w:r>
        <w:rPr>
          <w:i/>
        </w:rPr>
        <w:t>α</w:t>
      </w:r>
      <w:r>
        <w:rPr>
          <w:vertAlign w:val="subscript"/>
        </w:rPr>
        <w:t>3</w:t>
      </w:r>
      <w:r>
        <w:t>) × (</w:t>
      </w:r>
      <w:r>
        <w:rPr>
          <w:rFonts w:ascii="Calibri" w:eastAsia="Calibri" w:hAnsi="Calibri" w:cs="Calibri"/>
        </w:rPr>
        <w:t>E</w:t>
      </w:r>
      <w:r>
        <w:t xml:space="preserve">[WR|Board = 1] − </w:t>
      </w:r>
      <w:r>
        <w:rPr>
          <w:rFonts w:ascii="Calibri" w:eastAsia="Calibri" w:hAnsi="Calibri" w:cs="Calibri"/>
        </w:rPr>
        <w:t>E</w:t>
      </w:r>
      <w:r>
        <w:t>[WR|Board = 0]) = (</w:t>
      </w:r>
      <w:r>
        <w:rPr>
          <w:i/>
        </w:rPr>
        <w:t>α</w:t>
      </w:r>
      <w:r>
        <w:rPr>
          <w:vertAlign w:val="subscript"/>
        </w:rPr>
        <w:t xml:space="preserve">2 </w:t>
      </w:r>
      <w:r>
        <w:t xml:space="preserve">+ </w:t>
      </w:r>
      <w:r>
        <w:rPr>
          <w:i/>
        </w:rPr>
        <w:t>α</w:t>
      </w:r>
      <w:r>
        <w:rPr>
          <w:vertAlign w:val="subscript"/>
        </w:rPr>
        <w:t>3</w:t>
      </w:r>
      <w:r>
        <w:t xml:space="preserve">) × </w:t>
      </w:r>
      <w:r>
        <w:rPr>
          <w:i/>
        </w:rPr>
        <w:t>β</w:t>
      </w:r>
      <w:r>
        <w:rPr>
          <w:vertAlign w:val="subscript"/>
        </w:rPr>
        <w:t>1</w:t>
      </w:r>
    </w:p>
    <w:p w14:paraId="3E531445" w14:textId="77777777" w:rsidR="00555D24" w:rsidRDefault="00000000">
      <w:pPr>
        <w:ind w:left="419" w:right="1106"/>
      </w:pPr>
      <w:r>
        <w:t>The Natural Indirect Effect will be our estimate of the effect of Monitoring over streamflows. If water boards affect streamflows only through these two channels, then the Natural Direct Effect reflects the role of Enforcement.</w:t>
      </w:r>
    </w:p>
    <w:p w14:paraId="143D6F83" w14:textId="77777777" w:rsidR="00555D24" w:rsidRDefault="00000000">
      <w:pPr>
        <w:spacing w:after="493"/>
        <w:ind w:left="409" w:right="1106" w:firstLine="478"/>
      </w:pPr>
      <w:r>
        <w:t>In table 7 we present the results of the mediation exercise. The Natural Indirect Effect of water boards mediated by water rights is an increase of just 0</w:t>
      </w:r>
      <w:r>
        <w:rPr>
          <w:i/>
        </w:rPr>
        <w:t>.</w:t>
      </w:r>
      <w:r>
        <w:t>097</w:t>
      </w:r>
      <w:r>
        <w:rPr>
          <w:i/>
        </w:rPr>
        <w:t>m</w:t>
      </w:r>
      <w:r>
        <w:rPr>
          <w:vertAlign w:val="superscript"/>
        </w:rPr>
        <w:t>3</w:t>
      </w:r>
      <w:r>
        <w:rPr>
          <w:i/>
        </w:rPr>
        <w:t>/s</w:t>
      </w:r>
      <w:r>
        <w:t>; the Natural Direct effect is 0</w:t>
      </w:r>
      <w:r>
        <w:rPr>
          <w:i/>
        </w:rPr>
        <w:t>.</w:t>
      </w:r>
      <w:r>
        <w:t>842</w:t>
      </w:r>
      <w:r>
        <w:rPr>
          <w:i/>
        </w:rPr>
        <w:t>m</w:t>
      </w:r>
      <w:r>
        <w:rPr>
          <w:vertAlign w:val="superscript"/>
        </w:rPr>
        <w:t>3</w:t>
      </w:r>
      <w:r>
        <w:rPr>
          <w:i/>
        </w:rPr>
        <w:t>/s</w:t>
      </w:r>
      <w:r>
        <w:t>. Taken together, these results imply that just 10</w:t>
      </w:r>
      <w:r>
        <w:rPr>
          <w:i/>
        </w:rPr>
        <w:t>.</w:t>
      </w:r>
      <w:r>
        <w:t xml:space="preserve">3% of the total effect of </w:t>
      </w:r>
      <w:r>
        <w:lastRenderedPageBreak/>
        <w:t>water boards on streamflows is mediated by water rights. This suggests a limited role of Monitoring in increasing streamflows, compared to the effects of Enforcement.</w:t>
      </w:r>
    </w:p>
    <w:p w14:paraId="13EBC344" w14:textId="77777777" w:rsidR="00555D24" w:rsidRDefault="00000000">
      <w:pPr>
        <w:pStyle w:val="Ttulo1"/>
        <w:tabs>
          <w:tab w:val="center" w:pos="491"/>
          <w:tab w:val="center" w:pos="2279"/>
        </w:tabs>
        <w:ind w:left="0" w:firstLine="0"/>
      </w:pPr>
      <w:r>
        <w:rPr>
          <w:rFonts w:ascii="Calibri" w:eastAsia="Calibri" w:hAnsi="Calibri" w:cs="Calibri"/>
          <w:b w:val="0"/>
          <w:sz w:val="22"/>
        </w:rPr>
        <w:tab/>
      </w:r>
      <w:r>
        <w:t>5</w:t>
      </w:r>
      <w:r>
        <w:tab/>
        <w:t>Farm level Analysis</w:t>
      </w:r>
    </w:p>
    <w:p w14:paraId="56AED6E7" w14:textId="77777777" w:rsidR="00555D24" w:rsidRDefault="00000000">
      <w:pPr>
        <w:ind w:left="419" w:right="1106"/>
      </w:pPr>
      <w:r>
        <w:t>In this section, we present estimates of the impact of Water Boards on the effective water access of farms in the long run. We show here that our previous results -a short-term increase in streamflows to downstream locations during Summers- translate effectively into increased water access for parcels located downstream, by using a novel Instrumental Variable for the costs of establishing boards.</w:t>
      </w:r>
    </w:p>
    <w:p w14:paraId="0C773589" w14:textId="77777777" w:rsidR="00555D24" w:rsidRDefault="00000000">
      <w:pPr>
        <w:spacing w:after="37"/>
        <w:ind w:left="409" w:right="1106" w:firstLine="478"/>
      </w:pPr>
      <w:r>
        <w:t>Our analysis relies on a novel database, containing more than 75</w:t>
      </w:r>
      <w:r>
        <w:rPr>
          <w:i/>
        </w:rPr>
        <w:t>,</w:t>
      </w:r>
      <w:r>
        <w:t xml:space="preserve">000 parcels located less than 1km away from a canal in the whole area of study (i.e. regions </w:t>
      </w:r>
      <w:r>
        <w:rPr>
          <w:i/>
        </w:rPr>
        <w:t xml:space="preserve">IV </w:t>
      </w:r>
      <w:r>
        <w:t xml:space="preserve">to </w:t>
      </w:r>
      <w:r>
        <w:rPr>
          <w:i/>
        </w:rPr>
        <w:t>IX</w:t>
      </w:r>
      <w:r>
        <w:t>, in Central Chile). We estimate parcel-level water consumption using EEFlux, a new LANDSAT-based product that provides estimates of Evapotranspiration at a 30m resolution every 16 days since 1999 (Allen, Tasumi, and Trezza, 2007; Allen, Morton, Kamble, Kilic, Huntington, Thau, Gorelick, Erickson, Moore, Trezza, and others, 2015). In addition, we also estimate agricultural yield using Enhanced Vegetation Index (EVI) estimates from LANDSAT</w:t>
      </w:r>
    </w:p>
    <w:p w14:paraId="544D8589" w14:textId="77777777" w:rsidR="00555D24" w:rsidRDefault="00000000">
      <w:pPr>
        <w:ind w:left="419" w:right="1106"/>
      </w:pPr>
      <w:r>
        <w:t>7</w:t>
      </w:r>
      <w:r>
        <w:rPr>
          <w:vertAlign w:val="superscript"/>
        </w:rPr>
        <w:footnoteReference w:id="17"/>
      </w:r>
      <w:r>
        <w:t>(Burke and Lobell, 2017; Blakeslee, Dar, Fishman, Malik, Pelegrina, and Singh, 2021). To illustrate the detailed nature of this data, figures 10a and 10b present our estimates of water consumption and agricultural yield (proxied by actual evapotranspiration and EVI, respectively) for all farms in the Aconcagua Basin. In figure 10a we observe a decline in water consumption when comparing upstream (right) to downstream (left) locations. Similarly, figure 10b present a similar decline in yield. However, there is substantial intralocation variation, especially in upstream locations.</w:t>
      </w:r>
    </w:p>
    <w:p w14:paraId="3D08BE86" w14:textId="77777777" w:rsidR="00555D24" w:rsidRDefault="00000000">
      <w:pPr>
        <w:ind w:left="409" w:right="1106" w:firstLine="478"/>
      </w:pPr>
      <w:r>
        <w:t xml:space="preserve">Our conceptual framework implies the existence of heterogeneous effects of Board Establishment according to the location where water users are located. Lawful water users located downstream under the jurisdiction of a Water Board should see increases in water </w:t>
      </w:r>
      <w:r>
        <w:lastRenderedPageBreak/>
        <w:t>access relative to a counterfactual situation without a Water Board, primarily driven by the introduction of property rights enforcement. This corresponds to redistribution from upstream users able to over-extract, to downstream users. The effects over lawful upstream users are less clear: we expect to observe a decrease in water consumption, associated to the same redistribution discussed above, but there might be efficiency gains from other public goods provided by Water Boards, such as legal security and assistance, better records, or improved infrastructure.</w:t>
      </w:r>
    </w:p>
    <w:p w14:paraId="1381E7C9" w14:textId="77777777" w:rsidR="00555D24" w:rsidRDefault="00000000">
      <w:pPr>
        <w:ind w:left="409" w:right="1106" w:firstLine="478"/>
      </w:pPr>
      <w:r>
        <w:t>We will first document cross-sectional differences across locations, to then run a regression analysis exploiting the richness of data available to us. To address endogeneity concerns, we will finally implement an Instrumental Variable approach based on the legal costs of establishing a Water Board.</w:t>
      </w:r>
    </w:p>
    <w:p w14:paraId="79A5B9F8" w14:textId="77777777" w:rsidR="00555D24" w:rsidRDefault="00000000">
      <w:pPr>
        <w:ind w:left="419" w:right="1106"/>
      </w:pPr>
      <w:r>
        <w:rPr>
          <w:rFonts w:ascii="Calibri" w:eastAsia="Calibri" w:hAnsi="Calibri" w:cs="Calibri"/>
          <w:i/>
        </w:rPr>
        <w:t xml:space="preserve">Cross-sectional variation in Water Access. </w:t>
      </w:r>
      <w:r>
        <w:t>Figure 11a corresponds to a Kernel regression of average Evapotranspiration per unit of surface</w:t>
      </w:r>
      <w:r>
        <w:rPr>
          <w:vertAlign w:val="superscript"/>
        </w:rPr>
        <w:t xml:space="preserve">18 </w:t>
      </w:r>
      <w:r>
        <w:t>and the distance to the coast, as a measure of exposure to over-extraction by users located upstream. We can see a decline in the average evapotranspiration as we get closer to the river mouth, reflecting over-extraction by upstream users; however, while basins with Water Boards have a lower average Evapotranspiration, there is no discernible difference in trends between basins with and without Water Boards.</w:t>
      </w:r>
    </w:p>
    <w:p w14:paraId="65DC68E3" w14:textId="77777777" w:rsidR="00555D24" w:rsidRDefault="00000000">
      <w:pPr>
        <w:ind w:left="409" w:right="1106" w:firstLine="478"/>
      </w:pPr>
      <w:r>
        <w:t>Figure 11b presents a measure of total water consumption per parcel, incorporating the heterogeneity in farm operations. The figure now illustrates the main mechanism described in this paper: in the absence of Water Boards, upstream farms extract more water than farms within the jurisdiction of Water Boards, while this relationship reverses downstream, with farms without Water Boards extracting less water than their counterparts subject to a Water Board authority.</w:t>
      </w:r>
    </w:p>
    <w:p w14:paraId="53B0A7CD" w14:textId="77777777" w:rsidR="00555D24" w:rsidRDefault="00000000">
      <w:pPr>
        <w:ind w:left="409" w:right="1106" w:firstLine="478"/>
      </w:pPr>
      <w:r>
        <w:t>This difference in the spatial distribution of Water Consumption translates into differences in hydric stress for crops. Following Allen, Morton, Kamble, Kilic, Huntington, Thau, Gorelick, Erickson, Moore, Trezza, and others (2015), we construct a Water Availability Index by dividing the actual Evapotranspiration by estimates of vegetal biomass using NDVI</w:t>
      </w:r>
      <w:r>
        <w:rPr>
          <w:vertAlign w:val="superscript"/>
        </w:rPr>
        <w:t>19</w:t>
      </w:r>
      <w:r>
        <w:t xml:space="preserve">; this is a measure of how much water is actually receiving the vegetation within an area. We create this index at the farm level, and figure 11c presents a kernel regression between Water </w:t>
      </w:r>
      <w:r>
        <w:lastRenderedPageBreak/>
        <w:t>Availability and distance to the coast. Water Availability is constant in areas under the authority of a Water Board, but for areas without any Water Board, there is decreasing Water Availability as we advance towards the coast.</w:t>
      </w:r>
    </w:p>
    <w:p w14:paraId="3B224D6C" w14:textId="77777777" w:rsidR="00555D24" w:rsidRDefault="00000000">
      <w:pPr>
        <w:ind w:left="409" w:right="1106" w:firstLine="478"/>
      </w:pPr>
      <w:r>
        <w:t>In table 8 we present summary statistics of the farms under analysis. There are no salient differences between treated and control farms, except for the fact that farms under</w:t>
      </w:r>
    </w:p>
    <w:p w14:paraId="2E00FBEE" w14:textId="77777777" w:rsidR="00555D24" w:rsidRDefault="00000000">
      <w:pPr>
        <w:spacing w:after="50" w:line="259" w:lineRule="auto"/>
        <w:ind w:left="411" w:right="0" w:firstLine="0"/>
        <w:jc w:val="left"/>
      </w:pPr>
      <w:r>
        <w:rPr>
          <w:rFonts w:ascii="Calibri" w:eastAsia="Calibri" w:hAnsi="Calibri" w:cs="Calibri"/>
          <w:noProof/>
        </w:rPr>
        <mc:AlternateContent>
          <mc:Choice Requires="wpg">
            <w:drawing>
              <wp:inline distT="0" distB="0" distL="0" distR="0" wp14:anchorId="6D568B35" wp14:editId="2C276106">
                <wp:extent cx="2194522" cy="5055"/>
                <wp:effectExtent l="0" t="0" r="0" b="0"/>
                <wp:docPr id="158221" name="Group 158221"/>
                <wp:cNvGraphicFramePr/>
                <a:graphic xmlns:a="http://schemas.openxmlformats.org/drawingml/2006/main">
                  <a:graphicData uri="http://schemas.microsoft.com/office/word/2010/wordprocessingGroup">
                    <wpg:wgp>
                      <wpg:cNvGrpSpPr/>
                      <wpg:grpSpPr>
                        <a:xfrm>
                          <a:off x="0" y="0"/>
                          <a:ext cx="2194522" cy="5055"/>
                          <a:chOff x="0" y="0"/>
                          <a:chExt cx="2194522" cy="5055"/>
                        </a:xfrm>
                      </wpg:grpSpPr>
                      <wps:wsp>
                        <wps:cNvPr id="1967" name="Shape 1967"/>
                        <wps:cNvSpPr/>
                        <wps:spPr>
                          <a:xfrm>
                            <a:off x="0" y="0"/>
                            <a:ext cx="2194522" cy="0"/>
                          </a:xfrm>
                          <a:custGeom>
                            <a:avLst/>
                            <a:gdLst/>
                            <a:ahLst/>
                            <a:cxnLst/>
                            <a:rect l="0" t="0" r="0" b="0"/>
                            <a:pathLst>
                              <a:path w="2194522">
                                <a:moveTo>
                                  <a:pt x="0" y="0"/>
                                </a:moveTo>
                                <a:lnTo>
                                  <a:pt x="2194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221" style="width:172.797pt;height:0.398pt;mso-position-horizontal-relative:char;mso-position-vertical-relative:line" coordsize="21945,50">
                <v:shape id="Shape 1967" style="position:absolute;width:21945;height:0;left:0;top:0;" coordsize="2194522,0" path="m0,0l2194522,0">
                  <v:stroke weight="0.398pt" endcap="flat" joinstyle="miter" miterlimit="10" on="true" color="#000000"/>
                  <v:fill on="false" color="#000000" opacity="0"/>
                </v:shape>
              </v:group>
            </w:pict>
          </mc:Fallback>
        </mc:AlternateContent>
      </w:r>
    </w:p>
    <w:p w14:paraId="76CDAF2D" w14:textId="77777777" w:rsidR="00555D24" w:rsidRDefault="00000000">
      <w:pPr>
        <w:numPr>
          <w:ilvl w:val="0"/>
          <w:numId w:val="3"/>
        </w:numPr>
        <w:spacing w:after="0" w:line="259" w:lineRule="auto"/>
        <w:ind w:right="553" w:firstLine="176"/>
        <w:jc w:val="left"/>
      </w:pPr>
      <w:r>
        <w:rPr>
          <w:sz w:val="12"/>
        </w:rPr>
        <w:t>2</w:t>
      </w:r>
    </w:p>
    <w:p w14:paraId="4BC649C2" w14:textId="77777777" w:rsidR="00555D24" w:rsidRDefault="00000000">
      <w:pPr>
        <w:spacing w:line="247" w:lineRule="auto"/>
        <w:ind w:left="396" w:right="1106" w:firstLine="332"/>
      </w:pPr>
      <w:r>
        <w:rPr>
          <w:sz w:val="18"/>
        </w:rPr>
        <w:t xml:space="preserve">The unit used corresponds to </w:t>
      </w:r>
      <w:r>
        <w:rPr>
          <w:i/>
          <w:sz w:val="18"/>
        </w:rPr>
        <w:t xml:space="preserve">mm </w:t>
      </w:r>
      <w:r>
        <w:rPr>
          <w:sz w:val="18"/>
        </w:rPr>
        <w:t>of water evaporated per pixel, with pixels measuring 30</w:t>
      </w:r>
      <w:r>
        <w:rPr>
          <w:i/>
          <w:sz w:val="18"/>
        </w:rPr>
        <w:t xml:space="preserve">m </w:t>
      </w:r>
      <w:r>
        <w:rPr>
          <w:sz w:val="18"/>
        </w:rPr>
        <w:t>. Evapotranspiration includes both evaporation of water from the soil and transpiration from the vegetation; as we are including in our sample farms located close to canals in agricultural regions, transpiration will originate mostly from cultivated vegetation. Evaporation, in turn, may happen as long as there is soil moisture available for evaporation; this moisture may come from natural sources -such as rainfall- or artificial ones -such as irrigation. Therefore, Evapotranspiration could be considered an upper bound for water consumption, unless we can measure accurately natural sources of soil moisture; in this paper, we address that by controlling for rainfall during the year and during the summer.</w:t>
      </w:r>
    </w:p>
    <w:p w14:paraId="11086D6C" w14:textId="77777777" w:rsidR="00555D24" w:rsidRDefault="00000000">
      <w:pPr>
        <w:numPr>
          <w:ilvl w:val="0"/>
          <w:numId w:val="3"/>
        </w:numPr>
        <w:spacing w:line="247" w:lineRule="auto"/>
        <w:ind w:right="553" w:firstLine="176"/>
        <w:jc w:val="left"/>
      </w:pPr>
      <w:r>
        <w:rPr>
          <w:sz w:val="18"/>
        </w:rPr>
        <w:t>Allen, Morton, Kamble, Kilic, Huntington, Thau, Gorelick, Erickson, Moore, Trezza, and others (2015) present this index as a Hydric Stress Index, with lower values reflecting more hydric stress; we renamed it for the sake of interpretability.</w:t>
      </w:r>
    </w:p>
    <w:p w14:paraId="0B5A88D3" w14:textId="77777777" w:rsidR="00555D24" w:rsidRDefault="00000000">
      <w:pPr>
        <w:spacing w:after="455"/>
        <w:ind w:left="419" w:right="1106"/>
      </w:pPr>
      <w:r>
        <w:t>water boards seem to face dryer climates, and to have better market access (i.e. being closer to the ports of Valparaiso and San Antonio, and to Santiago, the largest internal consumption market). This is consistent with the idea that Water Boards are adopted in areas where competition for water is stronger, due to scarcity or higher demand. Farms within Water Board jurisdictions seem to be larger. In table A24 we present similar Summary Statistics by location in the basin.</w:t>
      </w:r>
    </w:p>
    <w:p w14:paraId="2B3FD029" w14:textId="77777777" w:rsidR="00555D24" w:rsidRDefault="00000000">
      <w:pPr>
        <w:ind w:left="419" w:right="1106"/>
      </w:pPr>
      <w:r>
        <w:rPr>
          <w:rFonts w:ascii="Calibri" w:eastAsia="Calibri" w:hAnsi="Calibri" w:cs="Calibri"/>
          <w:i/>
        </w:rPr>
        <w:t xml:space="preserve">OLS regressions. </w:t>
      </w:r>
      <w:r>
        <w:t>We further explore these patterns by running OLS regressions of water consumption (i.e. Evapotranspiration) during Summer and agricultural yield</w:t>
      </w:r>
      <w:r>
        <w:rPr>
          <w:vertAlign w:val="superscript"/>
        </w:rPr>
        <w:footnoteReference w:id="18"/>
      </w:r>
      <w:r>
        <w:rPr>
          <w:vertAlign w:val="superscript"/>
        </w:rPr>
        <w:t xml:space="preserve"> </w:t>
      </w:r>
      <w:r>
        <w:t>per area versus an indicator of being under the jurisdiction of a Water Board, interacted with dummies by quantile of basin location, which we measure as the distance to the river mouth through the river network. We include as controls indicators by quantiles of farm surface, precipitation during the full year and the summer, and we also include different cells of fixed effects: at the basin, at 1-degree×1-degree grid cell, and sub-basin level.</w:t>
      </w:r>
    </w:p>
    <w:p w14:paraId="4A216FA3" w14:textId="77777777" w:rsidR="00555D24" w:rsidRDefault="00000000">
      <w:pPr>
        <w:ind w:left="409" w:right="1106" w:firstLine="478"/>
      </w:pPr>
      <w:r>
        <w:t xml:space="preserve">We present the results of the former exercise in figures 12a and </w:t>
      </w:r>
      <w:r>
        <w:rPr>
          <w:b/>
        </w:rPr>
        <w:t xml:space="preserve">?? </w:t>
      </w:r>
      <w:r>
        <w:t xml:space="preserve">for water consumption (i.e total estimated evapotranspiration within the farm divided by the farm area, </w:t>
      </w:r>
      <w:r>
        <w:lastRenderedPageBreak/>
        <w:t>and the logarithm of the total estimated evapotranspiration, respectively). These results are also presented in table A21. Farms with water boards located upstream consume less water per unit of area, but not significantly less total water consumption, than farms located outside Water Board jurisdictions but in similar locations. Farms located downstream, instead, consume more water per unit of area, and moreover, more total water.</w:t>
      </w:r>
    </w:p>
    <w:p w14:paraId="7FC4A9A3" w14:textId="77777777" w:rsidR="00555D24" w:rsidRDefault="00000000">
      <w:pPr>
        <w:ind w:left="409" w:right="1106" w:firstLine="478"/>
      </w:pPr>
      <w:r>
        <w:t>This redistribution of water has economic consequences: figure 12a and 12b present results for agricultural yield (average EVI per pixel within the farm, and the logarithm of the sum of EVI within the farm respectively. These results are also presented in table A22. Farms within Water Boards located upstream have lower yield per area than farms in similar locations but outside Water Board jurisdictions but total yield is not significantly different. Meanwhile, farms located downstream within Water Boards jurisdictions have more yield per area and total yield than those farms in similar locations but outside.</w:t>
      </w:r>
    </w:p>
    <w:p w14:paraId="36ACC1DC" w14:textId="77777777" w:rsidR="00555D24" w:rsidRDefault="00000000">
      <w:pPr>
        <w:spacing w:after="338"/>
        <w:ind w:left="409" w:right="1106" w:firstLine="478"/>
      </w:pPr>
      <w:r>
        <w:t>The increase in water access in downstream locations benefits farmers in those locations, while the reduction in upstream locations does not seem to affect the total water consumption and agricultural output of upstream farms.</w:t>
      </w:r>
    </w:p>
    <w:p w14:paraId="1C95E147" w14:textId="77777777" w:rsidR="00555D24" w:rsidRDefault="00000000">
      <w:pPr>
        <w:pStyle w:val="Ttulo2"/>
        <w:tabs>
          <w:tab w:val="center" w:pos="583"/>
          <w:tab w:val="center" w:pos="2817"/>
        </w:tabs>
        <w:ind w:left="0" w:firstLine="0"/>
      </w:pPr>
      <w:r>
        <w:rPr>
          <w:rFonts w:ascii="Calibri" w:eastAsia="Calibri" w:hAnsi="Calibri" w:cs="Calibri"/>
          <w:b w:val="0"/>
          <w:sz w:val="22"/>
        </w:rPr>
        <w:tab/>
      </w:r>
      <w:r>
        <w:t>5.1</w:t>
      </w:r>
      <w:r>
        <w:tab/>
        <w:t>Instrumental Variable analysis</w:t>
      </w:r>
    </w:p>
    <w:p w14:paraId="3CF017CA" w14:textId="77777777" w:rsidR="00555D24" w:rsidRDefault="00000000">
      <w:pPr>
        <w:ind w:left="419" w:right="1106"/>
      </w:pPr>
      <w:r>
        <w:t>The former analysis suffers from endogeneity, as locations may adopt water boards based on non-observable characteristics that may affect also how water is distributed in the space. Figure 2 illustrates a first example of this: there is a non-linear relationship between Water Boards establishment and water availability. Locations where water is too scarce do not attract enough agricultural activity, and so the demand for water is too low to trigger any conflict; while locations where water is too abundant may attract agricultural activity, but conflict may not escalate under abundance. Similar phenomena may arise from different heterogeneities, such as agricultural suitability, land quality or climate. To address these concerns, we will construct an instrument based on the costs of establishing a new water board in a basin. In this section, we will discuss the legal foundations of this instrument, and later the results of its implementation.</w:t>
      </w:r>
    </w:p>
    <w:p w14:paraId="61CD86A8" w14:textId="77777777" w:rsidR="00555D24" w:rsidRDefault="00000000">
      <w:pPr>
        <w:ind w:left="409" w:right="1106" w:firstLine="478"/>
      </w:pPr>
      <w:r>
        <w:lastRenderedPageBreak/>
        <w:t>We exploit a unique feature of the process of establishment of water boards: the Water Code explicitly states that board establishment may be triggered by an agreement of users or a lawsuit, which shall be presented in front of a judge in the province capital city where the water source is located if a water source is contained within just one province, or in the most upstream province capital city in case the water source crosses province boundaries (Biblioteca del Congreso Nacional, 1981).</w:t>
      </w:r>
    </w:p>
    <w:p w14:paraId="24B3D8EA" w14:textId="77777777" w:rsidR="00555D24" w:rsidRDefault="00000000">
      <w:pPr>
        <w:ind w:left="409" w:right="1106" w:firstLine="478"/>
      </w:pPr>
      <w:r>
        <w:t>In principle, a new Water Board will have jurisdiction over the full extent of the basin (i.e. the area that drains to the mouth of said river) over which it is being established.</w:t>
      </w:r>
    </w:p>
    <w:p w14:paraId="2295427B" w14:textId="77777777" w:rsidR="00555D24" w:rsidRDefault="00000000">
      <w:pPr>
        <w:spacing w:after="466"/>
        <w:ind w:left="419" w:right="1106"/>
      </w:pPr>
      <w:r>
        <w:t>However, the legal process will define endogenously the borders of the potential new Water Board, for example, by users arguing about the starting and ending points of said river</w:t>
      </w:r>
      <w:r>
        <w:rPr>
          <w:vertAlign w:val="superscript"/>
        </w:rPr>
        <w:footnoteReference w:id="19"/>
      </w:r>
      <w:r>
        <w:t>. To address this, we consider the costs of establishing a water board in the full geological basins (i.e. the area that drains to a river mouth in the sea coast), which in all cases run from the Pacific Ocean in the West to the Andes Mountains in the East. As almost all basins will cross province borders, we can identify the most upstream Province Capital City by finding the most eastward province capital city within each basin.</w:t>
      </w:r>
    </w:p>
    <w:p w14:paraId="5324285F" w14:textId="77777777" w:rsidR="00555D24" w:rsidRDefault="00000000">
      <w:pPr>
        <w:ind w:left="419" w:right="1106"/>
      </w:pPr>
      <w:r>
        <w:rPr>
          <w:rFonts w:ascii="Calibri" w:eastAsia="Calibri" w:hAnsi="Calibri" w:cs="Calibri"/>
          <w:i/>
        </w:rPr>
        <w:t xml:space="preserve">Instrument by location. </w:t>
      </w:r>
      <w:r>
        <w:t>Before defining our instrument, is worth remarking an asymmetry that pervades the problem of establishing governance under our setting: only upstream users are able to over-extract, and so only downstream users can be worse-off due to the lack of enforcement</w:t>
      </w:r>
      <w:r>
        <w:rPr>
          <w:vertAlign w:val="superscript"/>
        </w:rPr>
        <w:footnoteReference w:id="20"/>
      </w:r>
      <w:r>
        <w:t>. While downstream users may demand the establishment of a water board, upstream users will not. More important is the fact that the institution is demanded explicitly to impose enforcement over those able to over-extract (i.e. the upstream users). Therefore, while downstream users will demand the establishment of a water board, upstream users will be forced to join it: the institution is imposed upon them.</w:t>
      </w:r>
    </w:p>
    <w:p w14:paraId="2D2DAD7D" w14:textId="77777777" w:rsidR="00555D24" w:rsidRDefault="00000000">
      <w:pPr>
        <w:ind w:left="409" w:right="1106" w:firstLine="478"/>
      </w:pPr>
      <w:r>
        <w:lastRenderedPageBreak/>
        <w:t>The former argument implies that lowering the cost of establishing water boards faced directly by users, in principle, should only affect the likelihood of adoption by downstream users, as upstream users will not demand it. Instead, the adoption of water boards by upstream users should be determined by the costs faced by downstream users. Our instrument for downstream locations consists of the driving distance of the optimal route between a location and said city. Our instrument for upstream locations, instead, will be the average driving distance to the most upstream capital city for the farms located in downstream locations in the same basin.</w:t>
      </w:r>
    </w:p>
    <w:p w14:paraId="4C655A3E" w14:textId="77777777" w:rsidR="00555D24" w:rsidRDefault="00000000">
      <w:pPr>
        <w:ind w:left="409" w:right="1106" w:firstLine="478"/>
      </w:pPr>
      <w:r>
        <w:t>With these instruments for different locations, controlling for geographical characteristics -including basin location-, we can identify the causal effects of the establishment of a Water Board over the compliers (Angrist and Pischke, 2009), who in this case would be 1) farms located in areas where a Water Board is established because downstream agents have a lower cost of establishing it, due to the upstream capital city being located closer, and 2) farms located in areas that do not adopt a Water Board because the upstream capital city is located too far away.</w:t>
      </w:r>
    </w:p>
    <w:p w14:paraId="6743E173" w14:textId="77777777" w:rsidR="00555D24" w:rsidRDefault="00000000">
      <w:pPr>
        <w:ind w:left="409" w:right="1106" w:firstLine="478"/>
      </w:pPr>
      <w:r>
        <w:t>In figure 15 we illustrate the data and our instrument in a white-to-red gradient. In the case of this instrument, we can see how downstream areas that are closer to the most upstream province capital city (in lighter red colors) are eventually under the jurisdiction of a water board, while downstream farms too far from this city are not under the jurisdiction of any board.</w:t>
      </w:r>
    </w:p>
    <w:p w14:paraId="322CEC51" w14:textId="77777777" w:rsidR="00555D24" w:rsidRDefault="00000000">
      <w:pPr>
        <w:spacing w:after="43"/>
        <w:ind w:left="409" w:right="1106" w:firstLine="478"/>
      </w:pPr>
      <w:r>
        <w:t>We estimate different IV models for three different quantiles of the distribution of distance to the river mouth of each basin. We ran separate regressions given that we expect the presence of heterogeneous effects, but more importantly, to mitigate potential SUTVA violations</w:t>
      </w:r>
      <w:r>
        <w:rPr>
          <w:vertAlign w:val="superscript"/>
        </w:rPr>
        <w:footnoteReference w:id="21"/>
      </w:r>
      <w:r>
        <w:rPr>
          <w:vertAlign w:val="superscript"/>
        </w:rPr>
        <w:t xml:space="preserve"> </w:t>
      </w:r>
      <w:r>
        <w:t>.</w:t>
      </w:r>
    </w:p>
    <w:p w14:paraId="0072BCB7" w14:textId="77777777" w:rsidR="00555D24" w:rsidRDefault="00000000">
      <w:pPr>
        <w:spacing w:after="387"/>
        <w:ind w:left="899" w:right="1106"/>
      </w:pPr>
      <w:r>
        <w:lastRenderedPageBreak/>
        <w:t>For downstream locations, the equation is</w:t>
      </w:r>
    </w:p>
    <w:p w14:paraId="4CBE716D" w14:textId="77777777" w:rsidR="00555D24" w:rsidRDefault="00000000">
      <w:pPr>
        <w:spacing w:line="259" w:lineRule="auto"/>
        <w:ind w:left="1209" w:right="1106"/>
      </w:pPr>
      <w:r>
        <w:t>Water Consumption</w:t>
      </w:r>
      <w:r>
        <w:rPr>
          <w:i/>
          <w:vertAlign w:val="subscript"/>
        </w:rPr>
        <w:t xml:space="preserve">igcb </w:t>
      </w:r>
      <w:r>
        <w:t>=</w:t>
      </w:r>
      <w:r>
        <w:rPr>
          <w:i/>
        </w:rPr>
        <w:t>α</w:t>
      </w:r>
      <w:r>
        <w:t>Board</w:t>
      </w:r>
      <w:r>
        <w:rPr>
          <w:i/>
          <w:vertAlign w:val="subscript"/>
        </w:rPr>
        <w:t xml:space="preserve">i </w:t>
      </w:r>
      <w:r>
        <w:t xml:space="preserve">+ </w:t>
      </w:r>
      <w:r>
        <w:rPr>
          <w:i/>
        </w:rPr>
        <w:t>γX</w:t>
      </w:r>
      <w:r>
        <w:rPr>
          <w:i/>
          <w:vertAlign w:val="subscript"/>
        </w:rPr>
        <w:t>i</w:t>
      </w:r>
      <w:r>
        <w:rPr>
          <w:i/>
          <w:vertAlign w:val="superscript"/>
        </w:rPr>
        <w:t xml:space="preserve">d </w:t>
      </w:r>
      <w:r>
        <w:t xml:space="preserve">+ </w:t>
      </w:r>
      <w:r>
        <w:rPr>
          <w:i/>
        </w:rPr>
        <w:t>µ</w:t>
      </w:r>
      <w:r>
        <w:rPr>
          <w:i/>
          <w:vertAlign w:val="subscript"/>
        </w:rPr>
        <w:t xml:space="preserve">g </w:t>
      </w:r>
      <w:r>
        <w:t xml:space="preserve">+ </w:t>
      </w:r>
      <w:r>
        <w:rPr>
          <w:i/>
        </w:rPr>
        <w:t>ε</w:t>
      </w:r>
      <w:r>
        <w:rPr>
          <w:i/>
          <w:vertAlign w:val="subscript"/>
        </w:rPr>
        <w:t>icb</w:t>
      </w:r>
    </w:p>
    <w:p w14:paraId="41123E3D" w14:textId="77777777" w:rsidR="00555D24" w:rsidRDefault="00000000">
      <w:pPr>
        <w:spacing w:after="426" w:line="340" w:lineRule="auto"/>
        <w:ind w:left="2781" w:right="1106" w:firstLine="5991"/>
      </w:pPr>
      <w:r>
        <w:t>(7) Board</w:t>
      </w:r>
      <w:r>
        <w:rPr>
          <w:i/>
          <w:vertAlign w:val="subscript"/>
        </w:rPr>
        <w:t xml:space="preserve">i </w:t>
      </w:r>
      <w:r>
        <w:t>=</w:t>
      </w:r>
      <w:r>
        <w:rPr>
          <w:i/>
        </w:rPr>
        <w:t>β</w:t>
      </w:r>
      <w:r>
        <w:t>Distance Upstream Capital</w:t>
      </w:r>
      <w:r>
        <w:rPr>
          <w:i/>
          <w:vertAlign w:val="subscript"/>
        </w:rPr>
        <w:t xml:space="preserve">ib </w:t>
      </w:r>
      <w:r>
        <w:t xml:space="preserve">+ </w:t>
      </w:r>
      <w:r>
        <w:rPr>
          <w:i/>
        </w:rPr>
        <w:t>δX</w:t>
      </w:r>
      <w:r>
        <w:rPr>
          <w:i/>
          <w:vertAlign w:val="subscript"/>
        </w:rPr>
        <w:t>i</w:t>
      </w:r>
      <w:r>
        <w:rPr>
          <w:i/>
          <w:vertAlign w:val="superscript"/>
        </w:rPr>
        <w:t xml:space="preserve">d </w:t>
      </w:r>
      <w:r>
        <w:t xml:space="preserve">+ </w:t>
      </w:r>
      <w:r>
        <w:rPr>
          <w:i/>
        </w:rPr>
        <w:t>η</w:t>
      </w:r>
      <w:r>
        <w:rPr>
          <w:i/>
          <w:vertAlign w:val="subscript"/>
        </w:rPr>
        <w:t xml:space="preserve">b </w:t>
      </w:r>
      <w:r>
        <w:t xml:space="preserve">+ </w:t>
      </w:r>
      <w:r>
        <w:rPr>
          <w:i/>
        </w:rPr>
        <w:t>u</w:t>
      </w:r>
      <w:r>
        <w:rPr>
          <w:i/>
          <w:vertAlign w:val="subscript"/>
        </w:rPr>
        <w:t>icb</w:t>
      </w:r>
    </w:p>
    <w:p w14:paraId="73EA6EB7" w14:textId="77777777" w:rsidR="00555D24" w:rsidRDefault="00000000">
      <w:pPr>
        <w:ind w:left="419" w:right="1106"/>
      </w:pPr>
      <w:r>
        <w:t xml:space="preserve">where </w:t>
      </w:r>
      <w:r>
        <w:rPr>
          <w:i/>
        </w:rPr>
        <w:t xml:space="preserve">i </w:t>
      </w:r>
      <w:r>
        <w:t xml:space="preserve">denotes farms, </w:t>
      </w:r>
      <w:r>
        <w:rPr>
          <w:i/>
        </w:rPr>
        <w:t xml:space="preserve">c </w:t>
      </w:r>
      <w:r>
        <w:t xml:space="preserve">counties, </w:t>
      </w:r>
      <w:r>
        <w:rPr>
          <w:i/>
        </w:rPr>
        <w:t xml:space="preserve">g </w:t>
      </w:r>
      <w:r>
        <w:t xml:space="preserve">cells in a 1-degree×1-degree grid and </w:t>
      </w:r>
      <w:r>
        <w:rPr>
          <w:i/>
        </w:rPr>
        <w:t xml:space="preserve">b </w:t>
      </w:r>
      <w:r>
        <w:t xml:space="preserve">basins. </w:t>
      </w:r>
      <w:r>
        <w:rPr>
          <w:i/>
        </w:rPr>
        <w:t>X</w:t>
      </w:r>
      <w:r>
        <w:rPr>
          <w:i/>
          <w:vertAlign w:val="subscript"/>
        </w:rPr>
        <w:t>i</w:t>
      </w:r>
      <w:r>
        <w:rPr>
          <w:i/>
          <w:vertAlign w:val="superscript"/>
        </w:rPr>
        <w:t xml:space="preserve">d </w:t>
      </w:r>
      <w:r>
        <w:t>is a vector of farm-level controls including our market access measures (driving distance to Santiago and the main ports); dummies for soil quality quartiles; second-degree polynomials for farm area, annual and summer precipitation; and temperature, measured as extreme heat days”, or the number of days with maximum temperatures above 29 degrees Celsius (Hsiang, 2016). We also control for exposure to over-consumption, by controlling for the distance over the river to the most upstream farm</w:t>
      </w:r>
      <w:r>
        <w:rPr>
          <w:vertAlign w:val="superscript"/>
        </w:rPr>
        <w:footnoteReference w:id="22"/>
      </w:r>
      <w:r>
        <w:t>.</w:t>
      </w:r>
      <w:r>
        <w:rPr>
          <w:i/>
        </w:rPr>
        <w:t>η</w:t>
      </w:r>
      <w:r>
        <w:rPr>
          <w:i/>
          <w:vertAlign w:val="subscript"/>
        </w:rPr>
        <w:t xml:space="preserve">g </w:t>
      </w:r>
      <w:r>
        <w:t xml:space="preserve">is a latitude-longitude cell fixed effect. Our instrument is </w:t>
      </w:r>
      <w:r>
        <w:rPr>
          <w:i/>
        </w:rPr>
        <w:t>DistanceUpstreamCapital</w:t>
      </w:r>
      <w:r>
        <w:t>, the driving distance to the most upstream capital city in the basin. In order to emphasize longer distances relative to shorter distances -which may be sensitive to local features of the road network-, we use as our instrument max{50</w:t>
      </w:r>
      <w:r>
        <w:rPr>
          <w:i/>
        </w:rPr>
        <w:t>,DistanceUpstreamCapital</w:t>
      </w:r>
      <w:r>
        <w:t>} given that corresponds roughly to a 45-minute drive. The results are not sensitive to higher thresholds; imposing lower threshold imply higher second-stage point estimates, with higher standard errors and weaker first stages.</w:t>
      </w:r>
    </w:p>
    <w:p w14:paraId="03A66A68" w14:textId="77777777" w:rsidR="00555D24" w:rsidRDefault="00000000">
      <w:pPr>
        <w:spacing w:after="387"/>
        <w:ind w:left="899" w:right="1106"/>
      </w:pPr>
      <w:r>
        <w:t>For midsection and upstream locations, instead, our main equation is</w:t>
      </w:r>
    </w:p>
    <w:p w14:paraId="224CB814" w14:textId="77777777" w:rsidR="00555D24" w:rsidRDefault="00000000">
      <w:pPr>
        <w:spacing w:after="340" w:line="259" w:lineRule="auto"/>
        <w:ind w:left="419" w:right="1106"/>
      </w:pPr>
      <w:r>
        <w:t>Water Consumption</w:t>
      </w:r>
      <w:r>
        <w:rPr>
          <w:i/>
          <w:vertAlign w:val="subscript"/>
        </w:rPr>
        <w:t xml:space="preserve">igcb </w:t>
      </w:r>
      <w:r>
        <w:t>=</w:t>
      </w:r>
      <w:r>
        <w:rPr>
          <w:i/>
        </w:rPr>
        <w:t>α</w:t>
      </w:r>
      <w:r>
        <w:t>Board</w:t>
      </w:r>
      <w:r>
        <w:rPr>
          <w:i/>
          <w:vertAlign w:val="subscript"/>
        </w:rPr>
        <w:t xml:space="preserve">i </w:t>
      </w:r>
      <w:r>
        <w:t xml:space="preserve">+ </w:t>
      </w:r>
      <w:r>
        <w:rPr>
          <w:i/>
        </w:rPr>
        <w:t>γX</w:t>
      </w:r>
      <w:r>
        <w:rPr>
          <w:i/>
          <w:vertAlign w:val="subscript"/>
        </w:rPr>
        <w:t>i</w:t>
      </w:r>
      <w:r>
        <w:rPr>
          <w:i/>
          <w:vertAlign w:val="superscript"/>
        </w:rPr>
        <w:t xml:space="preserve">d </w:t>
      </w:r>
      <w:r>
        <w:t xml:space="preserve">+ </w:t>
      </w:r>
      <w:r>
        <w:rPr>
          <w:i/>
        </w:rPr>
        <w:t>µ</w:t>
      </w:r>
      <w:r>
        <w:rPr>
          <w:i/>
          <w:vertAlign w:val="subscript"/>
        </w:rPr>
        <w:t xml:space="preserve">g </w:t>
      </w:r>
      <w:r>
        <w:t xml:space="preserve">+ </w:t>
      </w:r>
      <w:r>
        <w:rPr>
          <w:i/>
        </w:rPr>
        <w:t>ε</w:t>
      </w:r>
      <w:r>
        <w:rPr>
          <w:i/>
          <w:vertAlign w:val="subscript"/>
        </w:rPr>
        <w:t>icb</w:t>
      </w:r>
    </w:p>
    <w:p w14:paraId="743E95C1" w14:textId="77777777" w:rsidR="00555D24" w:rsidRDefault="00000000">
      <w:pPr>
        <w:spacing w:after="228" w:line="265" w:lineRule="auto"/>
        <w:ind w:left="10" w:right="860"/>
        <w:jc w:val="right"/>
      </w:pPr>
      <w:r>
        <w:t>Board</w:t>
      </w:r>
      <w:r>
        <w:rPr>
          <w:i/>
          <w:vertAlign w:val="subscript"/>
        </w:rPr>
        <w:t xml:space="preserve">i </w:t>
      </w:r>
      <w:r>
        <w:t>=</w:t>
      </w:r>
      <w:r>
        <w:rPr>
          <w:i/>
        </w:rPr>
        <w:t>β</w:t>
      </w:r>
      <w:r>
        <w:t>Mean(Distance Upstream Capital|downstream)</w:t>
      </w:r>
      <w:r>
        <w:rPr>
          <w:i/>
          <w:vertAlign w:val="subscript"/>
        </w:rPr>
        <w:t xml:space="preserve">b </w:t>
      </w:r>
      <w:r>
        <w:t xml:space="preserve">+ </w:t>
      </w:r>
      <w:r>
        <w:rPr>
          <w:i/>
        </w:rPr>
        <w:t>δX</w:t>
      </w:r>
      <w:r>
        <w:rPr>
          <w:i/>
          <w:vertAlign w:val="subscript"/>
        </w:rPr>
        <w:t>i</w:t>
      </w:r>
      <w:r>
        <w:rPr>
          <w:i/>
          <w:vertAlign w:val="superscript"/>
        </w:rPr>
        <w:t xml:space="preserve">d </w:t>
      </w:r>
      <w:r>
        <w:t xml:space="preserve">+ </w:t>
      </w:r>
      <w:r>
        <w:rPr>
          <w:i/>
        </w:rPr>
        <w:t>η</w:t>
      </w:r>
      <w:r>
        <w:rPr>
          <w:i/>
          <w:vertAlign w:val="subscript"/>
        </w:rPr>
        <w:t xml:space="preserve">b </w:t>
      </w:r>
      <w:r>
        <w:t xml:space="preserve">+ </w:t>
      </w:r>
      <w:r>
        <w:rPr>
          <w:i/>
        </w:rPr>
        <w:t>u</w:t>
      </w:r>
      <w:r>
        <w:rPr>
          <w:i/>
          <w:vertAlign w:val="subscript"/>
        </w:rPr>
        <w:t>icb</w:t>
      </w:r>
    </w:p>
    <w:p w14:paraId="2003F9B0" w14:textId="77777777" w:rsidR="00555D24" w:rsidRDefault="00000000">
      <w:pPr>
        <w:spacing w:after="413" w:line="265" w:lineRule="auto"/>
        <w:ind w:left="10" w:right="1106"/>
        <w:jc w:val="right"/>
      </w:pPr>
      <w:r>
        <w:t>(8)</w:t>
      </w:r>
    </w:p>
    <w:p w14:paraId="538E900E" w14:textId="77777777" w:rsidR="00555D24" w:rsidRDefault="00000000">
      <w:pPr>
        <w:ind w:left="419" w:right="1106"/>
      </w:pPr>
      <w:r>
        <w:lastRenderedPageBreak/>
        <w:t xml:space="preserve">where </w:t>
      </w:r>
      <w:r>
        <w:rPr>
          <w:i/>
        </w:rPr>
        <w:t>Mean</w:t>
      </w:r>
      <w:r>
        <w:t>(</w:t>
      </w:r>
      <w:r>
        <w:rPr>
          <w:i/>
        </w:rPr>
        <w:t>DistanceUpstreamCapital</w:t>
      </w:r>
      <w:r>
        <w:t>|</w:t>
      </w:r>
      <w:r>
        <w:rPr>
          <w:i/>
        </w:rPr>
        <w:t>downstream</w:t>
      </w:r>
      <w:r>
        <w:t>) is the average instrument for downstream locations; all other terms are the same as for downstream locations. We also control for the average exposure of downstream farms.</w:t>
      </w:r>
    </w:p>
    <w:p w14:paraId="1F394EFE" w14:textId="77777777" w:rsidR="00555D24" w:rsidRDefault="00000000">
      <w:pPr>
        <w:spacing w:after="485"/>
        <w:ind w:left="409" w:right="1106" w:firstLine="478"/>
      </w:pPr>
      <w:r>
        <w:t>We address spatial correlation using clustered standard errors by county. To assess the strength of our first stages, we include the first stage robust F-statistic (Kleibergen and Paap, 2006), and following Andrews, Stock, and Sun (2019) we also provide the Effective F-statistic of Olea and Pflueger (2013)</w:t>
      </w:r>
      <w:r>
        <w:rPr>
          <w:vertAlign w:val="superscript"/>
        </w:rPr>
        <w:footnoteReference w:id="23"/>
      </w:r>
      <w:r>
        <w:t>.</w:t>
      </w:r>
    </w:p>
    <w:p w14:paraId="74981AF2" w14:textId="77777777" w:rsidR="00555D24" w:rsidRDefault="00000000">
      <w:pPr>
        <w:ind w:left="419" w:right="1106"/>
      </w:pPr>
      <w:r>
        <w:rPr>
          <w:rFonts w:ascii="Calibri" w:eastAsia="Calibri" w:hAnsi="Calibri" w:cs="Calibri"/>
          <w:i/>
        </w:rPr>
        <w:t xml:space="preserve">IV results. </w:t>
      </w:r>
      <w:r>
        <w:t>Table 9 presents the Instrumental Variable estimates of equations 7 for downstream farms, and 8 for midsection and upstream farms for our measure of water consumption (Evapotranspiration per pixel). Columns 1, 2 and 3 present OLS estimates as benchmarks. Columns 4, 5 and 6 present our main IV estimates by section of the river</w:t>
      </w:r>
    </w:p>
    <w:p w14:paraId="0A4EAA5B" w14:textId="77777777" w:rsidR="00555D24" w:rsidRDefault="00000000">
      <w:pPr>
        <w:spacing w:after="194"/>
        <w:ind w:left="419" w:right="1106"/>
      </w:pPr>
      <w:r>
        <w:t>(Downstream, Mid-section and Upstream, respectively). Column 4 implies that Water Boards increase water consumption by downstream farms on 2</w:t>
      </w:r>
      <w:r>
        <w:rPr>
          <w:i/>
        </w:rPr>
        <w:t>.</w:t>
      </w:r>
      <w:r>
        <w:t>14</w:t>
      </w:r>
      <w:r>
        <w:rPr>
          <w:i/>
        </w:rPr>
        <w:t xml:space="preserve">mm </w:t>
      </w:r>
      <w:r>
        <w:t>per pixel, which represents an increase of almost 60%. Column 5 implies a similar but statistically insignificant increase for mid-section farms, and with a very weak first stage. Column 6 shows a 17% reduction in water consumption for upstream farms. Overall, we observe that once we instrument the presence of a Water Board, we can see an economically significant redistribution from farms located upstream to farms located downstream, but implying even higher economic gains downstream</w:t>
      </w:r>
      <w:r>
        <w:rPr>
          <w:vertAlign w:val="superscript"/>
        </w:rPr>
        <w:footnoteReference w:id="24"/>
      </w:r>
      <w:r>
        <w:t>.</w:t>
      </w:r>
    </w:p>
    <w:p w14:paraId="06EA2307" w14:textId="77777777" w:rsidR="00555D24" w:rsidRDefault="00000000">
      <w:pPr>
        <w:ind w:left="409" w:right="1106" w:firstLine="478"/>
      </w:pPr>
      <w:r>
        <w:t>In table 10 we present similar results for our measure of agricultural yield per area (EVI per pixel). The results are similar, but suggest that there presence of decreasing returns to scale on water consumption: there is an increase of 18% in yield for farms located downstream, but a reduction of just 4% among upstream farms</w:t>
      </w:r>
      <w:r>
        <w:rPr>
          <w:vertAlign w:val="superscript"/>
        </w:rPr>
        <w:footnoteReference w:id="25"/>
      </w:r>
      <w:r>
        <w:t xml:space="preserve">. Midsection farms see an </w:t>
      </w:r>
      <w:r>
        <w:lastRenderedPageBreak/>
        <w:t>non-significant increase similar to downstream farms, but the F-test suggest the presence of a weak instruments problem.</w:t>
      </w:r>
    </w:p>
    <w:p w14:paraId="5F4E7F56" w14:textId="77777777" w:rsidR="00555D24" w:rsidRDefault="00000000">
      <w:pPr>
        <w:spacing w:after="338"/>
        <w:ind w:left="409" w:right="1106" w:firstLine="478"/>
      </w:pPr>
      <w:r>
        <w:t>These results imply a substantial increase in water consumption for downstream farms, which translates into increased yields. Our results also suggest that upstream locations see smaller reductions in water access, that do not translate into reductions in yield. There are several potential reasons for observing net increases in water consumption and yield (i.e. the benefits for downstream farmers being greater than for upstream farmers), being the most plausible complementarities between reliable water provision and individual and colective investments (e.g. Karlan, Osei, Osei-Akoto, and Udry, 2014). We will discuss this channel in the Mechanisms subsection.</w:t>
      </w:r>
    </w:p>
    <w:p w14:paraId="6177DE22" w14:textId="77777777" w:rsidR="00555D24" w:rsidRDefault="00000000">
      <w:pPr>
        <w:pStyle w:val="Ttulo2"/>
        <w:tabs>
          <w:tab w:val="center" w:pos="583"/>
          <w:tab w:val="center" w:pos="3104"/>
        </w:tabs>
        <w:ind w:left="0" w:firstLine="0"/>
      </w:pPr>
      <w:r>
        <w:rPr>
          <w:rFonts w:ascii="Calibri" w:eastAsia="Calibri" w:hAnsi="Calibri" w:cs="Calibri"/>
          <w:b w:val="0"/>
          <w:sz w:val="22"/>
        </w:rPr>
        <w:tab/>
      </w:r>
      <w:r>
        <w:t>5.2</w:t>
      </w:r>
      <w:r>
        <w:tab/>
        <w:t>Distributive effects of water boards</w:t>
      </w:r>
    </w:p>
    <w:p w14:paraId="4E919AAA" w14:textId="77777777" w:rsidR="00555D24" w:rsidRDefault="00000000">
      <w:pPr>
        <w:ind w:left="419" w:right="1106"/>
      </w:pPr>
      <w:r>
        <w:t>In the previous section, we explored the extent of redistribution implemented by Water Boards in a geographical dimension: redistribution from upstream users to downstream users. We will call this vertical redistribution. We can consider also horizontal redistribution, i.e. redistribution across users at the same location. We will focus now on one important dimension of horizontal redistribution: between smaller and larger farms. While understanding the impacts on inequality of property rights institutions in the context of a developing economy is important in itself (e.g. Besley and Burgess (2000)), it is particularly relevant in this context, given that the “the jure” power structure reflects directly the ownership distribution. It is possible, however, that the internal political economy of these organizations implies non-obvious distributional consequences (e.g. (Banerjee, Mookherjee, Munshi, and Ray, 2001)). Our farm data allows us to identify these potential redistribution dynamics by measuring directly water consumption across users.</w:t>
      </w:r>
    </w:p>
    <w:p w14:paraId="42E73D34" w14:textId="77777777" w:rsidR="00555D24" w:rsidRDefault="00000000">
      <w:pPr>
        <w:ind w:left="409" w:right="1106" w:firstLine="478"/>
      </w:pPr>
      <w:r>
        <w:t xml:space="preserve">To understand better the incentives faced by small and large farmers to create Water Boards, in figure 16 we plot the average farm size by location in the basin, separately for farms located close and far from the river (i.e. below and above 3.5 kilometers of distance to the river that feeds the canal). The position within the canal matters, as those located farther in the canal will be among the first ones to lose water access if water supply is insufficient. The </w:t>
      </w:r>
      <w:r>
        <w:lastRenderedPageBreak/>
        <w:t>first observation is that for farms closer to the river, farm sizes are similar for areas with and without water boards, and the largest farms are found in upstream locations. However, when looking at areas farther from the river, we see divergence across locations with and without boards at both extremes of the basin: for areas with water boards, the distribution follows a U-shape pattern, while for areas without boards, it follows an inverted U. Farm size is larger among farms within water boards than outside, too.</w:t>
      </w:r>
    </w:p>
    <w:p w14:paraId="3C23DEBD" w14:textId="77777777" w:rsidR="00555D24" w:rsidRDefault="00000000">
      <w:pPr>
        <w:ind w:left="409" w:right="1106" w:firstLine="478"/>
      </w:pPr>
      <w:r>
        <w:t>Smaller farms in downstream locations may lack the resources needed to create or mantain a water board, and upstream farms of smaller scale may lack the capacity to overextract at a scale that makes worthwhile for downstream users to demand the creation of a Water Board. At the same time, large downstream farms far from the river can receive the largest benefits from reliable water access. This pattern suggests that Water Boards emerge as a result of intra-elite conflict: between the largest upstream users -who can over-extractand the largest users downstream -who can invest in the creation of the organization. Given the structure of votes within a Water Board -proportional to the ownership of water rightswe may expect control by the elite, but with representation across locations</w:t>
      </w:r>
      <w:r>
        <w:rPr>
          <w:vertAlign w:val="superscript"/>
        </w:rPr>
        <w:footnoteReference w:id="26"/>
      </w:r>
      <w:r>
        <w:t>.</w:t>
      </w:r>
    </w:p>
    <w:p w14:paraId="4724D340" w14:textId="77777777" w:rsidR="00555D24" w:rsidRDefault="00000000">
      <w:pPr>
        <w:spacing w:after="154"/>
        <w:ind w:left="409" w:right="1106" w:firstLine="478"/>
      </w:pPr>
      <w:r>
        <w:t>In table 31 we use our Instrumental Variable approach separately by farm size: columns 1, 2 and 3 present the IV estimates for farms below the Median of the farm area distribution, while columns 4, 5 and 6 present the same results but for farms above the percentile 90</w:t>
      </w:r>
      <w:r>
        <w:rPr>
          <w:vertAlign w:val="superscript"/>
        </w:rPr>
        <w:footnoteReference w:id="27"/>
      </w:r>
      <w:r>
        <w:t>. To address concerns regarding the scale of each operation, we consider the average consumption of water per unit of area as our outcome measure.</w:t>
      </w:r>
    </w:p>
    <w:p w14:paraId="6AC908E0" w14:textId="77777777" w:rsidR="00555D24" w:rsidRDefault="00000000">
      <w:pPr>
        <w:ind w:left="409" w:right="1106" w:firstLine="478"/>
      </w:pPr>
      <w:r>
        <w:t xml:space="preserve">We find that both smaller and larger downstream farms increase their water consumption, but the increase is substantially higher for larger farms: while for small farms the increase in water consumption per pixel is 56%, for larger farms this increase is almost 85%. On the other side, we see that although smaller and larger upstream farms reduce their </w:t>
      </w:r>
      <w:r>
        <w:lastRenderedPageBreak/>
        <w:t>water consumption, the reduction is stronger for smaller farms: while smaller farms reduce their water consumption per pixel by 22%, larger farms decrease it only by 8%.</w:t>
      </w:r>
    </w:p>
    <w:p w14:paraId="3D667648" w14:textId="77777777" w:rsidR="00555D24" w:rsidRDefault="00000000">
      <w:pPr>
        <w:spacing w:after="496"/>
        <w:ind w:left="409" w:right="1106" w:firstLine="478"/>
      </w:pPr>
      <w:r>
        <w:t>In table 12 we repeat the exercise for yield per area as our outcome, with similar conclusions. While downstream small farms do not have a statistically significant (although the increase in yield is 28%), large farms increase by 58%. Meanwhile, in upstream areas, small farms reduce their yield by almost 8%, large farms do not see a reduction at all. In summary, the largest benefits are captured by downstream large farms, while the largest costs of the redistribution in place are beared by upstream smaller farms.</w:t>
      </w:r>
    </w:p>
    <w:p w14:paraId="1ED47A35" w14:textId="77777777" w:rsidR="00555D24" w:rsidRDefault="00000000">
      <w:pPr>
        <w:pStyle w:val="Ttulo1"/>
        <w:tabs>
          <w:tab w:val="center" w:pos="491"/>
          <w:tab w:val="center" w:pos="2191"/>
        </w:tabs>
        <w:ind w:left="0" w:firstLine="0"/>
      </w:pPr>
      <w:r>
        <w:rPr>
          <w:rFonts w:ascii="Calibri" w:eastAsia="Calibri" w:hAnsi="Calibri" w:cs="Calibri"/>
          <w:b w:val="0"/>
          <w:sz w:val="22"/>
        </w:rPr>
        <w:tab/>
      </w:r>
      <w:r>
        <w:t>6</w:t>
      </w:r>
      <w:r>
        <w:tab/>
        <w:t>Misallocation Test</w:t>
      </w:r>
    </w:p>
    <w:p w14:paraId="5860F2C2" w14:textId="77777777" w:rsidR="00555D24" w:rsidRDefault="00000000">
      <w:pPr>
        <w:ind w:left="419" w:right="1106"/>
      </w:pPr>
      <w:r>
        <w:t>In this section, we provide evidence of water misallocation in areas without water boards, which is absent in areas with water boards. We propose a test of misallocation based on the idea that if irrigation water can be reallocated within a basin through a frictionless market, the marginal productivity of water (MPW) should be equalized within the basin.</w:t>
      </w:r>
    </w:p>
    <w:p w14:paraId="1A4DDC76" w14:textId="77777777" w:rsidR="00555D24" w:rsidRDefault="00000000">
      <w:pPr>
        <w:ind w:left="409" w:right="1106" w:firstLine="478"/>
      </w:pPr>
      <w:r>
        <w:t>The full argument is as follows</w:t>
      </w:r>
      <w:r>
        <w:rPr>
          <w:vertAlign w:val="superscript"/>
        </w:rPr>
        <w:t>30</w:t>
      </w:r>
      <w:r>
        <w:t>: first, consider the problem of a farmer choosing the amount of water rights to acquire at the beginning of the season, knowing that they define the maximum amount of irrigation the farmer could use during the irrigation season. Rainfall is a perfect substitute for irrigation water, up to a rate of substitution, but it falls according to a known random distribution(Rafey, 2023a). The First Order Condition of this problem is that the farmer acquires water rights such that the expected marginal productivity of water is equal to the expected shadow value of water in the irrigation season. Second, the effect of an unexpected rainfall shock during the irrigation season is equal to the marginal productivity of water (up to the rate of technical substitution between rainfall and</w:t>
      </w:r>
    </w:p>
    <w:p w14:paraId="380F687E" w14:textId="77777777" w:rsidR="00555D24" w:rsidRDefault="00000000">
      <w:pPr>
        <w:spacing w:after="85" w:line="259" w:lineRule="auto"/>
        <w:ind w:left="411" w:right="0" w:firstLine="0"/>
        <w:jc w:val="left"/>
      </w:pPr>
      <w:r>
        <w:rPr>
          <w:rFonts w:ascii="Calibri" w:eastAsia="Calibri" w:hAnsi="Calibri" w:cs="Calibri"/>
          <w:noProof/>
        </w:rPr>
        <mc:AlternateContent>
          <mc:Choice Requires="wpg">
            <w:drawing>
              <wp:inline distT="0" distB="0" distL="0" distR="0" wp14:anchorId="7DC1E4E3" wp14:editId="1276E422">
                <wp:extent cx="2194522" cy="5055"/>
                <wp:effectExtent l="0" t="0" r="0" b="0"/>
                <wp:docPr id="152155" name="Group 152155"/>
                <wp:cNvGraphicFramePr/>
                <a:graphic xmlns:a="http://schemas.openxmlformats.org/drawingml/2006/main">
                  <a:graphicData uri="http://schemas.microsoft.com/office/word/2010/wordprocessingGroup">
                    <wpg:wgp>
                      <wpg:cNvGrpSpPr/>
                      <wpg:grpSpPr>
                        <a:xfrm>
                          <a:off x="0" y="0"/>
                          <a:ext cx="2194522" cy="5055"/>
                          <a:chOff x="0" y="0"/>
                          <a:chExt cx="2194522" cy="5055"/>
                        </a:xfrm>
                      </wpg:grpSpPr>
                      <wps:wsp>
                        <wps:cNvPr id="2491" name="Shape 2491"/>
                        <wps:cNvSpPr/>
                        <wps:spPr>
                          <a:xfrm>
                            <a:off x="0" y="0"/>
                            <a:ext cx="2194522" cy="0"/>
                          </a:xfrm>
                          <a:custGeom>
                            <a:avLst/>
                            <a:gdLst/>
                            <a:ahLst/>
                            <a:cxnLst/>
                            <a:rect l="0" t="0" r="0" b="0"/>
                            <a:pathLst>
                              <a:path w="2194522">
                                <a:moveTo>
                                  <a:pt x="0" y="0"/>
                                </a:moveTo>
                                <a:lnTo>
                                  <a:pt x="2194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155" style="width:172.797pt;height:0.398pt;mso-position-horizontal-relative:char;mso-position-vertical-relative:line" coordsize="21945,50">
                <v:shape id="Shape 2491" style="position:absolute;width:21945;height:0;left:0;top:0;" coordsize="2194522,0" path="m0,0l2194522,0">
                  <v:stroke weight="0.398pt" endcap="flat" joinstyle="miter" miterlimit="10" on="true" color="#000000"/>
                  <v:fill on="false" color="#000000" opacity="0"/>
                </v:shape>
              </v:group>
            </w:pict>
          </mc:Fallback>
        </mc:AlternateContent>
      </w:r>
    </w:p>
    <w:p w14:paraId="42288A82" w14:textId="77777777" w:rsidR="00555D24" w:rsidRDefault="00000000">
      <w:pPr>
        <w:spacing w:line="247" w:lineRule="auto"/>
        <w:ind w:left="582" w:right="2944" w:hanging="186"/>
      </w:pPr>
      <w:r>
        <w:rPr>
          <w:sz w:val="18"/>
        </w:rPr>
        <w:t xml:space="preserve">estimates- for smaller farms, given that the pixel size is the same for all farms. </w:t>
      </w:r>
      <w:r>
        <w:rPr>
          <w:sz w:val="18"/>
          <w:vertAlign w:val="superscript"/>
        </w:rPr>
        <w:t>30</w:t>
      </w:r>
      <w:r>
        <w:rPr>
          <w:sz w:val="18"/>
        </w:rPr>
        <w:t>The details of the theoretical model are included in Appendix A</w:t>
      </w:r>
    </w:p>
    <w:p w14:paraId="285663D0" w14:textId="77777777" w:rsidR="00555D24" w:rsidRDefault="00000000">
      <w:pPr>
        <w:ind w:left="419" w:right="1106"/>
      </w:pPr>
      <w:r>
        <w:t>irrigation water), as a consequence of the Envelope Theorem combined with the presence of fixed inputs (Hsiang, 2016; Deryugina and Hsiang, 2017). Finally, a benevolent Social Planner maximizing the total value of the production by society will equate the shadow values of water across users.</w:t>
      </w:r>
    </w:p>
    <w:p w14:paraId="153FDA16" w14:textId="77777777" w:rsidR="00555D24" w:rsidRDefault="00000000">
      <w:pPr>
        <w:ind w:left="409" w:right="1106" w:firstLine="478"/>
      </w:pPr>
      <w:r>
        <w:lastRenderedPageBreak/>
        <w:t>We can test the null hypothesis of equal average marginal productivity of water across locations by identifying unexpected rainfall shocks by position within the basin, for treated and control areas, and then to measure their impact over profits; the semielasticity of profits to these rainfall shocks will equate the marginal value of water (Deryugina and Hsiang, 2017). Our Agricultural Census data do not measure the effective water input for each parcel; but as rainfall is a perfect substitute for irrigation water, up to an absorption rate</w:t>
      </w:r>
    </w:p>
    <w:p w14:paraId="4D9E4852" w14:textId="77777777" w:rsidR="00555D24" w:rsidRDefault="00000000">
      <w:pPr>
        <w:ind w:left="419" w:right="1106"/>
      </w:pPr>
      <w:r>
        <w:t>(equal to the marginal rate of technical substitution between rainfall and irrigation water) (Rafey, 2023b), we exploit the timing of rainfall to get within county variation in water input received during the irrigation season -which we call “useful rainfall”- at the parcel level across the production cycle. This will allow us to test for differences in the average shadow value of water among farms with canal-based irrigation and with water rights, in different locations in the same basin.</w:t>
      </w:r>
    </w:p>
    <w:p w14:paraId="4C4952D2" w14:textId="77777777" w:rsidR="00555D24" w:rsidRDefault="00000000">
      <w:pPr>
        <w:ind w:left="409" w:right="1106" w:firstLine="478"/>
      </w:pPr>
      <w:r>
        <w:t>County fixed effects will capture common shocks to all farms and average expectations, and individual farm controls will capture long term and short term determinants of output. One threat to our identification strategy is the presence of imbalances: farmers may try to match the pattern of rainfalls to optimize their water(</w:t>
      </w:r>
      <w:r>
        <w:rPr>
          <w:b/>
        </w:rPr>
        <w:t>?</w:t>
      </w:r>
      <w:r>
        <w:t>); if our controls do not capture their information, then it is possible to have biased estimates. In table 14 we present a Balance Table for useful rainfall, after including all our controls: other than a decrease in rainfall as we move from the coast to upstream locations, there is no significant differential rainfall pattern between counties with and without water boards.</w:t>
      </w:r>
    </w:p>
    <w:p w14:paraId="33FB24BF" w14:textId="77777777" w:rsidR="00555D24" w:rsidRDefault="00000000">
      <w:pPr>
        <w:spacing w:after="185"/>
        <w:ind w:left="409" w:right="1106" w:firstLine="478"/>
      </w:pPr>
      <w:r>
        <w:t>We implement our misallocation test using the 2007 Chilean Agricultural Census, which contains a rich set of technology and input choices (including irrigation technology, planted surface, hired and total workers, machinery use and property of water rights), which we combined with soil quality estimates and daily climate data at the county level, including precipitation and temperature by calendar day. The sample for the estimation includes farms with irrigation from canals, owning or renting water rights and with a cultivated area below 50 hectares</w:t>
      </w:r>
      <w:r>
        <w:rPr>
          <w:vertAlign w:val="superscript"/>
        </w:rPr>
        <w:footnoteReference w:id="28"/>
      </w:r>
      <w:r>
        <w:t>.</w:t>
      </w:r>
    </w:p>
    <w:p w14:paraId="44BD80CA" w14:textId="77777777" w:rsidR="00555D24" w:rsidRDefault="00000000">
      <w:pPr>
        <w:spacing w:after="265" w:line="259" w:lineRule="auto"/>
        <w:ind w:left="899" w:right="1106"/>
      </w:pPr>
      <w:r>
        <w:lastRenderedPageBreak/>
        <w:t>We estimate</w:t>
      </w:r>
    </w:p>
    <w:p w14:paraId="35029136" w14:textId="77777777" w:rsidR="00555D24" w:rsidRDefault="00000000">
      <w:pPr>
        <w:tabs>
          <w:tab w:val="center" w:pos="2138"/>
          <w:tab w:val="center" w:pos="5565"/>
        </w:tabs>
        <w:spacing w:after="209" w:line="259" w:lineRule="auto"/>
        <w:ind w:left="0" w:right="0" w:firstLine="0"/>
        <w:jc w:val="left"/>
      </w:pPr>
      <w:r>
        <w:rPr>
          <w:rFonts w:ascii="Calibri" w:eastAsia="Calibri" w:hAnsi="Calibri" w:cs="Calibri"/>
        </w:rPr>
        <w:tab/>
      </w:r>
      <w:r>
        <w:rPr>
          <w:noProof/>
        </w:rPr>
        <w:drawing>
          <wp:inline distT="0" distB="0" distL="0" distR="0" wp14:anchorId="761AB601" wp14:editId="79C53367">
            <wp:extent cx="1487424" cy="371856"/>
            <wp:effectExtent l="0" t="0" r="0" b="0"/>
            <wp:docPr id="236677" name="Picture 236677"/>
            <wp:cNvGraphicFramePr/>
            <a:graphic xmlns:a="http://schemas.openxmlformats.org/drawingml/2006/main">
              <a:graphicData uri="http://schemas.openxmlformats.org/drawingml/2006/picture">
                <pic:pic xmlns:pic="http://schemas.openxmlformats.org/drawingml/2006/picture">
                  <pic:nvPicPr>
                    <pic:cNvPr id="236677" name="Picture 236677"/>
                    <pic:cNvPicPr/>
                  </pic:nvPicPr>
                  <pic:blipFill>
                    <a:blip r:embed="rId10"/>
                    <a:stretch>
                      <a:fillRect/>
                    </a:stretch>
                  </pic:blipFill>
                  <pic:spPr>
                    <a:xfrm>
                      <a:off x="0" y="0"/>
                      <a:ext cx="1487424" cy="371856"/>
                    </a:xfrm>
                    <a:prstGeom prst="rect">
                      <a:avLst/>
                    </a:prstGeom>
                  </pic:spPr>
                </pic:pic>
              </a:graphicData>
            </a:graphic>
          </wp:inline>
        </w:drawing>
      </w:r>
      <w:r>
        <w:rPr>
          <w:rFonts w:ascii="Calibri" w:eastAsia="Calibri" w:hAnsi="Calibri" w:cs="Calibri"/>
          <w:noProof/>
        </w:rPr>
        <mc:AlternateContent>
          <mc:Choice Requires="wpg">
            <w:drawing>
              <wp:inline distT="0" distB="0" distL="0" distR="0" wp14:anchorId="1D51FE1E" wp14:editId="6D8E7693">
                <wp:extent cx="520700" cy="5537"/>
                <wp:effectExtent l="0" t="0" r="0" b="0"/>
                <wp:docPr id="155229" name="Group 155229"/>
                <wp:cNvGraphicFramePr/>
                <a:graphic xmlns:a="http://schemas.openxmlformats.org/drawingml/2006/main">
                  <a:graphicData uri="http://schemas.microsoft.com/office/word/2010/wordprocessingGroup">
                    <wpg:wgp>
                      <wpg:cNvGrpSpPr/>
                      <wpg:grpSpPr>
                        <a:xfrm>
                          <a:off x="0" y="0"/>
                          <a:ext cx="520700" cy="5537"/>
                          <a:chOff x="0" y="0"/>
                          <a:chExt cx="520700" cy="5537"/>
                        </a:xfrm>
                      </wpg:grpSpPr>
                      <wps:wsp>
                        <wps:cNvPr id="2569" name="Shape 2569"/>
                        <wps:cNvSpPr/>
                        <wps:spPr>
                          <a:xfrm>
                            <a:off x="0" y="0"/>
                            <a:ext cx="520700" cy="0"/>
                          </a:xfrm>
                          <a:custGeom>
                            <a:avLst/>
                            <a:gdLst/>
                            <a:ahLst/>
                            <a:cxnLst/>
                            <a:rect l="0" t="0" r="0" b="0"/>
                            <a:pathLst>
                              <a:path w="520700">
                                <a:moveTo>
                                  <a:pt x="0" y="0"/>
                                </a:moveTo>
                                <a:lnTo>
                                  <a:pt x="520700"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229" style="width:41pt;height:0.436pt;mso-position-horizontal-relative:char;mso-position-vertical-relative:line" coordsize="5207,55">
                <v:shape id="Shape 2569" style="position:absolute;width:5207;height:0;left:0;top:0;" coordsize="520700,0" path="m0,0l520700,0">
                  <v:stroke weight="0.436pt" endcap="flat" joinstyle="miter" miterlimit="10" on="true" color="#000000"/>
                  <v:fill on="false" color="#000000" opacity="0"/>
                </v:shape>
              </v:group>
            </w:pict>
          </mc:Fallback>
        </mc:AlternateContent>
      </w:r>
      <w:r>
        <w:tab/>
        <w:t>Board</w:t>
      </w:r>
      <w:r>
        <w:rPr>
          <w:i/>
          <w:vertAlign w:val="subscript"/>
        </w:rPr>
        <w:t xml:space="preserve">c </w:t>
      </w:r>
      <w:r>
        <w:t xml:space="preserve">+ </w:t>
      </w:r>
      <w:r>
        <w:rPr>
          <w:i/>
        </w:rPr>
        <w:t>β</w:t>
      </w:r>
      <w:r>
        <w:rPr>
          <w:vertAlign w:val="subscript"/>
        </w:rPr>
        <w:t>2</w:t>
      </w:r>
      <w:r>
        <w:t>Useful Rain</w:t>
      </w:r>
      <w:r>
        <w:rPr>
          <w:i/>
          <w:vertAlign w:val="subscript"/>
        </w:rPr>
        <w:t xml:space="preserve">rc </w:t>
      </w:r>
      <w:r>
        <w:t xml:space="preserve">+ </w:t>
      </w:r>
      <w:r>
        <w:rPr>
          <w:i/>
        </w:rPr>
        <w:t>β</w:t>
      </w:r>
      <w:r>
        <w:rPr>
          <w:vertAlign w:val="subscript"/>
        </w:rPr>
        <w:t>3</w:t>
      </w:r>
      <w:r>
        <w:t>Distance to Sea</w:t>
      </w:r>
      <w:r>
        <w:rPr>
          <w:i/>
          <w:vertAlign w:val="subscript"/>
        </w:rPr>
        <w:t>c</w:t>
      </w:r>
    </w:p>
    <w:p w14:paraId="3E899790" w14:textId="77777777" w:rsidR="00555D24" w:rsidRDefault="00000000">
      <w:pPr>
        <w:spacing w:after="279" w:line="259" w:lineRule="auto"/>
        <w:ind w:left="2875" w:right="1106"/>
      </w:pPr>
      <w:r>
        <w:t xml:space="preserve">+ </w:t>
      </w:r>
      <w:r>
        <w:rPr>
          <w:i/>
        </w:rPr>
        <w:t>β</w:t>
      </w:r>
      <w:r>
        <w:rPr>
          <w:vertAlign w:val="subscript"/>
        </w:rPr>
        <w:t>4</w:t>
      </w:r>
      <w:r>
        <w:t>Board</w:t>
      </w:r>
      <w:r>
        <w:rPr>
          <w:i/>
          <w:vertAlign w:val="subscript"/>
        </w:rPr>
        <w:t xml:space="preserve">c </w:t>
      </w:r>
      <w:r>
        <w:t>× Useful Rain</w:t>
      </w:r>
      <w:r>
        <w:rPr>
          <w:i/>
          <w:vertAlign w:val="subscript"/>
        </w:rPr>
        <w:t xml:space="preserve">rc </w:t>
      </w:r>
      <w:r>
        <w:t xml:space="preserve">+ </w:t>
      </w:r>
      <w:r>
        <w:rPr>
          <w:i/>
        </w:rPr>
        <w:t>β</w:t>
      </w:r>
      <w:r>
        <w:rPr>
          <w:vertAlign w:val="subscript"/>
        </w:rPr>
        <w:t>5</w:t>
      </w:r>
      <w:r>
        <w:t>Board</w:t>
      </w:r>
      <w:r>
        <w:rPr>
          <w:i/>
          <w:vertAlign w:val="subscript"/>
        </w:rPr>
        <w:t xml:space="preserve">c </w:t>
      </w:r>
      <w:r>
        <w:t>× Distance to Sea</w:t>
      </w:r>
      <w:r>
        <w:rPr>
          <w:i/>
          <w:vertAlign w:val="subscript"/>
        </w:rPr>
        <w:t>c</w:t>
      </w:r>
    </w:p>
    <w:p w14:paraId="3F884C13" w14:textId="77777777" w:rsidR="00555D24" w:rsidRDefault="00000000">
      <w:pPr>
        <w:spacing w:after="277" w:line="262" w:lineRule="auto"/>
        <w:ind w:left="772" w:right="1655"/>
        <w:jc w:val="center"/>
      </w:pPr>
      <w:r>
        <w:t xml:space="preserve">+ </w:t>
      </w:r>
      <w:r>
        <w:rPr>
          <w:i/>
        </w:rPr>
        <w:t>β</w:t>
      </w:r>
      <w:r>
        <w:rPr>
          <w:vertAlign w:val="subscript"/>
        </w:rPr>
        <w:t>6</w:t>
      </w:r>
      <w:r>
        <w:t>Useful Rain</w:t>
      </w:r>
      <w:r>
        <w:rPr>
          <w:i/>
          <w:vertAlign w:val="subscript"/>
        </w:rPr>
        <w:t xml:space="preserve">rc </w:t>
      </w:r>
      <w:r>
        <w:t>× Distance to Sea</w:t>
      </w:r>
      <w:r>
        <w:rPr>
          <w:i/>
          <w:vertAlign w:val="subscript"/>
        </w:rPr>
        <w:t>c</w:t>
      </w:r>
    </w:p>
    <w:p w14:paraId="6ADB49CB" w14:textId="77777777" w:rsidR="00555D24" w:rsidRDefault="00000000">
      <w:pPr>
        <w:spacing w:after="302" w:line="259" w:lineRule="auto"/>
        <w:ind w:left="2875" w:right="1106"/>
      </w:pPr>
      <w:r>
        <w:t xml:space="preserve">+ </w:t>
      </w:r>
      <w:r>
        <w:rPr>
          <w:i/>
        </w:rPr>
        <w:t>β</w:t>
      </w:r>
      <w:r>
        <w:rPr>
          <w:vertAlign w:val="subscript"/>
        </w:rPr>
        <w:t>7</w:t>
      </w:r>
      <w:r>
        <w:t>Board</w:t>
      </w:r>
      <w:r>
        <w:rPr>
          <w:i/>
          <w:vertAlign w:val="subscript"/>
        </w:rPr>
        <w:t xml:space="preserve">c </w:t>
      </w:r>
      <w:r>
        <w:t>× Useful Rain</w:t>
      </w:r>
      <w:r>
        <w:rPr>
          <w:i/>
          <w:vertAlign w:val="subscript"/>
        </w:rPr>
        <w:t xml:space="preserve">rc </w:t>
      </w:r>
      <w:r>
        <w:t>× Distance to Sea</w:t>
      </w:r>
      <w:r>
        <w:rPr>
          <w:i/>
          <w:vertAlign w:val="subscript"/>
        </w:rPr>
        <w:t>c</w:t>
      </w:r>
    </w:p>
    <w:p w14:paraId="79AAE93A" w14:textId="77777777" w:rsidR="00555D24" w:rsidRDefault="00000000">
      <w:pPr>
        <w:tabs>
          <w:tab w:val="center" w:pos="3365"/>
          <w:tab w:val="center" w:pos="4674"/>
        </w:tabs>
        <w:spacing w:after="425" w:line="265" w:lineRule="auto"/>
        <w:ind w:left="0" w:right="0" w:firstLine="0"/>
        <w:jc w:val="left"/>
      </w:pPr>
      <w:r>
        <w:rPr>
          <w:rFonts w:ascii="Calibri" w:eastAsia="Calibri" w:hAnsi="Calibri" w:cs="Calibri"/>
        </w:rPr>
        <w:tab/>
      </w:r>
      <w:r>
        <w:t xml:space="preserve">+ </w:t>
      </w:r>
      <w:r>
        <w:rPr>
          <w:i/>
        </w:rPr>
        <w:t>β</w:t>
      </w:r>
      <w:r>
        <w:rPr>
          <w:i/>
          <w:sz w:val="16"/>
        </w:rPr>
        <w:t>X</w:t>
      </w:r>
      <w:r>
        <w:rPr>
          <w:rFonts w:ascii="Calibri" w:eastAsia="Calibri" w:hAnsi="Calibri" w:cs="Calibri"/>
        </w:rPr>
        <w:t>X</w:t>
      </w:r>
      <w:r>
        <w:rPr>
          <w:sz w:val="16"/>
        </w:rPr>
        <w:t>2007</w:t>
      </w:r>
      <w:r>
        <w:rPr>
          <w:i/>
          <w:sz w:val="16"/>
        </w:rPr>
        <w:t>i</w:t>
      </w:r>
      <w:r>
        <w:rPr>
          <w:i/>
          <w:sz w:val="16"/>
        </w:rPr>
        <w:tab/>
      </w:r>
      <w:r>
        <w:t xml:space="preserve">+ </w:t>
      </w:r>
      <w:r>
        <w:rPr>
          <w:i/>
        </w:rPr>
        <w:t>µ</w:t>
      </w:r>
      <w:r>
        <w:rPr>
          <w:i/>
          <w:sz w:val="16"/>
        </w:rPr>
        <w:t xml:space="preserve">c </w:t>
      </w:r>
      <w:r>
        <w:t xml:space="preserve">+ </w:t>
      </w:r>
      <w:r>
        <w:rPr>
          <w:i/>
        </w:rPr>
        <w:t>µ</w:t>
      </w:r>
      <w:r>
        <w:rPr>
          <w:i/>
          <w:sz w:val="16"/>
        </w:rPr>
        <w:t xml:space="preserve">r </w:t>
      </w:r>
      <w:r>
        <w:t xml:space="preserve">+ </w:t>
      </w:r>
      <w:r>
        <w:rPr>
          <w:i/>
        </w:rPr>
        <w:t>ε</w:t>
      </w:r>
      <w:r>
        <w:rPr>
          <w:i/>
          <w:sz w:val="16"/>
        </w:rPr>
        <w:t>irc</w:t>
      </w:r>
    </w:p>
    <w:p w14:paraId="2CC25945" w14:textId="77777777" w:rsidR="00555D24" w:rsidRDefault="00000000">
      <w:pPr>
        <w:spacing w:after="27"/>
        <w:ind w:left="419" w:right="1106"/>
      </w:pPr>
      <w:r>
        <w:t>where log(</w:t>
      </w:r>
      <w:r>
        <w:rPr>
          <w:i/>
        </w:rPr>
        <w:t>Y/</w:t>
      </w:r>
      <w:r>
        <w:t xml:space="preserve">Hectares) is the logarithm of the value of output per hectare obtained by farm </w:t>
      </w:r>
      <w:r>
        <w:rPr>
          <w:i/>
        </w:rPr>
        <w:t xml:space="preserve">i </w:t>
      </w:r>
      <w:r>
        <w:t xml:space="preserve">on planting crop </w:t>
      </w:r>
      <w:r>
        <w:rPr>
          <w:i/>
        </w:rPr>
        <w:t xml:space="preserve">r </w:t>
      </w:r>
      <w:r>
        <w:t xml:space="preserve">in county </w:t>
      </w:r>
      <w:r>
        <w:rPr>
          <w:i/>
        </w:rPr>
        <w:t>c</w:t>
      </w:r>
      <w:r>
        <w:t>, Useful rainfall</w:t>
      </w:r>
      <w:r>
        <w:rPr>
          <w:i/>
          <w:vertAlign w:val="subscript"/>
        </w:rPr>
        <w:t xml:space="preserve">r,c </w:t>
      </w:r>
      <w:r>
        <w:t xml:space="preserve">is the rainfall received during the irrigation season of crop </w:t>
      </w:r>
      <w:r>
        <w:rPr>
          <w:i/>
        </w:rPr>
        <w:t xml:space="preserve">r </w:t>
      </w:r>
      <w:r>
        <w:t xml:space="preserve">in county </w:t>
      </w:r>
      <w:r>
        <w:rPr>
          <w:i/>
        </w:rPr>
        <w:t>c</w:t>
      </w:r>
      <w:r>
        <w:t>, Distance to Coast</w:t>
      </w:r>
      <w:r>
        <w:rPr>
          <w:i/>
          <w:vertAlign w:val="subscript"/>
        </w:rPr>
        <w:t xml:space="preserve">c </w:t>
      </w:r>
      <w:r>
        <w:t xml:space="preserve">is the distance to the coast of the centroid of county </w:t>
      </w:r>
      <w:r>
        <w:rPr>
          <w:i/>
        </w:rPr>
        <w:t xml:space="preserve">c </w:t>
      </w:r>
      <w:r>
        <w:t xml:space="preserve">(in longitude degrees). </w:t>
      </w:r>
      <w:r>
        <w:rPr>
          <w:rFonts w:ascii="Calibri" w:eastAsia="Calibri" w:hAnsi="Calibri" w:cs="Calibri"/>
        </w:rPr>
        <w:t>X</w:t>
      </w:r>
      <w:r>
        <w:rPr>
          <w:vertAlign w:val="superscript"/>
        </w:rPr>
        <w:t>2007</w:t>
      </w:r>
      <w:r>
        <w:rPr>
          <w:i/>
          <w:vertAlign w:val="subscript"/>
        </w:rPr>
        <w:t xml:space="preserve">i </w:t>
      </w:r>
      <w:r>
        <w:t xml:space="preserve">is the set of controls, which includes the logarithm of the total labor hired during the 2007 agricultural year, a vector of capital and technology choices and the irrigated surface. Finally, </w:t>
      </w:r>
      <w:r>
        <w:rPr>
          <w:i/>
        </w:rPr>
        <w:t>µ</w:t>
      </w:r>
      <w:r>
        <w:rPr>
          <w:i/>
          <w:vertAlign w:val="subscript"/>
        </w:rPr>
        <w:t xml:space="preserve">c </w:t>
      </w:r>
      <w:r>
        <w:t xml:space="preserve">is a county fixed effect, and </w:t>
      </w:r>
      <w:r>
        <w:rPr>
          <w:i/>
        </w:rPr>
        <w:t>µ</w:t>
      </w:r>
      <w:r>
        <w:rPr>
          <w:i/>
          <w:vertAlign w:val="subscript"/>
        </w:rPr>
        <w:t xml:space="preserve">r </w:t>
      </w:r>
      <w:r>
        <w:t>is a crop fixed effect.</w:t>
      </w:r>
    </w:p>
    <w:p w14:paraId="36E78801" w14:textId="77777777" w:rsidR="00555D24" w:rsidRDefault="00000000">
      <w:pPr>
        <w:spacing w:after="194"/>
        <w:ind w:left="409" w:right="1106" w:firstLine="478"/>
      </w:pPr>
      <w:r>
        <w:t>On estimating equation 9, we are exploiting within county-across-crop, within cropclimatic zone across counties variation in the timing of rainfall, which is arguably exogenous on most determinants of agricultural production</w:t>
      </w:r>
      <w:r>
        <w:rPr>
          <w:vertAlign w:val="superscript"/>
        </w:rPr>
        <w:footnoteReference w:id="29"/>
      </w:r>
      <w:r>
        <w:t>. More importantly, the former equation allows us to estimate directly the functions needed for our Misallocation Test:</w:t>
      </w:r>
    </w:p>
    <w:p w14:paraId="6B596354" w14:textId="77777777" w:rsidR="00555D24" w:rsidRDefault="00000000">
      <w:pPr>
        <w:numPr>
          <w:ilvl w:val="0"/>
          <w:numId w:val="4"/>
        </w:numPr>
        <w:spacing w:after="251"/>
        <w:ind w:right="1106" w:hanging="182"/>
      </w:pPr>
      <w:r>
        <w:t>Average Shadow Value of Water as a function for the distance to the coast, in the absence of water boards:</w:t>
      </w:r>
    </w:p>
    <w:p w14:paraId="5F448CF8" w14:textId="77777777" w:rsidR="00555D24" w:rsidRDefault="00000000">
      <w:pPr>
        <w:spacing w:line="259" w:lineRule="auto"/>
        <w:ind w:left="1801" w:right="1106"/>
      </w:pPr>
      <w:r>
        <w:rPr>
          <w:i/>
        </w:rPr>
        <w:t>∂</w:t>
      </w:r>
      <w:r>
        <w:rPr>
          <w:rFonts w:ascii="Calibri" w:eastAsia="Calibri" w:hAnsi="Calibri" w:cs="Calibri"/>
        </w:rPr>
        <w:t>E</w:t>
      </w:r>
      <w:r>
        <w:t>{</w:t>
      </w:r>
      <w:r>
        <w:rPr>
          <w:i/>
        </w:rPr>
        <w:t>π</w:t>
      </w:r>
      <w:r>
        <w:rPr>
          <w:i/>
          <w:vertAlign w:val="subscript"/>
        </w:rPr>
        <w:t>i</w:t>
      </w:r>
      <w:r>
        <w:t>|</w:t>
      </w:r>
      <w:r>
        <w:rPr>
          <w:i/>
        </w:rPr>
        <w:t>I</w:t>
      </w:r>
      <w:r>
        <w:rPr>
          <w:vertAlign w:val="subscript"/>
        </w:rPr>
        <w:t>0</w:t>
      </w:r>
      <w:r>
        <w:rPr>
          <w:i/>
        </w:rPr>
        <w:t>,</w:t>
      </w:r>
      <w:r>
        <w:t>Distance to Sea, No Board}</w:t>
      </w:r>
    </w:p>
    <w:p w14:paraId="63E0DEE2" w14:textId="77777777" w:rsidR="00555D24" w:rsidRDefault="00000000">
      <w:pPr>
        <w:tabs>
          <w:tab w:val="center" w:pos="5015"/>
          <w:tab w:val="center" w:pos="8911"/>
        </w:tabs>
        <w:spacing w:after="3" w:line="265" w:lineRule="auto"/>
        <w:ind w:left="0" w:right="0" w:firstLine="0"/>
        <w:jc w:val="left"/>
      </w:pPr>
      <w:r>
        <w:rPr>
          <w:rFonts w:ascii="Calibri" w:eastAsia="Calibri" w:hAnsi="Calibri" w:cs="Calibri"/>
        </w:rPr>
        <w:tab/>
      </w:r>
      <w:r>
        <w:rPr>
          <w:rFonts w:ascii="Calibri" w:eastAsia="Calibri" w:hAnsi="Calibri" w:cs="Calibri"/>
          <w:noProof/>
        </w:rPr>
        <mc:AlternateContent>
          <mc:Choice Requires="wpg">
            <w:drawing>
              <wp:inline distT="0" distB="0" distL="0" distR="0" wp14:anchorId="0D67CFA7" wp14:editId="62960305">
                <wp:extent cx="2334019" cy="5537"/>
                <wp:effectExtent l="0" t="0" r="0" b="0"/>
                <wp:docPr id="155230" name="Group 155230"/>
                <wp:cNvGraphicFramePr/>
                <a:graphic xmlns:a="http://schemas.openxmlformats.org/drawingml/2006/main">
                  <a:graphicData uri="http://schemas.microsoft.com/office/word/2010/wordprocessingGroup">
                    <wpg:wgp>
                      <wpg:cNvGrpSpPr/>
                      <wpg:grpSpPr>
                        <a:xfrm>
                          <a:off x="0" y="0"/>
                          <a:ext cx="2334019" cy="5537"/>
                          <a:chOff x="0" y="0"/>
                          <a:chExt cx="2334019" cy="5537"/>
                        </a:xfrm>
                      </wpg:grpSpPr>
                      <wps:wsp>
                        <wps:cNvPr id="2692" name="Shape 2692"/>
                        <wps:cNvSpPr/>
                        <wps:spPr>
                          <a:xfrm>
                            <a:off x="0" y="0"/>
                            <a:ext cx="2334019" cy="0"/>
                          </a:xfrm>
                          <a:custGeom>
                            <a:avLst/>
                            <a:gdLst/>
                            <a:ahLst/>
                            <a:cxnLst/>
                            <a:rect l="0" t="0" r="0" b="0"/>
                            <a:pathLst>
                              <a:path w="2334019">
                                <a:moveTo>
                                  <a:pt x="0" y="0"/>
                                </a:moveTo>
                                <a:lnTo>
                                  <a:pt x="2334019"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230" style="width:183.781pt;height:0.436pt;mso-position-horizontal-relative:char;mso-position-vertical-relative:line" coordsize="23340,55">
                <v:shape id="Shape 2692" style="position:absolute;width:23340;height:0;left:0;top:0;" coordsize="2334019,0" path="m0,0l2334019,0">
                  <v:stroke weight="0.436pt" endcap="flat" joinstyle="miter" miterlimit="10" on="true" color="#000000"/>
                  <v:fill on="false" color="#000000" opacity="0"/>
                </v:shape>
              </v:group>
            </w:pict>
          </mc:Fallback>
        </mc:AlternateContent>
      </w:r>
      <w:r>
        <w:t xml:space="preserve"> = </w:t>
      </w:r>
      <w:r>
        <w:rPr>
          <w:i/>
        </w:rPr>
        <w:t>β</w:t>
      </w:r>
      <w:r>
        <w:rPr>
          <w:vertAlign w:val="subscript"/>
        </w:rPr>
        <w:t xml:space="preserve">2 </w:t>
      </w:r>
      <w:r>
        <w:t xml:space="preserve">+ </w:t>
      </w:r>
      <w:r>
        <w:rPr>
          <w:i/>
        </w:rPr>
        <w:t>β</w:t>
      </w:r>
      <w:r>
        <w:rPr>
          <w:vertAlign w:val="subscript"/>
        </w:rPr>
        <w:t xml:space="preserve">6 </w:t>
      </w:r>
      <w:r>
        <w:t>× Distance to Sea</w:t>
      </w:r>
      <w:r>
        <w:tab/>
        <w:t>(9)</w:t>
      </w:r>
    </w:p>
    <w:p w14:paraId="44D3674F" w14:textId="77777777" w:rsidR="00555D24" w:rsidRDefault="00000000">
      <w:pPr>
        <w:spacing w:after="483" w:line="259" w:lineRule="auto"/>
        <w:ind w:left="3453" w:right="0" w:firstLine="0"/>
        <w:jc w:val="left"/>
      </w:pPr>
      <w:r>
        <w:rPr>
          <w:i/>
        </w:rPr>
        <w:t>∂w</w:t>
      </w:r>
      <w:r>
        <w:rPr>
          <w:i/>
          <w:vertAlign w:val="subscript"/>
        </w:rPr>
        <w:t>i</w:t>
      </w:r>
    </w:p>
    <w:p w14:paraId="7D2F080E" w14:textId="77777777" w:rsidR="00555D24" w:rsidRDefault="00000000">
      <w:pPr>
        <w:numPr>
          <w:ilvl w:val="0"/>
          <w:numId w:val="4"/>
        </w:numPr>
        <w:spacing w:after="600" w:line="265" w:lineRule="auto"/>
        <w:ind w:right="1106" w:hanging="182"/>
      </w:pPr>
      <w:r>
        <w:t>Average Shadow Value of Water as a function for the distance to the coast, under water boards:</w:t>
      </w:r>
    </w:p>
    <w:p w14:paraId="1054F06F" w14:textId="77777777" w:rsidR="00555D24" w:rsidRDefault="00000000">
      <w:pPr>
        <w:spacing w:after="420" w:line="293" w:lineRule="auto"/>
        <w:ind w:left="2604" w:right="1106" w:hanging="1489"/>
      </w:pPr>
      <w:r>
        <w:rPr>
          <w:rFonts w:ascii="Calibri" w:eastAsia="Calibri" w:hAnsi="Calibri" w:cs="Calibri"/>
          <w:noProof/>
        </w:rPr>
        <w:lastRenderedPageBreak/>
        <mc:AlternateContent>
          <mc:Choice Requires="wpg">
            <w:drawing>
              <wp:inline distT="0" distB="0" distL="0" distR="0" wp14:anchorId="2FFED05A" wp14:editId="5D8BD7FF">
                <wp:extent cx="2114664" cy="5537"/>
                <wp:effectExtent l="0" t="0" r="0" b="0"/>
                <wp:docPr id="153810" name="Group 153810"/>
                <wp:cNvGraphicFramePr/>
                <a:graphic xmlns:a="http://schemas.openxmlformats.org/drawingml/2006/main">
                  <a:graphicData uri="http://schemas.microsoft.com/office/word/2010/wordprocessingGroup">
                    <wpg:wgp>
                      <wpg:cNvGrpSpPr/>
                      <wpg:grpSpPr>
                        <a:xfrm>
                          <a:off x="0" y="0"/>
                          <a:ext cx="2114664" cy="5537"/>
                          <a:chOff x="0" y="0"/>
                          <a:chExt cx="2114664" cy="5537"/>
                        </a:xfrm>
                      </wpg:grpSpPr>
                      <wps:wsp>
                        <wps:cNvPr id="2739" name="Shape 2739"/>
                        <wps:cNvSpPr/>
                        <wps:spPr>
                          <a:xfrm>
                            <a:off x="0" y="0"/>
                            <a:ext cx="2114664" cy="0"/>
                          </a:xfrm>
                          <a:custGeom>
                            <a:avLst/>
                            <a:gdLst/>
                            <a:ahLst/>
                            <a:cxnLst/>
                            <a:rect l="0" t="0" r="0" b="0"/>
                            <a:pathLst>
                              <a:path w="2114664">
                                <a:moveTo>
                                  <a:pt x="0" y="0"/>
                                </a:moveTo>
                                <a:lnTo>
                                  <a:pt x="2114664"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810" style="width:166.509pt;height:0.436pt;mso-position-horizontal-relative:char;mso-position-vertical-relative:line" coordsize="21146,55">
                <v:shape id="Shape 2739" style="position:absolute;width:21146;height:0;left:0;top:0;" coordsize="2114664,0" path="m0,0l2114664,0">
                  <v:stroke weight="0.436pt" endcap="flat" joinstyle="miter" miterlimit="10" on="true" color="#000000"/>
                  <v:fill on="false" color="#000000" opacity="0"/>
                </v:shape>
              </v:group>
            </w:pict>
          </mc:Fallback>
        </mc:AlternateContent>
      </w:r>
      <w:r>
        <w:rPr>
          <w:i/>
        </w:rPr>
        <w:t>∂</w:t>
      </w:r>
      <w:r>
        <w:rPr>
          <w:rFonts w:ascii="Calibri" w:eastAsia="Calibri" w:hAnsi="Calibri" w:cs="Calibri"/>
        </w:rPr>
        <w:t>E</w:t>
      </w:r>
      <w:r>
        <w:t>{</w:t>
      </w:r>
      <w:r>
        <w:rPr>
          <w:i/>
        </w:rPr>
        <w:t>π</w:t>
      </w:r>
      <w:r>
        <w:rPr>
          <w:i/>
          <w:vertAlign w:val="superscript"/>
        </w:rPr>
        <w:t>i</w:t>
      </w:r>
      <w:r>
        <w:t>|</w:t>
      </w:r>
      <w:r>
        <w:rPr>
          <w:i/>
        </w:rPr>
        <w:t>I</w:t>
      </w:r>
      <w:r>
        <w:rPr>
          <w:vertAlign w:val="superscript"/>
        </w:rPr>
        <w:t>0</w:t>
      </w:r>
      <w:r>
        <w:rPr>
          <w:i/>
        </w:rPr>
        <w:t>,</w:t>
      </w:r>
      <w:r>
        <w:t>Distance to Sea, Board} = (</w:t>
      </w:r>
      <w:r>
        <w:rPr>
          <w:i/>
        </w:rPr>
        <w:t>β</w:t>
      </w:r>
      <w:r>
        <w:rPr>
          <w:vertAlign w:val="subscript"/>
        </w:rPr>
        <w:t xml:space="preserve">2 </w:t>
      </w:r>
      <w:r>
        <w:t xml:space="preserve">+ </w:t>
      </w:r>
      <w:r>
        <w:rPr>
          <w:i/>
        </w:rPr>
        <w:t>β</w:t>
      </w:r>
      <w:r>
        <w:rPr>
          <w:vertAlign w:val="subscript"/>
        </w:rPr>
        <w:t>4</w:t>
      </w:r>
      <w:r>
        <w:t>) + (</w:t>
      </w:r>
      <w:r>
        <w:rPr>
          <w:i/>
        </w:rPr>
        <w:t>β</w:t>
      </w:r>
      <w:r>
        <w:rPr>
          <w:vertAlign w:val="subscript"/>
        </w:rPr>
        <w:t xml:space="preserve">6 </w:t>
      </w:r>
      <w:r>
        <w:t xml:space="preserve">+ </w:t>
      </w:r>
      <w:r>
        <w:rPr>
          <w:i/>
        </w:rPr>
        <w:t>β</w:t>
      </w:r>
      <w:r>
        <w:rPr>
          <w:vertAlign w:val="subscript"/>
        </w:rPr>
        <w:t>7</w:t>
      </w:r>
      <w:r>
        <w:t xml:space="preserve">) × Distance to Sea (10) </w:t>
      </w:r>
      <w:r>
        <w:rPr>
          <w:i/>
        </w:rPr>
        <w:t>∂w</w:t>
      </w:r>
      <w:r>
        <w:rPr>
          <w:i/>
          <w:vertAlign w:val="subscript"/>
        </w:rPr>
        <w:t>i</w:t>
      </w:r>
    </w:p>
    <w:p w14:paraId="259882CE" w14:textId="77777777" w:rsidR="00555D24" w:rsidRDefault="00000000">
      <w:pPr>
        <w:spacing w:after="455"/>
        <w:ind w:left="409" w:right="1106" w:firstLine="478"/>
      </w:pPr>
      <w:r>
        <w:t>We test for Misallocation over the water flow direction dimension: we test if the shadow value of water is equal at the top of the basin (head of the river) and where the river drains to the sea (mouth of the river). Our null hypothesis is that there is no misallocation: the average marginal productivity of water is equal across locations in the river. In principle, we could reject the null due to higher shadow values of water upstream or downstream, but our previous results suggest that shadow values are higher downstream.</w:t>
      </w:r>
    </w:p>
    <w:p w14:paraId="66DEE051" w14:textId="77777777" w:rsidR="00555D24" w:rsidRDefault="00000000">
      <w:pPr>
        <w:ind w:left="419" w:right="1106"/>
      </w:pPr>
      <w:r>
        <w:rPr>
          <w:rFonts w:ascii="Calibri" w:eastAsia="Calibri" w:hAnsi="Calibri" w:cs="Calibri"/>
          <w:i/>
        </w:rPr>
        <w:t xml:space="preserve">Results. </w:t>
      </w:r>
      <w:r>
        <w:t>In table 13 we present the results of estimating equation 9, considering an array of location-fixed effects. Our preferred specification is in column 4, which we also present graphically in figure 17. For counties outside any water board jurisdiction located on the coast, for farms with water rights, affiliation to a canal association and irrigation, an extra cubic meter of water per hectare per month would increase yield by more than 50</w:t>
      </w:r>
      <w:r>
        <w:rPr>
          <w:i/>
        </w:rPr>
        <w:t>pp</w:t>
      </w:r>
      <w:r>
        <w:t>, while for farms located approximately 200</w:t>
      </w:r>
      <w:r>
        <w:rPr>
          <w:i/>
        </w:rPr>
        <w:t xml:space="preserve">km </w:t>
      </w:r>
      <w:r>
        <w:t>upstream, the increase is a nonsignificant reduction of 10</w:t>
      </w:r>
      <w:r>
        <w:rPr>
          <w:i/>
        </w:rPr>
        <w:t>pp</w:t>
      </w:r>
      <w:r>
        <w:t>. The estimated average MPW is presented as the red function in figure 17 and clearly displays a higher average shadow value of water in locations downstream versus upstream.</w:t>
      </w:r>
    </w:p>
    <w:p w14:paraId="0F506835" w14:textId="77777777" w:rsidR="00555D24" w:rsidRDefault="00000000">
      <w:pPr>
        <w:ind w:left="409" w:right="1106" w:firstLine="478"/>
      </w:pPr>
      <w:r>
        <w:t>This result is consistent with misallocation: farms located downstream are waterrestricted, while farms located upstream are not; a marginal displacement of water through the river from upstream locations to downstream locations would increase the total value of production, but the lack of enforcement prevents the creation and enforcement of contracts that would imply such reallocation of water. In fact, at the bottom of table 13 we present the p-values of the test of equality of MPW across locations; for all specifications, we reject the null hypothesis of no misallocation</w:t>
      </w:r>
      <w:r>
        <w:rPr>
          <w:vertAlign w:val="superscript"/>
        </w:rPr>
        <w:footnoteReference w:id="30"/>
      </w:r>
      <w:r>
        <w:t>.</w:t>
      </w:r>
    </w:p>
    <w:p w14:paraId="1ABA787F" w14:textId="77777777" w:rsidR="00555D24" w:rsidRDefault="00000000">
      <w:pPr>
        <w:spacing w:after="456" w:line="417" w:lineRule="auto"/>
        <w:ind w:left="10" w:right="1106"/>
        <w:jc w:val="right"/>
      </w:pPr>
      <w:r>
        <w:t>In contrast, for counties located within the jurisdiction of water boards, the average shadow value of water is similar: for counties located next to the coast, there is a nonsignificant reduction in value per hectare of around 10</w:t>
      </w:r>
      <w:r>
        <w:rPr>
          <w:i/>
        </w:rPr>
        <w:t xml:space="preserve">pp </w:t>
      </w:r>
      <w:r>
        <w:t xml:space="preserve">per extra cubic meter of water per hectare per </w:t>
      </w:r>
      <w:r>
        <w:lastRenderedPageBreak/>
        <w:t>month), which is approximately the same for farms located 200</w:t>
      </w:r>
      <w:r>
        <w:rPr>
          <w:i/>
        </w:rPr>
        <w:t xml:space="preserve">km </w:t>
      </w:r>
      <w:r>
        <w:t>upstream. The average shadow value of water as a function of the distance to the coast is presented as the blue function in figure 17, is flat compared to the function for places with boards, and never significantly different from zero. These results do now allow us to reject that the shadow value of water differs within basins governed by Water Boards, as it is reflected in the last row of table 13. The results are similar controlling for basin, 0.5-degree cells and county fixed effects.</w:t>
      </w:r>
    </w:p>
    <w:p w14:paraId="7EAD5F4C" w14:textId="77777777" w:rsidR="00555D24" w:rsidRDefault="00000000">
      <w:pPr>
        <w:ind w:left="419" w:right="1106"/>
      </w:pPr>
      <w:r>
        <w:rPr>
          <w:rFonts w:ascii="Calibri" w:eastAsia="Calibri" w:hAnsi="Calibri" w:cs="Calibri"/>
          <w:i/>
        </w:rPr>
        <w:t xml:space="preserve">Placebo exercise: rainfed parcels. </w:t>
      </w:r>
      <w:r>
        <w:t>To address concerns regarding potential confounders that may cause the former cross-sectional results, we present a placebo exercise, where we estimate equation 9 including the same set of controls, but for rainfed parcels. These parcels display different technology choices but are located in the same counties as the former sample, so they are exposed to similar geographies and climates. While there may exist spatial sorting within these counties, with parcels deciding to focus on rainfed strategies instead of irrigation; given the Chilean geography, the within-county differences may not be comparable (and be smaller than) across-county differences. For these parcels, there is no control over the water input, and so our estimates will correspond to the Marginal Productivity of Water</w:t>
      </w:r>
      <w:r>
        <w:rPr>
          <w:vertAlign w:val="superscript"/>
        </w:rPr>
        <w:footnoteReference w:id="31"/>
      </w:r>
      <w:r>
        <w:t>. More importantly, we do not expect any effect of water boards on these parcels, as the boards cannot affect their water input (i.e. rainfall).</w:t>
      </w:r>
    </w:p>
    <w:p w14:paraId="5C2DEB88" w14:textId="77777777" w:rsidR="00555D24" w:rsidRDefault="00000000">
      <w:pPr>
        <w:ind w:left="409" w:right="1106" w:firstLine="478"/>
      </w:pPr>
      <w:r>
        <w:t>Table 14 presents the results of this exercise. Our preferred specification is in column 4, where we again exploit within-county variation in useful rainfall across crops. The results suggest that the yield per hectare increases by around 20</w:t>
      </w:r>
      <w:r>
        <w:rPr>
          <w:i/>
        </w:rPr>
        <w:t xml:space="preserve">pp </w:t>
      </w:r>
      <w:r>
        <w:t>per extra cubic meter of water per hectare per month at the coast. The increase in yield for farms 160 from the coast is 25</w:t>
      </w:r>
      <w:r>
        <w:rPr>
          <w:i/>
        </w:rPr>
        <w:t>pp</w:t>
      </w:r>
      <w:r>
        <w:t>, which is not statistically different from the effect on the coast. This may be due to the fact that precipitation is higher in areas closer to the coast (see table 20), implying a higher marginal productivity of water in areas farther away. Importantly, all interaction terms with the water board dummy are not significant and economically small. The last rows of table 14 show that after including 0.5-degree cells or county fixed effects, we cannot reject that the MPW is equal for all locations, either with or without water boards, as expected.</w:t>
      </w:r>
    </w:p>
    <w:p w14:paraId="68B1A33C" w14:textId="77777777" w:rsidR="00555D24" w:rsidRDefault="00000000">
      <w:pPr>
        <w:spacing w:after="934"/>
        <w:ind w:left="409" w:right="1106" w:firstLine="478"/>
      </w:pPr>
      <w:r>
        <w:lastRenderedPageBreak/>
        <w:t>Figure 18 presents the estimated functions of Average MPW for areas with and without water boards. The most important conclusion from the figure is that both functions are parallel, and despite the existence of some (statistically non-significant) differences in levels, both functions are contained in the confidence intervals of the other. This placebo exercise suggests that the estimated effects of rainfall on irrigated parcels (our main exercise) recover a causal relationship between water and yield across different geographies, and so our Misallocation Test identifies the underlying misallocation existing in the absence of water rights enforcement. More importantly, our test fails to find such misallocation in places with water boards exerting property rights enforcement.</w:t>
      </w:r>
    </w:p>
    <w:p w14:paraId="01D0250B" w14:textId="77777777" w:rsidR="00555D24" w:rsidRDefault="00000000">
      <w:pPr>
        <w:pStyle w:val="Ttulo1"/>
        <w:tabs>
          <w:tab w:val="center" w:pos="491"/>
          <w:tab w:val="center" w:pos="1731"/>
        </w:tabs>
        <w:ind w:left="0" w:firstLine="0"/>
      </w:pPr>
      <w:r>
        <w:rPr>
          <w:rFonts w:ascii="Calibri" w:eastAsia="Calibri" w:hAnsi="Calibri" w:cs="Calibri"/>
          <w:b w:val="0"/>
          <w:sz w:val="22"/>
        </w:rPr>
        <w:tab/>
      </w:r>
      <w:r>
        <w:t>7</w:t>
      </w:r>
      <w:r>
        <w:tab/>
        <w:t>Conclusions</w:t>
      </w:r>
    </w:p>
    <w:p w14:paraId="2929CE38" w14:textId="77777777" w:rsidR="00555D24" w:rsidRDefault="00000000">
      <w:pPr>
        <w:ind w:left="419" w:right="1106"/>
      </w:pPr>
      <w:r>
        <w:t xml:space="preserve">In this paper, we estimate the economic impacts of community-governed property rights enforcement on the allocation of water. To this end, we study Water Boards, legally empowered boards, elected and funded by the users themselves, in charge of enforcing formal private property rights over river waters. We first show that property rights enforcement allows to limit the </w:t>
      </w:r>
      <w:r>
        <w:rPr>
          <w:i/>
        </w:rPr>
        <w:t xml:space="preserve">de jure </w:t>
      </w:r>
      <w:r>
        <w:t xml:space="preserve">allocation of the good -i.e. slowing down the creation of titles created over water- by centralizing records and responsibility over the resource. Second, we show how the introduction of enforcement affects the </w:t>
      </w:r>
      <w:r>
        <w:rPr>
          <w:i/>
        </w:rPr>
        <w:t xml:space="preserve">de facto </w:t>
      </w:r>
      <w:r>
        <w:t>allocation of water by displacing water from upstream users to downstream users. We also show that the institutions in place are able to accommodate increased demand for water when the resource is relatively abundant, but constrain the actions of the users when the resource is scarce so the incentives for over-extraction are strongest.</w:t>
      </w:r>
    </w:p>
    <w:p w14:paraId="43D90F2A" w14:textId="77777777" w:rsidR="00555D24" w:rsidRDefault="00000000">
      <w:pPr>
        <w:spacing w:after="150"/>
        <w:ind w:left="409" w:right="1106" w:firstLine="478"/>
      </w:pPr>
      <w:r>
        <w:t>We also provide estimates of the long-term consequences of this reallocation of water at the farm level, showing substantial increases in water consumption and yield among downstream farms, and reductions in water consumption among upstream farms, with less strong reductions in yield, consistent with decreasing returns to scale in water consumption.</w:t>
      </w:r>
    </w:p>
    <w:p w14:paraId="7927A069" w14:textId="77777777" w:rsidR="00555D24" w:rsidRDefault="00000000">
      <w:pPr>
        <w:ind w:left="409" w:right="1106" w:firstLine="478"/>
      </w:pPr>
      <w:r>
        <w:t xml:space="preserve">In our analysis, we provide evidence of the existence of misallocation of irrigation water in areas that do not have a Water Board, suggesting over-extraction by upstream users -i.e. </w:t>
      </w:r>
      <w:r>
        <w:lastRenderedPageBreak/>
        <w:t>those who have the opportunity to over-extract, given their relative position in the basin. We cannot find similar evidence of misallocation in areas governed by Water Boards. The fact that water rights are perpetual, fully transferable, separated from the land, and legally equivalent to any real estate, and that the market for trading water rights does not have any special regulations in all areas -either governed by water boards or not-, suggest that the enforcement of property rights is essential for the operation of markets, and so to realize the efficiency gains from trade, it is necessary the existence of authorities with the power to take and implement decisions to adapt to special circumstances -such as droughtsand to enforce those decisions. These attributions, in turn, may allow said authority to expropriate under some legal and political circumstances.</w:t>
      </w:r>
    </w:p>
    <w:p w14:paraId="0041DA67" w14:textId="77777777" w:rsidR="00555D24" w:rsidRDefault="00000000">
      <w:pPr>
        <w:ind w:left="409" w:right="1106" w:firstLine="478"/>
      </w:pPr>
      <w:r>
        <w:t>This tension between the threat of expropriation and property rights enforcement arises from the lack of perfect information and self-enforcement: we need agents that enforce in order to allocate physical resources, who are able to take decisions based on information that is not necessarily publicly available. This leads us to a second-best world where market designers need to choose between giving more space to one threat or another. While most of the literature has focused on the economic consequences of insecure property rights due to the threat of expropriation, we are to the best of our knowledge the first ones providing causal evidence of the economic costs of insecure property rights due to a deliberate institutional design that, in order to minimize the threat of expropriation, weakened the state capacity and so the enforcement of property rights.</w:t>
      </w:r>
    </w:p>
    <w:p w14:paraId="79645770" w14:textId="77777777" w:rsidR="00555D24" w:rsidRDefault="00000000">
      <w:pPr>
        <w:ind w:left="409" w:right="1106" w:firstLine="478"/>
      </w:pPr>
      <w:r>
        <w:t>Another contribution is to provide evidence of misallocation due to the lack of governance -even after allowing individual adaptation and transactions in a context with welldefined property rights-. This misallocation translates into violations of the Law of One Price. This might help to understand violations of this law in other water markets, where governance is not unified, and as a consequence, markets are not integrated (Edwards and Libecap, 2015).</w:t>
      </w:r>
    </w:p>
    <w:p w14:paraId="197B6278" w14:textId="77777777" w:rsidR="00555D24" w:rsidRDefault="00000000">
      <w:pPr>
        <w:spacing w:after="471" w:line="408" w:lineRule="auto"/>
        <w:ind w:left="10" w:right="1106"/>
        <w:jc w:val="right"/>
      </w:pPr>
      <w:r>
        <w:t xml:space="preserve">Our next steps will focus first on quantifying the economic losses from lack of enforcement, building up on our previous results. A second avenue for future work is to understand how markets respond to the introduction of governance. Finally, we are exploring how Water Boards </w:t>
      </w:r>
      <w:r>
        <w:lastRenderedPageBreak/>
        <w:t>mediate adaptation to the increasing uncertainty over water availability driven by Climate Change.</w:t>
      </w:r>
    </w:p>
    <w:p w14:paraId="2D7D6458" w14:textId="77777777" w:rsidR="00555D24" w:rsidRDefault="00000000">
      <w:pPr>
        <w:pStyle w:val="Ttulo1"/>
        <w:ind w:left="406" w:right="253"/>
      </w:pPr>
      <w:r>
        <w:t>References</w:t>
      </w:r>
    </w:p>
    <w:sectPr w:rsidR="00555D24">
      <w:footerReference w:type="even" r:id="rId11"/>
      <w:footerReference w:type="default" r:id="rId12"/>
      <w:footerReference w:type="first" r:id="rId13"/>
      <w:pgSz w:w="11906" w:h="16838"/>
      <w:pgMar w:top="1568" w:right="512" w:bottom="1032" w:left="1222" w:header="720" w:footer="1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700A7" w14:textId="77777777" w:rsidR="00F94725" w:rsidRDefault="00F94725">
      <w:pPr>
        <w:spacing w:after="0" w:line="240" w:lineRule="auto"/>
      </w:pPr>
      <w:r>
        <w:separator/>
      </w:r>
    </w:p>
  </w:endnote>
  <w:endnote w:type="continuationSeparator" w:id="0">
    <w:p w14:paraId="02360C50" w14:textId="77777777" w:rsidR="00F94725" w:rsidRDefault="00F9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C1D5B" w14:textId="77777777" w:rsidR="00555D24" w:rsidRDefault="00000000">
    <w:pPr>
      <w:spacing w:after="0" w:line="259" w:lineRule="auto"/>
      <w:ind w:left="0" w:right="71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7236E" w14:textId="77777777" w:rsidR="00555D24" w:rsidRDefault="00000000">
    <w:pPr>
      <w:spacing w:after="0" w:line="259" w:lineRule="auto"/>
      <w:ind w:left="0" w:right="71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B655" w14:textId="77777777" w:rsidR="00555D24" w:rsidRDefault="00000000">
    <w:pPr>
      <w:spacing w:after="0" w:line="259" w:lineRule="auto"/>
      <w:ind w:left="0" w:right="71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9881" w14:textId="77777777" w:rsidR="00F94725" w:rsidRDefault="00F94725">
      <w:pPr>
        <w:spacing w:after="0" w:line="259" w:lineRule="auto"/>
        <w:ind w:left="660" w:right="0" w:firstLine="0"/>
        <w:jc w:val="left"/>
      </w:pPr>
      <w:r>
        <w:separator/>
      </w:r>
    </w:p>
  </w:footnote>
  <w:footnote w:type="continuationSeparator" w:id="0">
    <w:p w14:paraId="19D0140A" w14:textId="77777777" w:rsidR="00F94725" w:rsidRDefault="00F94725">
      <w:pPr>
        <w:spacing w:after="0" w:line="259" w:lineRule="auto"/>
        <w:ind w:left="660" w:right="0" w:firstLine="0"/>
        <w:jc w:val="left"/>
      </w:pPr>
      <w:r>
        <w:continuationSeparator/>
      </w:r>
    </w:p>
  </w:footnote>
  <w:footnote w:id="1">
    <w:p w14:paraId="1442A449" w14:textId="77777777" w:rsidR="00555D24" w:rsidRDefault="00000000">
      <w:pPr>
        <w:pStyle w:val="footnotedescription"/>
        <w:ind w:left="660" w:right="0" w:firstLine="0"/>
        <w:jc w:val="left"/>
      </w:pPr>
      <w:r>
        <w:rPr>
          <w:rStyle w:val="footnotemark"/>
        </w:rPr>
        <w:footnoteRef/>
      </w:r>
      <w:r>
        <w:t xml:space="preserve"> </w:t>
      </w:r>
      <w:r>
        <w:rPr>
          <w:rFonts w:ascii="Calibri" w:eastAsia="Calibri" w:hAnsi="Calibri" w:cs="Calibri"/>
        </w:rPr>
        <w:t>maxgar@bu.edu</w:t>
      </w:r>
    </w:p>
  </w:footnote>
  <w:footnote w:id="2">
    <w:p w14:paraId="5BA550DF" w14:textId="77777777" w:rsidR="00555D24" w:rsidRDefault="00000000">
      <w:pPr>
        <w:pStyle w:val="footnotedescription"/>
        <w:spacing w:line="263" w:lineRule="auto"/>
        <w:ind w:firstLine="249"/>
      </w:pPr>
      <w:r>
        <w:rPr>
          <w:rStyle w:val="footnotemark"/>
        </w:rPr>
        <w:footnoteRef/>
      </w:r>
      <w:r>
        <w:t xml:space="preserve"> First, agents cannot observe the actions of people outside their community; second, they cannot exclude others from locating into the basin by purchasing either land or water rights, and finally, people located downstream do not have informal tools to punish upstream people actions, so is not possible the emergence of informal agreements driven by repeated interactions, along the lines of the “Folk’s Theorem”.</w:t>
      </w:r>
    </w:p>
  </w:footnote>
  <w:footnote w:id="3">
    <w:p w14:paraId="701C585F" w14:textId="77777777" w:rsidR="00555D24" w:rsidRDefault="00000000">
      <w:pPr>
        <w:pStyle w:val="footnotedescription"/>
        <w:spacing w:line="270" w:lineRule="auto"/>
        <w:ind w:firstLine="249"/>
      </w:pPr>
      <w:r>
        <w:rPr>
          <w:rStyle w:val="footnotemark"/>
        </w:rPr>
        <w:footnoteRef/>
      </w:r>
      <w:r>
        <w:t xml:space="preserve"> The titles also include the property over the infrastructure that allows the distribution of water, but there are legal figures that allow to mandate one user to share the infrastructure with other users that own water rights (CNR, 2018a).</w:t>
      </w:r>
    </w:p>
  </w:footnote>
  <w:footnote w:id="4">
    <w:p w14:paraId="0A771ACB" w14:textId="77777777" w:rsidR="00555D24" w:rsidRDefault="00000000">
      <w:pPr>
        <w:pStyle w:val="footnotedescription"/>
        <w:spacing w:after="109"/>
        <w:ind w:left="659" w:right="0" w:firstLine="0"/>
        <w:jc w:val="left"/>
      </w:pPr>
      <w:r>
        <w:rPr>
          <w:rStyle w:val="footnotemark"/>
        </w:rPr>
        <w:footnoteRef/>
      </w:r>
      <w:r>
        <w:t xml:space="preserve"> Before 1981, there were two legal bodies regulating water (Pen˜a, 2021):</w:t>
      </w:r>
    </w:p>
    <w:p w14:paraId="164B8EFA" w14:textId="77777777" w:rsidR="00555D24" w:rsidRDefault="00000000">
      <w:pPr>
        <w:pStyle w:val="footnotedescription"/>
        <w:spacing w:after="80" w:line="248" w:lineRule="auto"/>
        <w:ind w:left="956" w:firstLine="0"/>
      </w:pPr>
      <w:r>
        <w:t>Water Code of 1951: here was created the process of creation of water rights as it exists now, but only for agricultural users; they legally consisted on concessions by the state to the users, they were tied to a specific land parcel and they could not be traded. The administration of canals was left to Canal Associations, and the administration of rivers under droughts was under the authority of Water Boards wherever there was one in place, or to the state otherwise.</w:t>
      </w:r>
    </w:p>
    <w:p w14:paraId="6BB8CD42" w14:textId="77777777" w:rsidR="00555D24" w:rsidRDefault="00000000">
      <w:pPr>
        <w:pStyle w:val="footnotedescription"/>
        <w:spacing w:line="248" w:lineRule="auto"/>
        <w:ind w:left="956" w:firstLine="0"/>
      </w:pPr>
      <w:r>
        <w:t>Water code of 1967: this water code was enacted to harmonize the legal administration of water to the successive Land Reforms implemented between 1962 and 1973. In essence, this code reallocated the management of all water bodies to the state, and all water titles in place were replaced by new titles that allocated water proportionally to the plot size. This code was never fully implemented, but it created an administrative disorder and future confusion regarding what titles were valid after the 1981 code was enacted.</w:t>
      </w:r>
    </w:p>
  </w:footnote>
  <w:footnote w:id="5">
    <w:p w14:paraId="2BA73EE9" w14:textId="77777777" w:rsidR="00555D24" w:rsidRDefault="00000000">
      <w:pPr>
        <w:pStyle w:val="footnotedescription"/>
        <w:ind w:left="659" w:right="0" w:firstLine="0"/>
        <w:jc w:val="left"/>
      </w:pPr>
      <w:r>
        <w:rPr>
          <w:rStyle w:val="footnotemark"/>
        </w:rPr>
        <w:footnoteRef/>
      </w:r>
      <w:r>
        <w:t xml:space="preserve"> Articles 269</w:t>
      </w:r>
      <w:r>
        <w:rPr>
          <w:i/>
          <w:vertAlign w:val="superscript"/>
        </w:rPr>
        <w:t xml:space="preserve">th </w:t>
      </w:r>
      <w:r>
        <w:t>and 270</w:t>
      </w:r>
      <w:r>
        <w:rPr>
          <w:i/>
          <w:vertAlign w:val="superscript"/>
        </w:rPr>
        <w:t xml:space="preserve">th </w:t>
      </w:r>
      <w:r>
        <w:t>of the Water Code of 1981(Biblioteca del Congreso Nacional, 1981).</w:t>
      </w:r>
    </w:p>
  </w:footnote>
  <w:footnote w:id="6">
    <w:p w14:paraId="4A2533B4" w14:textId="77777777" w:rsidR="00555D24" w:rsidRDefault="00000000">
      <w:pPr>
        <w:pStyle w:val="footnotedescription"/>
        <w:ind w:left="659" w:right="0" w:firstLine="0"/>
        <w:jc w:val="left"/>
      </w:pPr>
      <w:r>
        <w:rPr>
          <w:rStyle w:val="footnotemark"/>
        </w:rPr>
        <w:footnoteRef/>
      </w:r>
      <w:r>
        <w:t xml:space="preserve"> In 2005, their jurisdiction expanded, to include groundwater (CNR, 2018a; Ferna´ndez and Girona´s, 2021). </w:t>
      </w:r>
      <w:r>
        <w:rPr>
          <w:sz w:val="12"/>
        </w:rPr>
        <w:t xml:space="preserve">6 </w:t>
      </w:r>
      <w:r>
        <w:t>For water rights registered in canals, Water Boards take decisions regarding allotments for the full canal, and the corresponding Canal Association will solve the matter within the canal. Users willing to dispute their Canal Association decisions may direct their complaints to the Water Board.</w:t>
      </w:r>
    </w:p>
  </w:footnote>
  <w:footnote w:id="7">
    <w:p w14:paraId="103D7009" w14:textId="77777777" w:rsidR="00555D24" w:rsidRDefault="00000000">
      <w:pPr>
        <w:pStyle w:val="footnotedescription"/>
        <w:spacing w:line="216" w:lineRule="auto"/>
        <w:ind w:firstLine="249"/>
      </w:pPr>
      <w:r>
        <w:rPr>
          <w:rStyle w:val="footnotemark"/>
        </w:rPr>
        <w:footnoteRef/>
      </w:r>
      <w:r>
        <w:t xml:space="preserve"> If the users under conflict own water rights linked to a canal, their first step is to address their Canal Association, which manages water issues within a given canal. If the agents are unsatisfied with their ruling, they can appeal to their Water Board, or ordinary courts, if there is no Water Board with jurisdiction in the area. Water Boards also have jurisdiction over all conflicts that may arise among canals themselves, as long as they are within the Boards’ jurisdiction.</w:t>
      </w:r>
    </w:p>
  </w:footnote>
  <w:footnote w:id="8">
    <w:p w14:paraId="1FFFD579" w14:textId="77777777" w:rsidR="00555D24" w:rsidRDefault="00000000">
      <w:pPr>
        <w:pStyle w:val="footnotedescription"/>
        <w:spacing w:line="270" w:lineRule="auto"/>
        <w:ind w:firstLine="249"/>
      </w:pPr>
      <w:r>
        <w:rPr>
          <w:rStyle w:val="footnotemark"/>
        </w:rPr>
        <w:footnoteRef/>
      </w:r>
      <w:r>
        <w:t xml:space="preserve"> We consider 4 years before and 4 years after the establishment of the board for our analysis, and so we need to exclude those boards established in 1982. The results are not affected by reducing the number of pre-periods to 3 to include the boards established in 1982.</w:t>
      </w:r>
    </w:p>
  </w:footnote>
  <w:footnote w:id="9">
    <w:p w14:paraId="34AD5262" w14:textId="77777777" w:rsidR="00555D24" w:rsidRDefault="00000000">
      <w:pPr>
        <w:pStyle w:val="footnotedescription"/>
        <w:spacing w:line="263" w:lineRule="auto"/>
        <w:ind w:firstLine="249"/>
      </w:pPr>
      <w:r>
        <w:rPr>
          <w:rStyle w:val="footnotemark"/>
        </w:rPr>
        <w:footnoteRef/>
      </w:r>
      <w:r>
        <w:t xml:space="preserve"> There is no systematic documentation of the time length of the full constitution process, but one testimony about the establishment of a water board through a lawsuit in 2015 describes a process of at least two years, with the lawsuit resolution taking the first year and the second year devoted to the execution of the resolution; the organization of the board actually started during this year (CNR, 2018b).</w:t>
      </w:r>
    </w:p>
  </w:footnote>
  <w:footnote w:id="10">
    <w:p w14:paraId="783E41C1" w14:textId="77777777" w:rsidR="00555D24" w:rsidRDefault="00000000">
      <w:pPr>
        <w:pStyle w:val="footnotedescription"/>
        <w:spacing w:line="271" w:lineRule="auto"/>
        <w:ind w:right="901"/>
        <w:jc w:val="left"/>
      </w:pPr>
      <w:r>
        <w:rPr>
          <w:rStyle w:val="footnotemark"/>
        </w:rPr>
        <w:footnoteRef/>
      </w:r>
      <w:r>
        <w:t xml:space="preserve"> Water rights claimed by 1980 were claimed under previous Water Code versions, and they were eligible for regularization under the new rules introduced under the 1981 Water Code. They reflect the intensity of extraction of each river before the 1981 Water Code reform.</w:t>
      </w:r>
    </w:p>
  </w:footnote>
  <w:footnote w:id="11">
    <w:p w14:paraId="076D863F" w14:textId="77777777" w:rsidR="00555D24" w:rsidRDefault="00000000">
      <w:pPr>
        <w:pStyle w:val="footnotedescription"/>
        <w:spacing w:line="293" w:lineRule="auto"/>
        <w:ind w:right="865"/>
      </w:pPr>
      <w:r>
        <w:rPr>
          <w:rStyle w:val="footnotemark"/>
        </w:rPr>
        <w:footnoteRef/>
      </w:r>
      <w:r>
        <w:t xml:space="preserve"> Except for those boards established in 1982, which establishment process was probably started before the passing of the Water Code of 1981.</w:t>
      </w:r>
    </w:p>
  </w:footnote>
  <w:footnote w:id="12">
    <w:p w14:paraId="0FC3DF8E" w14:textId="77777777" w:rsidR="00555D24" w:rsidRDefault="00000000">
      <w:pPr>
        <w:pStyle w:val="footnotedescription"/>
        <w:spacing w:line="216" w:lineRule="auto"/>
      </w:pPr>
      <w:r>
        <w:rPr>
          <w:rStyle w:val="footnotemark"/>
        </w:rPr>
        <w:footnoteRef/>
      </w:r>
      <w:r>
        <w:t xml:space="preserve"> Following Cengiz, Dube, Lindner, and Zipperer (2019), the time fixed effects are actually separated by treatment adoption event. This applies to all DID estimates throughout the paper.</w:t>
      </w:r>
    </w:p>
  </w:footnote>
  <w:footnote w:id="13">
    <w:p w14:paraId="6863F4B2" w14:textId="77777777" w:rsidR="00555D24" w:rsidRDefault="00000000">
      <w:pPr>
        <w:pStyle w:val="footnotedescription"/>
        <w:spacing w:line="260" w:lineRule="auto"/>
      </w:pPr>
      <w:r>
        <w:rPr>
          <w:rStyle w:val="footnotemark"/>
        </w:rPr>
        <w:footnoteRef/>
      </w:r>
      <w:r>
        <w:t xml:space="preserve"> Bauer (2004) points out how the lack of centralized records allowed the reclamation of duplicated water rights by some users: by claiming the same title through more than one channel, they were allowed to duplicate their ownership and to sell them. There is evidence of over-reclamation of rivers, that can be linked to this lack of records (Barr´ıa, Sandoval, Guzman, Chadwick, Alvarez-Garreton, D´ıaz-Vasconcellos, Ocampo-Melgar, and Fuster, 2021b).</w:t>
      </w:r>
    </w:p>
  </w:footnote>
  <w:footnote w:id="14">
    <w:p w14:paraId="5DAF2DA6" w14:textId="77777777" w:rsidR="00555D24" w:rsidRDefault="00000000">
      <w:pPr>
        <w:pStyle w:val="footnotedescription"/>
        <w:spacing w:line="216" w:lineRule="auto"/>
      </w:pPr>
      <w:r>
        <w:rPr>
          <w:rStyle w:val="footnotemark"/>
        </w:rPr>
        <w:footnoteRef/>
      </w:r>
      <w:r>
        <w:t xml:space="preserve"> In principle we could directly measure water rights ownership concentration. In practice, this was not possible due to the low quality of the geolocation of water rights in the period under study.</w:t>
      </w:r>
    </w:p>
  </w:footnote>
  <w:footnote w:id="15">
    <w:p w14:paraId="2477231B" w14:textId="77777777" w:rsidR="00555D24" w:rsidRDefault="00000000">
      <w:pPr>
        <w:pStyle w:val="footnotedescription"/>
        <w:ind w:left="586" w:right="0" w:firstLine="0"/>
        <w:jc w:val="left"/>
      </w:pPr>
      <w:r>
        <w:rPr>
          <w:rStyle w:val="footnotemark"/>
        </w:rPr>
        <w:footnoteRef/>
      </w:r>
      <w:r>
        <w:t xml:space="preserve"> In a simple agency model with liquidity constraints (available upon request), the presence of agents with enough resources to start litigation against a “shirking” Water Board is a necessary condition for an equilibrium where water boards effectively enforce property rights, as the board is disciplined by the threat of a lawsuit by water rights users affected by over-extraction. The Water Board does not exert effort (and so, property rights are not enforced in equilibrium) if lawsuits are unaffordable for all users that do not have water access as a consequence of over-extraction in an equilibrium without enforcement.</w:t>
      </w:r>
    </w:p>
  </w:footnote>
  <w:footnote w:id="16">
    <w:p w14:paraId="098A8892" w14:textId="77777777" w:rsidR="00555D24" w:rsidRDefault="00000000">
      <w:pPr>
        <w:pStyle w:val="footnotedescription"/>
        <w:ind w:left="586" w:right="0" w:firstLine="0"/>
        <w:jc w:val="left"/>
      </w:pPr>
      <w:r>
        <w:rPr>
          <w:rStyle w:val="footnotemark"/>
        </w:rPr>
        <w:footnoteRef/>
      </w:r>
      <w:r>
        <w:t xml:space="preserve"> Statistical mediation exercises in a causal environment rely on four assumptions: (1) no unmeasured treatment-outcome confounding, (2) no unmeasured mediator-outcome confounding; (3) no unmeasured treatment-mediator confounding, and (4) no mediator-outcome confounder affected by treatment (Valeri and VanderWeele, 2013). While assumptions (1) and (3) were already assumed on running the Difference-indifference analysis, assumptions (2) and (4) are non-standard, and imply in this setting a causal interpretation to the relationship between streamflows and water rights claimed, conditional on the set of fixed effects and controls. Providing evidence of such a causal relationship is currently under development, but the results so far do not contradict this assumption: the coefficient of water rights on streamflow is negative and in the same order of magnitude, as expected.</w:t>
      </w:r>
    </w:p>
  </w:footnote>
  <w:footnote w:id="17">
    <w:p w14:paraId="22A600A3" w14:textId="77777777" w:rsidR="00555D24" w:rsidRDefault="00000000">
      <w:pPr>
        <w:pStyle w:val="footnotedescription"/>
        <w:spacing w:line="278" w:lineRule="auto"/>
      </w:pPr>
      <w:r>
        <w:rPr>
          <w:rStyle w:val="footnotemark"/>
        </w:rPr>
        <w:footnoteRef/>
      </w:r>
      <w:r>
        <w:t xml:space="preserve"> LANDSAT 7 is a satellite program launched in 1999 by the US government. This program provides pictures of all across the globe every 16 days, with a resolution of 30 meters. These images are managed by USGS. More detailed information is available at </w:t>
      </w:r>
      <w:hyperlink r:id="rId1">
        <w:r>
          <w:rPr>
            <w:rFonts w:ascii="Calibri" w:eastAsia="Calibri" w:hAnsi="Calibri" w:cs="Calibri"/>
          </w:rPr>
          <w:t xml:space="preserve">https://www.usgs.gov/landsat-missions/ </w:t>
        </w:r>
      </w:hyperlink>
      <w:hyperlink r:id="rId2">
        <w:r>
          <w:rPr>
            <w:rFonts w:ascii="Calibri" w:eastAsia="Calibri" w:hAnsi="Calibri" w:cs="Calibri"/>
          </w:rPr>
          <w:t>product-information</w:t>
        </w:r>
      </w:hyperlink>
    </w:p>
  </w:footnote>
  <w:footnote w:id="18">
    <w:p w14:paraId="55733E83" w14:textId="77777777" w:rsidR="00555D24" w:rsidRDefault="00000000">
      <w:pPr>
        <w:pStyle w:val="footnotedescription"/>
        <w:spacing w:after="30"/>
        <w:ind w:left="586" w:right="0" w:firstLine="0"/>
        <w:jc w:val="left"/>
      </w:pPr>
      <w:r>
        <w:rPr>
          <w:rStyle w:val="footnotemark"/>
        </w:rPr>
        <w:footnoteRef/>
      </w:r>
      <w:r>
        <w:t xml:space="preserve"> proxied by the maximum EVI index reached during the potential Harvest season, between October and</w:t>
      </w:r>
    </w:p>
    <w:p w14:paraId="41320480" w14:textId="77777777" w:rsidR="00555D24" w:rsidRDefault="00000000">
      <w:pPr>
        <w:pStyle w:val="footnotedescription"/>
        <w:ind w:right="0" w:firstLine="0"/>
        <w:jc w:val="left"/>
      </w:pPr>
      <w:r>
        <w:t>February</w:t>
      </w:r>
    </w:p>
  </w:footnote>
  <w:footnote w:id="19">
    <w:p w14:paraId="36E38555" w14:textId="77777777" w:rsidR="00555D24" w:rsidRDefault="00000000">
      <w:pPr>
        <w:pStyle w:val="footnotedescription"/>
        <w:spacing w:line="271" w:lineRule="auto"/>
      </w:pPr>
      <w:r>
        <w:rPr>
          <w:rStyle w:val="footnotemark"/>
        </w:rPr>
        <w:footnoteRef/>
      </w:r>
      <w:r>
        <w:t xml:space="preserve"> Consider the example of a basin with one main river and a secondary feeding river; if users in the secondary river want to establish a water board, users in the main river may argue that they are part of a different river.</w:t>
      </w:r>
    </w:p>
  </w:footnote>
  <w:footnote w:id="20">
    <w:p w14:paraId="517ED7C2" w14:textId="77777777" w:rsidR="00555D24" w:rsidRDefault="00000000">
      <w:pPr>
        <w:pStyle w:val="footnotedescription"/>
        <w:spacing w:line="260" w:lineRule="auto"/>
      </w:pPr>
      <w:r>
        <w:rPr>
          <w:rStyle w:val="footnotemark"/>
        </w:rPr>
        <w:footnoteRef/>
      </w:r>
      <w:r>
        <w:t xml:space="preserve"> The former argument is a simplification, as the same situation may arise within canals at different locations in the basin: farmers located closer to the river may -in absence of proper enforcement- overextract, leaving farmers located far from the river with less water. However, it is possible that appropriate enforcement at the river level may imply enough water availability on each canal, such that the within-canal enforcement problems become negligible.</w:t>
      </w:r>
    </w:p>
  </w:footnote>
  <w:footnote w:id="21">
    <w:p w14:paraId="0A280B11" w14:textId="77777777" w:rsidR="00555D24" w:rsidRDefault="00000000">
      <w:pPr>
        <w:pStyle w:val="footnotedescription"/>
        <w:ind w:left="586" w:right="0" w:firstLine="0"/>
        <w:jc w:val="left"/>
      </w:pPr>
      <w:r>
        <w:rPr>
          <w:rStyle w:val="footnotemark"/>
        </w:rPr>
        <w:footnoteRef/>
      </w:r>
      <w:r>
        <w:t xml:space="preserve"> In principle, we assume –as it is our main premise across the paper– that there are downstream externalities in water consumption under scarcity: extraction by upstream users affects water availability of downstream users. We do separate analysis by quantile of distance to the coast –i.e. by location within the basin– under the additional assumption that these externalities depend on aggregate extraction by users located upstream, and not by other agents located closely.</w:t>
      </w:r>
    </w:p>
    <w:p w14:paraId="3D3D39A2" w14:textId="77777777" w:rsidR="00555D24" w:rsidRDefault="00000000">
      <w:pPr>
        <w:pStyle w:val="footnotedescription"/>
        <w:spacing w:line="248" w:lineRule="auto"/>
        <w:ind w:firstLine="184"/>
      </w:pPr>
      <w:r>
        <w:t>A second concern regarding SUTVA violations is that the actions of one individual adopting Water Boards due to the reduction in transportation costs may impose a treatment externality: all the users in their area will adopt a board. To address this interpretation of our first stage, in Appendix we provide estimates of the main equations but using as an instrument the predicted probability of having a water board at the level of river segment, where we use as predictors polynomials of our driving distance measure to the most upstream capital city, interacted with basin fixed effects.</w:t>
      </w:r>
    </w:p>
  </w:footnote>
  <w:footnote w:id="22">
    <w:p w14:paraId="70D8C701" w14:textId="77777777" w:rsidR="00555D24" w:rsidRDefault="00000000">
      <w:pPr>
        <w:pStyle w:val="footnotedescription"/>
        <w:ind w:left="586" w:right="0" w:firstLine="0"/>
        <w:jc w:val="left"/>
      </w:pPr>
      <w:r>
        <w:rPr>
          <w:rStyle w:val="footnotemark"/>
        </w:rPr>
        <w:footnoteRef/>
      </w:r>
      <w:r>
        <w:t xml:space="preserve"> The results are the same if we measure exposure by the number of farms located upstream, or the total area among farms located upstream.</w:t>
      </w:r>
    </w:p>
  </w:footnote>
  <w:footnote w:id="23">
    <w:p w14:paraId="47575252" w14:textId="77777777" w:rsidR="00555D24" w:rsidRDefault="00000000">
      <w:pPr>
        <w:pStyle w:val="footnotedescription"/>
        <w:ind w:left="586" w:right="0" w:firstLine="0"/>
        <w:jc w:val="left"/>
      </w:pPr>
      <w:r>
        <w:rPr>
          <w:rStyle w:val="footnotemark"/>
        </w:rPr>
        <w:footnoteRef/>
      </w:r>
      <w:r>
        <w:t xml:space="preserve"> Both indexes are equal on exactly identified IV models.</w:t>
      </w:r>
    </w:p>
  </w:footnote>
  <w:footnote w:id="24">
    <w:p w14:paraId="7BFDEF6C" w14:textId="77777777" w:rsidR="00555D24" w:rsidRDefault="00000000">
      <w:pPr>
        <w:pStyle w:val="footnotedescription"/>
        <w:spacing w:line="271" w:lineRule="auto"/>
      </w:pPr>
      <w:r>
        <w:rPr>
          <w:rStyle w:val="footnotemark"/>
        </w:rPr>
        <w:footnoteRef/>
      </w:r>
      <w:r>
        <w:t xml:space="preserve"> Notably, we cannot reject that the OLS and IV estimates for upstream locations are different, which is consistent with the idea that the establishment of a water board is imposed to upstream farmers by decisions taken by users in downstream locations, and so, it can plausibly be exogenous.</w:t>
      </w:r>
    </w:p>
  </w:footnote>
  <w:footnote w:id="25">
    <w:p w14:paraId="57D7080E" w14:textId="77777777" w:rsidR="00555D24" w:rsidRDefault="00000000">
      <w:pPr>
        <w:pStyle w:val="footnotedescription"/>
        <w:spacing w:line="293" w:lineRule="auto"/>
        <w:ind w:right="516"/>
      </w:pPr>
      <w:r>
        <w:rPr>
          <w:rStyle w:val="footnotemark"/>
        </w:rPr>
        <w:footnoteRef/>
      </w:r>
      <w:r>
        <w:t xml:space="preserve"> In results not reported, the effect over the NDVI index -a measure of agricultural activity- over Summer Months shows an increase of 44%.</w:t>
      </w:r>
    </w:p>
  </w:footnote>
  <w:footnote w:id="26">
    <w:p w14:paraId="6F5CEACF" w14:textId="77777777" w:rsidR="00555D24" w:rsidRDefault="00000000">
      <w:pPr>
        <w:pStyle w:val="footnotedescription"/>
        <w:spacing w:line="271" w:lineRule="auto"/>
      </w:pPr>
      <w:r>
        <w:rPr>
          <w:rStyle w:val="footnotemark"/>
        </w:rPr>
        <w:footnoteRef/>
      </w:r>
      <w:r>
        <w:t xml:space="preserve"> This may explain our finding that Boards increase streamflows more in more unequal basins: if the increased inequality is explained by higher inequality in downstream locations, the downstream elite is able to press for stronger redistribution towards downstream locations.</w:t>
      </w:r>
    </w:p>
  </w:footnote>
  <w:footnote w:id="27">
    <w:p w14:paraId="5AA8EC5A" w14:textId="77777777" w:rsidR="00555D24" w:rsidRDefault="00000000">
      <w:pPr>
        <w:pStyle w:val="footnotedescription"/>
        <w:spacing w:line="263" w:lineRule="auto"/>
      </w:pPr>
      <w:r>
        <w:rPr>
          <w:rStyle w:val="footnotemark"/>
        </w:rPr>
        <w:footnoteRef/>
      </w:r>
      <w:r>
        <w:t xml:space="preserve"> We considered assymetric rules to define smaller (“below percentile 50”) and larger farms (“above percentile 80”) because the distribution is very asymmetric with a heavy right tail -implying that farms below the median are more similar among themselves than farms above the median-, and also because we will probably have higher measurement error -on the independent variable, which implies more noisy</w:t>
      </w:r>
    </w:p>
  </w:footnote>
  <w:footnote w:id="28">
    <w:p w14:paraId="1D801AEE" w14:textId="77777777" w:rsidR="00555D24" w:rsidRDefault="00000000">
      <w:pPr>
        <w:pStyle w:val="footnotedescription"/>
        <w:spacing w:line="293" w:lineRule="auto"/>
        <w:ind w:right="384"/>
      </w:pPr>
      <w:r>
        <w:rPr>
          <w:rStyle w:val="footnotemark"/>
        </w:rPr>
        <w:footnoteRef/>
      </w:r>
      <w:r>
        <w:t xml:space="preserve"> We eliminate farms above 50 hectares to eliminate outliers; the results do not change qualitatively including operations above this threshold, but the standard errors are higher.</w:t>
      </w:r>
    </w:p>
  </w:footnote>
  <w:footnote w:id="29">
    <w:p w14:paraId="5695D4F5" w14:textId="77777777" w:rsidR="00555D24" w:rsidRDefault="00000000">
      <w:pPr>
        <w:pStyle w:val="footnotedescription"/>
        <w:spacing w:line="271" w:lineRule="auto"/>
      </w:pPr>
      <w:r>
        <w:rPr>
          <w:rStyle w:val="footnotemark"/>
        </w:rPr>
        <w:footnoteRef/>
      </w:r>
      <w:r>
        <w:t xml:space="preserve"> Table 20 in Appendix A presents a balance table for Useful Rainfall across specifications; there are no significant differences in Useful Rainfall, and more importantly, there are no differences between treated and control areas across positions within basins.</w:t>
      </w:r>
    </w:p>
  </w:footnote>
  <w:footnote w:id="30">
    <w:p w14:paraId="4D179332" w14:textId="77777777" w:rsidR="00555D24" w:rsidRDefault="00000000">
      <w:pPr>
        <w:pStyle w:val="footnotedescription"/>
        <w:spacing w:line="293" w:lineRule="auto"/>
        <w:ind w:right="927"/>
        <w:jc w:val="left"/>
      </w:pPr>
      <w:r>
        <w:rPr>
          <w:rStyle w:val="footnotemark"/>
        </w:rPr>
        <w:footnoteRef/>
      </w:r>
      <w:r>
        <w:t xml:space="preserve"> This test was performed considering the standard errors clustered by county; the results do not change by considering the SE clustered by county and irrigation season crop type.</w:t>
      </w:r>
    </w:p>
  </w:footnote>
  <w:footnote w:id="31">
    <w:p w14:paraId="1C76B6FD" w14:textId="77777777" w:rsidR="00555D24" w:rsidRDefault="00000000">
      <w:pPr>
        <w:pStyle w:val="footnotedescription"/>
        <w:spacing w:line="293" w:lineRule="auto"/>
        <w:ind w:right="674"/>
        <w:jc w:val="left"/>
      </w:pPr>
      <w:r>
        <w:rPr>
          <w:rStyle w:val="footnotemark"/>
        </w:rPr>
        <w:footnoteRef/>
      </w:r>
      <w:r>
        <w:t xml:space="preserve"> Manysheva (2022) and Rafey (2023b) use this strategy to estimate the production functions of rainfed farms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EC7"/>
    <w:multiLevelType w:val="hybridMultilevel"/>
    <w:tmpl w:val="B6FA3A42"/>
    <w:lvl w:ilvl="0" w:tplc="4D042594">
      <w:start w:val="18"/>
      <w:numFmt w:val="decimal"/>
      <w:lvlText w:val="%1"/>
      <w:lvlJc w:val="left"/>
      <w:pPr>
        <w:ind w:left="4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15FE31E8">
      <w:start w:val="1"/>
      <w:numFmt w:val="lowerLetter"/>
      <w:lvlText w:val="%2"/>
      <w:lvlJc w:val="left"/>
      <w:pPr>
        <w:ind w:left="125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0D8406D4">
      <w:start w:val="1"/>
      <w:numFmt w:val="lowerRoman"/>
      <w:lvlText w:val="%3"/>
      <w:lvlJc w:val="left"/>
      <w:pPr>
        <w:ind w:left="197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372E5B7E">
      <w:start w:val="1"/>
      <w:numFmt w:val="decimal"/>
      <w:lvlText w:val="%4"/>
      <w:lvlJc w:val="left"/>
      <w:pPr>
        <w:ind w:left="269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571C4670">
      <w:start w:val="1"/>
      <w:numFmt w:val="lowerLetter"/>
      <w:lvlText w:val="%5"/>
      <w:lvlJc w:val="left"/>
      <w:pPr>
        <w:ind w:left="341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B4465A80">
      <w:start w:val="1"/>
      <w:numFmt w:val="lowerRoman"/>
      <w:lvlText w:val="%6"/>
      <w:lvlJc w:val="left"/>
      <w:pPr>
        <w:ind w:left="413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6CD8F264">
      <w:start w:val="1"/>
      <w:numFmt w:val="decimal"/>
      <w:lvlText w:val="%7"/>
      <w:lvlJc w:val="left"/>
      <w:pPr>
        <w:ind w:left="485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799CF9B2">
      <w:start w:val="1"/>
      <w:numFmt w:val="lowerLetter"/>
      <w:lvlText w:val="%8"/>
      <w:lvlJc w:val="left"/>
      <w:pPr>
        <w:ind w:left="557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D01EC3AE">
      <w:start w:val="1"/>
      <w:numFmt w:val="lowerRoman"/>
      <w:lvlText w:val="%9"/>
      <w:lvlJc w:val="left"/>
      <w:pPr>
        <w:ind w:left="629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22BE1816"/>
    <w:multiLevelType w:val="hybridMultilevel"/>
    <w:tmpl w:val="4CE69288"/>
    <w:lvl w:ilvl="0" w:tplc="E394512E">
      <w:start w:val="1"/>
      <w:numFmt w:val="lowerLetter"/>
      <w:lvlText w:val="(%1)"/>
      <w:lvlJc w:val="left"/>
      <w:pPr>
        <w:ind w:left="3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16E6D7C">
      <w:start w:val="1"/>
      <w:numFmt w:val="lowerLetter"/>
      <w:lvlText w:val="%2"/>
      <w:lvlJc w:val="left"/>
      <w:pPr>
        <w:ind w:left="38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1146268">
      <w:start w:val="1"/>
      <w:numFmt w:val="lowerRoman"/>
      <w:lvlText w:val="%3"/>
      <w:lvlJc w:val="left"/>
      <w:pPr>
        <w:ind w:left="45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BC4C360">
      <w:start w:val="1"/>
      <w:numFmt w:val="decimal"/>
      <w:lvlText w:val="%4"/>
      <w:lvlJc w:val="left"/>
      <w:pPr>
        <w:ind w:left="52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8FCCC26">
      <w:start w:val="1"/>
      <w:numFmt w:val="lowerLetter"/>
      <w:lvlText w:val="%5"/>
      <w:lvlJc w:val="left"/>
      <w:pPr>
        <w:ind w:left="59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B40D168">
      <w:start w:val="1"/>
      <w:numFmt w:val="lowerRoman"/>
      <w:lvlText w:val="%6"/>
      <w:lvlJc w:val="left"/>
      <w:pPr>
        <w:ind w:left="6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D8A2F9C">
      <w:start w:val="1"/>
      <w:numFmt w:val="decimal"/>
      <w:lvlText w:val="%7"/>
      <w:lvlJc w:val="left"/>
      <w:pPr>
        <w:ind w:left="7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80617CC">
      <w:start w:val="1"/>
      <w:numFmt w:val="lowerLetter"/>
      <w:lvlText w:val="%8"/>
      <w:lvlJc w:val="left"/>
      <w:pPr>
        <w:ind w:left="8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DACED54">
      <w:start w:val="1"/>
      <w:numFmt w:val="lowerRoman"/>
      <w:lvlText w:val="%9"/>
      <w:lvlJc w:val="left"/>
      <w:pPr>
        <w:ind w:left="8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633C48"/>
    <w:multiLevelType w:val="hybridMultilevel"/>
    <w:tmpl w:val="BD200824"/>
    <w:lvl w:ilvl="0" w:tplc="CE587B0C">
      <w:start w:val="1"/>
      <w:numFmt w:val="decimal"/>
      <w:lvlText w:val="%1."/>
      <w:lvlJc w:val="left"/>
      <w:pPr>
        <w:ind w:left="9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950B2B8">
      <w:start w:val="1"/>
      <w:numFmt w:val="lowerLetter"/>
      <w:lvlText w:val="%2"/>
      <w:lvlJc w:val="left"/>
      <w:pPr>
        <w:ind w:left="12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DFC2634">
      <w:start w:val="1"/>
      <w:numFmt w:val="lowerRoman"/>
      <w:lvlText w:val="%3"/>
      <w:lvlJc w:val="left"/>
      <w:pPr>
        <w:ind w:left="19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61CA698">
      <w:start w:val="1"/>
      <w:numFmt w:val="decimal"/>
      <w:lvlText w:val="%4"/>
      <w:lvlJc w:val="left"/>
      <w:pPr>
        <w:ind w:left="26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2C83CF6">
      <w:start w:val="1"/>
      <w:numFmt w:val="lowerLetter"/>
      <w:lvlText w:val="%5"/>
      <w:lvlJc w:val="left"/>
      <w:pPr>
        <w:ind w:left="33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01C31EA">
      <w:start w:val="1"/>
      <w:numFmt w:val="lowerRoman"/>
      <w:lvlText w:val="%6"/>
      <w:lvlJc w:val="left"/>
      <w:pPr>
        <w:ind w:left="40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402BA76">
      <w:start w:val="1"/>
      <w:numFmt w:val="decimal"/>
      <w:lvlText w:val="%7"/>
      <w:lvlJc w:val="left"/>
      <w:pPr>
        <w:ind w:left="48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86BFE4">
      <w:start w:val="1"/>
      <w:numFmt w:val="lowerLetter"/>
      <w:lvlText w:val="%8"/>
      <w:lvlJc w:val="left"/>
      <w:pPr>
        <w:ind w:left="55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A30AE16">
      <w:start w:val="1"/>
      <w:numFmt w:val="lowerRoman"/>
      <w:lvlText w:val="%9"/>
      <w:lvlJc w:val="left"/>
      <w:pPr>
        <w:ind w:left="62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2EF5760"/>
    <w:multiLevelType w:val="hybridMultilevel"/>
    <w:tmpl w:val="B05E9302"/>
    <w:lvl w:ilvl="0" w:tplc="37ECD608">
      <w:start w:val="1"/>
      <w:numFmt w:val="lowerLetter"/>
      <w:lvlText w:val="(%1)"/>
      <w:lvlJc w:val="left"/>
      <w:pPr>
        <w:ind w:left="3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7385F6E">
      <w:start w:val="1"/>
      <w:numFmt w:val="lowerLetter"/>
      <w:lvlText w:val="(%2)"/>
      <w:lvlJc w:val="left"/>
      <w:pPr>
        <w:ind w:left="3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59E4B98">
      <w:start w:val="1"/>
      <w:numFmt w:val="lowerRoman"/>
      <w:lvlText w:val="%3"/>
      <w:lvlJc w:val="left"/>
      <w:pPr>
        <w:ind w:left="44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76B660">
      <w:start w:val="1"/>
      <w:numFmt w:val="decimal"/>
      <w:lvlText w:val="%4"/>
      <w:lvlJc w:val="left"/>
      <w:pPr>
        <w:ind w:left="51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5F471B0">
      <w:start w:val="1"/>
      <w:numFmt w:val="lowerLetter"/>
      <w:lvlText w:val="%5"/>
      <w:lvlJc w:val="left"/>
      <w:pPr>
        <w:ind w:left="58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69424F2">
      <w:start w:val="1"/>
      <w:numFmt w:val="lowerRoman"/>
      <w:lvlText w:val="%6"/>
      <w:lvlJc w:val="left"/>
      <w:pPr>
        <w:ind w:left="65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308810E">
      <w:start w:val="1"/>
      <w:numFmt w:val="decimal"/>
      <w:lvlText w:val="%7"/>
      <w:lvlJc w:val="left"/>
      <w:pPr>
        <w:ind w:left="73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068CE2">
      <w:start w:val="1"/>
      <w:numFmt w:val="lowerLetter"/>
      <w:lvlText w:val="%8"/>
      <w:lvlJc w:val="left"/>
      <w:pPr>
        <w:ind w:left="80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C689F2">
      <w:start w:val="1"/>
      <w:numFmt w:val="lowerRoman"/>
      <w:lvlText w:val="%9"/>
      <w:lvlJc w:val="left"/>
      <w:pPr>
        <w:ind w:left="87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8282158"/>
    <w:multiLevelType w:val="hybridMultilevel"/>
    <w:tmpl w:val="B7DAAC82"/>
    <w:lvl w:ilvl="0" w:tplc="A1441A56">
      <w:start w:val="1"/>
      <w:numFmt w:val="bullet"/>
      <w:lvlText w:val="–"/>
      <w:lvlJc w:val="left"/>
      <w:pPr>
        <w:ind w:left="143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C428BFE4">
      <w:start w:val="1"/>
      <w:numFmt w:val="bullet"/>
      <w:lvlText w:val="o"/>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1752E230">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0B9A56A8">
      <w:start w:val="1"/>
      <w:numFmt w:val="bullet"/>
      <w:lvlText w:val="•"/>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E5967282">
      <w:start w:val="1"/>
      <w:numFmt w:val="bullet"/>
      <w:lvlText w:val="o"/>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7F96299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E77C45EA">
      <w:start w:val="1"/>
      <w:numFmt w:val="bullet"/>
      <w:lvlText w:val="•"/>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7964C9A">
      <w:start w:val="1"/>
      <w:numFmt w:val="bullet"/>
      <w:lvlText w:val="o"/>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4629C90">
      <w:start w:val="1"/>
      <w:numFmt w:val="bullet"/>
      <w:lvlText w:val="▪"/>
      <w:lvlJc w:val="left"/>
      <w:pPr>
        <w:ind w:left="69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1A22C3"/>
    <w:multiLevelType w:val="hybridMultilevel"/>
    <w:tmpl w:val="94D41A72"/>
    <w:lvl w:ilvl="0" w:tplc="D7A21F5C">
      <w:start w:val="1"/>
      <w:numFmt w:val="decimal"/>
      <w:lvlText w:val="%1."/>
      <w:lvlJc w:val="left"/>
      <w:pPr>
        <w:ind w:left="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AA6EE5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03EB440">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EA854DA">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78A8DD2">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4E6B8A6">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240025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BF0B730">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2C0FAF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FA2C65"/>
    <w:multiLevelType w:val="hybridMultilevel"/>
    <w:tmpl w:val="B5CC0148"/>
    <w:lvl w:ilvl="0" w:tplc="9028E61E">
      <w:start w:val="1"/>
      <w:numFmt w:val="lowerLetter"/>
      <w:lvlText w:val="(%1)"/>
      <w:lvlJc w:val="left"/>
      <w:pPr>
        <w:ind w:left="24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786334A">
      <w:start w:val="1"/>
      <w:numFmt w:val="lowerLetter"/>
      <w:lvlText w:val="%2"/>
      <w:lvlJc w:val="left"/>
      <w:pPr>
        <w:ind w:left="28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50C7DB6">
      <w:start w:val="1"/>
      <w:numFmt w:val="lowerRoman"/>
      <w:lvlText w:val="%3"/>
      <w:lvlJc w:val="left"/>
      <w:pPr>
        <w:ind w:left="35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1A262A">
      <w:start w:val="1"/>
      <w:numFmt w:val="decimal"/>
      <w:lvlText w:val="%4"/>
      <w:lvlJc w:val="left"/>
      <w:pPr>
        <w:ind w:left="4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8E8B9B2">
      <w:start w:val="1"/>
      <w:numFmt w:val="lowerLetter"/>
      <w:lvlText w:val="%5"/>
      <w:lvlJc w:val="left"/>
      <w:pPr>
        <w:ind w:left="49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8500CE2">
      <w:start w:val="1"/>
      <w:numFmt w:val="lowerRoman"/>
      <w:lvlText w:val="%6"/>
      <w:lvlJc w:val="left"/>
      <w:pPr>
        <w:ind w:left="5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7834E2">
      <w:start w:val="1"/>
      <w:numFmt w:val="decimal"/>
      <w:lvlText w:val="%7"/>
      <w:lvlJc w:val="left"/>
      <w:pPr>
        <w:ind w:left="64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D08D7F6">
      <w:start w:val="1"/>
      <w:numFmt w:val="lowerLetter"/>
      <w:lvlText w:val="%8"/>
      <w:lvlJc w:val="left"/>
      <w:pPr>
        <w:ind w:left="7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6488766">
      <w:start w:val="1"/>
      <w:numFmt w:val="lowerRoman"/>
      <w:lvlText w:val="%9"/>
      <w:lvlJc w:val="left"/>
      <w:pPr>
        <w:ind w:left="7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4628C9"/>
    <w:multiLevelType w:val="hybridMultilevel"/>
    <w:tmpl w:val="D8A25AF2"/>
    <w:lvl w:ilvl="0" w:tplc="601CA426">
      <w:start w:val="1"/>
      <w:numFmt w:val="bullet"/>
      <w:lvlText w:val="-"/>
      <w:lvlJc w:val="left"/>
      <w:pPr>
        <w:ind w:left="5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10078EA">
      <w:start w:val="1"/>
      <w:numFmt w:val="bullet"/>
      <w:lvlText w:val="o"/>
      <w:lvlJc w:val="left"/>
      <w:pPr>
        <w:ind w:left="14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9DAA024">
      <w:start w:val="1"/>
      <w:numFmt w:val="bullet"/>
      <w:lvlText w:val="▪"/>
      <w:lvlJc w:val="left"/>
      <w:pPr>
        <w:ind w:left="21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AC8DE66">
      <w:start w:val="1"/>
      <w:numFmt w:val="bullet"/>
      <w:lvlText w:val="•"/>
      <w:lvlJc w:val="left"/>
      <w:pPr>
        <w:ind w:left="28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9683338">
      <w:start w:val="1"/>
      <w:numFmt w:val="bullet"/>
      <w:lvlText w:val="o"/>
      <w:lvlJc w:val="left"/>
      <w:pPr>
        <w:ind w:left="36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A7040B0">
      <w:start w:val="1"/>
      <w:numFmt w:val="bullet"/>
      <w:lvlText w:val="▪"/>
      <w:lvlJc w:val="left"/>
      <w:pPr>
        <w:ind w:left="43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BD89956">
      <w:start w:val="1"/>
      <w:numFmt w:val="bullet"/>
      <w:lvlText w:val="•"/>
      <w:lvlJc w:val="left"/>
      <w:pPr>
        <w:ind w:left="50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8E0320">
      <w:start w:val="1"/>
      <w:numFmt w:val="bullet"/>
      <w:lvlText w:val="o"/>
      <w:lvlJc w:val="left"/>
      <w:pPr>
        <w:ind w:left="57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09C1A34">
      <w:start w:val="1"/>
      <w:numFmt w:val="bullet"/>
      <w:lvlText w:val="▪"/>
      <w:lvlJc w:val="left"/>
      <w:pPr>
        <w:ind w:left="64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512603308">
    <w:abstractNumId w:val="4"/>
  </w:num>
  <w:num w:numId="2" w16cid:durableId="1067219656">
    <w:abstractNumId w:val="5"/>
  </w:num>
  <w:num w:numId="3" w16cid:durableId="1994412726">
    <w:abstractNumId w:val="0"/>
  </w:num>
  <w:num w:numId="4" w16cid:durableId="306209113">
    <w:abstractNumId w:val="7"/>
  </w:num>
  <w:num w:numId="5" w16cid:durableId="294064145">
    <w:abstractNumId w:val="1"/>
  </w:num>
  <w:num w:numId="6" w16cid:durableId="1139372943">
    <w:abstractNumId w:val="3"/>
  </w:num>
  <w:num w:numId="7" w16cid:durableId="1162696836">
    <w:abstractNumId w:val="6"/>
  </w:num>
  <w:num w:numId="8" w16cid:durableId="99957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D24"/>
    <w:rsid w:val="00041612"/>
    <w:rsid w:val="00555D24"/>
    <w:rsid w:val="00F9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7E214"/>
  <w15:docId w15:val="{22764C64-2176-45A6-BAD0-139626DE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19" w:lineRule="auto"/>
      <w:ind w:left="421" w:right="533" w:hanging="10"/>
      <w:jc w:val="both"/>
    </w:pPr>
    <w:rPr>
      <w:rFonts w:ascii="Cambria" w:eastAsia="Cambria" w:hAnsi="Cambria" w:cs="Cambria"/>
      <w:color w:val="000000"/>
    </w:rPr>
  </w:style>
  <w:style w:type="paragraph" w:styleId="Ttulo1">
    <w:name w:val="heading 1"/>
    <w:next w:val="Normal"/>
    <w:link w:val="Ttulo1Car"/>
    <w:uiPriority w:val="9"/>
    <w:qFormat/>
    <w:pPr>
      <w:keepNext/>
      <w:keepLines/>
      <w:spacing w:after="307"/>
      <w:ind w:left="421" w:hanging="10"/>
      <w:outlineLvl w:val="0"/>
    </w:pPr>
    <w:rPr>
      <w:rFonts w:ascii="Cambria" w:eastAsia="Cambria" w:hAnsi="Cambria" w:cs="Cambria"/>
      <w:b/>
      <w:color w:val="000000"/>
      <w:sz w:val="29"/>
    </w:rPr>
  </w:style>
  <w:style w:type="paragraph" w:styleId="Ttulo2">
    <w:name w:val="heading 2"/>
    <w:next w:val="Normal"/>
    <w:link w:val="Ttulo2Car"/>
    <w:uiPriority w:val="9"/>
    <w:unhideWhenUsed/>
    <w:qFormat/>
    <w:pPr>
      <w:keepNext/>
      <w:keepLines/>
      <w:spacing w:after="293" w:line="265" w:lineRule="auto"/>
      <w:ind w:left="421" w:hanging="10"/>
      <w:outlineLvl w:val="1"/>
    </w:pPr>
    <w:rPr>
      <w:rFonts w:ascii="Cambria" w:eastAsia="Cambria" w:hAnsi="Cambria" w:cs="Cambri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ind w:left="411" w:right="1121" w:firstLine="176"/>
      <w:jc w:val="both"/>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Ttulo2Car">
    <w:name w:val="Título 2 Car"/>
    <w:link w:val="Ttulo2"/>
    <w:rPr>
      <w:rFonts w:ascii="Cambria" w:eastAsia="Cambria" w:hAnsi="Cambria" w:cs="Cambria"/>
      <w:b/>
      <w:color w:val="000000"/>
      <w:sz w:val="24"/>
    </w:rPr>
  </w:style>
  <w:style w:type="character" w:customStyle="1" w:styleId="Ttulo1Car">
    <w:name w:val="Título 1 Car"/>
    <w:link w:val="Ttulo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axgarc.github.io/papers/GARCIA_MAXIMILIANO_GOVERNING_PRIVATIZED_COMMONS.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usgs.gov/landsat-missions/product-information" TargetMode="External"/><Relationship Id="rId1" Type="http://schemas.openxmlformats.org/officeDocument/2006/relationships/hyperlink" Target="https://www.usgs.gov/landsat-missions/product-inform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15160</Words>
  <Characters>82169</Characters>
  <Application>Microsoft Office Word</Application>
  <DocSecurity>0</DocSecurity>
  <Lines>1208</Lines>
  <Paragraphs>300</Paragraphs>
  <ScaleCrop>false</ScaleCrop>
  <Company/>
  <LinksUpToDate>false</LinksUpToDate>
  <CharactersWithSpaces>97029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m.garcia89@gmail.com</dc:creator>
  <cp:keywords/>
  <cp:lastModifiedBy>m.garcia89@gmail.com</cp:lastModifiedBy>
  <cp:revision>2</cp:revision>
  <dcterms:created xsi:type="dcterms:W3CDTF">2023-11-08T06:51:00Z</dcterms:created>
  <dcterms:modified xsi:type="dcterms:W3CDTF">2023-11-08T06:51:00Z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50596a734a546c7dc8ddba5af204481f5dfd455aa3e67e8c840a7670f4c6db7a</vt:lpwstr>
  </property>
</Properties>
</file>