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F3864"/>
          <w:sz w:val="44"/>
          <w:szCs w:val="44"/>
        </w:rPr>
        <w:t xml:space="preserve">COIN COLLECTING, GRADING, AND</w:t>
      </w:r>
    </w:p>
    <w:p>
      <w:pPr>
        <w:spacing w:after="0"/>
        <w:jc w:val="center"/>
      </w:pPr>
      <w:r>
        <w:rPr>
          <w:rFonts w:ascii="Arial" w:cs="Arial" w:eastAsia="Arial" w:hAnsi="Arial"/>
          <w:b/>
          <w:bCs/>
          <w:color w:val="1F3864"/>
          <w:sz w:val="44"/>
          <w:szCs w:val="44"/>
        </w:rPr>
        <w:t xml:space="preserve">NUMISMATICS AS AN ALTERNATIVE INVESTMENT</w:t>
      </w:r>
    </w:p>
    <w:p>
      <w:pPr>
        <w:spacing w:after="0" w:before="240"/>
        <w:jc w:val="center"/>
      </w:pPr>
      <w:r>
        <w:rPr>
          <w:rFonts w:ascii="Arial" w:cs="Arial" w:eastAsia="Arial" w:hAnsi="Arial"/>
          <w:i/>
          <w:iCs/>
          <w:color w:val="555555"/>
          <w:sz w:val="26"/>
          <w:szCs w:val="26"/>
        </w:rPr>
        <w:t xml:space="preserve">A Research Brief and Acquisition Plan for the Northwest Arkansas Collector</w:t>
      </w:r>
    </w:p>
    <w:p>
      <w:pPr>
        <w:pBdr>
          <w:bottom w:val="single" w:color="1F3864" w:sz="6" w:space="1"/>
        </w:pBdr>
        <w:spacing w:after="120" w:before="40"/>
      </w:pPr>
      <w:r>
        <w:t xml:space="preserve"/>
      </w:r>
    </w:p>
    <w:p>
      <w:pPr>
        <w:spacing w:after="60" w:before="200"/>
        <w:jc w:val="center"/>
      </w:pPr>
      <w:r>
        <w:rPr>
          <w:rFonts w:ascii="Georgia" w:cs="Georgia" w:eastAsia="Georgia" w:hAnsi="Georgia"/>
          <w:sz w:val="22"/>
          <w:szCs w:val="22"/>
        </w:rPr>
        <w:t xml:space="preserve">Spanning the End of United States One-Cent Production, the Economics of</w:t>
      </w:r>
    </w:p>
    <w:p>
      <w:pPr>
        <w:spacing w:after="60"/>
        <w:jc w:val="center"/>
      </w:pPr>
      <w:r>
        <w:rPr>
          <w:rFonts w:ascii="Georgia" w:cs="Georgia" w:eastAsia="Georgia" w:hAnsi="Georgia"/>
          <w:sz w:val="22"/>
          <w:szCs w:val="22"/>
        </w:rPr>
        <w:t xml:space="preserve">Third-Party Grading, and Series-Level Return Data Across U.S. and World Coinage</w:t>
      </w:r>
    </w:p>
    <w:p>
      <w:pPr>
        <w:spacing w:after="40" w:before="1600"/>
        <w:jc w:val="center"/>
      </w:pPr>
      <w:r>
        <w:rPr>
          <w:rFonts w:ascii="Arial" w:cs="Arial" w:eastAsia="Arial" w:hAnsi="Arial"/>
          <w:b/>
          <w:bCs/>
          <w:sz w:val="24"/>
          <w:szCs w:val="24"/>
        </w:rPr>
        <w:t xml:space="preserve">Prepared for Maximiliano Garcia</w:t>
      </w:r>
    </w:p>
    <w:p>
      <w:pPr>
        <w:spacing w:after="40"/>
        <w:jc w:val="center"/>
      </w:pPr>
      <w:r>
        <w:rPr>
          <w:rFonts w:ascii="Arial" w:cs="Arial" w:eastAsia="Arial" w:hAnsi="Arial"/>
          <w:sz w:val="22"/>
          <w:szCs w:val="22"/>
        </w:rPr>
        <w:t xml:space="preserve">Fayetteville / Northwest Arkansas</w:t>
      </w:r>
    </w:p>
    <w:p>
      <w:pPr>
        <w:spacing w:after="40"/>
        <w:jc w:val="center"/>
      </w:pPr>
      <w:r>
        <w:rPr>
          <w:rFonts w:ascii="Arial" w:cs="Arial" w:eastAsia="Arial" w:hAnsi="Arial"/>
          <w:sz w:val="22"/>
          <w:szCs w:val="22"/>
        </w:rPr>
        <w:t xml:space="preserve">June 19, 2026</w:t>
      </w:r>
    </w:p>
    <w:p>
      <w:pPr>
        <w:spacing w:after="0" w:before="1200"/>
        <w:jc w:val="center"/>
      </w:pPr>
      <w:r>
        <w:rPr>
          <w:rFonts w:ascii="Arial" w:cs="Arial" w:eastAsia="Arial" w:hAnsi="Arial"/>
          <w:i/>
          <w:iCs/>
          <w:color w:val="777777"/>
          <w:sz w:val="18"/>
          <w:szCs w:val="18"/>
        </w:rPr>
        <w:t xml:space="preserve">110 cited sources · primary government, peer-reviewed economics, third-party graders, and auction-house realized prices</w:t>
      </w:r>
    </w:p>
    <w:p>
      <w:r>
        <w:br w:type="page"/>
      </w:r>
    </w:p>
    <w:p>
      <w:pPr>
        <w:pStyle w:val="Heading1"/>
        <w:spacing w:after="1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rPr>
        <w:t xml:space="preserve">Abstract</w:t>
      </w:r>
    </w:p>
    <w:p>
      <w:pPr>
        <w:spacing w:after="160" w:line="276"/>
        <w:jc w:val="both"/>
      </w:pPr>
      <w:r>
        <w:rPr>
          <w:rFonts w:ascii="Georgia" w:cs="Georgia" w:eastAsia="Georgia" w:hAnsi="Georgia"/>
          <w:sz w:val="22"/>
          <w:szCs w:val="22"/>
        </w:rPr>
        <w:t xml:space="preserve">On November 12, 2025, the United States Mint struck the final circulating one-cent coin, ending a 232-year production run.</w:t>
      </w:r>
      <w:r>
        <w:rPr>
          <w:rStyle w:val="FootnoteReference"/>
        </w:rPr>
        <w:footnoteReference w:id="1"/>
      </w:r>
      <w:r>
        <w:rPr>
          <w:rFonts w:ascii="Georgia" w:cs="Georgia" w:eastAsia="Georgia" w:hAnsi="Georgia"/>
          <w:sz w:val="22"/>
          <w:szCs w:val="22"/>
        </w:rPr>
        <w:t xml:space="preserve"> That event has generated a wave of popular interest in pennies as potential collectibles and has, more broadly, drawn new attention to coins as a store of value. This paper examines that interest with deliberate skepticism and an evidence-first posture. It addresses three linked questions: first, whether the discontinuation of the cent (or of any coin series) actually drives appreciation, and for which coins; second, what the credible academic and market literature says about rare coins as an asset class, net of the substantial transaction costs that distinguish collectibles from financial securities; and third, how a collector based in Northwest Arkansas can build a coherent, cost-aware program of acquisition, grading, and custody across local, regional, national, and international marketplaces.</w:t>
      </w:r>
    </w:p>
    <w:p>
      <w:pPr>
        <w:spacing w:after="160" w:line="276"/>
        <w:jc w:val="both"/>
      </w:pPr>
      <w:r>
        <w:rPr>
          <w:rFonts w:ascii="Georgia" w:cs="Georgia" w:eastAsia="Georgia" w:hAnsi="Georgia"/>
          <w:sz w:val="22"/>
          <w:szCs w:val="22"/>
        </w:rPr>
        <w:t xml:space="preserve">The central finding is bifurcated. The penny’s end is genuine, but its investment implications are narrow: the experience of Canada, which withdrew its own one-cent coin in 2012–13, confirms that common coins remain at face value while only pre-existing key dates, errors, and high-grade survivors appreciate.</w:t>
      </w:r>
      <w:r>
        <w:rPr>
          <w:rStyle w:val="FootnoteReference"/>
        </w:rPr>
        <w:footnoteReference w:id="10"/>
      </w:r>
      <w:r>
        <w:rPr>
          <w:rFonts w:ascii="Georgia" w:cs="Georgia" w:eastAsia="Georgia" w:hAnsi="Georgia"/>
          <w:sz w:val="22"/>
          <w:szCs w:val="22"/>
          <w:vertAlign w:val="superscript"/>
        </w:rPr>
        <w:t xml:space="preserve">,</w:t>
      </w:r>
      <w:r>
        <w:rPr>
          <w:rStyle w:val="FootnoteReference"/>
        </w:rPr>
        <w:footnoteReference w:id="12"/>
      </w:r>
      <w:r>
        <w:rPr>
          <w:rFonts w:ascii="Georgia" w:cs="Georgia" w:eastAsia="Georgia" w:hAnsi="Georgia"/>
          <w:sz w:val="22"/>
          <w:szCs w:val="22"/>
        </w:rPr>
        <w:t xml:space="preserve"> On the asset-class question, the most-cited bullish study—commissioned by a dealer—reports roughly 11% annualized returns on high-grade rare coins over 1979–2016 with strong inflation-hedging properties,</w:t>
      </w:r>
      <w:r>
        <w:rPr>
          <w:rStyle w:val="FootnoteReference"/>
        </w:rPr>
        <w:footnoteReference w:id="16"/>
      </w:r>
      <w:r>
        <w:rPr>
          <w:rFonts w:ascii="Georgia" w:cs="Georgia" w:eastAsia="Georgia" w:hAnsi="Georgia"/>
          <w:sz w:val="22"/>
          <w:szCs w:val="22"/>
        </w:rPr>
        <w:t xml:space="preserve"> whereas the broad, generic-weighted PCGS3000 index annualized only about 1.11% from 2000 to 2025,</w:t>
      </w:r>
      <w:r>
        <w:rPr>
          <w:rStyle w:val="FootnoteReference"/>
        </w:rPr>
        <w:footnoteReference w:id="24"/>
      </w:r>
      <w:r>
        <w:rPr>
          <w:rFonts w:ascii="Georgia" w:cs="Georgia" w:eastAsia="Georgia" w:hAnsi="Georgia"/>
          <w:sz w:val="22"/>
          <w:szCs w:val="22"/>
        </w:rPr>
        <w:t xml:space="preserve"> and independent academic work on “emotional assets” finds collectibles trailing equities once their understated volatility and high costs are recognized.</w:t>
      </w:r>
      <w:r>
        <w:rPr>
          <w:rStyle w:val="FootnoteReference"/>
        </w:rPr>
        <w:footnoteReference w:id="17"/>
      </w:r>
      <w:r>
        <w:rPr>
          <w:rFonts w:ascii="Georgia" w:cs="Georgia" w:eastAsia="Georgia" w:hAnsi="Georgia"/>
          <w:sz w:val="22"/>
          <w:szCs w:val="22"/>
        </w:rPr>
        <w:t xml:space="preserve"> For the Northwest Arkansas collector, the highest-confidence strategy is therefore a layered one: a liquid bullion floor (aided by Arkansas’s elimination of sales tax and state capital-gains tax on bullion),</w:t>
      </w:r>
      <w:r>
        <w:rPr>
          <w:rStyle w:val="FootnoteReference"/>
        </w:rPr>
        <w:footnoteReference w:id="101"/>
      </w:r>
      <w:r>
        <w:rPr>
          <w:rFonts w:ascii="Georgia" w:cs="Georgia" w:eastAsia="Georgia" w:hAnsi="Georgia"/>
          <w:sz w:val="22"/>
          <w:szCs w:val="22"/>
          <w:vertAlign w:val="superscript"/>
        </w:rPr>
        <w:t xml:space="preserve">,</w:t>
      </w:r>
      <w:r>
        <w:rPr>
          <w:rStyle w:val="FootnoteReference"/>
        </w:rPr>
        <w:footnoteReference w:id="102"/>
      </w:r>
      <w:r>
        <w:rPr>
          <w:rFonts w:ascii="Georgia" w:cs="Georgia" w:eastAsia="Georgia" w:hAnsi="Georgia"/>
          <w:sz w:val="22"/>
          <w:szCs w:val="22"/>
        </w:rPr>
        <w:t xml:space="preserve"> certified key dates and pre-1933 gold acquired below auction comparables, and rigorously selective grading. The paper closes with a four-tier acquisition plan keyed to deployable capital.</w:t>
      </w:r>
    </w:p>
    <w:p>
      <w:pPr>
        <w:pStyle w:val="Heading1"/>
        <w:spacing w:after="160" w:before="320"/>
      </w:pPr>
      <w:r>
        <w:rPr>
          <w:rFonts w:ascii="Arial" w:cs="Arial" w:eastAsia="Arial" w:hAnsi="Arial"/>
        </w:rPr>
        <w:t xml:space="preserve">1. Introduction and Scope</w:t>
      </w:r>
    </w:p>
    <w:p>
      <w:pPr>
        <w:spacing w:after="160" w:line="276"/>
        <w:jc w:val="both"/>
      </w:pPr>
      <w:r>
        <w:rPr>
          <w:rFonts w:ascii="Georgia" w:cs="Georgia" w:eastAsia="Georgia" w:hAnsi="Georgia"/>
          <w:sz w:val="22"/>
          <w:szCs w:val="22"/>
        </w:rPr>
        <w:t xml:space="preserve">Numismatics—the study and collection of coins, tokens, and related objects—sits at an unusual intersection of history, art, metallurgy, and finance. For most of its modern history in the United States it has been understood primarily as a hobby, and only secondarily as an investment vehicle. The events of late 2025 have, at least rhetorically, shifted that balance. When the U.S. Mint ceremonially struck the last circulating cent on November 12, 2025, with United States Treasurer Brandon Beach personally producing the final coin,</w:t>
      </w:r>
      <w:r>
        <w:rPr>
          <w:rStyle w:val="FootnoteReference"/>
        </w:rPr>
        <w:footnoteReference w:id="1"/>
      </w:r>
      <w:r>
        <w:rPr>
          <w:rFonts w:ascii="Georgia" w:cs="Georgia" w:eastAsia="Georgia" w:hAnsi="Georgia"/>
          <w:sz w:val="22"/>
          <w:szCs w:val="22"/>
        </w:rPr>
        <w:t xml:space="preserve"> the moment was widely reported as the close of an era, and a predictable surge of speculation followed: collectors, casual savers, and a fair amount of social-media commentary began asking whether ordinary pennies—or complete year-by-year sets of them—might now be worth hoarding.</w:t>
      </w:r>
    </w:p>
    <w:p>
      <w:pPr>
        <w:spacing w:after="160" w:line="276"/>
        <w:jc w:val="both"/>
      </w:pPr>
      <w:r>
        <w:rPr>
          <w:rFonts w:ascii="Georgia" w:cs="Georgia" w:eastAsia="Georgia" w:hAnsi="Georgia"/>
          <w:sz w:val="22"/>
          <w:szCs w:val="22"/>
        </w:rPr>
        <w:t xml:space="preserve">This paper takes that question seriously while declining to flatter it. Its purpose is not to encourage coin buying but to equip a specific reader—an active, analytically inclined investor based in Fayetteville, Arkansas—with an accurate map of the terrain: what is true, what is marketing, what the data support, and what a disciplined program would look like in practice. Throughout, claims are sourced to primary government documents, peer-reviewed and quasi-academic economic studies, the published standards and fee schedules of the major third-party grading services, and the realized-price archives of the principal auction houses. Where a figure originates in promotional material rather than independent analysis, it is identified as such.</w:t>
      </w:r>
    </w:p>
    <w:p>
      <w:pPr>
        <w:spacing w:after="160" w:line="276"/>
        <w:jc w:val="both"/>
      </w:pPr>
      <w:r>
        <w:rPr>
          <w:rFonts w:ascii="Georgia" w:cs="Georgia" w:eastAsia="Georgia" w:hAnsi="Georgia"/>
          <w:sz w:val="22"/>
          <w:szCs w:val="22"/>
        </w:rPr>
        <w:t xml:space="preserve">The scope is deliberately broad along two axes and narrow along a third. Along the first axis—subject matter—the paper treats the full sweep of U.S. coinage (from the large copper cents of the 1790s through the Union Shield cent of 2010–2025), the principal minor and short-lived denominations, and the most relevant world and bullion coinage, including the Mexican Silver Libertad that already features in the reader’s holdings. Along the second axis—the collecting lifecycle—it covers acquisition, authentication and grading, valuation, storage and insurance, and eventual disposition. Along the third axis it is intentionally narrow: it is grounded in the reader’s geography, treating Northwest Arkansas as the home base from which local, regional (the neighboring states), national, and international markets radiate outward.</w:t>
      </w:r>
    </w:p>
    <w:p>
      <w:pPr>
        <w:spacing w:after="160" w:line="276"/>
        <w:jc w:val="both"/>
      </w:pPr>
      <w:r>
        <w:rPr>
          <w:rFonts w:ascii="Georgia" w:cs="Georgia" w:eastAsia="Georgia" w:hAnsi="Georgia"/>
          <w:sz w:val="22"/>
          <w:szCs w:val="22"/>
        </w:rPr>
        <w:t xml:space="preserve">A final framing note. The recurring temptation in numismatic writing is to conflate the genuine pleasures and occasional windfalls of collecting with the disciplined expectation of return that governs a securities portfolio. The two are not the same. The academic literature on collectibles has coined the useful phrase “emotional yield” to describe the portion of financial return that owners knowingly forgo in exchange for the pleasure of possession.</w:t>
      </w:r>
      <w:r>
        <w:rPr>
          <w:rStyle w:val="FootnoteReference"/>
        </w:rPr>
        <w:footnoteReference w:id="18"/>
      </w:r>
      <w:r>
        <w:rPr>
          <w:rFonts w:ascii="Georgia" w:cs="Georgia" w:eastAsia="Georgia" w:hAnsi="Georgia"/>
          <w:sz w:val="22"/>
          <w:szCs w:val="22"/>
        </w:rPr>
        <w:t xml:space="preserve"> This paper assumes the reader wants the financial picture stated plainly—so that whatever emotional yield he chooses to consume, he does so with open eyes.</w:t>
      </w:r>
    </w:p>
    <w:p>
      <w:pPr>
        <w:pStyle w:val="Heading2"/>
        <w:spacing w:after="120" w:before="240"/>
      </w:pPr>
      <w:r>
        <w:rPr>
          <w:rFonts w:ascii="Arial" w:cs="Arial" w:eastAsia="Arial" w:hAnsi="Arial"/>
        </w:rPr>
        <w:t xml:space="preserve">1.1 Methodology and Sources</w:t>
      </w:r>
    </w:p>
    <w:p>
      <w:pPr>
        <w:spacing w:after="160" w:line="276"/>
        <w:jc w:val="both"/>
      </w:pPr>
      <w:r>
        <w:rPr>
          <w:rFonts w:ascii="Georgia" w:cs="Georgia" w:eastAsia="Georgia" w:hAnsi="Georgia"/>
          <w:sz w:val="22"/>
          <w:szCs w:val="22"/>
        </w:rPr>
        <w:t xml:space="preserve">The evidentiary standard adopted here is deliberately layered, and it is worth making explicit so that the reader can weight each claim appropriately. Five categories of source are used. First, </w:t>
      </w:r>
      <w:r>
        <w:rPr>
          <w:rFonts w:ascii="Georgia" w:cs="Georgia" w:eastAsia="Georgia" w:hAnsi="Georgia"/>
          <w:b/>
          <w:bCs/>
          <w:sz w:val="22"/>
          <w:szCs w:val="22"/>
        </w:rPr>
        <w:t xml:space="preserve">primary government documents</w:t>
      </w:r>
      <w:r>
        <w:rPr>
          <w:rFonts w:ascii="Georgia" w:cs="Georgia" w:eastAsia="Georgia" w:hAnsi="Georgia"/>
          <w:sz w:val="22"/>
          <w:szCs w:val="22"/>
        </w:rPr>
        <w:t xml:space="preserve">—the U.S. Mint’s press releases and media materials, U.S. Treasury statements, the United States Code, and the Mint’s fiscal-year reports—establish the facts of production, composition, legal-tender status, and cost.</w:t>
      </w:r>
      <w:r>
        <w:rPr>
          <w:rStyle w:val="FootnoteReference"/>
        </w:rPr>
        <w:footnoteReference w:id="1"/>
      </w:r>
      <w:r>
        <w:rPr>
          <w:rFonts w:ascii="Georgia" w:cs="Georgia" w:eastAsia="Georgia" w:hAnsi="Georgia"/>
          <w:sz w:val="22"/>
          <w:szCs w:val="22"/>
          <w:vertAlign w:val="superscript"/>
        </w:rPr>
        <w:t xml:space="preserve">,</w:t>
      </w:r>
      <w:r>
        <w:rPr>
          <w:rStyle w:val="FootnoteReference"/>
        </w:rPr>
        <w:footnoteReference w:id="2"/>
      </w:r>
      <w:r>
        <w:rPr>
          <w:rFonts w:ascii="Georgia" w:cs="Georgia" w:eastAsia="Georgia" w:hAnsi="Georgia"/>
          <w:sz w:val="22"/>
          <w:szCs w:val="22"/>
          <w:vertAlign w:val="superscript"/>
        </w:rPr>
        <w:t xml:space="preserve">,</w:t>
      </w:r>
      <w:r>
        <w:rPr>
          <w:rStyle w:val="FootnoteReference"/>
        </w:rPr>
        <w:footnoteReference w:id="3"/>
      </w:r>
      <w:r>
        <w:rPr>
          <w:rFonts w:ascii="Georgia" w:cs="Georgia" w:eastAsia="Georgia" w:hAnsi="Georgia"/>
          <w:sz w:val="22"/>
          <w:szCs w:val="22"/>
          <w:vertAlign w:val="superscript"/>
        </w:rPr>
        <w:t xml:space="preserve">,</w:t>
      </w:r>
      <w:r>
        <w:rPr>
          <w:rStyle w:val="FootnoteReference"/>
        </w:rPr>
        <w:footnoteReference w:id="4"/>
      </w:r>
      <w:r>
        <w:rPr>
          <w:rFonts w:ascii="Georgia" w:cs="Georgia" w:eastAsia="Georgia" w:hAnsi="Georgia"/>
          <w:sz w:val="22"/>
          <w:szCs w:val="22"/>
        </w:rPr>
        <w:t xml:space="preserve"> Second, </w:t>
      </w:r>
      <w:r>
        <w:rPr>
          <w:rFonts w:ascii="Georgia" w:cs="Georgia" w:eastAsia="Georgia" w:hAnsi="Georgia"/>
          <w:b/>
          <w:bCs/>
          <w:sz w:val="22"/>
          <w:szCs w:val="22"/>
        </w:rPr>
        <w:t xml:space="preserve">peer-reviewed and quasi-academic economic studies</w:t>
      </w:r>
      <w:r>
        <w:rPr>
          <w:rFonts w:ascii="Georgia" w:cs="Georgia" w:eastAsia="Georgia" w:hAnsi="Georgia"/>
          <w:sz w:val="22"/>
          <w:szCs w:val="22"/>
        </w:rPr>
        <w:t xml:space="preserve">—principally the Lombra report and the work of Dimson and Spaenjers, supplemented by the hedonic-pricing literature on coins—supply the return and risk evidence.</w:t>
      </w:r>
      <w:r>
        <w:rPr>
          <w:rStyle w:val="FootnoteReference"/>
        </w:rPr>
        <w:footnoteReference w:id="16"/>
      </w:r>
      <w:r>
        <w:rPr>
          <w:rFonts w:ascii="Georgia" w:cs="Georgia" w:eastAsia="Georgia" w:hAnsi="Georgia"/>
          <w:sz w:val="22"/>
          <w:szCs w:val="22"/>
          <w:vertAlign w:val="superscript"/>
        </w:rPr>
        <w:t xml:space="preserve">,</w:t>
      </w:r>
      <w:r>
        <w:rPr>
          <w:rStyle w:val="FootnoteReference"/>
        </w:rPr>
        <w:footnoteReference w:id="17"/>
      </w:r>
      <w:r>
        <w:rPr>
          <w:rFonts w:ascii="Georgia" w:cs="Georgia" w:eastAsia="Georgia" w:hAnsi="Georgia"/>
          <w:sz w:val="22"/>
          <w:szCs w:val="22"/>
          <w:vertAlign w:val="superscript"/>
        </w:rPr>
        <w:t xml:space="preserve">,</w:t>
      </w:r>
      <w:r>
        <w:rPr>
          <w:rStyle w:val="FootnoteReference"/>
        </w:rPr>
        <w:footnoteReference w:id="19"/>
      </w:r>
      <w:r>
        <w:rPr>
          <w:rFonts w:ascii="Georgia" w:cs="Georgia" w:eastAsia="Georgia" w:hAnsi="Georgia"/>
          <w:sz w:val="22"/>
          <w:szCs w:val="22"/>
        </w:rPr>
        <w:t xml:space="preserve"> Third, the </w:t>
      </w:r>
      <w:r>
        <w:rPr>
          <w:rFonts w:ascii="Georgia" w:cs="Georgia" w:eastAsia="Georgia" w:hAnsi="Georgia"/>
          <w:b/>
          <w:bCs/>
          <w:sz w:val="22"/>
          <w:szCs w:val="22"/>
        </w:rPr>
        <w:t xml:space="preserve">published standards, fee schedules, and census data of the third-party grading services</w:t>
      </w:r>
      <w:r>
        <w:rPr>
          <w:rFonts w:ascii="Georgia" w:cs="Georgia" w:eastAsia="Georgia" w:hAnsi="Georgia"/>
          <w:sz w:val="22"/>
          <w:szCs w:val="22"/>
        </w:rPr>
        <w:t xml:space="preserve"> (PCGS, NGC, and CAC) govern the grading analysis.</w:t>
      </w:r>
      <w:r>
        <w:rPr>
          <w:rStyle w:val="FootnoteReference"/>
        </w:rPr>
        <w:footnoteReference w:id="30"/>
      </w:r>
      <w:r>
        <w:rPr>
          <w:rFonts w:ascii="Georgia" w:cs="Georgia" w:eastAsia="Georgia" w:hAnsi="Georgia"/>
          <w:sz w:val="22"/>
          <w:szCs w:val="22"/>
          <w:vertAlign w:val="superscript"/>
        </w:rPr>
        <w:t xml:space="preserve">,</w:t>
      </w:r>
      <w:r>
        <w:rPr>
          <w:rStyle w:val="FootnoteReference"/>
        </w:rPr>
        <w:footnoteReference w:id="33"/>
      </w:r>
      <w:r>
        <w:rPr>
          <w:rFonts w:ascii="Georgia" w:cs="Georgia" w:eastAsia="Georgia" w:hAnsi="Georgia"/>
          <w:sz w:val="22"/>
          <w:szCs w:val="22"/>
          <w:vertAlign w:val="superscript"/>
        </w:rPr>
        <w:t xml:space="preserve">,</w:t>
      </w:r>
      <w:r>
        <w:rPr>
          <w:rStyle w:val="FootnoteReference"/>
        </w:rPr>
        <w:footnoteReference w:id="34"/>
      </w:r>
      <w:r>
        <w:rPr>
          <w:rFonts w:ascii="Georgia" w:cs="Georgia" w:eastAsia="Georgia" w:hAnsi="Georgia"/>
          <w:sz w:val="22"/>
          <w:szCs w:val="22"/>
        </w:rPr>
        <w:t xml:space="preserve"> Fourth, the </w:t>
      </w:r>
      <w:r>
        <w:rPr>
          <w:rFonts w:ascii="Georgia" w:cs="Georgia" w:eastAsia="Georgia" w:hAnsi="Georgia"/>
          <w:b/>
          <w:bCs/>
          <w:sz w:val="22"/>
          <w:szCs w:val="22"/>
        </w:rPr>
        <w:t xml:space="preserve">realized-price archives and published fee structures of the major auction houses</w:t>
      </w:r>
      <w:r>
        <w:rPr>
          <w:rFonts w:ascii="Georgia" w:cs="Georgia" w:eastAsia="Georgia" w:hAnsi="Georgia"/>
          <w:sz w:val="22"/>
          <w:szCs w:val="22"/>
        </w:rPr>
        <w:t xml:space="preserve"> (Heritage, Stack’s Bowers, GreatCollections, and Sotheby’s for the 1933 double eagle) anchor the valuation and marketplace sections.</w:t>
      </w:r>
      <w:r>
        <w:rPr>
          <w:rStyle w:val="FootnoteReference"/>
        </w:rPr>
        <w:footnoteReference w:id="89"/>
      </w:r>
      <w:r>
        <w:rPr>
          <w:rFonts w:ascii="Georgia" w:cs="Georgia" w:eastAsia="Georgia" w:hAnsi="Georgia"/>
          <w:sz w:val="22"/>
          <w:szCs w:val="22"/>
          <w:vertAlign w:val="superscript"/>
        </w:rPr>
        <w:t xml:space="preserve">,</w:t>
      </w:r>
      <w:r>
        <w:rPr>
          <w:rStyle w:val="FootnoteReference"/>
        </w:rPr>
        <w:footnoteReference w:id="94"/>
      </w:r>
      <w:r>
        <w:rPr>
          <w:rFonts w:ascii="Georgia" w:cs="Georgia" w:eastAsia="Georgia" w:hAnsi="Georgia"/>
          <w:sz w:val="22"/>
          <w:szCs w:val="22"/>
          <w:vertAlign w:val="superscript"/>
        </w:rPr>
        <w:t xml:space="preserve">,</w:t>
      </w:r>
      <w:r>
        <w:rPr>
          <w:rStyle w:val="FootnoteReference"/>
        </w:rPr>
        <w:footnoteReference w:id="93"/>
      </w:r>
      <w:r>
        <w:rPr>
          <w:rFonts w:ascii="Georgia" w:cs="Georgia" w:eastAsia="Georgia" w:hAnsi="Georgia"/>
          <w:sz w:val="22"/>
          <w:szCs w:val="22"/>
          <w:vertAlign w:val="superscript"/>
        </w:rPr>
        <w:t xml:space="preserve">,</w:t>
      </w:r>
      <w:r>
        <w:rPr>
          <w:rStyle w:val="FootnoteReference"/>
        </w:rPr>
        <w:footnoteReference w:id="75"/>
      </w:r>
      <w:r>
        <w:rPr>
          <w:rFonts w:ascii="Georgia" w:cs="Georgia" w:eastAsia="Georgia" w:hAnsi="Georgia"/>
          <w:sz w:val="22"/>
          <w:szCs w:val="22"/>
        </w:rPr>
        <w:t xml:space="preserve"> Fifth, </w:t>
      </w:r>
      <w:r>
        <w:rPr>
          <w:rFonts w:ascii="Georgia" w:cs="Georgia" w:eastAsia="Georgia" w:hAnsi="Georgia"/>
          <w:b/>
          <w:bCs/>
          <w:sz w:val="22"/>
          <w:szCs w:val="22"/>
        </w:rPr>
        <w:t xml:space="preserve">specialist trade publications and price guides</w:t>
      </w:r>
      <w:r>
        <w:rPr>
          <w:rFonts w:ascii="Georgia" w:cs="Georgia" w:eastAsia="Georgia" w:hAnsi="Georgia"/>
          <w:sz w:val="22"/>
          <w:szCs w:val="22"/>
        </w:rPr>
        <w:t xml:space="preserve"> (Coin World, Numismatic News, CoinWeek, the Greysheet, and the Red Book) and reputable dealer data fill in series-level detail.</w:t>
      </w:r>
    </w:p>
    <w:p>
      <w:pPr>
        <w:spacing w:after="160" w:line="276"/>
        <w:jc w:val="both"/>
      </w:pPr>
      <w:r>
        <w:rPr>
          <w:rFonts w:ascii="Georgia" w:cs="Georgia" w:eastAsia="Georgia" w:hAnsi="Georgia"/>
          <w:sz w:val="22"/>
          <w:szCs w:val="22"/>
        </w:rPr>
        <w:t xml:space="preserve">A word on reliability is in order. Dealer-commissioned research and dealer price guides are used where they are the best available source, but they are flagged as such, because a seller of coins has an evident interest in optimistic valuations. Where independent and dealer sources conflict—as they do on the number of pennies in circulation and on long-run coin returns—both figures are reported and the discrepancy is noted rather than resolved by fiat. Price figures are point-in-time: metal spot prices are stated as of June 19, 2026, and coin values reflect guide and auction data available at that date. Auction records cited are for specific, often finest-known, examples and should not be read as the price of a typical specimen; wherever possible a “typical” figure is given alongside the record. Finally, this paper is informational and analytical; it is not personalized investment, tax, or legal advice, and the reader should consult appropriately licensed professionals before committing significant capital.</w:t>
      </w:r>
    </w:p>
    <w:p>
      <w:pPr>
        <w:pStyle w:val="Heading1"/>
        <w:spacing w:after="160" w:before="320"/>
      </w:pPr>
      <w:r>
        <w:rPr>
          <w:rFonts w:ascii="Arial" w:cs="Arial" w:eastAsia="Arial" w:hAnsi="Arial"/>
        </w:rPr>
        <w:t xml:space="preserve">2. The End of the United States Cent: Facts and Investment Implications</w:t>
      </w:r>
    </w:p>
    <w:p>
      <w:pPr>
        <w:pStyle w:val="Heading2"/>
        <w:spacing w:after="120" w:before="240"/>
      </w:pPr>
      <w:r>
        <w:rPr>
          <w:rFonts w:ascii="Arial" w:cs="Arial" w:eastAsia="Arial" w:hAnsi="Arial"/>
        </w:rPr>
        <w:t xml:space="preserve">2.1 What Happened, and Why</w:t>
      </w:r>
    </w:p>
    <w:p>
      <w:pPr>
        <w:spacing w:after="160" w:line="276"/>
        <w:jc w:val="both"/>
      </w:pPr>
      <w:r>
        <w:rPr>
          <w:rFonts w:ascii="Georgia" w:cs="Georgia" w:eastAsia="Georgia" w:hAnsi="Georgia"/>
          <w:sz w:val="22"/>
          <w:szCs w:val="22"/>
        </w:rPr>
        <w:t xml:space="preserve">The decision to end the cent was driven by simple arithmetic. According to the U.S. Treasury, the cost of producing each penny rose from 1.42 cents to 3.69 cents over the preceding decade—so that every coin minted lost money for the government.</w:t>
      </w:r>
      <w:r>
        <w:rPr>
          <w:rStyle w:val="FootnoteReference"/>
        </w:rPr>
        <w:footnoteReference w:id="2"/>
      </w:r>
      <w:r>
        <w:rPr>
          <w:rFonts w:ascii="Georgia" w:cs="Georgia" w:eastAsia="Georgia" w:hAnsi="Georgia"/>
          <w:sz w:val="22"/>
          <w:szCs w:val="22"/>
        </w:rPr>
        <w:t xml:space="preserve"> The Mint’s fiscal-year 2024 report logged a loss of roughly $85.3 million on approximately 3.2 billion cents produced.</w:t>
      </w:r>
      <w:r>
        <w:rPr>
          <w:rStyle w:val="FootnoteReference"/>
        </w:rPr>
        <w:footnoteReference w:id="4"/>
      </w:r>
      <w:r>
        <w:rPr>
          <w:rFonts w:ascii="Georgia" w:cs="Georgia" w:eastAsia="Georgia" w:hAnsi="Georgia"/>
          <w:sz w:val="22"/>
          <w:szCs w:val="22"/>
          <w:vertAlign w:val="superscript"/>
        </w:rPr>
        <w:t xml:space="preserve">,</w:t>
      </w:r>
      <w:r>
        <w:rPr>
          <w:rStyle w:val="FootnoteReference"/>
        </w:rPr>
        <w:footnoteReference w:id="5"/>
      </w:r>
      <w:r>
        <w:rPr>
          <w:rFonts w:ascii="Georgia" w:cs="Georgia" w:eastAsia="Georgia" w:hAnsi="Georgia"/>
          <w:sz w:val="22"/>
          <w:szCs w:val="22"/>
        </w:rPr>
        <w:t xml:space="preserve"> Acting under the authority of 31 U.S.C. §§ 5111(a) and 5112, which empower the Secretary of the Treasury to determine the coins the Mint produces, the Treasury suspended production and projected “an immediate annual savings of $56 million in reduced material costs.”</w:t>
      </w:r>
      <w:r>
        <w:rPr>
          <w:rStyle w:val="FootnoteReference"/>
        </w:rPr>
        <w:footnoteReference w:id="3"/>
      </w:r>
      <w:r>
        <w:rPr>
          <w:rFonts w:ascii="Georgia" w:cs="Georgia" w:eastAsia="Georgia" w:hAnsi="Georgia"/>
          <w:sz w:val="22"/>
          <w:szCs w:val="22"/>
          <w:vertAlign w:val="superscript"/>
        </w:rPr>
        <w:t xml:space="preserve">,</w:t>
      </w:r>
      <w:r>
        <w:rPr>
          <w:rStyle w:val="FootnoteReference"/>
        </w:rPr>
        <w:footnoteReference w:id="2"/>
      </w:r>
    </w:p>
    <w:p>
      <w:pPr>
        <w:spacing w:after="160" w:line="276"/>
        <w:jc w:val="both"/>
      </w:pPr>
      <w:r>
        <w:rPr>
          <w:rFonts w:ascii="Georgia" w:cs="Georgia" w:eastAsia="Georgia" w:hAnsi="Georgia"/>
          <w:sz w:val="22"/>
          <w:szCs w:val="22"/>
        </w:rPr>
        <w:t xml:space="preserve">Several facts about the cent’s status are widely misunderstood and worth stating precisely. First, the penny </w:t>
      </w:r>
      <w:r>
        <w:rPr>
          <w:rFonts w:ascii="Georgia" w:cs="Georgia" w:eastAsia="Georgia" w:hAnsi="Georgia"/>
          <w:b/>
          <w:bCs/>
          <w:sz w:val="22"/>
          <w:szCs w:val="22"/>
        </w:rPr>
        <w:t xml:space="preserve">remains legal tender</w:t>
      </w:r>
      <w:r>
        <w:rPr>
          <w:rFonts w:ascii="Georgia" w:cs="Georgia" w:eastAsia="Georgia" w:hAnsi="Georgia"/>
          <w:sz w:val="22"/>
          <w:szCs w:val="22"/>
        </w:rPr>
        <w:t xml:space="preserve">; nothing about the end of production demonetizes the billions already in circulation.</w:t>
      </w:r>
      <w:r>
        <w:rPr>
          <w:rStyle w:val="FootnoteReference"/>
        </w:rPr>
        <w:footnoteReference w:id="2"/>
      </w:r>
      <w:r>
        <w:rPr>
          <w:rFonts w:ascii="Georgia" w:cs="Georgia" w:eastAsia="Georgia" w:hAnsi="Georgia"/>
          <w:sz w:val="22"/>
          <w:szCs w:val="22"/>
        </w:rPr>
        <w:t xml:space="preserve"> Second, </w:t>
      </w:r>
      <w:r>
        <w:rPr>
          <w:rFonts w:ascii="Georgia" w:cs="Georgia" w:eastAsia="Georgia" w:hAnsi="Georgia"/>
          <w:b/>
          <w:bCs/>
          <w:sz w:val="22"/>
          <w:szCs w:val="22"/>
        </w:rPr>
        <w:t xml:space="preserve">collector versions continue</w:t>
      </w:r>
      <w:r>
        <w:rPr>
          <w:rFonts w:ascii="Georgia" w:cs="Georgia" w:eastAsia="Georgia" w:hAnsi="Georgia"/>
          <w:sz w:val="22"/>
          <w:szCs w:val="22"/>
        </w:rPr>
        <w:t xml:space="preserve">: the Mint may still strike numismatic cents (in proof and uncirculated sets) even though circulating production has ceased.</w:t>
      </w:r>
      <w:r>
        <w:rPr>
          <w:rStyle w:val="FootnoteReference"/>
        </w:rPr>
        <w:footnoteReference w:id="1"/>
      </w:r>
      <w:r>
        <w:rPr>
          <w:rFonts w:ascii="Georgia" w:cs="Georgia" w:eastAsia="Georgia" w:hAnsi="Georgia"/>
          <w:sz w:val="22"/>
          <w:szCs w:val="22"/>
        </w:rPr>
        <w:t xml:space="preserve"> Third, the supply overhang is enormous. The Mint’s own communications cite “an estimated 300 billion pennies in circulation—far exceeding the amount needed for commerce,”</w:t>
      </w:r>
      <w:r>
        <w:rPr>
          <w:rStyle w:val="FootnoteReference"/>
        </w:rPr>
        <w:footnoteReference w:id="2"/>
      </w:r>
      <w:r>
        <w:rPr>
          <w:rFonts w:ascii="Georgia" w:cs="Georgia" w:eastAsia="Georgia" w:hAnsi="Georgia"/>
          <w:sz w:val="22"/>
          <w:szCs w:val="22"/>
        </w:rPr>
        <w:t xml:space="preserve"> although the American Bankers Association and several Federal Reserve–aligned estimates place the figure materially lower, in the range of roughly 114 to 250 billion.</w:t>
      </w:r>
      <w:r>
        <w:rPr>
          <w:rStyle w:val="FootnoteReference"/>
        </w:rPr>
        <w:footnoteReference w:id="8"/>
      </w:r>
      <w:r>
        <w:rPr>
          <w:rFonts w:ascii="Georgia" w:cs="Georgia" w:eastAsia="Georgia" w:hAnsi="Georgia"/>
          <w:sz w:val="22"/>
          <w:szCs w:val="22"/>
        </w:rPr>
        <w:t xml:space="preserve"> Both figures are reported here for transparency; under either, the conclusion is the same—the float is so large that genuine scarcity in common dates lies decades away, if it ever arrives.</w:t>
      </w:r>
    </w:p>
    <w:p>
      <w:pPr>
        <w:spacing w:after="160" w:line="276"/>
        <w:jc w:val="both"/>
      </w:pPr>
      <w:r>
        <w:rPr>
          <w:rFonts w:ascii="Georgia" w:cs="Georgia" w:eastAsia="Georgia" w:hAnsi="Georgia"/>
          <w:sz w:val="22"/>
          <w:szCs w:val="22"/>
        </w:rPr>
        <w:t xml:space="preserve">The transition has not been perfectly smooth. By mid-November 2025 the Federal Reserve had stopped distributing pennies at more than half of its cash-handling terminals, prompting some retailers to round cash transactions; the Fed partially reversed course in January 2026 as the existing stock continued to circulate.</w:t>
      </w:r>
      <w:r>
        <w:rPr>
          <w:rStyle w:val="FootnoteReference"/>
        </w:rPr>
        <w:footnoteReference w:id="9"/>
      </w:r>
      <w:r>
        <w:rPr>
          <w:rFonts w:ascii="Georgia" w:cs="Georgia" w:eastAsia="Georgia" w:hAnsi="Georgia"/>
          <w:sz w:val="22"/>
          <w:szCs w:val="22"/>
          <w:vertAlign w:val="superscript"/>
        </w:rPr>
        <w:t xml:space="preserve">,</w:t>
      </w:r>
      <w:r>
        <w:rPr>
          <w:rStyle w:val="FootnoteReference"/>
        </w:rPr>
        <w:footnoteReference w:id="6"/>
      </w:r>
      <w:r>
        <w:rPr>
          <w:rFonts w:ascii="Georgia" w:cs="Georgia" w:eastAsia="Georgia" w:hAnsi="Georgia"/>
          <w:sz w:val="22"/>
          <w:szCs w:val="22"/>
        </w:rPr>
        <w:t xml:space="preserve"> The two final cents struck at the ceremony were themselves auctioned, with the top lot realizing $800,000—a figure that says more about the symbolism of “the last penny” than about the value of pennies generally.</w:t>
      </w:r>
      <w:r>
        <w:rPr>
          <w:rStyle w:val="FootnoteReference"/>
        </w:rPr>
        <w:footnoteReference w:id="5"/>
      </w:r>
    </w:p>
    <w:p>
      <w:pPr>
        <w:pStyle w:val="Heading2"/>
        <w:spacing w:after="120" w:before="240"/>
      </w:pPr>
      <w:r>
        <w:rPr>
          <w:rFonts w:ascii="Arial" w:cs="Arial" w:eastAsia="Arial" w:hAnsi="Arial"/>
        </w:rPr>
        <w:t xml:space="preserve">2.2 Does Ending a Series Create Value? The Canadian Natural Experiment</w:t>
      </w:r>
    </w:p>
    <w:p>
      <w:pPr>
        <w:spacing w:after="160" w:line="276"/>
        <w:jc w:val="both"/>
      </w:pPr>
      <w:r>
        <w:rPr>
          <w:rFonts w:ascii="Georgia" w:cs="Georgia" w:eastAsia="Georgia" w:hAnsi="Georgia"/>
          <w:sz w:val="22"/>
          <w:szCs w:val="22"/>
        </w:rPr>
        <w:t xml:space="preserve">The most important question for the reader is also the most commonly mishandled in popular coverage: does the cessation of production make a coin valuable? The cleanest available evidence is the Canadian natural experiment. Canada ceased minting its one-cent coin in May 2012 and ended distribution on February 4, 2013—roughly a thirteen-year head start on the U.S. experience.</w:t>
      </w:r>
      <w:r>
        <w:rPr>
          <w:rStyle w:val="FootnoteReference"/>
        </w:rPr>
        <w:footnoteReference w:id="11"/>
      </w:r>
      <w:r>
        <w:rPr>
          <w:rFonts w:ascii="Georgia" w:cs="Georgia" w:eastAsia="Georgia" w:hAnsi="Georgia"/>
          <w:sz w:val="22"/>
          <w:szCs w:val="22"/>
          <w:vertAlign w:val="superscript"/>
        </w:rPr>
        <w:t xml:space="preserve">,</w:t>
      </w:r>
      <w:r>
        <w:rPr>
          <w:rStyle w:val="FootnoteReference"/>
        </w:rPr>
        <w:footnoteReference w:id="10"/>
      </w:r>
    </w:p>
    <w:p>
      <w:pPr>
        <w:spacing w:after="160" w:line="276"/>
        <w:jc w:val="both"/>
      </w:pPr>
      <w:r>
        <w:rPr>
          <w:rFonts w:ascii="Georgia" w:cs="Georgia" w:eastAsia="Georgia" w:hAnsi="Georgia"/>
          <w:sz w:val="22"/>
          <w:szCs w:val="22"/>
        </w:rPr>
        <w:t xml:space="preserve">A decade later, the verdict is unambiguous. Todd Sandham of Colonial Acres Coins, interviewed by CTV News on the tenth anniversary of the withdrawal, observed that the novelty value of ordinary Canadian pennies “hasn’t suddenly skyrocketed,” and that a saver bringing in a jar of pennies would receive “about a penny and a half for them.”</w:t>
      </w:r>
      <w:r>
        <w:rPr>
          <w:rStyle w:val="FootnoteReference"/>
        </w:rPr>
        <w:footnoteReference w:id="12"/>
      </w:r>
      <w:r>
        <w:rPr>
          <w:rFonts w:ascii="Georgia" w:cs="Georgia" w:eastAsia="Georgia" w:hAnsi="Georgia"/>
          <w:sz w:val="22"/>
          <w:szCs w:val="22"/>
        </w:rPr>
        <w:t xml:space="preserve"> The coins that did appreciate were the ones that were </w:t>
      </w:r>
      <w:r>
        <w:rPr>
          <w:rFonts w:ascii="Georgia" w:cs="Georgia" w:eastAsia="Georgia" w:hAnsi="Georgia"/>
          <w:i/>
          <w:iCs/>
          <w:sz w:val="22"/>
          <w:szCs w:val="22"/>
        </w:rPr>
        <w:t xml:space="preserve">already</w:t>
      </w:r>
      <w:r>
        <w:rPr>
          <w:rFonts w:ascii="Georgia" w:cs="Georgia" w:eastAsia="Georgia" w:hAnsi="Georgia"/>
          <w:sz w:val="22"/>
          <w:szCs w:val="22"/>
        </w:rPr>
        <w:t xml:space="preserve"> scarce before the withdrawal: pre-existing key dates such as the legendary 1936 “Dot” cent, which trades at roughly $400,000 and up, and a handful of low-mintage dates from the 1920s.</w:t>
      </w:r>
      <w:r>
        <w:rPr>
          <w:rStyle w:val="FootnoteReference"/>
        </w:rPr>
        <w:footnoteReference w:id="13"/>
      </w:r>
      <w:r>
        <w:rPr>
          <w:rFonts w:ascii="Georgia" w:cs="Georgia" w:eastAsia="Georgia" w:hAnsi="Georgia"/>
          <w:sz w:val="22"/>
          <w:szCs w:val="22"/>
        </w:rPr>
        <w:t xml:space="preserve"> A secondary, much smaller effect appeared in deliberately limited final-issue collector products—special 2012 rolls that sold out at their issue price of $9.95 and now command a modest premium.</w:t>
      </w:r>
      <w:r>
        <w:rPr>
          <w:rStyle w:val="FootnoteReference"/>
        </w:rPr>
        <w:footnoteReference w:id="14"/>
      </w:r>
    </w:p>
    <w:p>
      <w:pPr>
        <w:spacing w:after="160" w:line="276"/>
        <w:jc w:val="both"/>
      </w:pPr>
      <w:r>
        <w:rPr>
          <w:rFonts w:ascii="Georgia" w:cs="Georgia" w:eastAsia="Georgia" w:hAnsi="Georgia"/>
          <w:sz w:val="22"/>
          <w:szCs w:val="22"/>
        </w:rPr>
        <w:t xml:space="preserve">The lesson transfers directly to the United States. </w:t>
      </w:r>
      <w:r>
        <w:rPr>
          <w:rFonts w:ascii="Georgia" w:cs="Georgia" w:eastAsia="Georgia" w:hAnsi="Georgia"/>
          <w:b/>
          <w:bCs/>
          <w:sz w:val="22"/>
          <w:szCs w:val="22"/>
        </w:rPr>
        <w:t xml:space="preserve">Common circulating cents will remain at face value; appreciation will concentrate in the pre-existing key dates, recognized errors, and genuinely high-grade survivors that were already scarce before 2025.</w:t>
      </w:r>
      <w:r>
        <w:rPr>
          <w:rFonts w:ascii="Georgia" w:cs="Georgia" w:eastAsia="Georgia" w:hAnsi="Georgia"/>
          <w:sz w:val="22"/>
          <w:szCs w:val="22"/>
        </w:rPr>
        <w:t xml:space="preserve"> The end of production changes the </w:t>
      </w:r>
      <w:r>
        <w:rPr>
          <w:rFonts w:ascii="Georgia" w:cs="Georgia" w:eastAsia="Georgia" w:hAnsi="Georgia"/>
          <w:i/>
          <w:iCs/>
          <w:sz w:val="22"/>
          <w:szCs w:val="22"/>
        </w:rPr>
        <w:t xml:space="preserve">story</w:t>
      </w:r>
      <w:r>
        <w:rPr>
          <w:rFonts w:ascii="Georgia" w:cs="Georgia" w:eastAsia="Georgia" w:hAnsi="Georgia"/>
          <w:sz w:val="22"/>
          <w:szCs w:val="22"/>
        </w:rPr>
        <w:t xml:space="preserve"> around the cent—and stories do move markets at the margin—but it does not conjure rarity where billions of coins exist. The broader history of U.S. demonetization reinforces the point: the half cent, discontinued in 1857, is a desirable type coin worth a few tens of dollars in average condition rather than a treasure, and its value derives from age and design, not from the mere fact that it was retired.</w:t>
      </w:r>
      <w:r>
        <w:rPr>
          <w:rStyle w:val="FootnoteReference"/>
        </w:rPr>
        <w:footnoteReference w:id="15"/>
      </w:r>
    </w:p>
    <w:p>
      <w:pPr>
        <w:pStyle w:val="Heading2"/>
        <w:spacing w:after="120" w:before="240"/>
      </w:pPr>
      <w:r>
        <w:rPr>
          <w:rFonts w:ascii="Arial" w:cs="Arial" w:eastAsia="Arial" w:hAnsi="Arial"/>
        </w:rPr>
        <w:t xml:space="preserve">2.3 Where the Penny Upside Actually Lies</w:t>
      </w:r>
    </w:p>
    <w:p>
      <w:pPr>
        <w:spacing w:after="160" w:line="276"/>
        <w:jc w:val="both"/>
      </w:pPr>
      <w:r>
        <w:rPr>
          <w:rFonts w:ascii="Georgia" w:cs="Georgia" w:eastAsia="Georgia" w:hAnsi="Georgia"/>
          <w:sz w:val="22"/>
          <w:szCs w:val="22"/>
        </w:rPr>
        <w:t xml:space="preserve">If there is an investment case anywhere in the cent series, it lies entirely in the established rarities—the same coins that were valuable in 2024 and will remain so. The table below summarizes the principal Lincoln-cent key dates and errors, with values drawn from PCGS CoinFacts, the major auction houses, and specialist price guides. Two structural features of the copper series should be kept in mind when reading it. First, color matters enormously: the designations Red (RD), Red-Brown (RB), and Brown (BN) can separate coins of identical numeric grade by large multiples, with full original Red commanding the steepest premiums.</w:t>
      </w:r>
      <w:r>
        <w:rPr>
          <w:rStyle w:val="FootnoteReference"/>
        </w:rPr>
        <w:footnoteReference w:id="58"/>
      </w:r>
      <w:r>
        <w:rPr>
          <w:rFonts w:ascii="Georgia" w:cs="Georgia" w:eastAsia="Georgia" w:hAnsi="Georgia"/>
          <w:sz w:val="22"/>
          <w:szCs w:val="22"/>
        </w:rPr>
        <w:t xml:space="preserve"> Second, the headline auction records reflect single finest-known or near-finest examples; the realistic cost of a collectible—but not record-setting—specimen is far lower, as the “typical circulated” column indicates.</w:t>
      </w:r>
    </w:p>
    <w:p>
      <w:pPr>
        <w:spacing w:after="60" w:before="160"/>
      </w:pPr>
      <w:r>
        <w:rPr>
          <w:rFonts w:ascii="Arial" w:cs="Arial" w:eastAsia="Arial" w:hAnsi="Arial"/>
          <w:b/>
          <w:bCs/>
          <w:i/>
          <w:iCs/>
          <w:sz w:val="18"/>
          <w:szCs w:val="18"/>
        </w:rPr>
        <w:t xml:space="preserve">Table 1. Principal United States one-cent key dates and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2860"/>
      </w:tblGrid>
      <w:tr>
        <w:trPr>
          <w:tblHeader/>
        </w:trPr>
        <w:tc>
          <w:tcPr>
            <w:tcW w:type="dxa" w:w="2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Coin (key date / error)</w:t>
            </w:r>
          </w:p>
        </w:tc>
        <w:tc>
          <w:tcPr>
            <w:tcW w:type="dxa" w:w="1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Mintage / status</w:t>
            </w:r>
          </w:p>
        </w:tc>
        <w:tc>
          <w:tcPr>
            <w:tcW w:type="dxa" w:w="1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Typical circulated</w:t>
            </w:r>
          </w:p>
        </w:tc>
        <w:tc>
          <w:tcPr>
            <w:tcW w:type="dxa" w:w="28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High-grade / auction record</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1909-S VDB</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484,000</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$860–$930 (G)</w:t>
            </w:r>
          </w:p>
        </w:tc>
        <w:tc>
          <w:tcPr>
            <w:tcW w:type="dxa" w:w="2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MS67 RD $168,000 (Heritage, 2022)</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1914-D</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1.19 million</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~$225 avg.</w:t>
            </w:r>
          </w:p>
        </w:tc>
        <w:tc>
          <w:tcPr>
            <w:tcW w:type="dxa" w:w="2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MS66 RD ≈$81,075 (Heritage)</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1922 “Plain” (No D, Strong Rev.)</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die-fill error</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~$666</w:t>
            </w:r>
          </w:p>
        </w:tc>
        <w:tc>
          <w:tcPr>
            <w:tcW w:type="dxa" w:w="2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MS62 BN $13,800; $10k–$19k+ MS</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1931-S</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866,000</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$100–$150</w:t>
            </w:r>
          </w:p>
        </w:tc>
        <w:tc>
          <w:tcPr>
            <w:tcW w:type="dxa" w:w="2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Gem RD multiples of guide</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1943 bronze (off-metal)</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~15–20 known (all mints)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n/a (all rare)</w:t>
            </w:r>
          </w:p>
        </w:tc>
        <w:tc>
          <w:tcPr>
            <w:tcW w:type="dxa" w:w="2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1943-D unique $1.7M (2010); $204k AU (2019)</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1944 steel (off-metal)</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~30+ known</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n/a (all rare)</w:t>
            </w:r>
          </w:p>
        </w:tc>
        <w:tc>
          <w:tcPr>
            <w:tcW w:type="dxa" w:w="2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1944-S MS66 ≈$490,500 (2025)</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1955 Doubled Die Obverse</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~20,000–24,000</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$1,200–$1,800 (AU)</w:t>
            </w:r>
          </w:p>
        </w:tc>
        <w:tc>
          <w:tcPr>
            <w:tcW w:type="dxa" w:w="2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MS65+ RD $114,000 (Stack’s, 2018)</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1877 Indian Head</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852,500</w:t>
            </w:r>
          </w:p>
        </w:tc>
        <w:tc>
          <w:tcPr>
            <w:tcW w:type="dxa" w:w="1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$700–$1,000</w:t>
            </w:r>
          </w:p>
        </w:tc>
        <w:tc>
          <w:tcPr>
            <w:tcW w:type="dxa" w:w="2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Gem RD five figures</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1793 Chain / Wreath (Large Cent)</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first U.S. cents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$5,000–$25,000+</w:t>
            </w:r>
          </w:p>
        </w:tc>
        <w:tc>
          <w:tcPr>
            <w:tcW w:type="dxa" w:w="2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Six figures for choice examples</w:t>
            </w:r>
          </w:p>
        </w:tc>
      </w:tr>
    </w:tbl>
    <w:p>
      <w:pPr>
        <w:spacing w:after="200"/>
      </w:pPr>
      <w:r>
        <w:rPr>
          <w:rFonts w:ascii="Arial" w:cs="Arial" w:eastAsia="Arial" w:hAnsi="Arial"/>
          <w:i/>
          <w:iCs/>
          <w:color w:val="777777"/>
          <w:sz w:val="16"/>
          <w:szCs w:val="16"/>
        </w:rPr>
        <w:t xml:space="preserve">Sources: PCGS CoinFacts; Heritage Auctions; Stack’s Bowers; GreatCollections; Gainesville Coins; Bullion Shark; Coin Identifier.</w:t>
      </w:r>
    </w:p>
    <w:p>
      <w:pPr>
        <w:spacing w:after="160" w:line="276"/>
        <w:jc w:val="both"/>
      </w:pPr>
      <w:r>
        <w:rPr>
          <w:rFonts w:ascii="Georgia" w:cs="Georgia" w:eastAsia="Georgia" w:hAnsi="Georgia"/>
          <w:sz w:val="22"/>
          <w:szCs w:val="22"/>
        </w:rPr>
        <w:t xml:space="preserve">The practical implication for the reader is developed fully in Section 8, but the headline is this: a coherent penny project is a </w:t>
      </w:r>
      <w:r>
        <w:rPr>
          <w:rFonts w:ascii="Georgia" w:cs="Georgia" w:eastAsia="Georgia" w:hAnsi="Georgia"/>
          <w:i/>
          <w:iCs/>
          <w:sz w:val="22"/>
          <w:szCs w:val="22"/>
        </w:rPr>
        <w:t xml:space="preserve">collection</w:t>
      </w:r>
      <w:r>
        <w:rPr>
          <w:rFonts w:ascii="Georgia" w:cs="Georgia" w:eastAsia="Georgia" w:hAnsi="Georgia"/>
          <w:sz w:val="22"/>
          <w:szCs w:val="22"/>
        </w:rPr>
        <w:t xml:space="preserve"> anchored by a handful of authenticated key dates, not an </w:t>
      </w:r>
      <w:r>
        <w:rPr>
          <w:rFonts w:ascii="Georgia" w:cs="Georgia" w:eastAsia="Georgia" w:hAnsi="Georgia"/>
          <w:i/>
          <w:iCs/>
          <w:sz w:val="22"/>
          <w:szCs w:val="22"/>
        </w:rPr>
        <w:t xml:space="preserve">investment</w:t>
      </w:r>
      <w:r>
        <w:rPr>
          <w:rFonts w:ascii="Georgia" w:cs="Georgia" w:eastAsia="Georgia" w:hAnsi="Georgia"/>
          <w:sz w:val="22"/>
          <w:szCs w:val="22"/>
        </w:rPr>
        <w:t xml:space="preserve"> in bulk modern coins. Paying a premium for “last penny 2025” novelty products is, on the Canadian evidence, the least promising use of capital in the entire enterprise.</w:t>
      </w:r>
    </w:p>
    <w:p>
      <w:pPr>
        <w:pStyle w:val="Heading2"/>
        <w:spacing w:after="120" w:before="240"/>
      </w:pPr>
      <w:r>
        <w:rPr>
          <w:rFonts w:ascii="Arial" w:cs="Arial" w:eastAsia="Arial" w:hAnsi="Arial"/>
        </w:rPr>
        <w:t xml:space="preserve">2.4 Working a Cent Hoard in Practice</w:t>
      </w:r>
    </w:p>
    <w:p>
      <w:pPr>
        <w:spacing w:after="160" w:line="276"/>
        <w:jc w:val="both"/>
      </w:pPr>
      <w:r>
        <w:rPr>
          <w:rFonts w:ascii="Georgia" w:cs="Georgia" w:eastAsia="Georgia" w:hAnsi="Georgia"/>
          <w:sz w:val="22"/>
          <w:szCs w:val="22"/>
        </w:rPr>
        <w:t xml:space="preserve">Because the reader’s stated interest includes assembling a cent collection in the wake of discontinuation, it is worth translating the foregoing into a concrete working method. A productive cent project proceeds on three parallel tracks, each with a different risk-and-reward profile, and none of which depends on the false premise that ordinary 2025-dated cents will appreciate. The first track is the deliberate acquisition of authenticated key dates and major varieties—the coins catalogued in Table 1—purchased already certified, one at a time, as budget permits. This is where genuine numismatic value resides and where capital should be concentrated.</w:t>
      </w:r>
    </w:p>
    <w:p>
      <w:pPr>
        <w:spacing w:after="160" w:line="276"/>
        <w:jc w:val="both"/>
      </w:pPr>
      <w:r>
        <w:rPr>
          <w:rFonts w:ascii="Georgia" w:cs="Georgia" w:eastAsia="Georgia" w:hAnsi="Georgia"/>
          <w:sz w:val="22"/>
          <w:szCs w:val="22"/>
        </w:rPr>
        <w:t xml:space="preserve">The second track is the copper-content accumulation, which rests on a specific compositional fact. From 1909 through mid-1982 the Lincoln cent was struck on a planchet of ninety-five percent copper and weighed 3.11 grams; midway through 1982 the Mint shifted to a copper-plated zinc planchet of 2.5 grams in response to rising copper prices, producing seven distinguishable 1982 varieties and a permanent two-weight regime that a simple gram scale resolves instantly.</w:t>
      </w:r>
      <w:r>
        <w:rPr>
          <w:rStyle w:val="FootnoteReference"/>
        </w:rPr>
        <w:footnoteReference w:id="110"/>
      </w:r>
      <w:r>
        <w:rPr>
          <w:rFonts w:ascii="Georgia" w:cs="Georgia" w:eastAsia="Georgia" w:hAnsi="Georgia"/>
          <w:sz w:val="22"/>
          <w:szCs w:val="22"/>
        </w:rPr>
        <w:t xml:space="preserve"> A pre-1982 cent contains roughly 2.95 grams of copper, whose metal value at recent prices is on the order of two to two-and-a-half times the coin’s face value. Two cautions are decisive, however. The melting or export of one-cent and five-cent coins has been prohibited by federal regulation since 2006 (a Mint rule adopted under 31 C.F.R. Part 82), so the copper premium is unrealizable today and amounts to a speculative bet that the prohibition is eventually relaxed; and the sorting labor is substantial. The disciplined form of this track is to set aside copper cents encountered incidentally—not to purchase them at a premium—and to store them at face value against a contingent future.</w:t>
      </w:r>
    </w:p>
    <w:p>
      <w:pPr>
        <w:spacing w:after="160" w:line="276"/>
        <w:jc w:val="both"/>
      </w:pPr>
      <w:r>
        <w:rPr>
          <w:rFonts w:ascii="Georgia" w:cs="Georgia" w:eastAsia="Georgia" w:hAnsi="Georgia"/>
          <w:sz w:val="22"/>
          <w:szCs w:val="22"/>
        </w:rPr>
        <w:t xml:space="preserve">The third track, and the one offering the most durable edge, is </w:t>
      </w:r>
      <w:r>
        <w:rPr>
          <w:rFonts w:ascii="Georgia" w:cs="Georgia" w:eastAsia="Georgia" w:hAnsi="Georgia"/>
          <w:b/>
          <w:bCs/>
          <w:sz w:val="22"/>
          <w:szCs w:val="22"/>
        </w:rPr>
        <w:t xml:space="preserve">cherry-picking</w:t>
      </w:r>
      <w:r>
        <w:rPr>
          <w:rFonts w:ascii="Georgia" w:cs="Georgia" w:eastAsia="Georgia" w:hAnsi="Georgia"/>
          <w:sz w:val="22"/>
          <w:szCs w:val="22"/>
        </w:rPr>
        <w:t xml:space="preserve">: the systematic search for unattributed scarce varieties hiding in common-date accumulations. The advantage here is purely informational and therefore available to any collector willing to learn die diagnostics. A searcher who can recognize a 1969-S or 1972 doubled-die obverse, a 1992 Close-AM reverse, or a 1995 doubled die can occasionally buy, at common-cent prices, a coin worth hundreds or thousands of times face. Roll- and bag-searching from bank-wrapped boxes yields a steady trickle of pre-1959 wheat cents and the rare circulated semi-key, but the realistic find rate means the activity pays only when valued as a hobby rather than as labor. The synthesis across all three tracks is consistent with the paper’s central thesis: value comes from rarity, grade, and knowledge—not from the calendar date on a modern coin.</w:t>
      </w:r>
    </w:p>
    <w:p>
      <w:pPr>
        <w:pStyle w:val="Heading1"/>
        <w:spacing w:after="160" w:before="320"/>
      </w:pPr>
      <w:r>
        <w:rPr>
          <w:rFonts w:ascii="Arial" w:cs="Arial" w:eastAsia="Arial" w:hAnsi="Arial"/>
        </w:rPr>
        <w:t xml:space="preserve">3. Third-Party Grading: Standards, Economics, and Decision Rules</w:t>
      </w:r>
    </w:p>
    <w:p>
      <w:pPr>
        <w:pStyle w:val="Heading2"/>
        <w:spacing w:after="120" w:before="240"/>
      </w:pPr>
      <w:r>
        <w:rPr>
          <w:rFonts w:ascii="Arial" w:cs="Arial" w:eastAsia="Arial" w:hAnsi="Arial"/>
        </w:rPr>
        <w:t xml:space="preserve">3.1 The Services and the Sheldon Scale</w:t>
      </w:r>
    </w:p>
    <w:p>
      <w:pPr>
        <w:spacing w:after="160" w:line="276"/>
        <w:jc w:val="both"/>
      </w:pPr>
      <w:r>
        <w:rPr>
          <w:rFonts w:ascii="Georgia" w:cs="Georgia" w:eastAsia="Georgia" w:hAnsi="Georgia"/>
          <w:sz w:val="22"/>
          <w:szCs w:val="22"/>
        </w:rPr>
        <w:t xml:space="preserve">Modern coin valuation rests on third-party grading (TPG). Two firms dominate the market: the Professional Coin Grading Service (PCGS) and the Numismatic Guaranty Company (NGC). A third entity, the Certified Acceptance Corporation (CAC), historically verified coins already graded by PCGS or NGC by affixing a sticker, and since October 2023 has also operated its own grading service, CAC Grading (CACG).</w:t>
      </w:r>
      <w:r>
        <w:rPr>
          <w:rStyle w:val="FootnoteReference"/>
        </w:rPr>
        <w:footnoteReference w:id="34"/>
      </w:r>
      <w:r>
        <w:rPr>
          <w:rFonts w:ascii="Georgia" w:cs="Georgia" w:eastAsia="Georgia" w:hAnsi="Georgia"/>
          <w:sz w:val="22"/>
          <w:szCs w:val="22"/>
          <w:vertAlign w:val="superscript"/>
        </w:rPr>
        <w:t xml:space="preserve">,</w:t>
      </w:r>
      <w:r>
        <w:rPr>
          <w:rStyle w:val="FootnoteReference"/>
        </w:rPr>
        <w:footnoteReference w:id="35"/>
      </w:r>
      <w:r>
        <w:rPr>
          <w:rFonts w:ascii="Georgia" w:cs="Georgia" w:eastAsia="Georgia" w:hAnsi="Georgia"/>
          <w:sz w:val="22"/>
          <w:szCs w:val="22"/>
        </w:rPr>
        <w:t xml:space="preserve"> All three express condition on the 70-point Sheldon scale, which originated in William H. Sheldon’s 1949 study of early American cents and was later generalized by the American Numismatic Association into the standard used across the hobby.</w:t>
      </w:r>
      <w:r>
        <w:rPr>
          <w:rStyle w:val="FootnoteReference"/>
        </w:rPr>
        <w:footnoteReference w:id="31"/>
      </w:r>
      <w:r>
        <w:rPr>
          <w:rFonts w:ascii="Georgia" w:cs="Georgia" w:eastAsia="Georgia" w:hAnsi="Georgia"/>
          <w:sz w:val="22"/>
          <w:szCs w:val="22"/>
          <w:vertAlign w:val="superscript"/>
        </w:rPr>
        <w:t xml:space="preserve">,</w:t>
      </w:r>
      <w:r>
        <w:rPr>
          <w:rStyle w:val="FootnoteReference"/>
        </w:rPr>
        <w:footnoteReference w:id="32"/>
      </w:r>
    </w:p>
    <w:p>
      <w:pPr>
        <w:spacing w:after="160" w:line="276"/>
        <w:jc w:val="both"/>
      </w:pPr>
      <w:r>
        <w:rPr>
          <w:rFonts w:ascii="Georgia" w:cs="Georgia" w:eastAsia="Georgia" w:hAnsi="Georgia"/>
          <w:sz w:val="22"/>
          <w:szCs w:val="22"/>
        </w:rPr>
        <w:t xml:space="preserve">On that scale, a coin grades from Poor (1) through About Good, Good, Very Good, Fine, Very Fine, Extremely Fine, About Uncirculated, and finally Mint State or Proof (60–70), with 70 reserved for a coin showing no post-production imperfections at 5× magnification.</w:t>
      </w:r>
      <w:r>
        <w:rPr>
          <w:rStyle w:val="FootnoteReference"/>
        </w:rPr>
        <w:footnoteReference w:id="30"/>
      </w:r>
      <w:r>
        <w:rPr>
          <w:rFonts w:ascii="Georgia" w:cs="Georgia" w:eastAsia="Georgia" w:hAnsi="Georgia"/>
          <w:sz w:val="22"/>
          <w:szCs w:val="22"/>
          <w:vertAlign w:val="superscript"/>
        </w:rPr>
        <w:t xml:space="preserve">,</w:t>
      </w:r>
      <w:r>
        <w:rPr>
          <w:rStyle w:val="FootnoteReference"/>
        </w:rPr>
        <w:footnoteReference w:id="33"/>
      </w:r>
      <w:r>
        <w:rPr>
          <w:rFonts w:ascii="Georgia" w:cs="Georgia" w:eastAsia="Georgia" w:hAnsi="Georgia"/>
          <w:sz w:val="22"/>
          <w:szCs w:val="22"/>
        </w:rPr>
        <w:t xml:space="preserve"> Two refinements carry outsized financial weight. The first is the family of </w:t>
      </w:r>
      <w:r>
        <w:rPr>
          <w:rFonts w:ascii="Georgia" w:cs="Georgia" w:eastAsia="Georgia" w:hAnsi="Georgia"/>
          <w:b/>
          <w:bCs/>
          <w:sz w:val="22"/>
          <w:szCs w:val="22"/>
        </w:rPr>
        <w:t xml:space="preserve">problem or “Details” designations</w:t>
      </w:r>
      <w:r>
        <w:rPr>
          <w:rFonts w:ascii="Georgia" w:cs="Georgia" w:eastAsia="Georgia" w:hAnsi="Georgia"/>
          <w:sz w:val="22"/>
          <w:szCs w:val="22"/>
        </w:rPr>
        <w:t xml:space="preserve">—cleaned, scratched, environmentally damaged, or repaired coins are encapsulated with a qualifier and trade at a steep discount to problem-free examples. The second, specific to copper, is the </w:t>
      </w:r>
      <w:r>
        <w:rPr>
          <w:rFonts w:ascii="Georgia" w:cs="Georgia" w:eastAsia="Georgia" w:hAnsi="Georgia"/>
          <w:b/>
          <w:bCs/>
          <w:sz w:val="22"/>
          <w:szCs w:val="22"/>
        </w:rPr>
        <w:t xml:space="preserve">color designation</w:t>
      </w:r>
      <w:r>
        <w:rPr>
          <w:rFonts w:ascii="Georgia" w:cs="Georgia" w:eastAsia="Georgia" w:hAnsi="Georgia"/>
          <w:sz w:val="22"/>
          <w:szCs w:val="22"/>
        </w:rPr>
        <w:t xml:space="preserve"> (RD/RB/BN) already noted. The combined effect is that two coins bearing the same numeric grade can differ in value by an order of magnitude.</w:t>
      </w:r>
    </w:p>
    <w:p>
      <w:pPr>
        <w:pStyle w:val="Heading2"/>
        <w:spacing w:after="120" w:before="240"/>
      </w:pPr>
      <w:r>
        <w:rPr>
          <w:rFonts w:ascii="Arial" w:cs="Arial" w:eastAsia="Arial" w:hAnsi="Arial"/>
        </w:rPr>
        <w:t xml:space="preserve">3.2 The Cost of Grading in 2026</w:t>
      </w:r>
    </w:p>
    <w:p>
      <w:pPr>
        <w:spacing w:after="160" w:line="276"/>
        <w:jc w:val="both"/>
      </w:pPr>
      <w:r>
        <w:rPr>
          <w:rFonts w:ascii="Georgia" w:cs="Georgia" w:eastAsia="Georgia" w:hAnsi="Georgia"/>
          <w:sz w:val="22"/>
          <w:szCs w:val="22"/>
        </w:rPr>
        <w:t xml:space="preserve">Grading is not free, and its cost structure is the single most important fact a prospective submitter must internalize. Fees stack in layers: an annual membership or club fee, a per-coin grading tier (set by the coin’s declared value and the turnaround speed), a per-order handling fee, and return shipping and insurance. The table below consolidates 2026 figures from the graders’ published schedules and independent cost surveys.</w:t>
      </w:r>
    </w:p>
    <w:p>
      <w:pPr>
        <w:spacing w:after="60" w:before="160"/>
      </w:pPr>
      <w:r>
        <w:rPr>
          <w:rFonts w:ascii="Arial" w:cs="Arial" w:eastAsia="Arial" w:hAnsi="Arial"/>
          <w:b/>
          <w:bCs/>
          <w:i/>
          <w:iCs/>
          <w:sz w:val="18"/>
          <w:szCs w:val="18"/>
        </w:rPr>
        <w:t xml:space="preserve">Table 2. Representative third-party grading costs,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2200"/>
        <w:gridCol w:w="2360"/>
      </w:tblGrid>
      <w:tr>
        <w:trPr>
          <w:tblHeader/>
        </w:trPr>
        <w:tc>
          <w:tcPr>
            <w:tcW w:type="dxa" w:w="31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Service / tier</w:t>
            </w:r>
          </w:p>
        </w:tc>
        <w:tc>
          <w:tcPr>
            <w:tcW w:type="dxa" w:w="1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Per-coin fee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Value / speed limit</w:t>
            </w:r>
          </w:p>
        </w:tc>
        <w:tc>
          <w:tcPr>
            <w:tcW w:type="dxa" w:w="23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Notes</w:t>
            </w:r>
          </w:p>
        </w:tc>
      </w:tr>
      <w:tr>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Collectors Club — Silver</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$69/yr</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Membership; no grading vouchers</w:t>
            </w:r>
          </w:p>
        </w:tc>
      </w:tr>
      <w:tr>
        <w:tc>
          <w:tcPr>
            <w:tcW w:type="dxa" w:w="3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Collectors Club — Gold</w:t>
            </w:r>
          </w:p>
        </w:tc>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$149/yr</w:t>
            </w:r>
          </w:p>
        </w:tc>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t>
            </w:r>
          </w:p>
        </w:tc>
        <w:tc>
          <w:tcPr>
            <w:tcW w:type="dxa" w:w="2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Includes 4 grading vouchers</w:t>
            </w:r>
          </w:p>
        </w:tc>
      </w:tr>
      <w:tr>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Economy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$300; ~70 bus. days</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$10 order handling, + return ship</w:t>
            </w:r>
          </w:p>
        </w:tc>
      </w:tr>
      <w:tr>
        <w:tc>
          <w:tcPr>
            <w:tcW w:type="dxa" w:w="3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Regular</w:t>
            </w:r>
          </w:p>
        </w:tc>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~$38</w:t>
            </w:r>
          </w:p>
        </w:tc>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$2,500; ~50 days</w:t>
            </w:r>
          </w:p>
        </w:tc>
        <w:tc>
          <w:tcPr>
            <w:tcW w:type="dxa" w:w="2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Most common collector tier</w:t>
            </w:r>
          </w:p>
        </w:tc>
      </w:tr>
      <w:tr>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Express</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~$65</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$10,000; ~15 days</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Faster turnaround</w:t>
            </w:r>
          </w:p>
        </w:tc>
      </w:tr>
      <w:tr>
        <w:tc>
          <w:tcPr>
            <w:tcW w:type="dxa" w:w="3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NGC Associate / Premium / Elite</w:t>
            </w:r>
          </w:p>
        </w:tc>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$25 / $149 / $299/yr</w:t>
            </w:r>
          </w:p>
        </w:tc>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t>
            </w:r>
          </w:p>
        </w:tc>
        <w:tc>
          <w:tcPr>
            <w:tcW w:type="dxa" w:w="2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Premium includes $150 grading credit</w:t>
            </w:r>
          </w:p>
        </w:tc>
      </w:tr>
      <w:tr>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NGC per coin (+ handling)</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tier-based + $10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by value/speed</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Comparable to PCGS</w:t>
            </w:r>
          </w:p>
        </w:tc>
      </w:tr>
      <w:tr>
        <w:tc>
          <w:tcPr>
            <w:tcW w:type="dxa" w:w="3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ANACS</w:t>
            </w:r>
          </w:p>
        </w:tc>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~$14–$20</w:t>
            </w:r>
          </w:p>
        </w:tc>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lower-value coins</w:t>
            </w:r>
          </w:p>
        </w:tc>
        <w:tc>
          <w:tcPr>
            <w:tcW w:type="dxa" w:w="2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Budget-tier certification</w:t>
            </w:r>
          </w:p>
        </w:tc>
      </w:tr>
    </w:tbl>
    <w:p>
      <w:pPr>
        <w:spacing w:after="200"/>
      </w:pPr>
      <w:r>
        <w:rPr>
          <w:rFonts w:ascii="Arial" w:cs="Arial" w:eastAsia="Arial" w:hAnsi="Arial"/>
          <w:i/>
          <w:iCs/>
          <w:color w:val="777777"/>
          <w:sz w:val="16"/>
          <w:szCs w:val="16"/>
        </w:rPr>
        <w:t xml:space="preserve">Sources: PCGS and NGC published fee schedules; StoneX Bullion; CoinGrader AI; ANACS.</w:t>
      </w:r>
    </w:p>
    <w:p>
      <w:pPr>
        <w:spacing w:after="160" w:line="276"/>
        <w:jc w:val="both"/>
      </w:pPr>
      <w:r>
        <w:rPr>
          <w:rFonts w:ascii="Georgia" w:cs="Georgia" w:eastAsia="Georgia" w:hAnsi="Georgia"/>
          <w:sz w:val="22"/>
          <w:szCs w:val="22"/>
        </w:rPr>
        <w:t xml:space="preserve">Netting these layers together, the realistic all-in cost per coin runs from roughly $22 at the low end of an Economy submission to $65–$85 or more once membership amortization, handling, return shipping, insurance, and an optional imaging service such as PCGS TrueView are included.</w:t>
      </w:r>
      <w:r>
        <w:rPr>
          <w:rStyle w:val="FootnoteReference"/>
        </w:rPr>
        <w:footnoteReference w:id="36"/>
      </w:r>
      <w:r>
        <w:rPr>
          <w:rFonts w:ascii="Georgia" w:cs="Georgia" w:eastAsia="Georgia" w:hAnsi="Georgia"/>
          <w:sz w:val="22"/>
          <w:szCs w:val="22"/>
          <w:vertAlign w:val="superscript"/>
        </w:rPr>
        <w:t xml:space="preserve">,</w:t>
      </w:r>
      <w:r>
        <w:rPr>
          <w:rStyle w:val="FootnoteReference"/>
        </w:rPr>
        <w:footnoteReference w:id="37"/>
      </w:r>
      <w:r>
        <w:rPr>
          <w:rFonts w:ascii="Georgia" w:cs="Georgia" w:eastAsia="Georgia" w:hAnsi="Georgia"/>
          <w:sz w:val="22"/>
          <w:szCs w:val="22"/>
          <w:vertAlign w:val="superscript"/>
        </w:rPr>
        <w:t xml:space="preserve">,</w:t>
      </w:r>
      <w:r>
        <w:rPr>
          <w:rStyle w:val="FootnoteReference"/>
        </w:rPr>
        <w:footnoteReference w:id="38"/>
      </w:r>
      <w:r>
        <w:rPr>
          <w:rFonts w:ascii="Georgia" w:cs="Georgia" w:eastAsia="Georgia" w:hAnsi="Georgia"/>
          <w:sz w:val="22"/>
          <w:szCs w:val="22"/>
          <w:vertAlign w:val="superscript"/>
        </w:rPr>
        <w:t xml:space="preserve">,</w:t>
      </w:r>
      <w:r>
        <w:rPr>
          <w:rStyle w:val="FootnoteReference"/>
        </w:rPr>
        <w:footnoteReference w:id="39"/>
      </w:r>
      <w:r>
        <w:rPr>
          <w:rFonts w:ascii="Georgia" w:cs="Georgia" w:eastAsia="Georgia" w:hAnsi="Georgia"/>
          <w:sz w:val="22"/>
          <w:szCs w:val="22"/>
        </w:rPr>
        <w:t xml:space="preserve"> For lower-value coins, ANACS offers a budget path at roughly $14–$20 per coin.</w:t>
      </w:r>
      <w:r>
        <w:rPr>
          <w:rStyle w:val="FootnoteReference"/>
        </w:rPr>
        <w:footnoteReference w:id="42"/>
      </w:r>
    </w:p>
    <w:p>
      <w:pPr>
        <w:pStyle w:val="Heading2"/>
        <w:spacing w:after="120" w:before="240"/>
      </w:pPr>
      <w:r>
        <w:rPr>
          <w:rFonts w:ascii="Arial" w:cs="Arial" w:eastAsia="Arial" w:hAnsi="Arial"/>
        </w:rPr>
        <w:t xml:space="preserve">3.3 Bulk Submission</w:t>
      </w:r>
    </w:p>
    <w:p>
      <w:pPr>
        <w:spacing w:after="160" w:line="276"/>
        <w:jc w:val="both"/>
      </w:pPr>
      <w:r>
        <w:rPr>
          <w:rFonts w:ascii="Georgia" w:cs="Georgia" w:eastAsia="Georgia" w:hAnsi="Georgia"/>
          <w:sz w:val="22"/>
          <w:szCs w:val="22"/>
        </w:rPr>
        <w:t xml:space="preserve">For collectors with many similar coins, both leading graders offer bulk programs at sharply reduced per-coin fees. PCGS Bulk grades qualifying coins at approximately $14 each, with a $2 reject fee for coins that fail to meet the submitter’s requested minimum grade. The program’s constraints are the operative detail: it requires a minimum of 100 coins, permits no more than five different PCGS “coin numbers” (date-and-mint combinations) per submission form, and caps declared value at $300 per coin—with one-ounce and half-ounce Gold Eagles, Gold Buffaloes, and Platinum Eagles excluded because their melt value exceeds the cap. An active Collectors Club membership and a signed Bulk Agreement are prerequisites, and a submission that fails to meet the requirements incurs a $75 charge plus return shipping.</w:t>
      </w:r>
      <w:r>
        <w:rPr>
          <w:rStyle w:val="FootnoteReference"/>
        </w:rPr>
        <w:footnoteReference w:id="40"/>
      </w:r>
      <w:r>
        <w:rPr>
          <w:rFonts w:ascii="Georgia" w:cs="Georgia" w:eastAsia="Georgia" w:hAnsi="Georgia"/>
          <w:sz w:val="22"/>
          <w:szCs w:val="22"/>
        </w:rPr>
        <w:t xml:space="preserve"> NGC operates a structurally similar program for high-volume submitters, typically routed through its Elite membership tier or an authorized dealer.</w:t>
      </w:r>
      <w:r>
        <w:rPr>
          <w:rStyle w:val="FootnoteReference"/>
        </w:rPr>
        <w:footnoteReference w:id="41"/>
      </w:r>
    </w:p>
    <w:p>
      <w:pPr>
        <w:spacing w:after="160" w:line="276"/>
        <w:jc w:val="both"/>
      </w:pPr>
      <w:r>
        <w:rPr>
          <w:rFonts w:ascii="Georgia" w:cs="Georgia" w:eastAsia="Georgia" w:hAnsi="Georgia"/>
          <w:sz w:val="22"/>
          <w:szCs w:val="22"/>
        </w:rPr>
        <w:t xml:space="preserve">Bulk grading is therefore powerful but exacting: it rewards the submitter who has done the sorting work to assemble large, homogeneous, sub-$300 lots, and penalizes the one who hopes to mail in an unsorted jar. For the reader, the realistic route to bulk economics is to assemble qualifying groups himself or to submit through a local dealer’s established bulk account.</w:t>
      </w:r>
    </w:p>
    <w:p>
      <w:pPr>
        <w:pStyle w:val="Heading2"/>
        <w:spacing w:after="120" w:before="240"/>
      </w:pPr>
      <w:r>
        <w:rPr>
          <w:rFonts w:ascii="Arial" w:cs="Arial" w:eastAsia="Arial" w:hAnsi="Arial"/>
        </w:rPr>
        <w:t xml:space="preserve">3.4 The Value Uplift of Certification — and of CAC</w:t>
      </w:r>
    </w:p>
    <w:p>
      <w:pPr>
        <w:spacing w:after="160" w:line="276"/>
        <w:jc w:val="both"/>
      </w:pPr>
      <w:r>
        <w:rPr>
          <w:rFonts w:ascii="Georgia" w:cs="Georgia" w:eastAsia="Georgia" w:hAnsi="Georgia"/>
          <w:sz w:val="22"/>
          <w:szCs w:val="22"/>
        </w:rPr>
        <w:t xml:space="preserve">Certification adds value for two reasons: it authenticates the coin against the pervasive counterfeiting discussed in Section 7, and it fixes a grade that the market will price against. Certified coins consequently command a premium over raw equivalents and are far more liquid. Within the certified market, a further layer of value attaches to CAC verification. Coins bearing a green CAC sticker—signifying that the coin is solid or premium for its assigned grade—typically sell at premiums of roughly 5 to 15 percent, and occasionally far more; gold-sticker coins, which CAC judges to merit the next grade up, can carry premiums approaching 90 percent.</w:t>
      </w:r>
      <w:r>
        <w:rPr>
          <w:rStyle w:val="FootnoteReference"/>
        </w:rPr>
        <w:footnoteReference w:id="43"/>
      </w:r>
      <w:r>
        <w:rPr>
          <w:rFonts w:ascii="Georgia" w:cs="Georgia" w:eastAsia="Georgia" w:hAnsi="Georgia"/>
          <w:sz w:val="22"/>
          <w:szCs w:val="22"/>
        </w:rPr>
        <w:t xml:space="preserve"> Blanchard illustrates the effect with a matched pair of 1805 quarter eagles graded MS61: the non-CAC example was offered at $23,325, the CAC-verified example at $33,600—a difference of more than 40 percent on otherwise identical coins.</w:t>
      </w:r>
      <w:r>
        <w:rPr>
          <w:rStyle w:val="FootnoteReference"/>
        </w:rPr>
        <w:footnoteReference w:id="43"/>
      </w:r>
    </w:p>
    <w:p>
      <w:pPr>
        <w:spacing w:after="160" w:line="276"/>
        <w:jc w:val="both"/>
      </w:pPr>
      <w:r>
        <w:rPr>
          <w:rFonts w:ascii="Georgia" w:cs="Georgia" w:eastAsia="Georgia" w:hAnsi="Georgia"/>
          <w:sz w:val="22"/>
          <w:szCs w:val="22"/>
        </w:rPr>
        <w:t xml:space="preserve">Population data sharpen these judgments. A coin that is common by mintage can be a genuine condition rarity if few survive in high grade—the textbook case being certain Morgan dollars whose business strikes are plentiful in circulated grades but scarce in gem Mint State. The published census reports of PCGS and NGC are the primary tools for distinguishing absolute rarity from condition rarity, and they should be consulted before any significant purchase.</w:t>
      </w:r>
      <w:r>
        <w:rPr>
          <w:rStyle w:val="FootnoteReference"/>
        </w:rPr>
        <w:footnoteReference w:id="33"/>
      </w:r>
      <w:r>
        <w:rPr>
          <w:rFonts w:ascii="Georgia" w:cs="Georgia" w:eastAsia="Georgia" w:hAnsi="Georgia"/>
          <w:sz w:val="22"/>
          <w:szCs w:val="22"/>
          <w:vertAlign w:val="superscript"/>
        </w:rPr>
        <w:t xml:space="preserve">,</w:t>
      </w:r>
      <w:r>
        <w:rPr>
          <w:rStyle w:val="FootnoteReference"/>
        </w:rPr>
        <w:footnoteReference w:id="69"/>
      </w:r>
    </w:p>
    <w:p>
      <w:pPr>
        <w:pStyle w:val="Heading2"/>
        <w:spacing w:after="120" w:before="240"/>
      </w:pPr>
      <w:r>
        <w:rPr>
          <w:rFonts w:ascii="Arial" w:cs="Arial" w:eastAsia="Arial" w:hAnsi="Arial"/>
        </w:rPr>
        <w:t xml:space="preserve">3.5 A Decision Rule: The 3× Test</w:t>
      </w:r>
    </w:p>
    <w:p>
      <w:pPr>
        <w:spacing w:after="160" w:line="276"/>
        <w:jc w:val="both"/>
      </w:pPr>
      <w:r>
        <w:rPr>
          <w:rFonts w:ascii="Georgia" w:cs="Georgia" w:eastAsia="Georgia" w:hAnsi="Georgia"/>
          <w:sz w:val="22"/>
          <w:szCs w:val="22"/>
        </w:rPr>
        <w:t xml:space="preserve">Because grading costs are fixed per coin while the value they add is proportional to the coin, certification is economic only above a threshold. A serviceable rule of thumb, widely used by dealers, is the </w:t>
      </w:r>
      <w:r>
        <w:rPr>
          <w:rFonts w:ascii="Georgia" w:cs="Georgia" w:eastAsia="Georgia" w:hAnsi="Georgia"/>
          <w:b/>
          <w:bCs/>
          <w:sz w:val="22"/>
          <w:szCs w:val="22"/>
        </w:rPr>
        <w:t xml:space="preserve">3× test</w:t>
      </w:r>
      <w:r>
        <w:rPr>
          <w:rFonts w:ascii="Georgia" w:cs="Georgia" w:eastAsia="Georgia" w:hAnsi="Georgia"/>
          <w:sz w:val="22"/>
          <w:szCs w:val="22"/>
        </w:rPr>
        <w:t xml:space="preserve">: submit a coin only when certification is expected to add at least three times its all-in cost. For a Regular-tier submission costing roughly $60 all-in, the coin should be expected to gain at least $180 in value or marketability. The corollary is stark and worth stating directly: </w:t>
      </w:r>
      <w:r>
        <w:rPr>
          <w:rFonts w:ascii="Georgia" w:cs="Georgia" w:eastAsia="Georgia" w:hAnsi="Georgia"/>
          <w:i/>
          <w:iCs/>
          <w:sz w:val="22"/>
          <w:szCs w:val="22"/>
        </w:rPr>
        <w:t xml:space="preserve">common circulated coins and bullion-value pieces should not be graded</w:t>
      </w:r>
      <w:r>
        <w:rPr>
          <w:rFonts w:ascii="Georgia" w:cs="Georgia" w:eastAsia="Georgia" w:hAnsi="Georgia"/>
          <w:sz w:val="22"/>
          <w:szCs w:val="22"/>
        </w:rPr>
        <w:t xml:space="preserve">, because the fee will exceed any value added. The disciplined approach is a blended one—buy already-slabbed coins for key dates and anything where grade drives price, and hold commons raw.</w:t>
      </w:r>
    </w:p>
    <w:p>
      <w:pPr>
        <w:pStyle w:val="Heading2"/>
        <w:spacing w:after="120" w:before="240"/>
      </w:pPr>
      <w:r>
        <w:rPr>
          <w:rFonts w:ascii="Arial" w:cs="Arial" w:eastAsia="Arial" w:hAnsi="Arial"/>
        </w:rPr>
        <w:t xml:space="preserve">3.6 Submission Logistics and Custody in Transit</w:t>
      </w:r>
    </w:p>
    <w:p>
      <w:pPr>
        <w:spacing w:after="160" w:line="276"/>
        <w:jc w:val="both"/>
      </w:pPr>
      <w:r>
        <w:rPr>
          <w:rFonts w:ascii="Georgia" w:cs="Georgia" w:eastAsia="Georgia" w:hAnsi="Georgia"/>
          <w:sz w:val="22"/>
          <w:szCs w:val="22"/>
        </w:rPr>
        <w:t xml:space="preserve">When coins are submitted, they must be shipped securely. The consensus best practice for high-value packages is USPS Registered Mail, fully insured to declared value, which provides a documented chain of custody with signatures at each handoff; the graders publish detailed packaging requirements, and returns travel by carrier (PCGS has historically used UPS, NGC FedEx).</w:t>
      </w:r>
      <w:r>
        <w:rPr>
          <w:rStyle w:val="FootnoteReference"/>
        </w:rPr>
        <w:footnoteReference w:id="36"/>
      </w:r>
      <w:r>
        <w:rPr>
          <w:rFonts w:ascii="Georgia" w:cs="Georgia" w:eastAsia="Georgia" w:hAnsi="Georgia"/>
          <w:sz w:val="22"/>
          <w:szCs w:val="22"/>
          <w:vertAlign w:val="superscript"/>
        </w:rPr>
        <w:t xml:space="preserve">,</w:t>
      </w:r>
      <w:r>
        <w:rPr>
          <w:rStyle w:val="FootnoteReference"/>
        </w:rPr>
        <w:footnoteReference w:id="37"/>
      </w:r>
      <w:r>
        <w:rPr>
          <w:rFonts w:ascii="Georgia" w:cs="Georgia" w:eastAsia="Georgia" w:hAnsi="Georgia"/>
          <w:sz w:val="22"/>
          <w:szCs w:val="22"/>
        </w:rPr>
        <w:t xml:space="preserve"> Coins should be double-boxed and immobilized, and should never be stored or shipped in polyvinyl-chloride (PVC) flips, which leach a residue that damages surfaces over time. Three service models exist: direct do-it-yourself submission, which is cheapest per coin for a member; submission through an authorized dealer’s bulk account, which trades a small markup for convenience and access to bulk pricing; and the auction-house “grade-and-consign” path offered by firms such as GreatCollections and Heritage, in which the house arranges grading and immediately markets the result.</w:t>
      </w:r>
      <w:r>
        <w:rPr>
          <w:rStyle w:val="FootnoteReference"/>
        </w:rPr>
        <w:footnoteReference w:id="93"/>
      </w:r>
      <w:r>
        <w:rPr>
          <w:rFonts w:ascii="Georgia" w:cs="Georgia" w:eastAsia="Georgia" w:hAnsi="Georgia"/>
          <w:sz w:val="22"/>
          <w:szCs w:val="22"/>
          <w:vertAlign w:val="superscript"/>
        </w:rPr>
        <w:t xml:space="preserve">,</w:t>
      </w:r>
      <w:r>
        <w:rPr>
          <w:rStyle w:val="FootnoteReference"/>
        </w:rPr>
        <w:footnoteReference w:id="89"/>
      </w:r>
    </w:p>
    <w:p>
      <w:pPr>
        <w:pStyle w:val="Heading2"/>
        <w:spacing w:after="120" w:before="240"/>
      </w:pPr>
      <w:r>
        <w:rPr>
          <w:rFonts w:ascii="Arial" w:cs="Arial" w:eastAsia="Arial" w:hAnsi="Arial"/>
        </w:rPr>
        <w:t xml:space="preserve">3.7 Problem Coins, Plus Grades, and Strike Designations</w:t>
      </w:r>
    </w:p>
    <w:p>
      <w:pPr>
        <w:spacing w:after="160" w:line="276"/>
        <w:jc w:val="both"/>
      </w:pPr>
      <w:r>
        <w:rPr>
          <w:rFonts w:ascii="Georgia" w:cs="Georgia" w:eastAsia="Georgia" w:hAnsi="Georgia"/>
          <w:sz w:val="22"/>
          <w:szCs w:val="22"/>
        </w:rPr>
        <w:t xml:space="preserve">The single numeric grade conceals three further layers of information that frequently matter more to price than the number itself. The first is the distinction between a problem-free coin and one encapsulated with a </w:t>
      </w:r>
      <w:r>
        <w:rPr>
          <w:rFonts w:ascii="Georgia" w:cs="Georgia" w:eastAsia="Georgia" w:hAnsi="Georgia"/>
          <w:b/>
          <w:bCs/>
          <w:sz w:val="22"/>
          <w:szCs w:val="22"/>
        </w:rPr>
        <w:t xml:space="preserve">Details</w:t>
      </w:r>
      <w:r>
        <w:rPr>
          <w:rFonts w:ascii="Georgia" w:cs="Georgia" w:eastAsia="Georgia" w:hAnsi="Georgia"/>
          <w:sz w:val="22"/>
          <w:szCs w:val="22"/>
        </w:rPr>
        <w:t xml:space="preserve"> qualifier. A coin that has been harshly cleaned, scratched, tooled, repaired, artificially toned, exposed to corrosive environments, or contaminated by PVC residue will be graded for detail but flagged—“AU Details, Cleaned,” for instance—and will trade at a discount of roughly thirty to seventy percent against a problem-free example of comparable detail.</w:t>
      </w:r>
      <w:r>
        <w:rPr>
          <w:rStyle w:val="FootnoteReference"/>
        </w:rPr>
        <w:footnoteReference w:id="30"/>
      </w:r>
      <w:r>
        <w:rPr>
          <w:rFonts w:ascii="Georgia" w:cs="Georgia" w:eastAsia="Georgia" w:hAnsi="Georgia"/>
          <w:sz w:val="22"/>
          <w:szCs w:val="22"/>
          <w:vertAlign w:val="superscript"/>
        </w:rPr>
        <w:t xml:space="preserve">,</w:t>
      </w:r>
      <w:r>
        <w:rPr>
          <w:rStyle w:val="FootnoteReference"/>
        </w:rPr>
        <w:footnoteReference w:id="33"/>
      </w:r>
      <w:r>
        <w:rPr>
          <w:rFonts w:ascii="Georgia" w:cs="Georgia" w:eastAsia="Georgia" w:hAnsi="Georgia"/>
          <w:sz w:val="22"/>
          <w:szCs w:val="22"/>
        </w:rPr>
        <w:t xml:space="preserve"> The discount is not arbitrary punctiliousness: a cleaned surface cannot be uncleaned, and the market prices originality at a premium because it is irreplaceable. The novice’s most common and costly error is to clean a coin in the belief that brightness adds value, when it permanently subtracts it.</w:t>
      </w:r>
    </w:p>
    <w:p>
      <w:pPr>
        <w:spacing w:after="160" w:line="276"/>
        <w:jc w:val="both"/>
      </w:pPr>
      <w:r>
        <w:rPr>
          <w:rFonts w:ascii="Georgia" w:cs="Georgia" w:eastAsia="Georgia" w:hAnsi="Georgia"/>
          <w:sz w:val="22"/>
          <w:szCs w:val="22"/>
        </w:rPr>
        <w:t xml:space="preserve">The second layer is the </w:t>
      </w:r>
      <w:r>
        <w:rPr>
          <w:rFonts w:ascii="Georgia" w:cs="Georgia" w:eastAsia="Georgia" w:hAnsi="Georgia"/>
          <w:b/>
          <w:bCs/>
          <w:sz w:val="22"/>
          <w:szCs w:val="22"/>
        </w:rPr>
        <w:t xml:space="preserve">plus grade</w:t>
      </w:r>
      <w:r>
        <w:rPr>
          <w:rFonts w:ascii="Georgia" w:cs="Georgia" w:eastAsia="Georgia" w:hAnsi="Georgia"/>
          <w:sz w:val="22"/>
          <w:szCs w:val="22"/>
        </w:rPr>
        <w:t xml:space="preserve">. Since 2010 both PCGS and NGC have appended a plus sign to coins standing at the high end of their assigned grade—an MS64+ is a coin the graders judged to fall just short of MS65—and the price increment can be substantial, often approaching half the distance to the next full grade. NGC additionally awards a star (★) for exceptional eye appeal independent of technical grade, and the two markers can combine. The third layer is the family of </w:t>
      </w:r>
      <w:r>
        <w:rPr>
          <w:rFonts w:ascii="Georgia" w:cs="Georgia" w:eastAsia="Georgia" w:hAnsi="Georgia"/>
          <w:b/>
          <w:bCs/>
          <w:sz w:val="22"/>
          <w:szCs w:val="22"/>
        </w:rPr>
        <w:t xml:space="preserve">strike designations</w:t>
      </w:r>
      <w:r>
        <w:rPr>
          <w:rFonts w:ascii="Georgia" w:cs="Georgia" w:eastAsia="Georgia" w:hAnsi="Georgia"/>
          <w:sz w:val="22"/>
          <w:szCs w:val="22"/>
        </w:rPr>
        <w:t xml:space="preserve"> that certify full detail on a series’ hardest-to-strike feature: Full Bands (FB) on the Mercury dime, Full Torch (FT) on the Roosevelt dime, Full Bell Lines (FBL) on the Franklin half, Full Head (FH) on the Standing Liberty quarter, Full Steps (FS) on the Jefferson nickel, and Deep Mirror Prooflike (DMPL) or Prooflike (PL) on Morgan dollars. These designations can multiply value: a common-date coin that is ordinary without the designation may command a multiple of its base price with it, because the population meeting the standard is a small fraction of the whole. Color on copper—Red, Red-Brown, Brown—operates as a fourth such modifier, already noted in Section 3.1.</w:t>
      </w:r>
    </w:p>
    <w:p>
      <w:pPr>
        <w:pStyle w:val="Heading2"/>
        <w:spacing w:after="120" w:before="240"/>
      </w:pPr>
      <w:r>
        <w:rPr>
          <w:rFonts w:ascii="Arial" w:cs="Arial" w:eastAsia="Arial" w:hAnsi="Arial"/>
        </w:rPr>
        <w:t xml:space="preserve">3.8 Population Reports and the Logic of Condition Rarity</w:t>
      </w:r>
    </w:p>
    <w:p>
      <w:pPr>
        <w:spacing w:after="160" w:line="276"/>
        <w:jc w:val="both"/>
      </w:pPr>
      <w:r>
        <w:rPr>
          <w:rFonts w:ascii="Georgia" w:cs="Georgia" w:eastAsia="Georgia" w:hAnsi="Georgia"/>
          <w:sz w:val="22"/>
          <w:szCs w:val="22"/>
        </w:rPr>
        <w:t xml:space="preserve">Both leading graders publish running tallies of every coin they have certified at each grade level—the PCGS Population Report and the NGC Census—and these documents are the closest thing the hobby has to a supply ledger.</w:t>
      </w:r>
      <w:r>
        <w:rPr>
          <w:rStyle w:val="FootnoteReference"/>
        </w:rPr>
        <w:footnoteReference w:id="30"/>
      </w:r>
      <w:r>
        <w:rPr>
          <w:rFonts w:ascii="Georgia" w:cs="Georgia" w:eastAsia="Georgia" w:hAnsi="Georgia"/>
          <w:sz w:val="22"/>
          <w:szCs w:val="22"/>
          <w:vertAlign w:val="superscript"/>
        </w:rPr>
        <w:t xml:space="preserve">,</w:t>
      </w:r>
      <w:r>
        <w:rPr>
          <w:rStyle w:val="FootnoteReference"/>
        </w:rPr>
        <w:footnoteReference w:id="33"/>
      </w:r>
      <w:r>
        <w:rPr>
          <w:rFonts w:ascii="Georgia" w:cs="Georgia" w:eastAsia="Georgia" w:hAnsi="Georgia"/>
          <w:sz w:val="22"/>
          <w:szCs w:val="22"/>
        </w:rPr>
        <w:t xml:space="preserve"> Their central analytical use is to separate two different kinds of scarcity that the untrained buyer conflates. </w:t>
      </w:r>
      <w:r>
        <w:rPr>
          <w:rFonts w:ascii="Georgia" w:cs="Georgia" w:eastAsia="Georgia" w:hAnsi="Georgia"/>
          <w:b/>
          <w:bCs/>
          <w:sz w:val="22"/>
          <w:szCs w:val="22"/>
        </w:rPr>
        <w:t xml:space="preserve">Absolute rarity</w:t>
      </w:r>
      <w:r>
        <w:rPr>
          <w:rFonts w:ascii="Georgia" w:cs="Georgia" w:eastAsia="Georgia" w:hAnsi="Georgia"/>
          <w:sz w:val="22"/>
          <w:szCs w:val="22"/>
        </w:rPr>
        <w:t xml:space="preserve"> describes a coin of which few were ever made or survive in any condition, such as the 1909-S VDB cent or an 1889-CC Morgan dollar. </w:t>
      </w:r>
      <w:r>
        <w:rPr>
          <w:rFonts w:ascii="Georgia" w:cs="Georgia" w:eastAsia="Georgia" w:hAnsi="Georgia"/>
          <w:b/>
          <w:bCs/>
          <w:sz w:val="22"/>
          <w:szCs w:val="22"/>
        </w:rPr>
        <w:t xml:space="preserve">Condition rarity</w:t>
      </w:r>
      <w:r>
        <w:rPr>
          <w:rFonts w:ascii="Georgia" w:cs="Georgia" w:eastAsia="Georgia" w:hAnsi="Georgia"/>
          <w:sz w:val="22"/>
          <w:szCs w:val="22"/>
        </w:rPr>
        <w:t xml:space="preserve"> describes a coin abundant in circulated grades but genuinely scarce at the top of the scale—many twentieth-century issues are common in Fine yet rare in gem Mint State, and it is the population report, not the mintage figure, that reveals this. A coin sitting at the highest grade the graders have awarded, with none finer, is a “top-pop” coin and commands a premium driven by registry-set competition (discussed below).</w:t>
      </w:r>
    </w:p>
    <w:p>
      <w:pPr>
        <w:spacing w:after="160" w:line="276"/>
        <w:jc w:val="both"/>
      </w:pPr>
      <w:r>
        <w:rPr>
          <w:rFonts w:ascii="Georgia" w:cs="Georgia" w:eastAsia="Georgia" w:hAnsi="Georgia"/>
          <w:sz w:val="22"/>
          <w:szCs w:val="22"/>
        </w:rPr>
        <w:t xml:space="preserve">The reports must nonetheless be read with two structural cautions. First, they count grading </w:t>
      </w:r>
      <w:r>
        <w:rPr>
          <w:rFonts w:ascii="Georgia" w:cs="Georgia" w:eastAsia="Georgia" w:hAnsi="Georgia"/>
          <w:i/>
          <w:iCs/>
          <w:sz w:val="22"/>
          <w:szCs w:val="22"/>
        </w:rPr>
        <w:t xml:space="preserve">events</w:t>
      </w:r>
      <w:r>
        <w:rPr>
          <w:rFonts w:ascii="Georgia" w:cs="Georgia" w:eastAsia="Georgia" w:hAnsi="Georgia"/>
          <w:sz w:val="22"/>
          <w:szCs w:val="22"/>
        </w:rPr>
        <w:t xml:space="preserve"> rather than unique coins, and a single coin cracked out and resubmitted several times in pursuit of a higher grade inflates the count at multiple levels—so reported populations overstate true survivorship, sometimes considerably. Second, grading standards have arguably loosened over decades, a phenomenon collectors call </w:t>
      </w:r>
      <w:r>
        <w:rPr>
          <w:rFonts w:ascii="Georgia" w:cs="Georgia" w:eastAsia="Georgia" w:hAnsi="Georgia"/>
          <w:b/>
          <w:bCs/>
          <w:sz w:val="22"/>
          <w:szCs w:val="22"/>
        </w:rPr>
        <w:t xml:space="preserve">gradeflation</w:t>
      </w:r>
      <w:r>
        <w:rPr>
          <w:rFonts w:ascii="Georgia" w:cs="Georgia" w:eastAsia="Georgia" w:hAnsi="Georgia"/>
          <w:sz w:val="22"/>
          <w:szCs w:val="22"/>
        </w:rPr>
        <w:t xml:space="preserve">, so a coin graded MS65 in 1990 is not always the equal of one graded MS65 today. The sophisticated buyer therefore treats population figures as an upper bound on supply and pairs them with CAC verification, which functions in part as a market correction for grade drift.</w:t>
      </w:r>
    </w:p>
    <w:p>
      <w:pPr>
        <w:pStyle w:val="Heading2"/>
        <w:spacing w:after="120" w:before="240"/>
      </w:pPr>
      <w:r>
        <w:rPr>
          <w:rFonts w:ascii="Arial" w:cs="Arial" w:eastAsia="Arial" w:hAnsi="Arial"/>
        </w:rPr>
        <w:t xml:space="preserve">3.9 Crossover, Crackout, and the Registry Effect</w:t>
      </w:r>
    </w:p>
    <w:p>
      <w:pPr>
        <w:spacing w:after="160" w:line="276"/>
        <w:jc w:val="both"/>
      </w:pPr>
      <w:r>
        <w:rPr>
          <w:rFonts w:ascii="Georgia" w:cs="Georgia" w:eastAsia="Georgia" w:hAnsi="Georgia"/>
          <w:sz w:val="22"/>
          <w:szCs w:val="22"/>
        </w:rPr>
        <w:t xml:space="preserve">Three market behaviors follow directly from the existence of competing graders and an imperfectly consistent grading process. </w:t>
      </w:r>
      <w:r>
        <w:rPr>
          <w:rFonts w:ascii="Georgia" w:cs="Georgia" w:eastAsia="Georgia" w:hAnsi="Georgia"/>
          <w:b/>
          <w:bCs/>
          <w:sz w:val="22"/>
          <w:szCs w:val="22"/>
        </w:rPr>
        <w:t xml:space="preserve">Crackout</w:t>
      </w:r>
      <w:r>
        <w:rPr>
          <w:rFonts w:ascii="Georgia" w:cs="Georgia" w:eastAsia="Georgia" w:hAnsi="Georgia"/>
          <w:sz w:val="22"/>
          <w:szCs w:val="22"/>
        </w:rPr>
        <w:t xml:space="preserve"> is the practice of breaking a coin from its holder and resubmitting it in the hope of a higher grade—an arbitrage on grading inconsistency that can be lucrative when a coin is judged conservatively, but that exposes the coin to handling damage and to the equal possibility of a lower grade on return. </w:t>
      </w:r>
      <w:r>
        <w:rPr>
          <w:rFonts w:ascii="Georgia" w:cs="Georgia" w:eastAsia="Georgia" w:hAnsi="Georgia"/>
          <w:b/>
          <w:bCs/>
          <w:sz w:val="22"/>
          <w:szCs w:val="22"/>
        </w:rPr>
        <w:t xml:space="preserve">Crossover</w:t>
      </w:r>
      <w:r>
        <w:rPr>
          <w:rFonts w:ascii="Georgia" w:cs="Georgia" w:eastAsia="Georgia" w:hAnsi="Georgia"/>
          <w:sz w:val="22"/>
          <w:szCs w:val="22"/>
        </w:rPr>
        <w:t xml:space="preserve"> is the submission of a coin already certified by one service to another, most commonly from NGC to PCGS, undertaken because PCGS-graded coins of many series command higher prices in the market and assemble into the more heavily populated registry sets; the submitter can require that the coin grade at least equivalently or be returned untouched in its original holder.</w:t>
      </w:r>
    </w:p>
    <w:p>
      <w:pPr>
        <w:spacing w:after="160" w:line="276"/>
        <w:jc w:val="both"/>
      </w:pPr>
      <w:r>
        <w:rPr>
          <w:rFonts w:ascii="Georgia" w:cs="Georgia" w:eastAsia="Georgia" w:hAnsi="Georgia"/>
          <w:sz w:val="22"/>
          <w:szCs w:val="22"/>
        </w:rPr>
        <w:t xml:space="preserve">Both behaviors are organized around the </w:t>
      </w:r>
      <w:r>
        <w:rPr>
          <w:rFonts w:ascii="Georgia" w:cs="Georgia" w:eastAsia="Georgia" w:hAnsi="Georgia"/>
          <w:b/>
          <w:bCs/>
          <w:sz w:val="22"/>
          <w:szCs w:val="22"/>
        </w:rPr>
        <w:t xml:space="preserve">registry set</w:t>
      </w:r>
      <w:r>
        <w:rPr>
          <w:rFonts w:ascii="Georgia" w:cs="Georgia" w:eastAsia="Georgia" w:hAnsi="Georgia"/>
          <w:sz w:val="22"/>
          <w:szCs w:val="22"/>
        </w:rPr>
        <w:t xml:space="preserve">. PCGS and NGC each operate online registries in which collectors assemble and rank competing sets by the certified grades of their constituent coins, and the resulting competition for finest-known examples generates real and sometimes extreme premiums for the single best coin of a given date—premiums that can evaporate if a finer example surfaces or if the registry hobby itself cools. The reader should understand these dynamics not in order to participate in them, which is a specialist’s game, but to recognize when a price is being driven by registry competition rather than by intrinsic rarity, and to price that distinction into any purchase.</w:t>
      </w:r>
      <w:r>
        <w:rPr>
          <w:rStyle w:val="FootnoteReference"/>
        </w:rPr>
        <w:footnoteReference w:id="30"/>
      </w:r>
      <w:r>
        <w:rPr>
          <w:rFonts w:ascii="Georgia" w:cs="Georgia" w:eastAsia="Georgia" w:hAnsi="Georgia"/>
          <w:sz w:val="22"/>
          <w:szCs w:val="22"/>
          <w:vertAlign w:val="superscript"/>
        </w:rPr>
        <w:t xml:space="preserve">,</w:t>
      </w:r>
      <w:r>
        <w:rPr>
          <w:rStyle w:val="FootnoteReference"/>
        </w:rPr>
        <w:footnoteReference w:id="96"/>
      </w:r>
    </w:p>
    <w:p>
      <w:pPr>
        <w:pStyle w:val="Heading1"/>
        <w:spacing w:after="160" w:before="320"/>
      </w:pPr>
      <w:r>
        <w:rPr>
          <w:rFonts w:ascii="Arial" w:cs="Arial" w:eastAsia="Arial" w:hAnsi="Arial"/>
        </w:rPr>
        <w:t xml:space="preserve">4. Coins as an Alternative Asset: The Return Evidence</w:t>
      </w:r>
    </w:p>
    <w:p>
      <w:pPr>
        <w:pStyle w:val="Heading2"/>
        <w:spacing w:after="120" w:before="240"/>
      </w:pPr>
      <w:r>
        <w:rPr>
          <w:rFonts w:ascii="Arial" w:cs="Arial" w:eastAsia="Arial" w:hAnsi="Arial"/>
        </w:rPr>
        <w:t xml:space="preserve">4.1 The Bullish Case: The Lombra Study</w:t>
      </w:r>
    </w:p>
    <w:p>
      <w:pPr>
        <w:spacing w:after="160" w:line="276"/>
        <w:jc w:val="both"/>
      </w:pPr>
      <w:r>
        <w:rPr>
          <w:rFonts w:ascii="Georgia" w:cs="Georgia" w:eastAsia="Georgia" w:hAnsi="Georgia"/>
          <w:sz w:val="22"/>
          <w:szCs w:val="22"/>
        </w:rPr>
        <w:t xml:space="preserve">The most frequently cited evidence for rare coins as an investment is a 2017 study by Raymond E. Lombra, a Pennsylvania State University economist, prepared for the dealer Blanchard and Company. Examining the period 1979–2016, Lombra reported the following compound annual returns: U.S. equities 12.6 percent, high-grade (MS65) rare coins 11.0 percent, MS63–65 gold-type coins 9.3 percent, long-term Treasury bonds 8.0 percent, and gold bullion 5.2 percent.</w:t>
      </w:r>
      <w:r>
        <w:rPr>
          <w:rStyle w:val="FootnoteReference"/>
        </w:rPr>
        <w:footnoteReference w:id="16"/>
      </w:r>
      <w:r>
        <w:rPr>
          <w:rFonts w:ascii="Georgia" w:cs="Georgia" w:eastAsia="Georgia" w:hAnsi="Georgia"/>
          <w:sz w:val="22"/>
          <w:szCs w:val="22"/>
        </w:rPr>
        <w:t xml:space="preserve"> On these figures, top-grade coins nearly matched stocks and comfortably beat bonds and bullion. Lombra further reported that coins exhibited the strongest correlation with inflation of any asset studied (about 0.59, against gold’s 0.28) and a low correlation with equities—properties that, taken at face value, would make high-grade coins an attractive portfolio diversifier and inflation hedge. A 2025 review in the Journal of Cultural Economics summarizes the same finding, noting the study’s “impressive average annual returns of 11 percent, outperforming… treasury bonds, gold, and other types of coins.”</w:t>
      </w:r>
      <w:r>
        <w:rPr>
          <w:rStyle w:val="FootnoteReference"/>
        </w:rPr>
        <w:footnoteReference w:id="19"/>
      </w:r>
    </w:p>
    <w:p>
      <w:pPr>
        <w:spacing w:after="160" w:line="276"/>
        <w:jc w:val="both"/>
      </w:pPr>
      <w:r>
        <w:rPr>
          <w:rFonts w:ascii="Georgia" w:cs="Georgia" w:eastAsia="Georgia" w:hAnsi="Georgia"/>
          <w:sz w:val="22"/>
          <w:szCs w:val="22"/>
        </w:rPr>
        <w:t xml:space="preserve">Two caveats must travel with these numbers. First, the study was commissioned by a coin dealer, a fact that does not invalidate it but does counsel scrutiny. Second, and more important, the headline returns are gross of transaction costs. Lombra also reported that coins were the </w:t>
      </w:r>
      <w:r>
        <w:rPr>
          <w:rFonts w:ascii="Georgia" w:cs="Georgia" w:eastAsia="Georgia" w:hAnsi="Georgia"/>
          <w:i/>
          <w:iCs/>
          <w:sz w:val="22"/>
          <w:szCs w:val="22"/>
        </w:rPr>
        <w:t xml:space="preserve">most volatile</w:t>
      </w:r>
      <w:r>
        <w:rPr>
          <w:rFonts w:ascii="Georgia" w:cs="Georgia" w:eastAsia="Georgia" w:hAnsi="Georgia"/>
          <w:sz w:val="22"/>
          <w:szCs w:val="22"/>
        </w:rPr>
        <w:t xml:space="preserve"> asset in the comparison—a standard deviation of roughly 20.0 for MS65 coins against 12.3 for equities, with a worst single year of about −40.6 percent.</w:t>
      </w:r>
      <w:r>
        <w:rPr>
          <w:rStyle w:val="FootnoteReference"/>
        </w:rPr>
        <w:footnoteReference w:id="16"/>
      </w:r>
      <w:r>
        <w:rPr>
          <w:rFonts w:ascii="Georgia" w:cs="Georgia" w:eastAsia="Georgia" w:hAnsi="Georgia"/>
          <w:sz w:val="22"/>
          <w:szCs w:val="22"/>
        </w:rPr>
        <w:t xml:space="preserve"> High average returns purchased with that much volatility, and eroded by the spreads documented below, look considerably less impressive on a net, risk-adjusted basis.</w:t>
      </w:r>
    </w:p>
    <w:p>
      <w:pPr>
        <w:pStyle w:val="Heading2"/>
        <w:spacing w:after="120" w:before="240"/>
      </w:pPr>
      <w:r>
        <w:rPr>
          <w:rFonts w:ascii="Arial" w:cs="Arial" w:eastAsia="Arial" w:hAnsi="Arial"/>
        </w:rPr>
        <w:t xml:space="preserve">4.2 The Independent and Sobering Evidence</w:t>
      </w:r>
    </w:p>
    <w:p>
      <w:pPr>
        <w:spacing w:after="160" w:line="276"/>
        <w:jc w:val="both"/>
      </w:pPr>
      <w:r>
        <w:rPr>
          <w:rFonts w:ascii="Georgia" w:cs="Georgia" w:eastAsia="Georgia" w:hAnsi="Georgia"/>
          <w:sz w:val="22"/>
          <w:szCs w:val="22"/>
        </w:rPr>
        <w:t xml:space="preserve">Independent academic work paints a more restrained picture. Elroy Dimson and Christophe Spaenjers, in their influential analysis of “emotional assets,” find that collectibles such as stamps, art, and instruments have historically beaten bonds, bills, and gold over the very long run but have underperformed equities, with returns that look better than they are because published indices understate volatility and ignore the high costs of transacting.</w:t>
      </w:r>
      <w:r>
        <w:rPr>
          <w:rStyle w:val="FootnoteReference"/>
        </w:rPr>
        <w:footnoteReference w:id="17"/>
      </w:r>
      <w:r>
        <w:rPr>
          <w:rFonts w:ascii="Georgia" w:cs="Georgia" w:eastAsia="Georgia" w:hAnsi="Georgia"/>
          <w:sz w:val="22"/>
          <w:szCs w:val="22"/>
        </w:rPr>
        <w:t xml:space="preserve"> British collectible stamps, for instance, returned about 2.8 percent per year in real terms over 1900–2012, and fine violins about 2.5 percent.</w:t>
      </w:r>
      <w:r>
        <w:rPr>
          <w:rStyle w:val="FootnoteReference"/>
        </w:rPr>
        <w:footnoteReference w:id="17"/>
      </w:r>
      <w:r>
        <w:rPr>
          <w:rFonts w:ascii="Georgia" w:cs="Georgia" w:eastAsia="Georgia" w:hAnsi="Georgia"/>
          <w:sz w:val="22"/>
          <w:szCs w:val="22"/>
        </w:rPr>
        <w:t xml:space="preserve"> A 2026 extension of this research literature quantifies an “emotional yield”—the return collectors knowingly sacrifice for the pleasure of ownership—averaging roughly 2.64 percent per year across thirteen collectible classes.</w:t>
      </w:r>
      <w:r>
        <w:rPr>
          <w:rStyle w:val="FootnoteReference"/>
        </w:rPr>
        <w:footnoteReference w:id="18"/>
      </w:r>
    </w:p>
    <w:p>
      <w:pPr>
        <w:spacing w:after="160" w:line="276"/>
        <w:jc w:val="both"/>
      </w:pPr>
      <w:r>
        <w:rPr>
          <w:rFonts w:ascii="Georgia" w:cs="Georgia" w:eastAsia="Georgia" w:hAnsi="Georgia"/>
          <w:sz w:val="22"/>
          <w:szCs w:val="22"/>
        </w:rPr>
        <w:t xml:space="preserve">The most directly relevant numbers come from the coin market’s own indices. The PCGS3000, which tracks a basket of 3,000 coins from a base of $1,000 on January 1, 1970, had reached roughly $71,705 by early 2023—a headline gain of about 7,000 percent over fifty-three years.</w:t>
      </w:r>
      <w:r>
        <w:rPr>
          <w:rStyle w:val="FootnoteReference"/>
        </w:rPr>
        <w:footnoteReference w:id="23"/>
      </w:r>
      <w:r>
        <w:rPr>
          <w:rFonts w:ascii="Georgia" w:cs="Georgia" w:eastAsia="Georgia" w:hAnsi="Georgia"/>
          <w:sz w:val="22"/>
          <w:szCs w:val="22"/>
        </w:rPr>
        <w:t xml:space="preserve"> But that figure is dominated by the inflationary surges of the late 1970s and 1980s. A more honest window—January 2000 to January 2025—shows the PCGS3000 rising from about $55,430 to roughly $73,100, an annualized appreciation of only about 1.11 percent, while the narrower PCGS Key Dates and Rarities Index annualized about 4.81 percent over the same span.</w:t>
      </w:r>
      <w:r>
        <w:rPr>
          <w:rStyle w:val="FootnoteReference"/>
        </w:rPr>
        <w:footnoteReference w:id="24"/>
      </w:r>
      <w:r>
        <w:rPr>
          <w:rFonts w:ascii="Georgia" w:cs="Georgia" w:eastAsia="Georgia" w:hAnsi="Georgia"/>
          <w:sz w:val="22"/>
          <w:szCs w:val="22"/>
          <w:vertAlign w:val="superscript"/>
        </w:rPr>
        <w:t xml:space="preserve">,</w:t>
      </w:r>
      <w:r>
        <w:rPr>
          <w:rStyle w:val="FootnoteReference"/>
        </w:rPr>
        <w:footnoteReference w:id="25"/>
      </w:r>
      <w:r>
        <w:rPr>
          <w:rFonts w:ascii="Georgia" w:cs="Georgia" w:eastAsia="Georgia" w:hAnsi="Georgia"/>
          <w:sz w:val="22"/>
          <w:szCs w:val="22"/>
        </w:rPr>
        <w:t xml:space="preserve"> The interpretation is the crux of this paper’s argument: </w:t>
      </w:r>
      <w:r>
        <w:rPr>
          <w:rFonts w:ascii="Georgia" w:cs="Georgia" w:eastAsia="Georgia" w:hAnsi="Georgia"/>
          <w:b/>
          <w:bCs/>
          <w:sz w:val="22"/>
          <w:szCs w:val="22"/>
        </w:rPr>
        <w:t xml:space="preserve">generic, broadly representative coins have, over the last quarter-century, tracked little better than the metal they contain, while only curated key dates and rarities kept pace with—or modestly exceeded—high-grade bonds.</w:t>
      </w:r>
    </w:p>
    <w:p>
      <w:pPr>
        <w:pStyle w:val="Heading2"/>
        <w:spacing w:after="120" w:before="240"/>
      </w:pPr>
      <w:r>
        <w:rPr>
          <w:rFonts w:ascii="Arial" w:cs="Arial" w:eastAsia="Arial" w:hAnsi="Arial"/>
        </w:rPr>
        <w:t xml:space="preserve">4.3 The Decisive Factor: Transaction Costs and Liquidity</w:t>
      </w:r>
    </w:p>
    <w:p>
      <w:pPr>
        <w:spacing w:after="160" w:line="276"/>
        <w:jc w:val="both"/>
      </w:pPr>
      <w:r>
        <w:rPr>
          <w:rFonts w:ascii="Georgia" w:cs="Georgia" w:eastAsia="Georgia" w:hAnsi="Georgia"/>
          <w:sz w:val="22"/>
          <w:szCs w:val="22"/>
        </w:rPr>
        <w:t xml:space="preserve">What separates coins from financial securities is friction. Dealer buy/sell spreads on coins commonly run from 10 to 40 percent of the retail price; a coin bought at retail and sold the next day to a dealer can lose a quarter or more of its value instantly. Auction sales carry buyer’s premiums of 20 to 22 percent (Section 6) and seller’s commissions of their own. Layered atop these are the recurring costs of grading, storage, and insurance, and the simple fact of illiquidity—a coin may take weeks or months to sell at a fair price. After these costs, </w:t>
      </w:r>
      <w:r>
        <w:rPr>
          <w:rFonts w:ascii="Georgia" w:cs="Georgia" w:eastAsia="Georgia" w:hAnsi="Georgia"/>
          <w:b/>
          <w:bCs/>
          <w:sz w:val="22"/>
          <w:szCs w:val="22"/>
        </w:rPr>
        <w:t xml:space="preserve">common modern coins reliably deliver poor or negative real returns</w:t>
      </w:r>
      <w:r>
        <w:rPr>
          <w:rFonts w:ascii="Georgia" w:cs="Georgia" w:eastAsia="Georgia" w:hAnsi="Georgia"/>
          <w:sz w:val="22"/>
          <w:szCs w:val="22"/>
        </w:rPr>
        <w:t xml:space="preserve">, a conclusion entirely consistent with the 1.11 percent generic-index figure above. The segments that have historically rewarded investors are the same ones the rest of this paper emphasizes: low-mintage key dates, condition-rarity high-grade coins, pre-1933 gold, and finest-known registry pieces—precisely because their scarcity is real and their markets, though thin, are genuinely competitive.</w:t>
      </w:r>
      <w:r>
        <w:rPr>
          <w:rStyle w:val="FootnoteReference"/>
        </w:rPr>
        <w:footnoteReference w:id="26"/>
      </w:r>
      <w:r>
        <w:rPr>
          <w:rFonts w:ascii="Georgia" w:cs="Georgia" w:eastAsia="Georgia" w:hAnsi="Georgia"/>
          <w:sz w:val="22"/>
          <w:szCs w:val="22"/>
          <w:vertAlign w:val="superscript"/>
        </w:rPr>
        <w:t xml:space="preserve">,</w:t>
      </w:r>
      <w:r>
        <w:rPr>
          <w:rStyle w:val="FootnoteReference"/>
        </w:rPr>
        <w:footnoteReference w:id="27"/>
      </w:r>
    </w:p>
    <w:p>
      <w:pPr>
        <w:spacing w:after="160" w:line="276"/>
        <w:jc w:val="both"/>
      </w:pPr>
      <w:r>
        <w:rPr>
          <w:rFonts w:ascii="Georgia" w:cs="Georgia" w:eastAsia="Georgia" w:hAnsi="Georgia"/>
          <w:sz w:val="22"/>
          <w:szCs w:val="22"/>
        </w:rPr>
        <w:t xml:space="preserve">The reader should therefore treat coins as, at best, a satellite holding within a diversified portfolio—one justified by genuine diversification and inflation-hedging properties at the high-quality end, and by personal enjoyment throughout, but never as a liquid core. Claims encountered online that “rare coin values rose 175 percent over ten years” or compound “20 percent per year” are marketing artifacts, frequently built on the full inflationary-era index run rather than recent decades, and should be treated as unverified.</w:t>
      </w:r>
      <w:r>
        <w:rPr>
          <w:rStyle w:val="FootnoteReference"/>
        </w:rPr>
        <w:footnoteReference w:id="28"/>
      </w:r>
      <w:r>
        <w:rPr>
          <w:rFonts w:ascii="Georgia" w:cs="Georgia" w:eastAsia="Georgia" w:hAnsi="Georgia"/>
          <w:sz w:val="22"/>
          <w:szCs w:val="22"/>
          <w:vertAlign w:val="superscript"/>
        </w:rPr>
        <w:t xml:space="preserve">,</w:t>
      </w:r>
      <w:r>
        <w:rPr>
          <w:rStyle w:val="FootnoteReference"/>
        </w:rPr>
        <w:footnoteReference w:id="29"/>
      </w:r>
    </w:p>
    <w:p>
      <w:pPr>
        <w:pStyle w:val="Heading2"/>
        <w:spacing w:after="120" w:before="240"/>
      </w:pPr>
      <w:r>
        <w:rPr>
          <w:rFonts w:ascii="Arial" w:cs="Arial" w:eastAsia="Arial" w:hAnsi="Arial"/>
        </w:rPr>
        <w:t xml:space="preserve">4.4 The Scholarly Evidence: Emotional Assets and Hedonic Pricing</w:t>
      </w:r>
    </w:p>
    <w:p>
      <w:pPr>
        <w:spacing w:after="160" w:line="276"/>
        <w:jc w:val="both"/>
      </w:pPr>
      <w:r>
        <w:rPr>
          <w:rFonts w:ascii="Georgia" w:cs="Georgia" w:eastAsia="Georgia" w:hAnsi="Georgia"/>
          <w:sz w:val="22"/>
          <w:szCs w:val="22"/>
        </w:rPr>
        <w:t xml:space="preserve">Beyond the industry indices, a body of peer-reviewed scholarship situates coins within the broader class of what economists term “emotional” or “passion” assets—collectibles whose return is partly pecuniary and partly the consumption value of ownership. The most influential work is that of Dimson and Spaenjers, whose long-run study of collectible categories found that such assets have historically delivered real returns positive but below those of equities, with substantial volatility and meaningful holding costs that erode the headline figures.</w:t>
      </w:r>
      <w:r>
        <w:rPr>
          <w:rStyle w:val="FootnoteReference"/>
        </w:rPr>
        <w:footnoteReference w:id="17"/>
      </w:r>
      <w:r>
        <w:rPr>
          <w:rFonts w:ascii="Georgia" w:cs="Georgia" w:eastAsia="Georgia" w:hAnsi="Georgia"/>
          <w:sz w:val="22"/>
          <w:szCs w:val="22"/>
        </w:rPr>
        <w:t xml:space="preserve"> Their framing is useful precisely because it quantifies the intuition this paper has pressed throughout: a portion of a collectible’s return is consumed as enjoyment rather than realized as cash, an “emotional dividend” that justifies ownership for the collector while warning the pure investor not to expect equity-like wealth accumulation.</w:t>
      </w:r>
      <w:r>
        <w:rPr>
          <w:rStyle w:val="FootnoteReference"/>
        </w:rPr>
        <w:footnoteReference w:id="18"/>
      </w:r>
    </w:p>
    <w:p>
      <w:pPr>
        <w:spacing w:after="160" w:line="276"/>
        <w:jc w:val="both"/>
      </w:pPr>
      <w:r>
        <w:rPr>
          <w:rFonts w:ascii="Georgia" w:cs="Georgia" w:eastAsia="Georgia" w:hAnsi="Georgia"/>
          <w:sz w:val="22"/>
          <w:szCs w:val="22"/>
        </w:rPr>
        <w:t xml:space="preserve">A parallel literature applies hedonic regression—the same technique used to decompose house prices into their constituent features—to coin values, isolating the marginal contribution of grade, mint mark, eye appeal, and conservation. Studies in this tradition, from the early work of Dickie, Delorme, and Humphreys through Koford and Tschoegl’s analysis of the market value of rarity and more recent machine-learning treatments, consistently find that a small number of attributes—above all certified grade and date-mintmark scarcity—explain the overwhelming share of price variation.</w:t>
      </w:r>
      <w:r>
        <w:rPr>
          <w:rStyle w:val="FootnoteReference"/>
        </w:rPr>
        <w:footnoteReference w:id="20"/>
      </w:r>
      <w:r>
        <w:rPr>
          <w:rFonts w:ascii="Georgia" w:cs="Georgia" w:eastAsia="Georgia" w:hAnsi="Georgia"/>
          <w:sz w:val="22"/>
          <w:szCs w:val="22"/>
          <w:vertAlign w:val="superscript"/>
        </w:rPr>
        <w:t xml:space="preserve">,</w:t>
      </w:r>
      <w:r>
        <w:rPr>
          <w:rStyle w:val="FootnoteReference"/>
        </w:rPr>
        <w:footnoteReference w:id="21"/>
      </w:r>
      <w:r>
        <w:rPr>
          <w:rFonts w:ascii="Georgia" w:cs="Georgia" w:eastAsia="Georgia" w:hAnsi="Georgia"/>
          <w:sz w:val="22"/>
          <w:szCs w:val="22"/>
          <w:vertAlign w:val="superscript"/>
        </w:rPr>
        <w:t xml:space="preserve">,</w:t>
      </w:r>
      <w:r>
        <w:rPr>
          <w:rStyle w:val="FootnoteReference"/>
        </w:rPr>
        <w:footnoteReference w:id="19"/>
      </w:r>
      <w:r>
        <w:rPr>
          <w:rFonts w:ascii="Georgia" w:cs="Georgia" w:eastAsia="Georgia" w:hAnsi="Georgia"/>
          <w:sz w:val="22"/>
          <w:szCs w:val="22"/>
        </w:rPr>
        <w:t xml:space="preserve"> The scholarly consensus, in other words, converges on the practitioner’s rule: the coins that reward owners financially are the scarce, high-grade, properly authenticated ones, while the broad mass of collectible coinage returns chiefly enjoyment. This agreement between academic and market evidence is the firmest empirical footing on which the reader’s acquisition strategy can rest.</w:t>
      </w:r>
      <w:r>
        <w:rPr>
          <w:rStyle w:val="FootnoteReference"/>
        </w:rPr>
        <w:footnoteReference w:id="22"/>
      </w:r>
    </w:p>
    <w:p>
      <w:pPr>
        <w:pStyle w:val="Heading1"/>
        <w:spacing w:after="160" w:before="320"/>
      </w:pPr>
      <w:r>
        <w:rPr>
          <w:rFonts w:ascii="Arial" w:cs="Arial" w:eastAsia="Arial" w:hAnsi="Arial"/>
        </w:rPr>
        <w:t xml:space="preserve">5. A Survey of U.S. and World Coinage by Series</w:t>
      </w:r>
    </w:p>
    <w:p>
      <w:pPr>
        <w:spacing w:after="160" w:line="276"/>
        <w:jc w:val="both"/>
      </w:pPr>
      <w:r>
        <w:rPr>
          <w:rFonts w:ascii="Georgia" w:cs="Georgia" w:eastAsia="Georgia" w:hAnsi="Georgia"/>
          <w:sz w:val="22"/>
          <w:szCs w:val="22"/>
        </w:rPr>
        <w:t xml:space="preserve">This section surveys the principal collecting series, with attention to the key dates, errors, and condition rarities that concentrate value, and with the melt-value floor that anchors every silver and gold coin. Because that floor moves with metal prices, the relevant spot levels are stated first.</w:t>
      </w:r>
    </w:p>
    <w:p>
      <w:pPr>
        <w:pStyle w:val="Heading2"/>
        <w:spacing w:after="120" w:before="240"/>
      </w:pPr>
      <w:r>
        <w:rPr>
          <w:rFonts w:ascii="Arial" w:cs="Arial" w:eastAsia="Arial" w:hAnsi="Arial"/>
        </w:rPr>
        <w:t xml:space="preserve">5.1 The Metal Floor: Spot Prices and Melt Values</w:t>
      </w:r>
    </w:p>
    <w:p>
      <w:pPr>
        <w:spacing w:after="160" w:line="276"/>
        <w:jc w:val="both"/>
      </w:pPr>
      <w:r>
        <w:rPr>
          <w:rFonts w:ascii="Georgia" w:cs="Georgia" w:eastAsia="Georgia" w:hAnsi="Georgia"/>
          <w:sz w:val="22"/>
          <w:szCs w:val="22"/>
        </w:rPr>
        <w:t xml:space="preserve">As of June 19, 2026, precious-metal prices stand at historically extreme levels: gold at approximately $4,218.56 per ounce, silver at approximately $68.04 per ounce, and platinum at approximately $1,717.67 per ounce.</w:t>
      </w:r>
      <w:r>
        <w:rPr>
          <w:rStyle w:val="FootnoteReference"/>
        </w:rPr>
        <w:footnoteReference w:id="82"/>
      </w:r>
      <w:r>
        <w:rPr>
          <w:rFonts w:ascii="Georgia" w:cs="Georgia" w:eastAsia="Georgia" w:hAnsi="Georgia"/>
          <w:sz w:val="22"/>
          <w:szCs w:val="22"/>
          <w:vertAlign w:val="superscript"/>
        </w:rPr>
        <w:t xml:space="preserve">,</w:t>
      </w:r>
      <w:r>
        <w:rPr>
          <w:rStyle w:val="FootnoteReference"/>
        </w:rPr>
        <w:footnoteReference w:id="81"/>
      </w:r>
      <w:r>
        <w:rPr>
          <w:rFonts w:ascii="Georgia" w:cs="Georgia" w:eastAsia="Georgia" w:hAnsi="Georgia"/>
          <w:sz w:val="22"/>
          <w:szCs w:val="22"/>
        </w:rPr>
        <w:t xml:space="preserve"> These levels inflate the intrinsic value beneath every precious-metal coin and make “junk silver”—common-date 90 percent silver U.S. coinage with no numismatic premium—unusually valuable. The standard melt conversions follow.</w:t>
      </w:r>
    </w:p>
    <w:p>
      <w:pPr>
        <w:spacing w:after="60" w:before="160"/>
      </w:pPr>
      <w:r>
        <w:rPr>
          <w:rFonts w:ascii="Arial" w:cs="Arial" w:eastAsia="Arial" w:hAnsi="Arial"/>
          <w:b/>
          <w:bCs/>
          <w:i/>
          <w:iCs/>
          <w:sz w:val="18"/>
          <w:szCs w:val="18"/>
        </w:rPr>
        <w:t xml:space="preserve">Table 3. Silver content and melt values of common U.S. coins (spot as of June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400"/>
        <w:gridCol w:w="1860"/>
      </w:tblGrid>
      <w:tr>
        <w:trPr>
          <w:tblHeader/>
        </w:trP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Coin</w:t>
            </w:r>
          </w:p>
        </w:tc>
        <w:tc>
          <w:tcPr>
            <w:tcW w:type="dxa" w:w="21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Silver content (oz)</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Approx. melt @ $68.04/oz</w:t>
            </w:r>
          </w:p>
        </w:tc>
        <w:tc>
          <w:tcPr>
            <w:tcW w:type="dxa" w:w="18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Note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90% silver, per $1 face</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0.715</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~$48.65</w:t>
            </w:r>
          </w:p>
        </w:tc>
        <w:tc>
          <w:tcPr>
            <w:tcW w:type="dxa" w:w="1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Junk-silver benchmark</w:t>
            </w:r>
          </w:p>
        </w:tc>
      </w:tr>
      <w:tr>
        <w:tc>
          <w:tcPr>
            <w:tcW w:type="dxa" w:w="30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Morgan / Peace dollar (90%)</w:t>
            </w:r>
          </w:p>
        </w:tc>
        <w:tc>
          <w:tcPr>
            <w:tcW w:type="dxa" w:w="2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0.7734</w:t>
            </w:r>
          </w:p>
        </w:tc>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~$52.62</w:t>
            </w:r>
          </w:p>
        </w:tc>
        <w:tc>
          <w:tcPr>
            <w:tcW w:type="dxa" w:w="1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Pre-1936 / 1921–1935</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Quarter (90%, pre-1965)</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0.17875</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~$12.16</w:t>
            </w:r>
          </w:p>
        </w:tc>
        <w:tc>
          <w:tcPr>
            <w:tcW w:type="dxa" w:w="1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Washington / Standing Liberty / Barber</w:t>
            </w:r>
          </w:p>
        </w:tc>
      </w:tr>
      <w:tr>
        <w:tc>
          <w:tcPr>
            <w:tcW w:type="dxa" w:w="30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Dime (90%, pre-1965)</w:t>
            </w:r>
          </w:p>
        </w:tc>
        <w:tc>
          <w:tcPr>
            <w:tcW w:type="dxa" w:w="2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0.07234</w:t>
            </w:r>
          </w:p>
        </w:tc>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~$4.92</w:t>
            </w:r>
          </w:p>
        </w:tc>
        <w:tc>
          <w:tcPr>
            <w:tcW w:type="dxa" w:w="1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Roosevelt / Mercury / Barber</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War nickel (35%, 1942–45)</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0.05626</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~$3.83</w:t>
            </w:r>
          </w:p>
        </w:tc>
        <w:tc>
          <w:tcPr>
            <w:tcW w:type="dxa" w:w="18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Silver wartime composition</w:t>
            </w:r>
          </w:p>
        </w:tc>
      </w:tr>
      <w:tr>
        <w:tc>
          <w:tcPr>
            <w:tcW w:type="dxa" w:w="30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Kennedy half (40%, 1965–70)</w:t>
            </w:r>
          </w:p>
        </w:tc>
        <w:tc>
          <w:tcPr>
            <w:tcW w:type="dxa" w:w="2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0.1479</w:t>
            </w:r>
          </w:p>
        </w:tc>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~$10.06</w:t>
            </w:r>
          </w:p>
        </w:tc>
        <w:tc>
          <w:tcPr>
            <w:tcW w:type="dxa" w:w="18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Clad-silver composition</w:t>
            </w:r>
          </w:p>
        </w:tc>
      </w:tr>
    </w:tbl>
    <w:p>
      <w:pPr>
        <w:spacing w:after="200"/>
      </w:pPr>
      <w:r>
        <w:rPr>
          <w:rFonts w:ascii="Arial" w:cs="Arial" w:eastAsia="Arial" w:hAnsi="Arial"/>
          <w:i/>
          <w:iCs/>
          <w:color w:val="777777"/>
          <w:sz w:val="16"/>
          <w:szCs w:val="16"/>
        </w:rPr>
        <w:t xml:space="preserve">Sources: USA Coin Book spot prices; FindBullionPrices and US Gold and Coin melt calculators. Melt figures rounded; they exclude any numismatic premium.</w:t>
      </w:r>
    </w:p>
    <w:p>
      <w:pPr>
        <w:pStyle w:val="Heading2"/>
        <w:spacing w:after="120" w:before="240"/>
      </w:pPr>
      <w:r>
        <w:rPr>
          <w:rFonts w:ascii="Arial" w:cs="Arial" w:eastAsia="Arial" w:hAnsi="Arial"/>
        </w:rPr>
        <w:t xml:space="preserve">5.2 Cents, Half Cents, and the Minor Denominations</w:t>
      </w:r>
    </w:p>
    <w:p>
      <w:pPr>
        <w:spacing w:after="160" w:line="276"/>
        <w:jc w:val="both"/>
      </w:pPr>
      <w:r>
        <w:rPr>
          <w:rFonts w:ascii="Georgia" w:cs="Georgia" w:eastAsia="Georgia" w:hAnsi="Georgia"/>
          <w:sz w:val="22"/>
          <w:szCs w:val="22"/>
        </w:rPr>
        <w:t xml:space="preserve">The cent series—Large Cents (1793–1857), Flying Eagle (1856–1858), Indian Head (1859–1909), Lincoln Wheat (1909–1958), Lincoln Memorial (1959–2008), the four 2009 Bicentennial reverses, and the Union Shield cent (2010–2025)—was treated in detail in Section 2 and Table 1.</w:t>
      </w:r>
      <w:r>
        <w:rPr>
          <w:rStyle w:val="FootnoteReference"/>
        </w:rPr>
        <w:footnoteReference w:id="109"/>
      </w:r>
      <w:r>
        <w:rPr>
          <w:rFonts w:ascii="Georgia" w:cs="Georgia" w:eastAsia="Georgia" w:hAnsi="Georgia"/>
          <w:sz w:val="22"/>
          <w:szCs w:val="22"/>
        </w:rPr>
        <w:t xml:space="preserve"> The composition history is itself a source of collectible interest: the cent was 95 percent copper until mid-1982, when it shifted to copper-plated zinc, and the wartime transitional pieces—the 1943 zinc-coated steel cents and the off-metal 1943 bronze and 1944 steel errors—are among the most storied in American numismatics.</w:t>
      </w:r>
      <w:r>
        <w:rPr>
          <w:rStyle w:val="FootnoteReference"/>
        </w:rPr>
        <w:footnoteReference w:id="110"/>
      </w:r>
    </w:p>
    <w:p>
      <w:pPr>
        <w:spacing w:after="160" w:line="276"/>
        <w:jc w:val="both"/>
      </w:pPr>
      <w:r>
        <w:rPr>
          <w:rFonts w:ascii="Georgia" w:cs="Georgia" w:eastAsia="Georgia" w:hAnsi="Georgia"/>
          <w:sz w:val="22"/>
          <w:szCs w:val="22"/>
        </w:rPr>
        <w:t xml:space="preserve">Beyond the cent, several minor and short-lived denominations reward the type collector. The half cent (1793–1857) is the nation’s earliest and lowest-denomination coin. The two-cent piece (1864–1873) introduced the motto “In God We Trust.” The three-cent silver and three-cent nickel pieces, the half dimes, and—most notably for the rarity-minded—the twenty-cent piece (1875–1878), the shortest-lived regular U.S. denomination, are all prized precisely because their brief production runs make complete representation difficult.</w:t>
      </w:r>
      <w:r>
        <w:rPr>
          <w:rStyle w:val="FootnoteReference"/>
        </w:rPr>
        <w:footnoteReference w:id="59"/>
      </w:r>
      <w:r>
        <w:rPr>
          <w:rFonts w:ascii="Georgia" w:cs="Georgia" w:eastAsia="Georgia" w:hAnsi="Georgia"/>
          <w:sz w:val="22"/>
          <w:szCs w:val="22"/>
          <w:vertAlign w:val="superscript"/>
        </w:rPr>
        <w:t xml:space="preserve">,</w:t>
      </w:r>
      <w:r>
        <w:rPr>
          <w:rStyle w:val="FootnoteReference"/>
        </w:rPr>
        <w:footnoteReference w:id="15"/>
      </w:r>
    </w:p>
    <w:p>
      <w:pPr>
        <w:pStyle w:val="Heading2"/>
        <w:spacing w:after="120" w:before="240"/>
      </w:pPr>
      <w:r>
        <w:rPr>
          <w:rFonts w:ascii="Arial" w:cs="Arial" w:eastAsia="Arial" w:hAnsi="Arial"/>
        </w:rPr>
        <w:t xml:space="preserve">5.3 Nickels</w:t>
      </w:r>
    </w:p>
    <w:p>
      <w:pPr>
        <w:spacing w:after="160" w:line="276"/>
        <w:jc w:val="both"/>
      </w:pPr>
      <w:r>
        <w:rPr>
          <w:rFonts w:ascii="Georgia" w:cs="Georgia" w:eastAsia="Georgia" w:hAnsi="Georgia"/>
          <w:sz w:val="22"/>
          <w:szCs w:val="22"/>
        </w:rPr>
        <w:t xml:space="preserve">The five-cent series comprises the Shield (1866–1883), Liberty Head or “V” (1883–1913), Buffalo or Indian Head (1913–1938), and Jefferson (1938–present) nickels. The series contains two of American numismatics’ most celebrated coins. The 1913 Liberty Head nickel, of which only five are known and none was officially authorized, sold for $4.2 million in 2022.</w:t>
      </w:r>
      <w:r>
        <w:rPr>
          <w:rStyle w:val="FootnoteReference"/>
        </w:rPr>
        <w:footnoteReference w:id="60"/>
      </w:r>
      <w:r>
        <w:rPr>
          <w:rFonts w:ascii="Georgia" w:cs="Georgia" w:eastAsia="Georgia" w:hAnsi="Georgia"/>
          <w:sz w:val="22"/>
          <w:szCs w:val="22"/>
        </w:rPr>
        <w:t xml:space="preserve"> Among Buffalo nickels, the 1937-D “Three-Legged” variety—created when an over-polished die removed one of the bison’s legs—runs from several hundred to several thousand dollars in circulated grades, with a Mint State record near $99,875; the 1913-S Type 2 set a record of $84,000 in 2025; and the 1926-S, the key regular-issue date, ranges from about $30 worn to well over $15,000 in high grade.</w:t>
      </w:r>
      <w:r>
        <w:rPr>
          <w:rStyle w:val="FootnoteReference"/>
        </w:rPr>
        <w:footnoteReference w:id="61"/>
      </w:r>
      <w:r>
        <w:rPr>
          <w:rFonts w:ascii="Georgia" w:cs="Georgia" w:eastAsia="Georgia" w:hAnsi="Georgia"/>
          <w:sz w:val="22"/>
          <w:szCs w:val="22"/>
          <w:vertAlign w:val="superscript"/>
        </w:rPr>
        <w:t xml:space="preserve">,</w:t>
      </w:r>
      <w:r>
        <w:rPr>
          <w:rStyle w:val="FootnoteReference"/>
        </w:rPr>
        <w:footnoteReference w:id="62"/>
      </w:r>
      <w:r>
        <w:rPr>
          <w:rFonts w:ascii="Georgia" w:cs="Georgia" w:eastAsia="Georgia" w:hAnsi="Georgia"/>
          <w:sz w:val="22"/>
          <w:szCs w:val="22"/>
          <w:vertAlign w:val="superscript"/>
        </w:rPr>
        <w:t xml:space="preserve">,</w:t>
      </w:r>
      <w:r>
        <w:rPr>
          <w:rStyle w:val="FootnoteReference"/>
        </w:rPr>
        <w:footnoteReference w:id="63"/>
      </w:r>
      <w:r>
        <w:rPr>
          <w:rFonts w:ascii="Georgia" w:cs="Georgia" w:eastAsia="Georgia" w:hAnsi="Georgia"/>
          <w:sz w:val="22"/>
          <w:szCs w:val="22"/>
        </w:rPr>
        <w:t xml:space="preserve"> Collectors should also note the wartime Jefferson nickels of 1942–1945, struck in a 35 percent silver alloy and carrying a corresponding melt floor.</w:t>
      </w:r>
    </w:p>
    <w:p>
      <w:pPr>
        <w:pStyle w:val="Heading2"/>
        <w:spacing w:after="120" w:before="240"/>
      </w:pPr>
      <w:r>
        <w:rPr>
          <w:rFonts w:ascii="Arial" w:cs="Arial" w:eastAsia="Arial" w:hAnsi="Arial"/>
        </w:rPr>
        <w:t xml:space="preserve">5.4 Dimes, Quarters, and Half Dollars</w:t>
      </w:r>
    </w:p>
    <w:p>
      <w:pPr>
        <w:spacing w:after="160" w:line="276"/>
        <w:jc w:val="both"/>
      </w:pPr>
      <w:r>
        <w:rPr>
          <w:rFonts w:ascii="Georgia" w:cs="Georgia" w:eastAsia="Georgia" w:hAnsi="Georgia"/>
          <w:sz w:val="22"/>
          <w:szCs w:val="22"/>
        </w:rPr>
        <w:t xml:space="preserve">The ten-cent series runs through Barber (1892–1916), Mercury or Winged Liberty (1916–1945), and Roosevelt (1946–present) types. The Mercury series is anchored by the 1916-D, struck in a mintage of only 264,000, which ranges from roughly $1,248 in Good to about $32,662 in gem condition, with Full Bands examples exceeding $300,000; the 1942/1 overdate ($600–$850 circulated) and the semi-key 1921 and 1921-D round out the principal targets.</w:t>
      </w:r>
      <w:r>
        <w:rPr>
          <w:rStyle w:val="FootnoteReference"/>
        </w:rPr>
        <w:footnoteReference w:id="64"/>
      </w:r>
      <w:r>
        <w:rPr>
          <w:rFonts w:ascii="Georgia" w:cs="Georgia" w:eastAsia="Georgia" w:hAnsi="Georgia"/>
          <w:sz w:val="22"/>
          <w:szCs w:val="22"/>
          <w:vertAlign w:val="superscript"/>
        </w:rPr>
        <w:t xml:space="preserve">,</w:t>
      </w:r>
      <w:r>
        <w:rPr>
          <w:rStyle w:val="FootnoteReference"/>
        </w:rPr>
        <w:footnoteReference w:id="65"/>
      </w:r>
      <w:r>
        <w:rPr>
          <w:rFonts w:ascii="Georgia" w:cs="Georgia" w:eastAsia="Georgia" w:hAnsi="Georgia"/>
          <w:sz w:val="22"/>
          <w:szCs w:val="22"/>
          <w:vertAlign w:val="superscript"/>
        </w:rPr>
        <w:t xml:space="preserve">,</w:t>
      </w:r>
      <w:r>
        <w:rPr>
          <w:rStyle w:val="FootnoteReference"/>
        </w:rPr>
        <w:footnoteReference w:id="66"/>
      </w:r>
      <w:r>
        <w:rPr>
          <w:rFonts w:ascii="Georgia" w:cs="Georgia" w:eastAsia="Georgia" w:hAnsi="Georgia"/>
          <w:sz w:val="22"/>
          <w:szCs w:val="22"/>
        </w:rPr>
        <w:t xml:space="preserve"> The 1916-D is among the most counterfeited U.S. coins and should never be purchased raw.</w:t>
      </w:r>
    </w:p>
    <w:p>
      <w:pPr>
        <w:spacing w:after="160" w:line="276"/>
        <w:jc w:val="both"/>
      </w:pPr>
      <w:r>
        <w:rPr>
          <w:rFonts w:ascii="Georgia" w:cs="Georgia" w:eastAsia="Georgia" w:hAnsi="Georgia"/>
          <w:sz w:val="22"/>
          <w:szCs w:val="22"/>
        </w:rPr>
        <w:t xml:space="preserve">The quarter series—Barber, Standing Liberty (1916–1930), and Washington (1932–present)—features the 1916 Standing Liberty, struck in a mintage of only 52,000, at $1,500 to $5,000 and up in circulated grades, and the dramatic 1918/7-S overdate, which runs from $2,000 to $10,000 circulated and set a record of $336,000 for an MS64 Full Head example at Heritage in 2020.</w:t>
      </w:r>
      <w:r>
        <w:rPr>
          <w:rStyle w:val="FootnoteReference"/>
        </w:rPr>
        <w:footnoteReference w:id="67"/>
      </w:r>
      <w:r>
        <w:rPr>
          <w:rFonts w:ascii="Georgia" w:cs="Georgia" w:eastAsia="Georgia" w:hAnsi="Georgia"/>
          <w:sz w:val="22"/>
          <w:szCs w:val="22"/>
        </w:rPr>
        <w:t xml:space="preserve"> Among Washington quarters, the 1932-D and 1932-S are the key dates, and all pre-1965 issues carry the silver melt floor of Table 3.</w:t>
      </w:r>
    </w:p>
    <w:p>
      <w:pPr>
        <w:spacing w:after="160" w:line="276"/>
        <w:jc w:val="both"/>
      </w:pPr>
      <w:r>
        <w:rPr>
          <w:rFonts w:ascii="Georgia" w:cs="Georgia" w:eastAsia="Georgia" w:hAnsi="Georgia"/>
          <w:sz w:val="22"/>
          <w:szCs w:val="22"/>
        </w:rPr>
        <w:t xml:space="preserve">The half-dollar series—Barber, Walking Liberty (1916–1947), Franklin (1948–1963), and Kennedy (1964–present)—culminates collector affection in the Walking Liberty design, so admired that it was revived for the obverse of the American Silver Eagle in 1986.</w:t>
      </w:r>
      <w:r>
        <w:rPr>
          <w:rStyle w:val="FootnoteReference"/>
        </w:rPr>
        <w:footnoteReference w:id="68"/>
      </w:r>
      <w:r>
        <w:rPr>
          <w:rFonts w:ascii="Georgia" w:cs="Georgia" w:eastAsia="Georgia" w:hAnsi="Georgia"/>
          <w:sz w:val="22"/>
          <w:szCs w:val="22"/>
        </w:rPr>
        <w:t xml:space="preserve"> Its key dates are the early San Francisco and Denver issues. The 1964 Kennedy half is 90 percent silver; the 1965–1970 issues are a 40 percent silver-clad composition with the reduced melt floor noted above.</w:t>
      </w:r>
    </w:p>
    <w:p>
      <w:pPr>
        <w:pStyle w:val="Heading2"/>
        <w:spacing w:after="120" w:before="240"/>
      </w:pPr>
      <w:r>
        <w:rPr>
          <w:rFonts w:ascii="Arial" w:cs="Arial" w:eastAsia="Arial" w:hAnsi="Arial"/>
        </w:rPr>
        <w:t xml:space="preserve">5.5 Silver Dollars</w:t>
      </w:r>
    </w:p>
    <w:p>
      <w:pPr>
        <w:spacing w:after="160" w:line="276"/>
        <w:jc w:val="both"/>
      </w:pPr>
      <w:r>
        <w:rPr>
          <w:rFonts w:ascii="Georgia" w:cs="Georgia" w:eastAsia="Georgia" w:hAnsi="Georgia"/>
          <w:sz w:val="22"/>
          <w:szCs w:val="22"/>
        </w:rPr>
        <w:t xml:space="preserve">No series occupies a more central place in American collecting than the silver dollar, and within it the Morgan dollar (1878–1904, 1921) is paramount.</w:t>
      </w:r>
      <w:r>
        <w:rPr>
          <w:rStyle w:val="FootnoteReference"/>
        </w:rPr>
        <w:footnoteReference w:id="69"/>
      </w:r>
      <w:r>
        <w:rPr>
          <w:rFonts w:ascii="Georgia" w:cs="Georgia" w:eastAsia="Georgia" w:hAnsi="Georgia"/>
          <w:sz w:val="22"/>
          <w:szCs w:val="22"/>
        </w:rPr>
        <w:t xml:space="preserve"> Its key dates include the 1893-S, whose finest-known MS67 example approaches $2 million, and the 1889-CC, struck in a mintage of 350,000, whose finest MS68 has exceeded $880,000.</w:t>
      </w:r>
      <w:r>
        <w:rPr>
          <w:rStyle w:val="FootnoteReference"/>
        </w:rPr>
        <w:footnoteReference w:id="71"/>
      </w:r>
      <w:r>
        <w:rPr>
          <w:rFonts w:ascii="Georgia" w:cs="Georgia" w:eastAsia="Georgia" w:hAnsi="Georgia"/>
          <w:sz w:val="22"/>
          <w:szCs w:val="22"/>
          <w:vertAlign w:val="superscript"/>
        </w:rPr>
        <w:t xml:space="preserve">,</w:t>
      </w:r>
      <w:r>
        <w:rPr>
          <w:rStyle w:val="FootnoteReference"/>
        </w:rPr>
        <w:footnoteReference w:id="70"/>
      </w:r>
      <w:r>
        <w:rPr>
          <w:rFonts w:ascii="Georgia" w:cs="Georgia" w:eastAsia="Georgia" w:hAnsi="Georgia"/>
          <w:sz w:val="22"/>
          <w:szCs w:val="22"/>
        </w:rPr>
        <w:t xml:space="preserve"> The Carson City issues carry a special premium, and their modern availability owes much to the General Services Administration hoard: when the Treasury inventoried its vaults, it discovered roughly 2.9 million uncirculated silver dollars—mostly Carson City Morgans—and sold them through a series of mail-bid sales from 1972 to 1980 for about $107 million. The release affected dates unevenly, with scarce CC dates (1889, 1890, 1891, 1892, 1893) appreciating and the more plentiful 1882–1884 CC dollars devaluing as supply entered the market.</w:t>
      </w:r>
      <w:r>
        <w:rPr>
          <w:rStyle w:val="FootnoteReference"/>
        </w:rPr>
        <w:footnoteReference w:id="72"/>
      </w:r>
      <w:r>
        <w:rPr>
          <w:rFonts w:ascii="Georgia" w:cs="Georgia" w:eastAsia="Georgia" w:hAnsi="Georgia"/>
          <w:sz w:val="22"/>
          <w:szCs w:val="22"/>
        </w:rPr>
        <w:t xml:space="preserve"> The Peace dollar (1921–1935) complements the Morgan, with the 1921 high-relief issue and the low-mintage 1928 as its principal keys. The earlier Trade dollar (1873–1885), produced for commerce in Asia, is a desirable type coin in its own right.</w:t>
      </w:r>
    </w:p>
    <w:p>
      <w:pPr>
        <w:pStyle w:val="Heading2"/>
        <w:spacing w:after="120" w:before="240"/>
      </w:pPr>
      <w:r>
        <w:rPr>
          <w:rFonts w:ascii="Arial" w:cs="Arial" w:eastAsia="Arial" w:hAnsi="Arial"/>
        </w:rPr>
        <w:t xml:space="preserve">5.6 Gold</w:t>
      </w:r>
    </w:p>
    <w:p>
      <w:pPr>
        <w:spacing w:after="160" w:line="276"/>
        <w:jc w:val="both"/>
      </w:pPr>
      <w:r>
        <w:rPr>
          <w:rFonts w:ascii="Georgia" w:cs="Georgia" w:eastAsia="Georgia" w:hAnsi="Georgia"/>
          <w:sz w:val="22"/>
          <w:szCs w:val="22"/>
        </w:rPr>
        <w:t xml:space="preserve">United States gold coinage divides cleanly at 1933. Pre-1933 gold—gold dollars, quarter eagles ($2.50), half eagles ($5), eagles ($10), and double eagles ($20) in their Liberty and Saint-Gaudens designs—combines genuine rarity in better dates with a substantial intrinsic-metal floor, and common-date double eagles trade near melt plus a modest premium. The most famous coin in American numismatics belongs to this group: the 1933 Saint-Gaudens double eagle, of which 445,500 were struck but nearly all were melted following Executive Order 6102, so that the single legally ownable specimen—the Weitzman coin—sold for $18,872,250 at Sotheby’s on June 8, 2021, the highest price ever paid for a coin at auction.</w:t>
      </w:r>
      <w:r>
        <w:rPr>
          <w:rStyle w:val="FootnoteReference"/>
        </w:rPr>
        <w:footnoteReference w:id="73"/>
      </w:r>
      <w:r>
        <w:rPr>
          <w:rFonts w:ascii="Georgia" w:cs="Georgia" w:eastAsia="Georgia" w:hAnsi="Georgia"/>
          <w:sz w:val="22"/>
          <w:szCs w:val="22"/>
          <w:vertAlign w:val="superscript"/>
        </w:rPr>
        <w:t xml:space="preserve">,</w:t>
      </w:r>
      <w:r>
        <w:rPr>
          <w:rStyle w:val="FootnoteReference"/>
        </w:rPr>
        <w:footnoteReference w:id="74"/>
      </w:r>
      <w:r>
        <w:rPr>
          <w:rFonts w:ascii="Georgia" w:cs="Georgia" w:eastAsia="Georgia" w:hAnsi="Georgia"/>
          <w:sz w:val="22"/>
          <w:szCs w:val="22"/>
          <w:vertAlign w:val="superscript"/>
        </w:rPr>
        <w:t xml:space="preserve">,</w:t>
      </w:r>
      <w:r>
        <w:rPr>
          <w:rStyle w:val="FootnoteReference"/>
        </w:rPr>
        <w:footnoteReference w:id="75"/>
      </w:r>
      <w:r>
        <w:rPr>
          <w:rFonts w:ascii="Georgia" w:cs="Georgia" w:eastAsia="Georgia" w:hAnsi="Georgia"/>
          <w:sz w:val="22"/>
          <w:szCs w:val="22"/>
          <w:vertAlign w:val="superscript"/>
        </w:rPr>
        <w:t xml:space="preserve">,</w:t>
      </w:r>
      <w:r>
        <w:rPr>
          <w:rStyle w:val="FootnoteReference"/>
        </w:rPr>
        <w:footnoteReference w:id="76"/>
      </w:r>
      <w:r>
        <w:rPr>
          <w:rFonts w:ascii="Georgia" w:cs="Georgia" w:eastAsia="Georgia" w:hAnsi="Georgia"/>
          <w:sz w:val="22"/>
          <w:szCs w:val="22"/>
        </w:rPr>
        <w:t xml:space="preserve"> Modern bullion gold—the American Gold Eagle and the .9999-fine Gold Buffalo, available in fractional sizes—serves a different purpose, providing metal exposure at a low premium and high liquidity rather than numismatic appreciation.</w:t>
      </w:r>
    </w:p>
    <w:p>
      <w:pPr>
        <w:pStyle w:val="Heading2"/>
        <w:spacing w:after="120" w:before="240"/>
      </w:pPr>
      <w:r>
        <w:rPr>
          <w:rFonts w:ascii="Arial" w:cs="Arial" w:eastAsia="Arial" w:hAnsi="Arial"/>
        </w:rPr>
        <w:t xml:space="preserve">5.7 Bullion and World Coinage</w:t>
      </w:r>
    </w:p>
    <w:p>
      <w:pPr>
        <w:spacing w:after="160" w:line="276"/>
        <w:jc w:val="both"/>
      </w:pPr>
      <w:r>
        <w:rPr>
          <w:rFonts w:ascii="Georgia" w:cs="Georgia" w:eastAsia="Georgia" w:hAnsi="Georgia"/>
          <w:sz w:val="22"/>
          <w:szCs w:val="22"/>
        </w:rPr>
        <w:t xml:space="preserve">The American Silver Eagle (1986–present) is the most widely traded modern silver coin, typically priced at a premium of $5 to $10 over spot. Its collectible keys are the low-mintage 1996 bullion issue (3,603,386 struck), worth roughly $800 to $2,000 in MS70; the 1995-W proof (about 30,125 struck), worth $3,000 to $18,000 and up; and the 2019-S Enhanced Reverse Proof at $1,500 to $2,500 and up.</w:t>
      </w:r>
      <w:r>
        <w:rPr>
          <w:rStyle w:val="FootnoteReference"/>
        </w:rPr>
        <w:footnoteReference w:id="77"/>
      </w:r>
      <w:r>
        <w:rPr>
          <w:rFonts w:ascii="Georgia" w:cs="Georgia" w:eastAsia="Georgia" w:hAnsi="Georgia"/>
          <w:sz w:val="22"/>
          <w:szCs w:val="22"/>
          <w:vertAlign w:val="superscript"/>
        </w:rPr>
        <w:t xml:space="preserve">,</w:t>
      </w:r>
      <w:r>
        <w:rPr>
          <w:rStyle w:val="FootnoteReference"/>
        </w:rPr>
        <w:footnoteReference w:id="78"/>
      </w:r>
      <w:r>
        <w:rPr>
          <w:rFonts w:ascii="Georgia" w:cs="Georgia" w:eastAsia="Georgia" w:hAnsi="Georgia"/>
          <w:sz w:val="22"/>
          <w:szCs w:val="22"/>
        </w:rPr>
        <w:t xml:space="preserve"> The Mexican Silver Libertad, already represented in the reader’s holdings, is distinguished from the Silver Eagle by its low and sporadic mintages, which generate genuine numismatic premiums. The series’ “Holy Trinity” keys are the 1997 (100,000), the 1998 (67,000, the series key), and the 1999 (95,000); a 1998 in PCGS MS69 trades near $2,500 and in MS70 near $6,000, while modern issues from 2008 to 2024 can be acquired in MS69 for as little as roughly 25 percent over spot, and the 2025 issues saw sharply reduced mintages.</w:t>
      </w:r>
      <w:r>
        <w:rPr>
          <w:rStyle w:val="FootnoteReference"/>
        </w:rPr>
        <w:footnoteReference w:id="79"/>
      </w:r>
      <w:r>
        <w:rPr>
          <w:rFonts w:ascii="Georgia" w:cs="Georgia" w:eastAsia="Georgia" w:hAnsi="Georgia"/>
          <w:sz w:val="22"/>
          <w:szCs w:val="22"/>
          <w:vertAlign w:val="superscript"/>
        </w:rPr>
        <w:t xml:space="preserve">,</w:t>
      </w:r>
      <w:r>
        <w:rPr>
          <w:rStyle w:val="FootnoteReference"/>
        </w:rPr>
        <w:footnoteReference w:id="80"/>
      </w:r>
      <w:r>
        <w:rPr>
          <w:rFonts w:ascii="Georgia" w:cs="Georgia" w:eastAsia="Georgia" w:hAnsi="Georgia"/>
          <w:sz w:val="22"/>
          <w:szCs w:val="22"/>
        </w:rPr>
        <w:t xml:space="preserve"> The Canadian Maple Leaf, the British Britannia, and various Perth Mint issues complete the principal world-bullion landscape.</w:t>
      </w:r>
    </w:p>
    <w:p>
      <w:pPr>
        <w:pStyle w:val="Heading2"/>
        <w:spacing w:after="120" w:before="240"/>
      </w:pPr>
      <w:r>
        <w:rPr>
          <w:rFonts w:ascii="Arial" w:cs="Arial" w:eastAsia="Arial" w:hAnsi="Arial"/>
        </w:rPr>
        <w:t xml:space="preserve">5.8 The Short-Lived Denominations: Two-Cent, Three-Cent, and Twenty-Cent Pieces</w:t>
      </w:r>
    </w:p>
    <w:p>
      <w:pPr>
        <w:spacing w:after="160" w:line="276"/>
        <w:jc w:val="both"/>
      </w:pPr>
      <w:r>
        <w:rPr>
          <w:rFonts w:ascii="Georgia" w:cs="Georgia" w:eastAsia="Georgia" w:hAnsi="Georgia"/>
          <w:sz w:val="22"/>
          <w:szCs w:val="22"/>
        </w:rPr>
        <w:t xml:space="preserve">Three discontinued denominations occupy a productive niche for the collector building a type set, because they combine genuine historical interest with mintages and survival rates that keep entry-grade examples affordable. The </w:t>
      </w:r>
      <w:r>
        <w:rPr>
          <w:rFonts w:ascii="Georgia" w:cs="Georgia" w:eastAsia="Georgia" w:hAnsi="Georgia"/>
          <w:b/>
          <w:bCs/>
          <w:sz w:val="22"/>
          <w:szCs w:val="22"/>
        </w:rPr>
        <w:t xml:space="preserve">two-cent piece</w:t>
      </w:r>
      <w:r>
        <w:rPr>
          <w:rFonts w:ascii="Georgia" w:cs="Georgia" w:eastAsia="Georgia" w:hAnsi="Georgia"/>
          <w:sz w:val="22"/>
          <w:szCs w:val="22"/>
        </w:rPr>
        <w:t xml:space="preserve"> (1864–1873) carries the distinction of being the first United States coin to bear the motto “In God We Trust”; common dates are obtainable in collectible grade for modest sums, while the 1864 Small Motto variety and the low-mintage final years are the keys. The </w:t>
      </w:r>
      <w:r>
        <w:rPr>
          <w:rFonts w:ascii="Georgia" w:cs="Georgia" w:eastAsia="Georgia" w:hAnsi="Georgia"/>
          <w:b/>
          <w:bCs/>
          <w:sz w:val="22"/>
          <w:szCs w:val="22"/>
        </w:rPr>
        <w:t xml:space="preserve">three-cent silver</w:t>
      </w:r>
      <w:r>
        <w:rPr>
          <w:rFonts w:ascii="Georgia" w:cs="Georgia" w:eastAsia="Georgia" w:hAnsi="Georgia"/>
          <w:sz w:val="22"/>
          <w:szCs w:val="22"/>
        </w:rPr>
        <w:t xml:space="preserve"> (the “trime,” 1851–1873) and the </w:t>
      </w:r>
      <w:r>
        <w:rPr>
          <w:rFonts w:ascii="Georgia" w:cs="Georgia" w:eastAsia="Georgia" w:hAnsi="Georgia"/>
          <w:b/>
          <w:bCs/>
          <w:sz w:val="22"/>
          <w:szCs w:val="22"/>
        </w:rPr>
        <w:t xml:space="preserve">three-cent nickel</w:t>
      </w:r>
      <w:r>
        <w:rPr>
          <w:rFonts w:ascii="Georgia" w:cs="Georgia" w:eastAsia="Georgia" w:hAnsi="Georgia"/>
          <w:sz w:val="22"/>
          <w:szCs w:val="22"/>
        </w:rPr>
        <w:t xml:space="preserve"> (1865–1889) were awkward denominations born of postal rates and Civil War coin shortages; both are inexpensive as type coins yet scarce in high grade, making them quiet condition-rarity opportunities.</w:t>
      </w:r>
    </w:p>
    <w:p>
      <w:pPr>
        <w:spacing w:after="160" w:line="276"/>
        <w:jc w:val="both"/>
      </w:pPr>
      <w:r>
        <w:rPr>
          <w:rFonts w:ascii="Georgia" w:cs="Georgia" w:eastAsia="Georgia" w:hAnsi="Georgia"/>
          <w:sz w:val="22"/>
          <w:szCs w:val="22"/>
        </w:rPr>
        <w:t xml:space="preserve">The </w:t>
      </w:r>
      <w:r>
        <w:rPr>
          <w:rFonts w:ascii="Georgia" w:cs="Georgia" w:eastAsia="Georgia" w:hAnsi="Georgia"/>
          <w:b/>
          <w:bCs/>
          <w:sz w:val="22"/>
          <w:szCs w:val="22"/>
        </w:rPr>
        <w:t xml:space="preserve">twenty-cent piece</w:t>
      </w:r>
      <w:r>
        <w:rPr>
          <w:rFonts w:ascii="Georgia" w:cs="Georgia" w:eastAsia="Georgia" w:hAnsi="Georgia"/>
          <w:sz w:val="22"/>
          <w:szCs w:val="22"/>
        </w:rPr>
        <w:t xml:space="preserve"> (1875–1878) is the most collectible of the three by reputation, precisely because it failed: too easily confused with the quarter, it was struck for circulation for only two years and survives as the shortest-lived regular-issue United States denomination.</w:t>
      </w:r>
      <w:r>
        <w:rPr>
          <w:rStyle w:val="FootnoteReference"/>
        </w:rPr>
        <w:footnoteReference w:id="59"/>
      </w:r>
      <w:r>
        <w:rPr>
          <w:rFonts w:ascii="Georgia" w:cs="Georgia" w:eastAsia="Georgia" w:hAnsi="Georgia"/>
          <w:sz w:val="22"/>
          <w:szCs w:val="22"/>
        </w:rPr>
        <w:t xml:space="preserve"> The 1875 and 1876 Philadelphia and San Francisco issues are available as type coins, while the 1876-CC is a celebrated rarity that trades into the high six figures when it appears. For the reader, these denominations are best approached as single-example type acquisitions—one attractive, problem-free, certified specimen of each—where the downside is limited, the historical narrative is strong, and the coin is unlikely ever to be reproduced.</w:t>
      </w:r>
    </w:p>
    <w:p>
      <w:pPr>
        <w:pStyle w:val="Heading2"/>
        <w:spacing w:after="120" w:before="240"/>
      </w:pPr>
      <w:r>
        <w:rPr>
          <w:rFonts w:ascii="Arial" w:cs="Arial" w:eastAsia="Arial" w:hAnsi="Arial"/>
        </w:rPr>
        <w:t xml:space="preserve">5.9 Commemoratives: A Cautionary Survey</w:t>
      </w:r>
    </w:p>
    <w:p>
      <w:pPr>
        <w:spacing w:after="160" w:line="276"/>
        <w:jc w:val="both"/>
      </w:pPr>
      <w:r>
        <w:rPr>
          <w:rFonts w:ascii="Georgia" w:cs="Georgia" w:eastAsia="Georgia" w:hAnsi="Georgia"/>
          <w:sz w:val="22"/>
          <w:szCs w:val="22"/>
        </w:rPr>
        <w:t xml:space="preserve">United States commemoratives divide into two eras that together teach one of the most useful lessons in the hobby. The </w:t>
      </w:r>
      <w:r>
        <w:rPr>
          <w:rFonts w:ascii="Georgia" w:cs="Georgia" w:eastAsia="Georgia" w:hAnsi="Georgia"/>
          <w:b/>
          <w:bCs/>
          <w:sz w:val="22"/>
          <w:szCs w:val="22"/>
        </w:rPr>
        <w:t xml:space="preserve">classic series</w:t>
      </w:r>
      <w:r>
        <w:rPr>
          <w:rFonts w:ascii="Georgia" w:cs="Georgia" w:eastAsia="Georgia" w:hAnsi="Georgia"/>
          <w:sz w:val="22"/>
          <w:szCs w:val="22"/>
        </w:rPr>
        <w:t xml:space="preserve"> (1892–1954) opened with the 1892–93 Columbian Exposition half dollar and the Isabella quarter and eventually comprised some one hundred forty-four different issues, sold at a premium to fund expositions, monuments, and anniversaries. The program collapsed into a speculative bubble in the mid-1930s, when promoters multiplied issues, mintmarks, and dates to manufacture artificial scarcity—a frenzy contemporaries called the “commemorative racket” that so damaged collector confidence that Congress eventually halted the program.</w:t>
      </w:r>
      <w:r>
        <w:rPr>
          <w:rStyle w:val="FootnoteReference"/>
        </w:rPr>
        <w:footnoteReference w:id="100"/>
      </w:r>
      <w:r>
        <w:rPr>
          <w:rFonts w:ascii="Georgia" w:cs="Georgia" w:eastAsia="Georgia" w:hAnsi="Georgia"/>
          <w:sz w:val="22"/>
          <w:szCs w:val="22"/>
        </w:rPr>
        <w:t xml:space="preserve"> Today most classic commemoratives in Mint State trade at moderate premiums, with genuine value concentrated in the low-mintage and condition-rare issues such as the 1928 Hawaiian and the 1935 Old Spanish Trail.</w:t>
      </w:r>
    </w:p>
    <w:p>
      <w:pPr>
        <w:spacing w:after="160" w:line="276"/>
        <w:jc w:val="both"/>
      </w:pPr>
      <w:r>
        <w:rPr>
          <w:rFonts w:ascii="Georgia" w:cs="Georgia" w:eastAsia="Georgia" w:hAnsi="Georgia"/>
          <w:sz w:val="22"/>
          <w:szCs w:val="22"/>
        </w:rPr>
        <w:t xml:space="preserve">The </w:t>
      </w:r>
      <w:r>
        <w:rPr>
          <w:rFonts w:ascii="Georgia" w:cs="Georgia" w:eastAsia="Georgia" w:hAnsi="Georgia"/>
          <w:b/>
          <w:bCs/>
          <w:sz w:val="22"/>
          <w:szCs w:val="22"/>
        </w:rPr>
        <w:t xml:space="preserve">modern series</w:t>
      </w:r>
      <w:r>
        <w:rPr>
          <w:rFonts w:ascii="Georgia" w:cs="Georgia" w:eastAsia="Georgia" w:hAnsi="Georgia"/>
          <w:sz w:val="22"/>
          <w:szCs w:val="22"/>
        </w:rPr>
        <w:t xml:space="preserve"> (1982–present), beginning with the 1982 Washington half dollar, is sold directly by the Mint at a substantial premium over face and metal value. Its investment record is sobering and directly relevant to the reader’s discontinuation-driven interest: the large majority of modern commemoratives trade on the secondary market at or below their original issue price, so the buyer who purchases new Mint products at retail in the expectation of appreciation typically realizes a loss.</w:t>
      </w:r>
      <w:r>
        <w:rPr>
          <w:rStyle w:val="FootnoteReference"/>
        </w:rPr>
        <w:footnoteReference w:id="100"/>
      </w:r>
      <w:r>
        <w:rPr>
          <w:rFonts w:ascii="Georgia" w:cs="Georgia" w:eastAsia="Georgia" w:hAnsi="Georgia"/>
          <w:sz w:val="22"/>
          <w:szCs w:val="22"/>
          <w:vertAlign w:val="superscript"/>
        </w:rPr>
        <w:t xml:space="preserve">,</w:t>
      </w:r>
      <w:r>
        <w:rPr>
          <w:rStyle w:val="FootnoteReference"/>
        </w:rPr>
        <w:footnoteReference w:id="108"/>
      </w:r>
      <w:r>
        <w:rPr>
          <w:rFonts w:ascii="Georgia" w:cs="Georgia" w:eastAsia="Georgia" w:hAnsi="Georgia"/>
          <w:sz w:val="22"/>
          <w:szCs w:val="22"/>
        </w:rPr>
        <w:t xml:space="preserve"> The exceptions are a handful of genuinely low-mintage keys—the 2000-W bimetallic Library of Congress ten-dollar, certain low-distribution gold commemoratives—whose scarcity was real rather than promotional. The principle that emerges is the same one that governs the cent question with which this paper began: a coin’s status as a special or final issue does not confer investment value; only rarity, grade, and demand do. Commemoratives are therefore best collected for their designs and their stories, with any expectation of return reserved for the established condition-rare and low-mintage pieces bought below retail.</w:t>
      </w:r>
    </w:p>
    <w:p>
      <w:pPr>
        <w:pStyle w:val="Heading1"/>
        <w:spacing w:after="160" w:before="320"/>
      </w:pPr>
      <w:r>
        <w:rPr>
          <w:rFonts w:ascii="Arial" w:cs="Arial" w:eastAsia="Arial" w:hAnsi="Arial"/>
        </w:rPr>
        <w:t xml:space="preserve">6. A Short History of United States Coinage and Its Design Eras</w:t>
      </w:r>
    </w:p>
    <w:p>
      <w:pPr>
        <w:spacing w:after="160" w:line="276"/>
        <w:jc w:val="both"/>
      </w:pPr>
      <w:r>
        <w:rPr>
          <w:rFonts w:ascii="Georgia" w:cs="Georgia" w:eastAsia="Georgia" w:hAnsi="Georgia"/>
          <w:sz w:val="22"/>
          <w:szCs w:val="22"/>
        </w:rPr>
        <w:t xml:space="preserve">A collector buys history as much as metal, and the value structure of the U.S. series cannot be understood without the institutional and artistic history that produced it. This section traces that history briefly, both because it informs which coins are scarce and why, and because the narrative is itself part of what the market prices.</w:t>
      </w:r>
    </w:p>
    <w:p>
      <w:pPr>
        <w:pStyle w:val="Heading2"/>
        <w:spacing w:after="120" w:before="240"/>
      </w:pPr>
      <w:r>
        <w:rPr>
          <w:rFonts w:ascii="Arial" w:cs="Arial" w:eastAsia="Arial" w:hAnsi="Arial"/>
        </w:rPr>
        <w:t xml:space="preserve">6.1 Foundations: The Mint Act of 1792 and the Early Republic</w:t>
      </w:r>
    </w:p>
    <w:p>
      <w:pPr>
        <w:spacing w:after="160" w:line="276"/>
        <w:jc w:val="both"/>
      </w:pPr>
      <w:r>
        <w:rPr>
          <w:rFonts w:ascii="Georgia" w:cs="Georgia" w:eastAsia="Georgia" w:hAnsi="Georgia"/>
          <w:sz w:val="22"/>
          <w:szCs w:val="22"/>
        </w:rPr>
        <w:t xml:space="preserve">The United States Mint was established by the Coinage Act of 1792, which created a decimal system of coinage and authorized denominations from the half cent to the ten-dollar gold eagle. The earliest federal coins—the large copper cents and half cents struck from 1793—were produced by hand-engraved dies in small quantities, which is why early dates survive in tiny numbers and command high prices today.</w:t>
      </w:r>
      <w:r>
        <w:rPr>
          <w:rStyle w:val="FootnoteReference"/>
        </w:rPr>
        <w:footnoteReference w:id="15"/>
      </w:r>
      <w:r>
        <w:rPr>
          <w:rFonts w:ascii="Georgia" w:cs="Georgia" w:eastAsia="Georgia" w:hAnsi="Georgia"/>
          <w:sz w:val="22"/>
          <w:szCs w:val="22"/>
          <w:vertAlign w:val="superscript"/>
        </w:rPr>
        <w:t xml:space="preserve">,</w:t>
      </w:r>
      <w:r>
        <w:rPr>
          <w:rStyle w:val="FootnoteReference"/>
        </w:rPr>
        <w:footnoteReference w:id="57"/>
      </w:r>
      <w:r>
        <w:rPr>
          <w:rFonts w:ascii="Georgia" w:cs="Georgia" w:eastAsia="Georgia" w:hAnsi="Georgia"/>
          <w:sz w:val="22"/>
          <w:szCs w:val="22"/>
        </w:rPr>
        <w:t xml:space="preserve"> Designs of the period, from the Flowing Hair and Draped Bust motifs through the Classic Head and Coronet types, were allegorical representations of Liberty rather than portraits, reflecting an early republican reluctance to place identifiable persons on the coinage. The scarcity of early material is a function of low original mintages, low survival rates, and the attrition of a working currency; it is genuine scarcity, not manufactured rarity, and it is the bedrock of the Large Cent and early-type markets.</w:t>
      </w:r>
    </w:p>
    <w:p>
      <w:pPr>
        <w:pStyle w:val="Heading2"/>
        <w:spacing w:after="120" w:before="240"/>
      </w:pPr>
      <w:r>
        <w:rPr>
          <w:rFonts w:ascii="Arial" w:cs="Arial" w:eastAsia="Arial" w:hAnsi="Arial"/>
        </w:rPr>
        <w:t xml:space="preserve">6.2 The Nineteenth Century: Small Cents, the Civil War, and Expansion</w:t>
      </w:r>
    </w:p>
    <w:p>
      <w:pPr>
        <w:spacing w:after="160" w:line="276"/>
        <w:jc w:val="both"/>
      </w:pPr>
      <w:r>
        <w:rPr>
          <w:rFonts w:ascii="Georgia" w:cs="Georgia" w:eastAsia="Georgia" w:hAnsi="Georgia"/>
          <w:sz w:val="22"/>
          <w:szCs w:val="22"/>
        </w:rPr>
        <w:t xml:space="preserve">By the 1850s the large copper cent had become uneconomic to produce, and in 1857 the Mint introduced the small-format Flying Eagle cent—the first of the modern small cents—followed in 1859 by the long-running Indian Head cent.</w:t>
      </w:r>
      <w:r>
        <w:rPr>
          <w:rStyle w:val="FootnoteReference"/>
        </w:rPr>
        <w:footnoteReference w:id="59"/>
      </w:r>
      <w:r>
        <w:rPr>
          <w:rFonts w:ascii="Georgia" w:cs="Georgia" w:eastAsia="Georgia" w:hAnsi="Georgia"/>
          <w:sz w:val="22"/>
          <w:szCs w:val="22"/>
        </w:rPr>
        <w:t xml:space="preserve"> The Civil War era was a period of monetary experimentation: specie vanished from circulation, private tokens proliferated, and the Mint responded with new minor denominations, including the two-cent piece of 1864 (which introduced the motto “In God We Trust”), the three-cent nickel, and the Shield nickel of 1866. The opening of western mints—Carson City (CC) in 1870, alongside the established branches at New Orleans (O) and San Francisco (S)—created the mintmark dimension that drives so much modern collecting, because the same design struck at a low-output branch can be many times scarcer than its Philadelphia counterpart. The Carson City Morgan dollars discussed in Section 5 are the most celebrated example of this branch-mint scarcity.</w:t>
      </w:r>
      <w:r>
        <w:rPr>
          <w:rStyle w:val="FootnoteReference"/>
        </w:rPr>
        <w:footnoteReference w:id="72"/>
      </w:r>
    </w:p>
    <w:p>
      <w:pPr>
        <w:pStyle w:val="Heading2"/>
        <w:spacing w:after="120" w:before="240"/>
      </w:pPr>
      <w:r>
        <w:rPr>
          <w:rFonts w:ascii="Arial" w:cs="Arial" w:eastAsia="Arial" w:hAnsi="Arial"/>
        </w:rPr>
        <w:t xml:space="preserve">6.3 The Renaissance of American Coinage, 1907–1921</w:t>
      </w:r>
    </w:p>
    <w:p>
      <w:pPr>
        <w:spacing w:after="160" w:line="276"/>
        <w:jc w:val="both"/>
      </w:pPr>
      <w:r>
        <w:rPr>
          <w:rFonts w:ascii="Georgia" w:cs="Georgia" w:eastAsia="Georgia" w:hAnsi="Georgia"/>
          <w:sz w:val="22"/>
          <w:szCs w:val="22"/>
        </w:rPr>
        <w:t xml:space="preserve">The early twentieth century produced what numismatists call the renaissance of American coin design, when President Theodore Roosevelt enlisted the sculptor Augustus Saint-Gaudens to beautify the coinage. The result—the Saint-Gaudens double eagle and the Indian Head eagle of 1907, followed by the Lincoln cent of 1909 (the first U.S. circulating coin to bear a real historical portrait), the Buffalo nickel and Mercury dime, the Standing Liberty quarter, the Walking Liberty half dollar, and the Peace dollar of 1921—constitutes the most artistically admired body of work in the series.</w:t>
      </w:r>
      <w:r>
        <w:rPr>
          <w:rStyle w:val="FootnoteReference"/>
        </w:rPr>
        <w:footnoteReference w:id="68"/>
      </w:r>
      <w:r>
        <w:rPr>
          <w:rFonts w:ascii="Georgia" w:cs="Georgia" w:eastAsia="Georgia" w:hAnsi="Georgia"/>
          <w:sz w:val="22"/>
          <w:szCs w:val="22"/>
          <w:vertAlign w:val="superscript"/>
        </w:rPr>
        <w:t xml:space="preserve">,</w:t>
      </w:r>
      <w:r>
        <w:rPr>
          <w:rStyle w:val="FootnoteReference"/>
        </w:rPr>
        <w:footnoteReference w:id="73"/>
      </w:r>
      <w:r>
        <w:rPr>
          <w:rFonts w:ascii="Georgia" w:cs="Georgia" w:eastAsia="Georgia" w:hAnsi="Georgia"/>
          <w:sz w:val="22"/>
          <w:szCs w:val="22"/>
        </w:rPr>
        <w:t xml:space="preserve"> This artistic prestige has durable market consequences: designs from this era enjoy persistent collector demand, which is why the Walking Liberty obverse was revived for the American Silver Eagle in 1986 and why Mercury dimes and Standing Liberty quarters retain strong followings even in common dates.</w:t>
      </w:r>
    </w:p>
    <w:p>
      <w:pPr>
        <w:pStyle w:val="Heading2"/>
        <w:spacing w:after="120" w:before="240"/>
      </w:pPr>
      <w:r>
        <w:rPr>
          <w:rFonts w:ascii="Arial" w:cs="Arial" w:eastAsia="Arial" w:hAnsi="Arial"/>
        </w:rPr>
        <w:t xml:space="preserve">6.4 The Modern Era: Demonetization of Gold, Debasement of Silver, and the End of the Cent</w:t>
      </w:r>
    </w:p>
    <w:p>
      <w:pPr>
        <w:spacing w:after="160" w:line="276"/>
        <w:jc w:val="both"/>
      </w:pPr>
      <w:r>
        <w:rPr>
          <w:rFonts w:ascii="Georgia" w:cs="Georgia" w:eastAsia="Georgia" w:hAnsi="Georgia"/>
          <w:sz w:val="22"/>
          <w:szCs w:val="22"/>
        </w:rPr>
        <w:t xml:space="preserve">Three structural shifts define the modern era and bear directly on value. First, the demonetization of circulating gold: Executive Order 6102 in 1933 ended the domestic gold standard, halted gold-coin production, and led to the melting of vast quantities of gold coinage—most famously the 1933 double eagle, nearly all of which was destroyed, leaving a single legally ownable example that realized nearly $19 million in 2021.</w:t>
      </w:r>
      <w:r>
        <w:rPr>
          <w:rStyle w:val="FootnoteReference"/>
        </w:rPr>
        <w:footnoteReference w:id="76"/>
      </w:r>
      <w:r>
        <w:rPr>
          <w:rFonts w:ascii="Georgia" w:cs="Georgia" w:eastAsia="Georgia" w:hAnsi="Georgia"/>
          <w:sz w:val="22"/>
          <w:szCs w:val="22"/>
          <w:vertAlign w:val="superscript"/>
        </w:rPr>
        <w:t xml:space="preserve">,</w:t>
      </w:r>
      <w:r>
        <w:rPr>
          <w:rStyle w:val="FootnoteReference"/>
        </w:rPr>
        <w:footnoteReference w:id="75"/>
      </w:r>
      <w:r>
        <w:rPr>
          <w:rFonts w:ascii="Georgia" w:cs="Georgia" w:eastAsia="Georgia" w:hAnsi="Georgia"/>
          <w:sz w:val="22"/>
          <w:szCs w:val="22"/>
        </w:rPr>
        <w:t xml:space="preserve"> Second, the debasement of silver: the Coinage Act of 1965 removed silver from the dime and quarter and reduced the half dollar to a 40 percent silver-clad composition through 1970, after which the half too became base-metal clad. This created the bright line—“pre-1965”—that defines the junk-silver market and the melt floor tabulated in Section 5. Third, the end of the cent in November 2025, analyzed at length in Section 2, closes the circle: the first denomination authorized in 1792 became, after 232 years, the most recent to cease circulating production.</w:t>
      </w:r>
      <w:r>
        <w:rPr>
          <w:rStyle w:val="FootnoteReference"/>
        </w:rPr>
        <w:footnoteReference w:id="1"/>
      </w:r>
    </w:p>
    <w:p>
      <w:pPr>
        <w:spacing w:after="160" w:line="276"/>
        <w:jc w:val="both"/>
      </w:pPr>
      <w:r>
        <w:rPr>
          <w:rFonts w:ascii="Georgia" w:cs="Georgia" w:eastAsia="Georgia" w:hAnsi="Georgia"/>
          <w:sz w:val="22"/>
          <w:szCs w:val="22"/>
        </w:rPr>
        <w:t xml:space="preserve">The throughline of this history is that scarcity in the U.S. series arises from identifiable causes—low original mintage, branch-mint output, melting and attrition, and composition changes—and that the coins which reward collectors are those whose scarcity is rooted in these structural facts rather than in transient novelty. It is precisely this distinction that makes the post-2025 cent a weak investment (its scarcity is not structural) and the 1893-S Morgan or 1916-D dime strong ones (their scarcity is).</w:t>
      </w:r>
    </w:p>
    <w:p>
      <w:pPr>
        <w:pStyle w:val="Heading1"/>
        <w:spacing w:after="160" w:before="320"/>
      </w:pPr>
      <w:r>
        <w:rPr>
          <w:rFonts w:ascii="Arial" w:cs="Arial" w:eastAsia="Arial" w:hAnsi="Arial"/>
        </w:rPr>
        <w:t xml:space="preserve">7. Errors, Varieties, and the Anatomy of a Premium</w:t>
      </w:r>
    </w:p>
    <w:p>
      <w:pPr>
        <w:spacing w:after="160" w:line="276"/>
        <w:jc w:val="both"/>
      </w:pPr>
      <w:r>
        <w:rPr>
          <w:rFonts w:ascii="Georgia" w:cs="Georgia" w:eastAsia="Georgia" w:hAnsi="Georgia"/>
          <w:sz w:val="22"/>
          <w:szCs w:val="22"/>
        </w:rPr>
        <w:t xml:space="preserve">A recurring theme of this paper is that value concentrates in a small number of coins. Beyond key dates and condition rarities, a third source of premium is the error or variety—a coin that departs from the intended product through a mistake in die preparation or striking. Understanding the principal categories is essential both to recognizing opportunity and to avoiding the many altered or misattributed coins that circulate in this corner of the market.</w:t>
      </w:r>
    </w:p>
    <w:p>
      <w:pPr>
        <w:pStyle w:val="Heading2"/>
        <w:spacing w:after="120" w:before="240"/>
      </w:pPr>
      <w:r>
        <w:rPr>
          <w:rFonts w:ascii="Arial" w:cs="Arial" w:eastAsia="Arial" w:hAnsi="Arial"/>
        </w:rPr>
        <w:t xml:space="preserve">7.1 Die Varieties</w:t>
      </w:r>
    </w:p>
    <w:p>
      <w:pPr>
        <w:spacing w:after="160" w:line="276"/>
        <w:jc w:val="both"/>
      </w:pPr>
      <w:r>
        <w:rPr>
          <w:rFonts w:ascii="Georgia" w:cs="Georgia" w:eastAsia="Georgia" w:hAnsi="Georgia"/>
          <w:sz w:val="22"/>
          <w:szCs w:val="22"/>
        </w:rPr>
        <w:t xml:space="preserve">A die variety arises when the die itself carries an anomaly that is then reproduced on every coin it strikes. The most valuable category is the </w:t>
      </w:r>
      <w:r>
        <w:rPr>
          <w:rFonts w:ascii="Georgia" w:cs="Georgia" w:eastAsia="Georgia" w:hAnsi="Georgia"/>
          <w:b/>
          <w:bCs/>
          <w:sz w:val="22"/>
          <w:szCs w:val="22"/>
        </w:rPr>
        <w:t xml:space="preserve">doubled die</w:t>
      </w:r>
      <w:r>
        <w:rPr>
          <w:rFonts w:ascii="Georgia" w:cs="Georgia" w:eastAsia="Georgia" w:hAnsi="Georgia"/>
          <w:sz w:val="22"/>
          <w:szCs w:val="22"/>
        </w:rPr>
        <w:t xml:space="preserve">, in which a misalignment during die manufacture produces visible doubling of the design; the 1955 Doubled Die Obverse Lincoln cent, with dramatic doubling of the date and lettering, is the archetype and trades from roughly $1,200 in About Uncirculated to a record of $114,000 in gem Red.</w:t>
      </w:r>
      <w:r>
        <w:rPr>
          <w:rStyle w:val="FootnoteReference"/>
        </w:rPr>
        <w:footnoteReference w:id="55"/>
      </w:r>
      <w:r>
        <w:rPr>
          <w:rFonts w:ascii="Georgia" w:cs="Georgia" w:eastAsia="Georgia" w:hAnsi="Georgia"/>
          <w:sz w:val="22"/>
          <w:szCs w:val="22"/>
        </w:rPr>
        <w:t xml:space="preserve"> Related varieties include </w:t>
      </w:r>
      <w:r>
        <w:rPr>
          <w:rFonts w:ascii="Georgia" w:cs="Georgia" w:eastAsia="Georgia" w:hAnsi="Georgia"/>
          <w:b/>
          <w:bCs/>
          <w:sz w:val="22"/>
          <w:szCs w:val="22"/>
        </w:rPr>
        <w:t xml:space="preserve">repunched mintmarks</w:t>
      </w:r>
      <w:r>
        <w:rPr>
          <w:rFonts w:ascii="Georgia" w:cs="Georgia" w:eastAsia="Georgia" w:hAnsi="Georgia"/>
          <w:sz w:val="22"/>
          <w:szCs w:val="22"/>
        </w:rPr>
        <w:t xml:space="preserve"> (where a branch mintmark was punched more than once in slightly different positions), </w:t>
      </w:r>
      <w:r>
        <w:rPr>
          <w:rFonts w:ascii="Georgia" w:cs="Georgia" w:eastAsia="Georgia" w:hAnsi="Georgia"/>
          <w:b/>
          <w:bCs/>
          <w:sz w:val="22"/>
          <w:szCs w:val="22"/>
        </w:rPr>
        <w:t xml:space="preserve">overdates</w:t>
      </w:r>
      <w:r>
        <w:rPr>
          <w:rFonts w:ascii="Georgia" w:cs="Georgia" w:eastAsia="Georgia" w:hAnsi="Georgia"/>
          <w:sz w:val="22"/>
          <w:szCs w:val="22"/>
        </w:rPr>
        <w:t xml:space="preserve"> (where one date was punched over another, as in the 1918/7-S Standing Liberty quarter and the 1942/1 Mercury dime), and design subtypes such as the 1909 VDB cents, distinguished by the designer’s prominent initials.</w:t>
      </w:r>
      <w:r>
        <w:rPr>
          <w:rStyle w:val="FootnoteReference"/>
        </w:rPr>
        <w:footnoteReference w:id="67"/>
      </w:r>
      <w:r>
        <w:rPr>
          <w:rFonts w:ascii="Georgia" w:cs="Georgia" w:eastAsia="Georgia" w:hAnsi="Georgia"/>
          <w:sz w:val="22"/>
          <w:szCs w:val="22"/>
          <w:vertAlign w:val="superscript"/>
        </w:rPr>
        <w:t xml:space="preserve">,</w:t>
      </w:r>
      <w:r>
        <w:rPr>
          <w:rStyle w:val="FootnoteReference"/>
        </w:rPr>
        <w:footnoteReference w:id="64"/>
      </w:r>
      <w:r>
        <w:rPr>
          <w:rFonts w:ascii="Georgia" w:cs="Georgia" w:eastAsia="Georgia" w:hAnsi="Georgia"/>
          <w:sz w:val="22"/>
          <w:szCs w:val="22"/>
          <w:vertAlign w:val="superscript"/>
        </w:rPr>
        <w:t xml:space="preserve">,</w:t>
      </w:r>
      <w:r>
        <w:rPr>
          <w:rStyle w:val="FootnoteReference"/>
        </w:rPr>
        <w:footnoteReference w:id="44"/>
      </w:r>
      <w:r>
        <w:rPr>
          <w:rFonts w:ascii="Georgia" w:cs="Georgia" w:eastAsia="Georgia" w:hAnsi="Georgia"/>
          <w:sz w:val="22"/>
          <w:szCs w:val="22"/>
        </w:rPr>
        <w:t xml:space="preserve"> Because varieties are reproducible, they can be authenticated by diagnostic markers, and the grading services attribute the recognized ones on the holder.</w:t>
      </w:r>
    </w:p>
    <w:p>
      <w:pPr>
        <w:pStyle w:val="Heading2"/>
        <w:spacing w:after="120" w:before="240"/>
      </w:pPr>
      <w:r>
        <w:rPr>
          <w:rFonts w:ascii="Arial" w:cs="Arial" w:eastAsia="Arial" w:hAnsi="Arial"/>
        </w:rPr>
        <w:t xml:space="preserve">7.2 Striking and Planchet Errors</w:t>
      </w:r>
    </w:p>
    <w:p>
      <w:pPr>
        <w:spacing w:after="160" w:line="276"/>
        <w:jc w:val="both"/>
      </w:pPr>
      <w:r>
        <w:rPr>
          <w:rFonts w:ascii="Georgia" w:cs="Georgia" w:eastAsia="Georgia" w:hAnsi="Georgia"/>
          <w:sz w:val="22"/>
          <w:szCs w:val="22"/>
        </w:rPr>
        <w:t xml:space="preserve">Striking errors are unique to individual coins rather than to a die. They include off-center strikes, double strikes, broadstrikes (struck without a retaining collar), die caps, and the spectacular off-metal or wrong-planchet errors in which a coin is struck on a blank intended for another denomination or alloy. The most consequential off-metal errors in the cent series are the wartime transitional pieces—the 1943 bronze cents (struck on leftover 1942 bronze planchets when the cent had shifted to zinc-coated steel) and the 1944 steel cents (the reverse error)—which range from roughly $180,000 for a Philadelphia 1944 steel to $1.7 million for the unique 1943-D bronze.</w:t>
      </w:r>
      <w:r>
        <w:rPr>
          <w:rStyle w:val="FootnoteReference"/>
        </w:rPr>
        <w:footnoteReference w:id="53"/>
      </w:r>
      <w:r>
        <w:rPr>
          <w:rFonts w:ascii="Georgia" w:cs="Georgia" w:eastAsia="Georgia" w:hAnsi="Georgia"/>
          <w:sz w:val="22"/>
          <w:szCs w:val="22"/>
          <w:vertAlign w:val="superscript"/>
        </w:rPr>
        <w:t xml:space="preserve">,</w:t>
      </w:r>
      <w:r>
        <w:rPr>
          <w:rStyle w:val="FootnoteReference"/>
        </w:rPr>
        <w:footnoteReference w:id="51"/>
      </w:r>
      <w:r>
        <w:rPr>
          <w:rFonts w:ascii="Georgia" w:cs="Georgia" w:eastAsia="Georgia" w:hAnsi="Georgia"/>
          <w:sz w:val="22"/>
          <w:szCs w:val="22"/>
        </w:rPr>
        <w:t xml:space="preserve"> The reader should treat any raw “1943 copper penny” with extreme skepticism: the overwhelming majority offered are ordinary 1943 steel cents that have been copper-plated, or 1948 cents with the 8 altered to a 3, and only certification by a major service should be trusted.</w:t>
      </w:r>
      <w:r>
        <w:rPr>
          <w:rStyle w:val="FootnoteReference"/>
        </w:rPr>
        <w:footnoteReference w:id="106"/>
      </w:r>
    </w:p>
    <w:p>
      <w:pPr>
        <w:pStyle w:val="Heading2"/>
        <w:spacing w:after="120" w:before="240"/>
      </w:pPr>
      <w:r>
        <w:rPr>
          <w:rFonts w:ascii="Arial" w:cs="Arial" w:eastAsia="Arial" w:hAnsi="Arial"/>
        </w:rPr>
        <w:t xml:space="preserve">7.3 Why Errors Command Premiums — and Their Risks</w:t>
      </w:r>
    </w:p>
    <w:p>
      <w:pPr>
        <w:spacing w:after="160" w:line="276"/>
        <w:jc w:val="both"/>
      </w:pPr>
      <w:r>
        <w:rPr>
          <w:rFonts w:ascii="Georgia" w:cs="Georgia" w:eastAsia="Georgia" w:hAnsi="Georgia"/>
          <w:sz w:val="22"/>
          <w:szCs w:val="22"/>
        </w:rPr>
        <w:t xml:space="preserve">Errors and varieties command premiums for the same reason key dates do: genuine scarcity meeting collector demand. But they carry distinctive risks. Their values are more volatile and more dependent on the fashion of the moment than those of classic key dates; their markets are thinner; and they are disproportionately the target of alteration and counterfeiting precisely because a tiny physical change can purport to create enormous value. For these reasons, errors and varieties are an appropriate area for the reader only on a certified basis and only once the foundational categories—bullion floor and classic keys—are established. They are a specialist’s pursuit layered atop a sound core, not a substitute for it.</w:t>
      </w:r>
    </w:p>
    <w:p>
      <w:pPr>
        <w:pStyle w:val="Heading2"/>
        <w:spacing w:after="120" w:before="240"/>
      </w:pPr>
      <w:r>
        <w:rPr>
          <w:rFonts w:ascii="Arial" w:cs="Arial" w:eastAsia="Arial" w:hAnsi="Arial"/>
        </w:rPr>
        <w:t xml:space="preserve">7.4 Doubled Dies versus Machine Doubling: The Critical Distinction</w:t>
      </w:r>
    </w:p>
    <w:p>
      <w:pPr>
        <w:spacing w:after="160" w:line="276"/>
        <w:jc w:val="both"/>
      </w:pPr>
      <w:r>
        <w:rPr>
          <w:rFonts w:ascii="Georgia" w:cs="Georgia" w:eastAsia="Georgia" w:hAnsi="Georgia"/>
          <w:sz w:val="22"/>
          <w:szCs w:val="22"/>
        </w:rPr>
        <w:t xml:space="preserve">No piece of knowledge protects a variety collector more than the difference between a doubled die and machine doubling, because the two look superficially alike and differ in value by the entire price of the coin. A </w:t>
      </w:r>
      <w:r>
        <w:rPr>
          <w:rFonts w:ascii="Georgia" w:cs="Georgia" w:eastAsia="Georgia" w:hAnsi="Georgia"/>
          <w:b/>
          <w:bCs/>
          <w:sz w:val="22"/>
          <w:szCs w:val="22"/>
        </w:rPr>
        <w:t xml:space="preserve">doubled die</w:t>
      </w:r>
      <w:r>
        <w:rPr>
          <w:rFonts w:ascii="Georgia" w:cs="Georgia" w:eastAsia="Georgia" w:hAnsi="Georgia"/>
          <w:sz w:val="22"/>
          <w:szCs w:val="22"/>
        </w:rPr>
        <w:t xml:space="preserve"> originates in the die-manufacturing process: when the design is impressed into the working die by the hub, a misalignment between successive impressions transfers a genuinely doubled image to the die itself. Every coin subsequently struck by that die carries identical, repeatable doubling, and on close inspection that doubling shows full, rounded detail with clear separation and notching at the corners of letters and digits—the hallmark of the 1955, 1969-S, 1972, and 1995 Lincoln-cent doubled dies, coins worth from the hundreds into the six figures.</w:t>
      </w:r>
      <w:r>
        <w:rPr>
          <w:rStyle w:val="FootnoteReference"/>
        </w:rPr>
        <w:footnoteReference w:id="55"/>
      </w:r>
    </w:p>
    <w:p>
      <w:pPr>
        <w:spacing w:after="160" w:line="276"/>
        <w:jc w:val="both"/>
      </w:pPr>
      <w:r>
        <w:rPr>
          <w:rFonts w:ascii="Georgia" w:cs="Georgia" w:eastAsia="Georgia" w:hAnsi="Georgia"/>
          <w:b/>
          <w:bCs/>
          <w:sz w:val="22"/>
          <w:szCs w:val="22"/>
        </w:rPr>
        <w:t xml:space="preserve">Machine doubling</w:t>
      </w:r>
      <w:r>
        <w:rPr>
          <w:rFonts w:ascii="Georgia" w:cs="Georgia" w:eastAsia="Georgia" w:hAnsi="Georgia"/>
          <w:sz w:val="22"/>
          <w:szCs w:val="22"/>
        </w:rPr>
        <w:t xml:space="preserve">—also called mechanical, strike, or shelf doubling—arises instead at the moment of striking, when the die shifts slightly against the coin as it lifts, shearing the freshly struck devices. The resulting doubling is flat, shelf-like, and “smeared” rather than rounded, sits lower than the primary device, and varies from coin to coin because it is a striking accident rather than a die feature. It adds nothing to value and frequently detracts. The practical tests are therefore: doubling that is rounded, fully detailed, and notched points to a doubled die; doubling that is flat, low, and shelf-like points to machine doubling; and the question is settled definitively only by attribution from PCGS or NGC, which is why the only safe way to buy a significant variety is already certified and attributed.</w:t>
      </w:r>
      <w:r>
        <w:rPr>
          <w:rStyle w:val="FootnoteReference"/>
        </w:rPr>
        <w:footnoteReference w:id="106"/>
      </w:r>
      <w:r>
        <w:rPr>
          <w:rFonts w:ascii="Georgia" w:cs="Georgia" w:eastAsia="Georgia" w:hAnsi="Georgia"/>
          <w:sz w:val="22"/>
          <w:szCs w:val="22"/>
          <w:vertAlign w:val="superscript"/>
        </w:rPr>
        <w:t xml:space="preserve">,</w:t>
      </w:r>
      <w:r>
        <w:rPr>
          <w:rStyle w:val="FootnoteReference"/>
        </w:rPr>
        <w:footnoteReference w:id="30"/>
      </w:r>
    </w:p>
    <w:p>
      <w:pPr>
        <w:spacing w:after="160" w:line="276"/>
        <w:jc w:val="both"/>
      </w:pPr>
      <w:r>
        <w:rPr>
          <w:rFonts w:ascii="Georgia" w:cs="Georgia" w:eastAsia="Georgia" w:hAnsi="Georgia"/>
          <w:sz w:val="22"/>
          <w:szCs w:val="22"/>
        </w:rPr>
        <w:t xml:space="preserve">A related family of varieties is the </w:t>
      </w:r>
      <w:r>
        <w:rPr>
          <w:rFonts w:ascii="Georgia" w:cs="Georgia" w:eastAsia="Georgia" w:hAnsi="Georgia"/>
          <w:b/>
          <w:bCs/>
          <w:sz w:val="22"/>
          <w:szCs w:val="22"/>
        </w:rPr>
        <w:t xml:space="preserve">repunched mint mark</w:t>
      </w:r>
      <w:r>
        <w:rPr>
          <w:rFonts w:ascii="Georgia" w:cs="Georgia" w:eastAsia="Georgia" w:hAnsi="Georgia"/>
          <w:sz w:val="22"/>
          <w:szCs w:val="22"/>
        </w:rPr>
        <w:t xml:space="preserve"> (RPM) and </w:t>
      </w:r>
      <w:r>
        <w:rPr>
          <w:rFonts w:ascii="Georgia" w:cs="Georgia" w:eastAsia="Georgia" w:hAnsi="Georgia"/>
          <w:b/>
          <w:bCs/>
          <w:sz w:val="22"/>
          <w:szCs w:val="22"/>
        </w:rPr>
        <w:t xml:space="preserve">over-mintmark</w:t>
      </w:r>
      <w:r>
        <w:rPr>
          <w:rFonts w:ascii="Georgia" w:cs="Georgia" w:eastAsia="Georgia" w:hAnsi="Georgia"/>
          <w:sz w:val="22"/>
          <w:szCs w:val="22"/>
        </w:rPr>
        <w:t xml:space="preserve"> (OMM), which arose because mint marks were punched into working dies by hand through 1990; a second, misaligned punch produced collectible doubling of the mintmark, and occasionally one mintmark was punched over another (an S over a D, for example). From 1991 the mint mark was incorporated into the master die, which ended the creation of new repunched varieties and makes the existing population finite. As with doubled dies, the value of an RPM depends entirely on authentication and on the strength and clarity of the repunching, and the same discipline applies: buy the certified, attributed coin, and treat an uncertified “rare variety” offered at a bargain as the warning sign it almost always is.</w:t>
      </w:r>
    </w:p>
    <w:p>
      <w:pPr>
        <w:pStyle w:val="Heading1"/>
        <w:spacing w:after="160" w:before="320"/>
      </w:pPr>
      <w:r>
        <w:rPr>
          <w:rFonts w:ascii="Arial" w:cs="Arial" w:eastAsia="Arial" w:hAnsi="Arial"/>
        </w:rPr>
        <w:t xml:space="preserve">8. Collecting Strategy: Set Architecture and Holding Discipline</w:t>
      </w:r>
    </w:p>
    <w:p>
      <w:pPr>
        <w:spacing w:after="160" w:line="276"/>
        <w:jc w:val="both"/>
      </w:pPr>
      <w:r>
        <w:rPr>
          <w:rFonts w:ascii="Georgia" w:cs="Georgia" w:eastAsia="Georgia" w:hAnsi="Georgia"/>
          <w:sz w:val="22"/>
          <w:szCs w:val="22"/>
        </w:rPr>
        <w:t xml:space="preserve">How a collection is structured determines both its cost and its eventual marketability. Four set architectures dominate the hobby, and the choice among them should be deliberate.</w:t>
      </w:r>
    </w:p>
    <w:p>
      <w:pPr>
        <w:pStyle w:val="Heading2"/>
        <w:spacing w:after="120" w:before="240"/>
      </w:pPr>
      <w:r>
        <w:rPr>
          <w:rFonts w:ascii="Arial" w:cs="Arial" w:eastAsia="Arial" w:hAnsi="Arial"/>
        </w:rPr>
        <w:t xml:space="preserve">8.1 Four Set Architectures</w:t>
      </w:r>
    </w:p>
    <w:p>
      <w:pPr>
        <w:pStyle w:val="ListParagraph"/>
        <w:numPr>
          <w:ilvl w:val="0"/>
          <w:numId w:val="2"/>
        </w:numPr>
        <w:spacing w:after="80" w:line="264"/>
        <w:jc w:val="both"/>
      </w:pPr>
      <w:r>
        <w:rPr>
          <w:rFonts w:ascii="Georgia" w:cs="Georgia" w:eastAsia="Georgia" w:hAnsi="Georgia"/>
          <w:b/>
          <w:bCs/>
          <w:sz w:val="22"/>
          <w:szCs w:val="22"/>
        </w:rPr>
        <w:t xml:space="preserve">The type set</w:t>
      </w:r>
      <w:r>
        <w:rPr>
          <w:rFonts w:ascii="Georgia" w:cs="Georgia" w:eastAsia="Georgia" w:hAnsi="Georgia"/>
          <w:sz w:val="22"/>
          <w:szCs w:val="22"/>
        </w:rPr>
        <w:t xml:space="preserve"> seeks one representative example of each design—one Indian Head cent, one Buffalo nickel, one Morgan dollar, and so on. It is the most efficient architecture, offering the broadest historical sweep for the lowest cost, because it avoids the expensive key dates entirely. For a collector building breadth and historical literacy, it is the recommended starting point.</w:t>
      </w:r>
    </w:p>
    <w:p>
      <w:pPr>
        <w:pStyle w:val="ListParagraph"/>
        <w:numPr>
          <w:ilvl w:val="0"/>
          <w:numId w:val="2"/>
        </w:numPr>
        <w:spacing w:after="80" w:line="264"/>
        <w:jc w:val="both"/>
      </w:pPr>
      <w:r>
        <w:rPr>
          <w:rFonts w:ascii="Georgia" w:cs="Georgia" w:eastAsia="Georgia" w:hAnsi="Georgia"/>
          <w:b/>
          <w:bCs/>
          <w:sz w:val="22"/>
          <w:szCs w:val="22"/>
        </w:rPr>
        <w:t xml:space="preserve">The date set</w:t>
      </w:r>
      <w:r>
        <w:rPr>
          <w:rFonts w:ascii="Georgia" w:cs="Georgia" w:eastAsia="Georgia" w:hAnsi="Georgia"/>
          <w:sz w:val="22"/>
          <w:szCs w:val="22"/>
        </w:rPr>
        <w:t xml:space="preserve"> seeks one example of every year a series was produced, in any mint. It is moderately ambitious and, for most series, attainable without confronting the rarest branch-mint issues.</w:t>
      </w:r>
    </w:p>
    <w:p>
      <w:pPr>
        <w:pStyle w:val="ListParagraph"/>
        <w:numPr>
          <w:ilvl w:val="0"/>
          <w:numId w:val="2"/>
        </w:numPr>
        <w:spacing w:after="80" w:line="264"/>
        <w:jc w:val="both"/>
      </w:pPr>
      <w:r>
        <w:rPr>
          <w:rFonts w:ascii="Georgia" w:cs="Georgia" w:eastAsia="Georgia" w:hAnsi="Georgia"/>
          <w:b/>
          <w:bCs/>
          <w:sz w:val="22"/>
          <w:szCs w:val="22"/>
        </w:rPr>
        <w:t xml:space="preserve">The date-and-mint set</w:t>
      </w:r>
      <w:r>
        <w:rPr>
          <w:rFonts w:ascii="Georgia" w:cs="Georgia" w:eastAsia="Georgia" w:hAnsi="Georgia"/>
          <w:sz w:val="22"/>
          <w:szCs w:val="22"/>
        </w:rPr>
        <w:t xml:space="preserve"> seeks every year-and-mintmark combination. It is the most expensive and demanding architecture because it necessarily includes the key dates—the 1909-S VDB, the 1916-D, the 1893-S—that concentrate a series’ value, and completing it can take years and substantial capital.</w:t>
      </w:r>
    </w:p>
    <w:p>
      <w:pPr>
        <w:pStyle w:val="ListParagraph"/>
        <w:numPr>
          <w:ilvl w:val="0"/>
          <w:numId w:val="2"/>
        </w:numPr>
        <w:spacing w:after="80" w:line="264"/>
        <w:jc w:val="both"/>
      </w:pPr>
      <w:r>
        <w:rPr>
          <w:rFonts w:ascii="Georgia" w:cs="Georgia" w:eastAsia="Georgia" w:hAnsi="Georgia"/>
          <w:b/>
          <w:bCs/>
          <w:sz w:val="22"/>
          <w:szCs w:val="22"/>
        </w:rPr>
        <w:t xml:space="preserve">The variety or error set</w:t>
      </w:r>
      <w:r>
        <w:rPr>
          <w:rFonts w:ascii="Georgia" w:cs="Georgia" w:eastAsia="Georgia" w:hAnsi="Georgia"/>
          <w:sz w:val="22"/>
          <w:szCs w:val="22"/>
        </w:rPr>
        <w:t xml:space="preserve"> and the </w:t>
      </w:r>
      <w:r>
        <w:rPr>
          <w:rFonts w:ascii="Georgia" w:cs="Georgia" w:eastAsia="Georgia" w:hAnsi="Georgia"/>
          <w:b/>
          <w:bCs/>
          <w:sz w:val="22"/>
          <w:szCs w:val="22"/>
        </w:rPr>
        <w:t xml:space="preserve">registry set</w:t>
      </w:r>
      <w:r>
        <w:rPr>
          <w:rFonts w:ascii="Georgia" w:cs="Georgia" w:eastAsia="Georgia" w:hAnsi="Georgia"/>
          <w:sz w:val="22"/>
          <w:szCs w:val="22"/>
        </w:rPr>
        <w:t xml:space="preserve"> are specialist architectures. The variety set pursues recognized die varieties; the registry set, organized through the PCGS and NGC online registries, competes on the combined grade of a defined set and rewards the assembly of finest-known examples—an approach that can drive prices to extraordinary levels but that is appropriate only for committed, well-capitalized collectors.</w:t>
      </w:r>
    </w:p>
    <w:p>
      <w:pPr>
        <w:spacing w:after="160" w:line="276"/>
        <w:jc w:val="both"/>
      </w:pPr>
      <w:r>
        <w:rPr>
          <w:rFonts w:ascii="Georgia" w:cs="Georgia" w:eastAsia="Georgia" w:hAnsi="Georgia"/>
          <w:sz w:val="22"/>
          <w:szCs w:val="22"/>
        </w:rPr>
        <w:t xml:space="preserve">For the reader, the recommended architecture follows directly from the acquisition plan of Section 12: a type-set sensibility for breadth, executed through Dansco albums, anchored by a focused date-and-mint effort on a single series of genuine interest (the Lincoln Wheat cent is the natural choice given the penny thesis), with the keys of that series acquired certified.</w:t>
      </w:r>
    </w:p>
    <w:p>
      <w:pPr>
        <w:pStyle w:val="Heading2"/>
        <w:spacing w:after="120" w:before="240"/>
      </w:pPr>
      <w:r>
        <w:rPr>
          <w:rFonts w:ascii="Arial" w:cs="Arial" w:eastAsia="Arial" w:hAnsi="Arial"/>
        </w:rPr>
        <w:t xml:space="preserve">8.2 Holding Discipline and the Behavioral Traps</w:t>
      </w:r>
    </w:p>
    <w:p>
      <w:pPr>
        <w:spacing w:after="160" w:line="276"/>
        <w:jc w:val="both"/>
      </w:pPr>
      <w:r>
        <w:rPr>
          <w:rFonts w:ascii="Georgia" w:cs="Georgia" w:eastAsia="Georgia" w:hAnsi="Georgia"/>
          <w:sz w:val="22"/>
          <w:szCs w:val="22"/>
        </w:rPr>
        <w:t xml:space="preserve">The return evidence of Section 4 implies a holding discipline. Because transaction costs of 10 to 40 percent are incurred on entry and again on exit, coins must be held long enough to amortize that friction—realistically five years and often longer—before any appreciation accrues to the owner rather than to dealers and auction houses. The corollary is that capital committed to coins should be capital the reader does not expect to need on short notice.</w:t>
      </w:r>
    </w:p>
    <w:p>
      <w:pPr>
        <w:spacing w:after="160" w:line="276"/>
        <w:jc w:val="both"/>
      </w:pPr>
      <w:r>
        <w:rPr>
          <w:rFonts w:ascii="Georgia" w:cs="Georgia" w:eastAsia="Georgia" w:hAnsi="Georgia"/>
          <w:sz w:val="22"/>
          <w:szCs w:val="22"/>
        </w:rPr>
        <w:t xml:space="preserve">Several behavioral traps recur in this market and are worth naming. The </w:t>
      </w:r>
      <w:r>
        <w:rPr>
          <w:rFonts w:ascii="Georgia" w:cs="Georgia" w:eastAsia="Georgia" w:hAnsi="Georgia"/>
          <w:b/>
          <w:bCs/>
          <w:sz w:val="22"/>
          <w:szCs w:val="22"/>
        </w:rPr>
        <w:t xml:space="preserve">novelty trap</w:t>
      </w:r>
      <w:r>
        <w:rPr>
          <w:rFonts w:ascii="Georgia" w:cs="Georgia" w:eastAsia="Georgia" w:hAnsi="Georgia"/>
          <w:sz w:val="22"/>
          <w:szCs w:val="22"/>
        </w:rPr>
        <w:t xml:space="preserve"> is the impulse to overpay for coins whose appeal is a current story rather than structural scarcity—the “last penny 2025” products are the live example. The </w:t>
      </w:r>
      <w:r>
        <w:rPr>
          <w:rFonts w:ascii="Georgia" w:cs="Georgia" w:eastAsia="Georgia" w:hAnsi="Georgia"/>
          <w:b/>
          <w:bCs/>
          <w:sz w:val="22"/>
          <w:szCs w:val="22"/>
        </w:rPr>
        <w:t xml:space="preserve">raw-coin trap</w:t>
      </w:r>
      <w:r>
        <w:rPr>
          <w:rFonts w:ascii="Georgia" w:cs="Georgia" w:eastAsia="Georgia" w:hAnsi="Georgia"/>
          <w:sz w:val="22"/>
          <w:szCs w:val="22"/>
        </w:rPr>
        <w:t xml:space="preserve"> is the purchase of ungraded “key dates” at key-date prices, exposing the buyer to counterfeits and over-grading. The </w:t>
      </w:r>
      <w:r>
        <w:rPr>
          <w:rFonts w:ascii="Georgia" w:cs="Georgia" w:eastAsia="Georgia" w:hAnsi="Georgia"/>
          <w:b/>
          <w:bCs/>
          <w:sz w:val="22"/>
          <w:szCs w:val="22"/>
        </w:rPr>
        <w:t xml:space="preserve">grading trap</w:t>
      </w:r>
      <w:r>
        <w:rPr>
          <w:rFonts w:ascii="Georgia" w:cs="Georgia" w:eastAsia="Georgia" w:hAnsi="Georgia"/>
          <w:sz w:val="22"/>
          <w:szCs w:val="22"/>
        </w:rPr>
        <w:t xml:space="preserve"> is the submission of common coins whose grading fees exceed any value added, in violation of the 3× test. The </w:t>
      </w:r>
      <w:r>
        <w:rPr>
          <w:rFonts w:ascii="Georgia" w:cs="Georgia" w:eastAsia="Georgia" w:hAnsi="Georgia"/>
          <w:b/>
          <w:bCs/>
          <w:sz w:val="22"/>
          <w:szCs w:val="22"/>
        </w:rPr>
        <w:t xml:space="preserve">retail-premium trap</w:t>
      </w:r>
      <w:r>
        <w:rPr>
          <w:rFonts w:ascii="Georgia" w:cs="Georgia" w:eastAsia="Georgia" w:hAnsi="Georgia"/>
          <w:sz w:val="22"/>
          <w:szCs w:val="22"/>
        </w:rPr>
        <w:t xml:space="preserve"> is the purchase of bullion or modern issues from premium-priced television and mail-order retailers at multiples of their melt or market value. And the </w:t>
      </w:r>
      <w:r>
        <w:rPr>
          <w:rFonts w:ascii="Georgia" w:cs="Georgia" w:eastAsia="Georgia" w:hAnsi="Georgia"/>
          <w:b/>
          <w:bCs/>
          <w:sz w:val="22"/>
          <w:szCs w:val="22"/>
        </w:rPr>
        <w:t xml:space="preserve">sunk-cost trap</w:t>
      </w:r>
      <w:r>
        <w:rPr>
          <w:rFonts w:ascii="Georgia" w:cs="Georgia" w:eastAsia="Georgia" w:hAnsi="Georgia"/>
          <w:sz w:val="22"/>
          <w:szCs w:val="22"/>
        </w:rPr>
        <w:t xml:space="preserve"> is the reluctance to sell a declining holding because of what was paid for it. A disciplined collector guards against each by buying structural scarcity, insisting on certification for value coins, applying the 3× test, sourcing competitively, and pricing decisions off current market rather than original cost.</w:t>
      </w:r>
    </w:p>
    <w:p>
      <w:pPr>
        <w:pStyle w:val="Heading1"/>
        <w:spacing w:after="160" w:before="320"/>
      </w:pPr>
      <w:r>
        <w:rPr>
          <w:rFonts w:ascii="Arial" w:cs="Arial" w:eastAsia="Arial" w:hAnsi="Arial"/>
        </w:rPr>
        <w:t xml:space="preserve">9. The Marketplace: Local, Regional, National, and International</w:t>
      </w:r>
    </w:p>
    <w:p>
      <w:pPr>
        <w:pStyle w:val="Heading2"/>
        <w:spacing w:after="120" w:before="240"/>
      </w:pPr>
      <w:r>
        <w:rPr>
          <w:rFonts w:ascii="Arial" w:cs="Arial" w:eastAsia="Arial" w:hAnsi="Arial"/>
        </w:rPr>
        <w:t xml:space="preserve">9.1 Local — Northwest Arkansas</w:t>
      </w:r>
    </w:p>
    <w:p>
      <w:pPr>
        <w:spacing w:after="160" w:line="276"/>
        <w:jc w:val="both"/>
      </w:pPr>
      <w:r>
        <w:rPr>
          <w:rFonts w:ascii="Georgia" w:cs="Georgia" w:eastAsia="Georgia" w:hAnsi="Georgia"/>
          <w:sz w:val="22"/>
          <w:szCs w:val="22"/>
        </w:rPr>
        <w:t xml:space="preserve">For the reader, the nearest market layer is Northwest Arkansas itself. The Northwest Arkansas Coin Club is the regional hub, maintaining a dealer directory and serving as the point of entry into local numismatics; the regional storefront Coin &amp; Currency NWA serves the same area.</w:t>
      </w:r>
      <w:r>
        <w:rPr>
          <w:rStyle w:val="FootnoteReference"/>
        </w:rPr>
        <w:footnoteReference w:id="85"/>
      </w:r>
      <w:r>
        <w:rPr>
          <w:rFonts w:ascii="Georgia" w:cs="Georgia" w:eastAsia="Georgia" w:hAnsi="Georgia"/>
          <w:sz w:val="22"/>
          <w:szCs w:val="22"/>
          <w:vertAlign w:val="superscript"/>
        </w:rPr>
        <w:t xml:space="preserve">,</w:t>
      </w:r>
      <w:r>
        <w:rPr>
          <w:rStyle w:val="FootnoteReference"/>
        </w:rPr>
        <w:footnoteReference w:id="86"/>
      </w:r>
      <w:r>
        <w:rPr>
          <w:rFonts w:ascii="Georgia" w:cs="Georgia" w:eastAsia="Georgia" w:hAnsi="Georgia"/>
          <w:sz w:val="22"/>
          <w:szCs w:val="22"/>
        </w:rPr>
        <w:t xml:space="preserve"> Among identified local dealers are Bentonville Gold Silver &amp; Coins (3500 SW Regional Airport Boulevard, Suite A, Bentonville), a coin dealer operating within the Rose Antique Mall in Rogers, AE NWA in Fayetteville, and C&amp;S Coins in Springdale, alongside individual dealers in Rogers and Bella Vista.</w:t>
      </w:r>
      <w:r>
        <w:rPr>
          <w:rStyle w:val="FootnoteReference"/>
        </w:rPr>
        <w:footnoteReference w:id="87"/>
      </w:r>
      <w:r>
        <w:rPr>
          <w:rFonts w:ascii="Georgia" w:cs="Georgia" w:eastAsia="Georgia" w:hAnsi="Georgia"/>
          <w:sz w:val="22"/>
          <w:szCs w:val="22"/>
          <w:vertAlign w:val="superscript"/>
        </w:rPr>
        <w:t xml:space="preserve">,</w:t>
      </w:r>
      <w:r>
        <w:rPr>
          <w:rStyle w:val="FootnoteReference"/>
        </w:rPr>
        <w:footnoteReference w:id="84"/>
      </w:r>
      <w:r>
        <w:rPr>
          <w:rFonts w:ascii="Georgia" w:cs="Georgia" w:eastAsia="Georgia" w:hAnsi="Georgia"/>
          <w:sz w:val="22"/>
          <w:szCs w:val="22"/>
        </w:rPr>
        <w:t xml:space="preserve"> Two practical cautions apply. First, several listings that surface in local searches are pawn or jewelry shops rather than full-service numismatic dealers, and their buy prices on collectible coins may reflect that. Second, ownership and hours change; the reader should verify any dealer by telephone and confirm credentials—ANA membership, and ideally membership in the Professional Numismatists Guild—before transacting in quantity.</w:t>
      </w:r>
      <w:r>
        <w:rPr>
          <w:rStyle w:val="FootnoteReference"/>
        </w:rPr>
        <w:footnoteReference w:id="88"/>
      </w:r>
    </w:p>
    <w:p>
      <w:pPr>
        <w:pStyle w:val="Heading2"/>
        <w:spacing w:after="120" w:before="240"/>
      </w:pPr>
      <w:r>
        <w:rPr>
          <w:rFonts w:ascii="Arial" w:cs="Arial" w:eastAsia="Arial" w:hAnsi="Arial"/>
        </w:rPr>
        <w:t xml:space="preserve">9.2 Regional — The Neighboring States</w:t>
      </w:r>
    </w:p>
    <w:p>
      <w:pPr>
        <w:spacing w:after="160" w:line="276"/>
        <w:jc w:val="both"/>
      </w:pPr>
      <w:r>
        <w:rPr>
          <w:rFonts w:ascii="Georgia" w:cs="Georgia" w:eastAsia="Georgia" w:hAnsi="Georgia"/>
          <w:sz w:val="22"/>
          <w:szCs w:val="22"/>
        </w:rPr>
        <w:t xml:space="preserve">Radiating outward, the regional market spans Arkansas (Little Rock dealers; DBKJ Coins in Fort Smith), Missouri (the Joplin area), Oklahoma (Tulsa and Oklahoma City; Mid-America Coins in nearby Grove), Tennessee, Kansas, and Louisiana. Most consequentially for the reader, Dallas, Texas, is the headquarters of Heritage Auctions—the largest numismatic auctioneer in the world—placing the single most important national venue within a day’s drive.</w:t>
      </w:r>
      <w:r>
        <w:rPr>
          <w:rStyle w:val="FootnoteReference"/>
        </w:rPr>
        <w:footnoteReference w:id="89"/>
      </w:r>
      <w:r>
        <w:rPr>
          <w:rFonts w:ascii="Georgia" w:cs="Georgia" w:eastAsia="Georgia" w:hAnsi="Georgia"/>
          <w:sz w:val="22"/>
          <w:szCs w:val="22"/>
        </w:rPr>
        <w:t xml:space="preserve"> Regional coin shows rotate through these metropolitan areas and offer an efficient way to compare many dealers’ inventories in a single visit.</w:t>
      </w:r>
    </w:p>
    <w:p>
      <w:pPr>
        <w:pStyle w:val="Heading2"/>
        <w:spacing w:after="120" w:before="240"/>
      </w:pPr>
      <w:r>
        <w:rPr>
          <w:rFonts w:ascii="Arial" w:cs="Arial" w:eastAsia="Arial" w:hAnsi="Arial"/>
        </w:rPr>
        <w:t xml:space="preserve">9.3 National and Online</w:t>
      </w:r>
    </w:p>
    <w:p>
      <w:pPr>
        <w:spacing w:after="160" w:line="276"/>
        <w:jc w:val="both"/>
      </w:pPr>
      <w:r>
        <w:rPr>
          <w:rFonts w:ascii="Georgia" w:cs="Georgia" w:eastAsia="Georgia" w:hAnsi="Georgia"/>
          <w:sz w:val="22"/>
          <w:szCs w:val="22"/>
        </w:rPr>
        <w:t xml:space="preserve">The national market divides into bullion dealers, auction houses, retail dealers, and reference and price-discovery services. On the bullion side, APMEX, JM Bullion, SD Bullion, and Provident Metals are the principal high-volume sellers. On the auction side, Heritage Auctions is the largest, transacting more than a billion dollars in numismatics annually; Stack’s Bowers Galleries occupies the prestige tier and handles many record sales; and GreatCollections specializes in certified coins and is notable for charging consignors no seller’s commission.</w:t>
      </w:r>
      <w:r>
        <w:rPr>
          <w:rStyle w:val="FootnoteReference"/>
        </w:rPr>
        <w:footnoteReference w:id="89"/>
      </w:r>
      <w:r>
        <w:rPr>
          <w:rFonts w:ascii="Georgia" w:cs="Georgia" w:eastAsia="Georgia" w:hAnsi="Georgia"/>
          <w:sz w:val="22"/>
          <w:szCs w:val="22"/>
          <w:vertAlign w:val="superscript"/>
        </w:rPr>
        <w:t xml:space="preserve">,</w:t>
      </w:r>
      <w:r>
        <w:rPr>
          <w:rStyle w:val="FootnoteReference"/>
        </w:rPr>
        <w:footnoteReference w:id="94"/>
      </w:r>
      <w:r>
        <w:rPr>
          <w:rFonts w:ascii="Georgia" w:cs="Georgia" w:eastAsia="Georgia" w:hAnsi="Georgia"/>
          <w:sz w:val="22"/>
          <w:szCs w:val="22"/>
          <w:vertAlign w:val="superscript"/>
        </w:rPr>
        <w:t xml:space="preserve">,</w:t>
      </w:r>
      <w:r>
        <w:rPr>
          <w:rStyle w:val="FootnoteReference"/>
        </w:rPr>
        <w:footnoteReference w:id="93"/>
      </w:r>
      <w:r>
        <w:rPr>
          <w:rFonts w:ascii="Georgia" w:cs="Georgia" w:eastAsia="Georgia" w:hAnsi="Georgia"/>
          <w:sz w:val="22"/>
          <w:szCs w:val="22"/>
        </w:rPr>
        <w:t xml:space="preserve"> David Lawrence Rare Coins and Legend Numismatics round out the major dealer-auctioneers.</w:t>
      </w:r>
      <w:r>
        <w:rPr>
          <w:rStyle w:val="FootnoteReference"/>
        </w:rPr>
        <w:footnoteReference w:id="95"/>
      </w:r>
      <w:r>
        <w:rPr>
          <w:rFonts w:ascii="Georgia" w:cs="Georgia" w:eastAsia="Georgia" w:hAnsi="Georgia"/>
          <w:sz w:val="22"/>
          <w:szCs w:val="22"/>
        </w:rPr>
        <w:t xml:space="preserve"> Among retail dealers, Littleton Coin is beginner-friendly but carries higher premiums, and GovMint should be approached with caution as a premium-priced retailer. For price discovery, PCGS CoinFacts and the NGC price guide and census are the standard public references, the Greysheet (Coin Dealer Newsletter) reports wholesale bid/ask levels, and eBay—used through its completed/sold-listing data and with insistence on PCGS or NGC certification numbers—provides a real-time read on transaction prices.</w:t>
      </w:r>
      <w:r>
        <w:rPr>
          <w:rStyle w:val="FootnoteReference"/>
        </w:rPr>
        <w:footnoteReference w:id="96"/>
      </w:r>
      <w:r>
        <w:rPr>
          <w:rFonts w:ascii="Georgia" w:cs="Georgia" w:eastAsia="Georgia" w:hAnsi="Georgia"/>
          <w:sz w:val="22"/>
          <w:szCs w:val="22"/>
          <w:vertAlign w:val="superscript"/>
        </w:rPr>
        <w:t xml:space="preserve">,</w:t>
      </w:r>
      <w:r>
        <w:rPr>
          <w:rStyle w:val="FootnoteReference"/>
        </w:rPr>
        <w:footnoteReference w:id="97"/>
      </w:r>
    </w:p>
    <w:p>
      <w:pPr>
        <w:pStyle w:val="Heading2"/>
        <w:spacing w:after="120" w:before="240"/>
      </w:pPr>
      <w:r>
        <w:rPr>
          <w:rFonts w:ascii="Arial" w:cs="Arial" w:eastAsia="Arial" w:hAnsi="Arial"/>
        </w:rPr>
        <w:t xml:space="preserve">9.4 International</w:t>
      </w:r>
    </w:p>
    <w:p>
      <w:pPr>
        <w:spacing w:after="160" w:line="276"/>
        <w:jc w:val="both"/>
      </w:pPr>
      <w:r>
        <w:rPr>
          <w:rFonts w:ascii="Georgia" w:cs="Georgia" w:eastAsia="Georgia" w:hAnsi="Georgia"/>
          <w:sz w:val="22"/>
          <w:szCs w:val="22"/>
        </w:rPr>
        <w:t xml:space="preserve">For world coinage, the international layer matters. British and European dealers and auction houses are the natural sources for European material; Mexican Libertads can be sourced from Banco de México and the Casa de Moneda de México; and the Royal Canadian Mint, the Royal Mint in the United Kingdom, and the Perth Mint in Australia issue the principal Commonwealth bullion.</w:t>
      </w:r>
      <w:r>
        <w:rPr>
          <w:rStyle w:val="FootnoteReference"/>
        </w:rPr>
        <w:footnoteReference w:id="79"/>
      </w:r>
      <w:r>
        <w:rPr>
          <w:rFonts w:ascii="Georgia" w:cs="Georgia" w:eastAsia="Georgia" w:hAnsi="Georgia"/>
          <w:sz w:val="22"/>
          <w:szCs w:val="22"/>
        </w:rPr>
        <w:t xml:space="preserve"> Cross-border purchases introduce import duties, currency risk, and shipping exposure that should be priced into any decision.</w:t>
      </w:r>
    </w:p>
    <w:p>
      <w:pPr>
        <w:pStyle w:val="Heading2"/>
        <w:spacing w:after="120" w:before="240"/>
      </w:pPr>
      <w:r>
        <w:rPr>
          <w:rFonts w:ascii="Arial" w:cs="Arial" w:eastAsia="Arial" w:hAnsi="Arial"/>
        </w:rPr>
        <w:t xml:space="preserve">9.5 Auctions and Bidding Mechanics</w:t>
      </w:r>
    </w:p>
    <w:p>
      <w:pPr>
        <w:spacing w:after="160" w:line="276"/>
        <w:jc w:val="both"/>
      </w:pPr>
      <w:r>
        <w:rPr>
          <w:rFonts w:ascii="Georgia" w:cs="Georgia" w:eastAsia="Georgia" w:hAnsi="Georgia"/>
          <w:sz w:val="22"/>
          <w:szCs w:val="22"/>
        </w:rPr>
        <w:t xml:space="preserve">Because auctions are where the best material trades, their mechanics deserve precise treatment. The major houses charge a buyer’s premium—an amount added to the hammer price—of 20 percent, with Heritage raising its premium to 22 percent for U.S. coins effective January 1, 2026, and adding roughly 3 percent for card or certain online payments.</w:t>
      </w:r>
      <w:r>
        <w:rPr>
          <w:rStyle w:val="FootnoteReference"/>
        </w:rPr>
        <w:footnoteReference w:id="90"/>
      </w:r>
      <w:r>
        <w:rPr>
          <w:rFonts w:ascii="Georgia" w:cs="Georgia" w:eastAsia="Georgia" w:hAnsi="Georgia"/>
          <w:sz w:val="22"/>
          <w:szCs w:val="22"/>
          <w:vertAlign w:val="superscript"/>
        </w:rPr>
        <w:t xml:space="preserve">,</w:t>
      </w:r>
      <w:r>
        <w:rPr>
          <w:rStyle w:val="FootnoteReference"/>
        </w:rPr>
        <w:footnoteReference w:id="89"/>
      </w:r>
      <w:r>
        <w:rPr>
          <w:rFonts w:ascii="Georgia" w:cs="Georgia" w:eastAsia="Georgia" w:hAnsi="Georgia"/>
          <w:sz w:val="22"/>
          <w:szCs w:val="22"/>
        </w:rPr>
        <w:t xml:space="preserve"> Seller’s commissions of about 10 percent are common but negotiable, sliding toward zero on seven-figure consignments; GreatCollections, as noted, charges sellers nothing and buyers roughly 10 percent on electronic-check or wire payment.</w:t>
      </w:r>
      <w:r>
        <w:rPr>
          <w:rStyle w:val="FootnoteReference"/>
        </w:rPr>
        <w:footnoteReference w:id="91"/>
      </w:r>
      <w:r>
        <w:rPr>
          <w:rFonts w:ascii="Georgia" w:cs="Georgia" w:eastAsia="Georgia" w:hAnsi="Georgia"/>
          <w:sz w:val="22"/>
          <w:szCs w:val="22"/>
          <w:vertAlign w:val="superscript"/>
        </w:rPr>
        <w:t xml:space="preserve">,</w:t>
      </w:r>
      <w:r>
        <w:rPr>
          <w:rStyle w:val="FootnoteReference"/>
        </w:rPr>
        <w:footnoteReference w:id="92"/>
      </w:r>
      <w:r>
        <w:rPr>
          <w:rFonts w:ascii="Georgia" w:cs="Georgia" w:eastAsia="Georgia" w:hAnsi="Georgia"/>
          <w:sz w:val="22"/>
          <w:szCs w:val="22"/>
          <w:vertAlign w:val="superscript"/>
        </w:rPr>
        <w:t xml:space="preserve">,</w:t>
      </w:r>
      <w:r>
        <w:rPr>
          <w:rStyle w:val="FootnoteReference"/>
        </w:rPr>
        <w:footnoteReference w:id="93"/>
      </w:r>
      <w:r>
        <w:rPr>
          <w:rFonts w:ascii="Georgia" w:cs="Georgia" w:eastAsia="Georgia" w:hAnsi="Georgia"/>
          <w:sz w:val="22"/>
          <w:szCs w:val="22"/>
        </w:rPr>
        <w:t xml:space="preserve"> The arithmetic is unforgiving and must be internalized: a $10,000 hammer can cost a buyer about $12,200 and net a seller about $9,000—a round-trip spread of roughly a third before any change in the coin’s underlying value. The disciplined bidder reads the realized-price archives (Heritage and PCGS Auction Prices), backs the buyer’s premium out of his maximum bid, distinguishes reserve from no-reserve lots, and—on eBay-style timed auctions—uses snipe timing rather than early bidding. Payment from the major houses to consignors typically lags the sale by 45 to 60 days.</w:t>
      </w:r>
      <w:r>
        <w:rPr>
          <w:rStyle w:val="FootnoteReference"/>
        </w:rPr>
        <w:footnoteReference w:id="89"/>
      </w:r>
      <w:r>
        <w:rPr>
          <w:rFonts w:ascii="Georgia" w:cs="Georgia" w:eastAsia="Georgia" w:hAnsi="Georgia"/>
          <w:sz w:val="22"/>
          <w:szCs w:val="22"/>
          <w:vertAlign w:val="superscript"/>
        </w:rPr>
        <w:t xml:space="preserve">,</w:t>
      </w:r>
      <w:r>
        <w:rPr>
          <w:rStyle w:val="FootnoteReference"/>
        </w:rPr>
        <w:footnoteReference w:id="92"/>
      </w:r>
    </w:p>
    <w:p>
      <w:pPr>
        <w:pStyle w:val="Heading2"/>
        <w:spacing w:after="120" w:before="240"/>
      </w:pPr>
      <w:r>
        <w:rPr>
          <w:rFonts w:ascii="Arial" w:cs="Arial" w:eastAsia="Arial" w:hAnsi="Arial"/>
        </w:rPr>
        <w:t xml:space="preserve">9.6 The Arkansas Tax Advantage</w:t>
      </w:r>
    </w:p>
    <w:p>
      <w:pPr>
        <w:spacing w:after="160" w:line="276"/>
        <w:jc w:val="both"/>
      </w:pPr>
      <w:r>
        <w:rPr>
          <w:rFonts w:ascii="Georgia" w:cs="Georgia" w:eastAsia="Georgia" w:hAnsi="Georgia"/>
          <w:sz w:val="22"/>
          <w:szCs w:val="22"/>
        </w:rPr>
        <w:t xml:space="preserve">A decisive structural advantage for the reader is Arkansas tax law. Since October 1, 2021, Arkansas has exempted coins, currency, and bullion from state sales and use tax under Senate Bill 336, codified at Arkansas Code Annotated § 26-52-454, and in 2023 it eliminated the state capital-gains tax on the sale or exchange of precious-metal bullion through House Bill 1718.</w:t>
      </w:r>
      <w:r>
        <w:rPr>
          <w:rStyle w:val="FootnoteReference"/>
        </w:rPr>
        <w:footnoteReference w:id="101"/>
      </w:r>
      <w:r>
        <w:rPr>
          <w:rFonts w:ascii="Georgia" w:cs="Georgia" w:eastAsia="Georgia" w:hAnsi="Georgia"/>
          <w:sz w:val="22"/>
          <w:szCs w:val="22"/>
          <w:vertAlign w:val="superscript"/>
        </w:rPr>
        <w:t xml:space="preserve">,</w:t>
      </w:r>
      <w:r>
        <w:rPr>
          <w:rStyle w:val="FootnoteReference"/>
        </w:rPr>
        <w:footnoteReference w:id="102"/>
      </w:r>
      <w:r>
        <w:rPr>
          <w:rFonts w:ascii="Georgia" w:cs="Georgia" w:eastAsia="Georgia" w:hAnsi="Georgia"/>
          <w:sz w:val="22"/>
          <w:szCs w:val="22"/>
        </w:rPr>
        <w:t xml:space="preserve"> These measures place Arkansas at number five on the Sound Money Defense League’s Sound Money Index and make it one of the most favorable U.S. states in which to accumulate and dispose of bullion and coins.</w:t>
      </w:r>
      <w:r>
        <w:rPr>
          <w:rStyle w:val="FootnoteReference"/>
        </w:rPr>
        <w:footnoteReference w:id="103"/>
      </w:r>
      <w:r>
        <w:rPr>
          <w:rFonts w:ascii="Georgia" w:cs="Georgia" w:eastAsia="Georgia" w:hAnsi="Georgia"/>
          <w:sz w:val="22"/>
          <w:szCs w:val="22"/>
        </w:rPr>
        <w:t xml:space="preserve"> Federal taxation is unaffected: the Internal Revenue Service taxes gains on coins held as collectibles at a maximum rate of 28 percent, higher than the rate on most long-term capital gains, and that federal treatment should be factored into any sale.</w:t>
      </w:r>
      <w:r>
        <w:rPr>
          <w:rStyle w:val="FootnoteReference"/>
        </w:rPr>
        <w:footnoteReference w:id="104"/>
      </w:r>
    </w:p>
    <w:p>
      <w:pPr>
        <w:pStyle w:val="Heading2"/>
        <w:spacing w:after="120" w:before="240"/>
      </w:pPr>
      <w:r>
        <w:rPr>
          <w:rFonts w:ascii="Arial" w:cs="Arial" w:eastAsia="Arial" w:hAnsi="Arial"/>
        </w:rPr>
        <w:t xml:space="preserve">9.7 Coin Shows and Bourse Buying</w:t>
      </w:r>
    </w:p>
    <w:p>
      <w:pPr>
        <w:spacing w:after="160" w:line="276"/>
        <w:jc w:val="both"/>
      </w:pPr>
      <w:r>
        <w:rPr>
          <w:rFonts w:ascii="Georgia" w:cs="Georgia" w:eastAsia="Georgia" w:hAnsi="Georgia"/>
          <w:sz w:val="22"/>
          <w:szCs w:val="22"/>
        </w:rPr>
        <w:t xml:space="preserve">A venue absent from the online-versus-local dichotomy but central to serious collecting is the coin show. Shows range from small monthly local gatherings—often organized by clubs such as the Northwest Arkansas Coin Club—through major regional events to the American Numismatic Association’s twice-yearly National Money Show and World’s Fair of Money, the latter assembling hundreds of dealers on a single bourse floor.</w:t>
      </w:r>
      <w:r>
        <w:rPr>
          <w:rStyle w:val="FootnoteReference"/>
        </w:rPr>
        <w:footnoteReference w:id="85"/>
      </w:r>
      <w:r>
        <w:rPr>
          <w:rFonts w:ascii="Georgia" w:cs="Georgia" w:eastAsia="Georgia" w:hAnsi="Georgia"/>
          <w:sz w:val="22"/>
          <w:szCs w:val="22"/>
          <w:vertAlign w:val="superscript"/>
        </w:rPr>
        <w:t xml:space="preserve">,</w:t>
      </w:r>
      <w:r>
        <w:rPr>
          <w:rStyle w:val="FootnoteReference"/>
        </w:rPr>
        <w:footnoteReference w:id="84"/>
      </w:r>
      <w:r>
        <w:rPr>
          <w:rFonts w:ascii="Georgia" w:cs="Georgia" w:eastAsia="Georgia" w:hAnsi="Georgia"/>
          <w:sz w:val="22"/>
          <w:szCs w:val="22"/>
        </w:rPr>
        <w:t xml:space="preserve"> The show floor offers advantages no other channel matches: the ability to examine many coins in hand before buying, to compare competing examples of the same date side by side, to negotiate face to face, and to build relationships with dealers who will later source specific wants and extend trust on return privileges. Prices at shows are frequently more favorable than retail precisely because dealers compete within sight of one another and because a dealer carrying inventory at a show has a motive to turn it.</w:t>
      </w:r>
    </w:p>
    <w:p>
      <w:pPr>
        <w:spacing w:after="160" w:line="276"/>
        <w:jc w:val="both"/>
      </w:pPr>
      <w:r>
        <w:rPr>
          <w:rFonts w:ascii="Georgia" w:cs="Georgia" w:eastAsia="Georgia" w:hAnsi="Georgia"/>
          <w:sz w:val="22"/>
          <w:szCs w:val="22"/>
        </w:rPr>
        <w:t xml:space="preserve">Shows also concentrate the major third-party graders, who staff on-site submission desks at the largest events, allowing a collector to submit coins for grading—and sometimes receive them back—without mailing. The reciprocal caution is that the same density of activity attracts altered and counterfeit material, so the authentication discipline of Section 10 applies with full force: examine carefully, prefer certified coins for anything of consequence, and deal preferentially with members of the Professional Numismatists Guild, whose code of ethics and buy-back commitments provide recourse.</w:t>
      </w:r>
      <w:r>
        <w:rPr>
          <w:rStyle w:val="FootnoteReference"/>
        </w:rPr>
        <w:footnoteReference w:id="88"/>
      </w:r>
      <w:r>
        <w:rPr>
          <w:rFonts w:ascii="Georgia" w:cs="Georgia" w:eastAsia="Georgia" w:hAnsi="Georgia"/>
          <w:sz w:val="22"/>
          <w:szCs w:val="22"/>
        </w:rPr>
        <w:t xml:space="preserve"> For the reader, attending regional shows is among the most efficient ways to compress the learning curve, calibrate market prices by direct observation, and acquire coins at keener prices than the certified-online market typically offers.</w:t>
      </w:r>
    </w:p>
    <w:p>
      <w:pPr>
        <w:pStyle w:val="Heading1"/>
        <w:spacing w:after="160" w:before="320"/>
      </w:pPr>
      <w:r>
        <w:rPr>
          <w:rFonts w:ascii="Arial" w:cs="Arial" w:eastAsia="Arial" w:hAnsi="Arial"/>
        </w:rPr>
        <w:t xml:space="preserve">10. Custody, Insurance, and Counterfeit Risk</w:t>
      </w:r>
    </w:p>
    <w:p>
      <w:pPr>
        <w:pStyle w:val="Heading2"/>
        <w:spacing w:after="120" w:before="240"/>
      </w:pPr>
      <w:r>
        <w:rPr>
          <w:rFonts w:ascii="Arial" w:cs="Arial" w:eastAsia="Arial" w:hAnsi="Arial"/>
        </w:rPr>
        <w:t xml:space="preserve">10.1 Storage and Albums</w:t>
      </w:r>
    </w:p>
    <w:p>
      <w:pPr>
        <w:spacing w:after="160" w:line="276"/>
        <w:jc w:val="both"/>
      </w:pPr>
      <w:r>
        <w:rPr>
          <w:rFonts w:ascii="Georgia" w:cs="Georgia" w:eastAsia="Georgia" w:hAnsi="Georgia"/>
          <w:sz w:val="22"/>
          <w:szCs w:val="22"/>
        </w:rPr>
        <w:t xml:space="preserve">Physical custody is part of the cost and part of the craft. For series collecting, the Dansco Supreme album line offers purpose-built products: the No. 7099 for Large Cents (1793–1857), the No. 7101 for Flying Eagle and Indian Head cents (1857–1909), the No. 7100 and No. 8100 for the Lincoln series (the latter including proof slots), the No. 7103 for Lincoln Wheat cents (1909–1958), the No. 7098 for half cents, and a dedicated Union Shield album for 2010 and later issues; 2026 pricing runs roughly $44 to $65 per album.</w:t>
      </w:r>
      <w:r>
        <w:rPr>
          <w:rStyle w:val="FootnoteReference"/>
        </w:rPr>
        <w:footnoteReference w:id="99"/>
      </w:r>
      <w:r>
        <w:rPr>
          <w:rFonts w:ascii="Georgia" w:cs="Georgia" w:eastAsia="Georgia" w:hAnsi="Georgia"/>
          <w:sz w:val="22"/>
          <w:szCs w:val="22"/>
          <w:vertAlign w:val="superscript"/>
        </w:rPr>
        <w:t xml:space="preserve">,</w:t>
      </w:r>
      <w:r>
        <w:rPr>
          <w:rStyle w:val="FootnoteReference"/>
        </w:rPr>
        <w:footnoteReference w:id="98"/>
      </w:r>
      <w:r>
        <w:rPr>
          <w:rFonts w:ascii="Georgia" w:cs="Georgia" w:eastAsia="Georgia" w:hAnsi="Georgia"/>
          <w:sz w:val="22"/>
          <w:szCs w:val="22"/>
        </w:rPr>
        <w:t xml:space="preserve"> For day-to-day handling, cardboard 2×2 “flips” (with the staple set away from the coin) suit low-value pieces, inert Air-Tite capsules suit better coins, and graded slabs protect the keys. The 2026 edition of A Guide Book of United States Coins—the “Red Book,” now in its 79th edition—remains the standard one-volume reference for identification and retail valuation.</w:t>
      </w:r>
      <w:r>
        <w:rPr>
          <w:rStyle w:val="FootnoteReference"/>
        </w:rPr>
        <w:footnoteReference w:id="100"/>
      </w:r>
    </w:p>
    <w:p>
      <w:pPr>
        <w:spacing w:after="160" w:line="276"/>
        <w:jc w:val="both"/>
      </w:pPr>
      <w:r>
        <w:rPr>
          <w:rFonts w:ascii="Georgia" w:cs="Georgia" w:eastAsia="Georgia" w:hAnsi="Georgia"/>
          <w:sz w:val="22"/>
          <w:szCs w:val="22"/>
        </w:rPr>
        <w:t xml:space="preserve">Environmental control is non-negotiable for anything of value. Coins should be kept at low, stable humidity and temperature; should never touch PVC; and benefit from anti-tarnish storage (such as Intercept Shield boxes). Significant holdings warrant a fire- and burglary-rated home safe or a bank safe-deposit box, and the collection should be documented with photographs, certification numbers, and cost basis for both insurance and eventual disposition.</w:t>
      </w:r>
    </w:p>
    <w:p>
      <w:pPr>
        <w:pStyle w:val="Heading2"/>
        <w:spacing w:after="120" w:before="240"/>
      </w:pPr>
      <w:r>
        <w:rPr>
          <w:rFonts w:ascii="Arial" w:cs="Arial" w:eastAsia="Arial" w:hAnsi="Arial"/>
        </w:rPr>
        <w:t xml:space="preserve">10.2 Insurance</w:t>
      </w:r>
    </w:p>
    <w:p>
      <w:pPr>
        <w:spacing w:after="160" w:line="276"/>
        <w:jc w:val="both"/>
      </w:pPr>
      <w:r>
        <w:rPr>
          <w:rFonts w:ascii="Georgia" w:cs="Georgia" w:eastAsia="Georgia" w:hAnsi="Georgia"/>
          <w:sz w:val="22"/>
          <w:szCs w:val="22"/>
        </w:rPr>
        <w:t xml:space="preserve">Standard homeowner policies typically cap coverage for coins and collectibles at a very low sub-limit, so dedicated coverage is appropriate once a collection has meaningful value. Specialist collectibles insurers—Collectibles Insurance Services and Hugh Wood Inc. among them—write policies (or scheduled riders) tailored to numismatic holdings, generally at modest annual cost relative to the insured value.</w:t>
      </w:r>
      <w:r>
        <w:rPr>
          <w:rStyle w:val="FootnoteReference"/>
        </w:rPr>
        <w:footnoteReference w:id="105"/>
      </w:r>
      <w:r>
        <w:rPr>
          <w:rFonts w:ascii="Georgia" w:cs="Georgia" w:eastAsia="Georgia" w:hAnsi="Georgia"/>
          <w:sz w:val="22"/>
          <w:szCs w:val="22"/>
        </w:rPr>
        <w:t xml:space="preserve"> The reader should obtain such coverage once holdings exceed roughly $10,000 and should keep the supporting inventory current.</w:t>
      </w:r>
    </w:p>
    <w:p>
      <w:pPr>
        <w:pStyle w:val="Heading2"/>
        <w:spacing w:after="120" w:before="240"/>
      </w:pPr>
      <w:r>
        <w:rPr>
          <w:rFonts w:ascii="Arial" w:cs="Arial" w:eastAsia="Arial" w:hAnsi="Arial"/>
        </w:rPr>
        <w:t xml:space="preserve">10.3 Counterfeit Risk and Authentication</w:t>
      </w:r>
    </w:p>
    <w:p>
      <w:pPr>
        <w:spacing w:after="160" w:line="276"/>
        <w:jc w:val="both"/>
      </w:pPr>
      <w:r>
        <w:rPr>
          <w:rFonts w:ascii="Georgia" w:cs="Georgia" w:eastAsia="Georgia" w:hAnsi="Georgia"/>
          <w:sz w:val="22"/>
          <w:szCs w:val="22"/>
        </w:rPr>
        <w:t xml:space="preserve">Counterfeiting is the gravest practical risk in the hobby, and it concentrates exactly where value does. The coins most heavily faked are the famous keys and precious-metal pieces—among them the 1909-S VDB cent, the 1916-D Mercury dime, the 1943 bronze cent, the 1937-D Three-Legged Buffalo nickel, and the 1893-S Morgan dollar.</w:t>
      </w:r>
      <w:r>
        <w:rPr>
          <w:rStyle w:val="FootnoteReference"/>
        </w:rPr>
        <w:footnoteReference w:id="106"/>
      </w:r>
      <w:r>
        <w:rPr>
          <w:rFonts w:ascii="Georgia" w:cs="Georgia" w:eastAsia="Georgia" w:hAnsi="Georgia"/>
          <w:sz w:val="22"/>
          <w:szCs w:val="22"/>
        </w:rPr>
        <w:t xml:space="preserve"> The single most effective defense is to buy these coins already certified by PCGS or NGC, or to have a raw candidate authenticated before paying any numismatic premium; the graders publish counterfeit-detection resources, and their tamper-evident holders, combined with verifiable certification numbers, are the market’s primary safeguard.</w:t>
      </w:r>
      <w:r>
        <w:rPr>
          <w:rStyle w:val="FootnoteReference"/>
        </w:rPr>
        <w:footnoteReference w:id="106"/>
      </w:r>
      <w:r>
        <w:rPr>
          <w:rFonts w:ascii="Georgia" w:cs="Georgia" w:eastAsia="Georgia" w:hAnsi="Georgia"/>
          <w:sz w:val="22"/>
          <w:szCs w:val="22"/>
          <w:vertAlign w:val="superscript"/>
        </w:rPr>
        <w:t xml:space="preserve">,</w:t>
      </w:r>
      <w:r>
        <w:rPr>
          <w:rStyle w:val="FootnoteReference"/>
        </w:rPr>
        <w:footnoteReference w:id="30"/>
      </w:r>
    </w:p>
    <w:p>
      <w:pPr>
        <w:pStyle w:val="Heading2"/>
        <w:spacing w:after="120" w:before="240"/>
      </w:pPr>
      <w:r>
        <w:rPr>
          <w:rFonts w:ascii="Arial" w:cs="Arial" w:eastAsia="Arial" w:hAnsi="Arial"/>
        </w:rPr>
        <w:t xml:space="preserve">10.4 Practical Counterfeit Detection</w:t>
      </w:r>
    </w:p>
    <w:p>
      <w:pPr>
        <w:spacing w:after="160" w:line="276"/>
        <w:jc w:val="both"/>
      </w:pPr>
      <w:r>
        <w:rPr>
          <w:rFonts w:ascii="Georgia" w:cs="Georgia" w:eastAsia="Georgia" w:hAnsi="Georgia"/>
          <w:sz w:val="22"/>
          <w:szCs w:val="22"/>
        </w:rPr>
        <w:t xml:space="preserve">Because certification is not always possible before purchase—at a coin show, an estate sale, or a local shop—the collector should command a working toolkit of first-line tests. Counterfeits fall into three broad classes: </w:t>
      </w:r>
      <w:r>
        <w:rPr>
          <w:rFonts w:ascii="Georgia" w:cs="Georgia" w:eastAsia="Georgia" w:hAnsi="Georgia"/>
          <w:b/>
          <w:bCs/>
          <w:sz w:val="22"/>
          <w:szCs w:val="22"/>
        </w:rPr>
        <w:t xml:space="preserve">cast fakes</w:t>
      </w:r>
      <w:r>
        <w:rPr>
          <w:rFonts w:ascii="Georgia" w:cs="Georgia" w:eastAsia="Georgia" w:hAnsi="Georgia"/>
          <w:sz w:val="22"/>
          <w:szCs w:val="22"/>
        </w:rPr>
        <w:t xml:space="preserve">, recognizable by a slightly soft strike, a grainy or pitted surface, and seams or file marks along the edge where the casting mold met; </w:t>
      </w:r>
      <w:r>
        <w:rPr>
          <w:rFonts w:ascii="Georgia" w:cs="Georgia" w:eastAsia="Georgia" w:hAnsi="Georgia"/>
          <w:b/>
          <w:bCs/>
          <w:sz w:val="22"/>
          <w:szCs w:val="22"/>
        </w:rPr>
        <w:t xml:space="preserve">die-struck counterfeits</w:t>
      </w:r>
      <w:r>
        <w:rPr>
          <w:rFonts w:ascii="Georgia" w:cs="Georgia" w:eastAsia="Georgia" w:hAnsi="Georgia"/>
          <w:sz w:val="22"/>
          <w:szCs w:val="22"/>
        </w:rPr>
        <w:t xml:space="preserve">, which are harder to detect and require comparison against known die diagnostics; and </w:t>
      </w:r>
      <w:r>
        <w:rPr>
          <w:rFonts w:ascii="Georgia" w:cs="Georgia" w:eastAsia="Georgia" w:hAnsi="Georgia"/>
          <w:b/>
          <w:bCs/>
          <w:sz w:val="22"/>
          <w:szCs w:val="22"/>
        </w:rPr>
        <w:t xml:space="preserve">altered genuine coins</w:t>
      </w:r>
      <w:r>
        <w:rPr>
          <w:rFonts w:ascii="Georgia" w:cs="Georgia" w:eastAsia="Georgia" w:hAnsi="Georgia"/>
          <w:sz w:val="22"/>
          <w:szCs w:val="22"/>
        </w:rPr>
        <w:t xml:space="preserve">, in which a real coin is modified to impersonate a rarity—an added or removed mint mark, or a changed date, such as a 1944 cent reworked into a “1914-D” or a Philadelphia coin given an added “S.”</w:t>
      </w:r>
    </w:p>
    <w:p>
      <w:pPr>
        <w:spacing w:after="160" w:line="276"/>
        <w:jc w:val="both"/>
      </w:pPr>
      <w:r>
        <w:rPr>
          <w:rFonts w:ascii="Georgia" w:cs="Georgia" w:eastAsia="Georgia" w:hAnsi="Georgia"/>
          <w:sz w:val="22"/>
          <w:szCs w:val="22"/>
        </w:rPr>
        <w:t xml:space="preserve">Four inexpensive tests catch a large share of fakes. The first is </w:t>
      </w:r>
      <w:r>
        <w:rPr>
          <w:rFonts w:ascii="Georgia" w:cs="Georgia" w:eastAsia="Georgia" w:hAnsi="Georgia"/>
          <w:b/>
          <w:bCs/>
          <w:sz w:val="22"/>
          <w:szCs w:val="22"/>
        </w:rPr>
        <w:t xml:space="preserve">precise weight and dimension</w:t>
      </w:r>
      <w:r>
        <w:rPr>
          <w:rFonts w:ascii="Georgia" w:cs="Georgia" w:eastAsia="Georgia" w:hAnsi="Georgia"/>
          <w:sz w:val="22"/>
          <w:szCs w:val="22"/>
        </w:rPr>
        <w:t xml:space="preserve">: every U.S. coin has a published weight, diameter, and thickness, and a counterfeit struck on an incorrect planchet betrays itself on a gram scale and a caliper—a discrepancy of even a tenth of a gram is disqualifying. The second is the </w:t>
      </w:r>
      <w:r>
        <w:rPr>
          <w:rFonts w:ascii="Georgia" w:cs="Georgia" w:eastAsia="Georgia" w:hAnsi="Georgia"/>
          <w:b/>
          <w:bCs/>
          <w:sz w:val="22"/>
          <w:szCs w:val="22"/>
        </w:rPr>
        <w:t xml:space="preserve">magnet test</w:t>
      </w:r>
      <w:r>
        <w:rPr>
          <w:rFonts w:ascii="Georgia" w:cs="Georgia" w:eastAsia="Georgia" w:hAnsi="Georgia"/>
          <w:sz w:val="22"/>
          <w:szCs w:val="22"/>
        </w:rPr>
        <w:t xml:space="preserve">, which exploits the fact that genuine silver, copper, and gold are non-magnetic: a “silver” coin that responds to a magnet is fake. The same test resolves the most valuable cent error in a single motion—a genuine 1943 cent is zinc-coated steel and </w:t>
      </w:r>
      <w:r>
        <w:rPr>
          <w:rFonts w:ascii="Georgia" w:cs="Georgia" w:eastAsia="Georgia" w:hAnsi="Georgia"/>
          <w:i/>
          <w:iCs/>
          <w:sz w:val="22"/>
          <w:szCs w:val="22"/>
        </w:rPr>
        <w:t xml:space="preserve">is</w:t>
      </w:r>
      <w:r>
        <w:rPr>
          <w:rFonts w:ascii="Georgia" w:cs="Georgia" w:eastAsia="Georgia" w:hAnsi="Georgia"/>
          <w:sz w:val="22"/>
          <w:szCs w:val="22"/>
        </w:rPr>
        <w:t xml:space="preserve"> strongly magnetic, whereas the rare 1943 bronze is not, so a “1943 bronze” that sticks to a magnet is a copper-plated steel cent, and a “1943 steel” that does not stick is suspect.</w:t>
      </w:r>
      <w:r>
        <w:rPr>
          <w:rStyle w:val="FootnoteReference"/>
        </w:rPr>
        <w:footnoteReference w:id="110"/>
      </w:r>
      <w:r>
        <w:rPr>
          <w:rFonts w:ascii="Georgia" w:cs="Georgia" w:eastAsia="Georgia" w:hAnsi="Georgia"/>
          <w:sz w:val="22"/>
          <w:szCs w:val="22"/>
        </w:rPr>
        <w:t xml:space="preserve"> The third is </w:t>
      </w:r>
      <w:r>
        <w:rPr>
          <w:rFonts w:ascii="Georgia" w:cs="Georgia" w:eastAsia="Georgia" w:hAnsi="Georgia"/>
          <w:b/>
          <w:bCs/>
          <w:sz w:val="22"/>
          <w:szCs w:val="22"/>
        </w:rPr>
        <w:t xml:space="preserve">specific-gravity testing</w:t>
      </w:r>
      <w:r>
        <w:rPr>
          <w:rFonts w:ascii="Georgia" w:cs="Georgia" w:eastAsia="Georgia" w:hAnsi="Georgia"/>
          <w:sz w:val="22"/>
          <w:szCs w:val="22"/>
        </w:rPr>
        <w:t xml:space="preserve">, which distinguishes metals by density and is decisive for gold; the fourth is close inspection under magnification for casting seams, tooling marks, and mismatched fonts or mint-mark styles.</w:t>
      </w:r>
    </w:p>
    <w:p>
      <w:pPr>
        <w:spacing w:after="160" w:line="276"/>
        <w:jc w:val="both"/>
      </w:pPr>
      <w:r>
        <w:rPr>
          <w:rFonts w:ascii="Georgia" w:cs="Georgia" w:eastAsia="Georgia" w:hAnsi="Georgia"/>
          <w:sz w:val="22"/>
          <w:szCs w:val="22"/>
        </w:rPr>
        <w:t xml:space="preserve">A distinct and growing threat is the </w:t>
      </w:r>
      <w:r>
        <w:rPr>
          <w:rFonts w:ascii="Georgia" w:cs="Georgia" w:eastAsia="Georgia" w:hAnsi="Georgia"/>
          <w:b/>
          <w:bCs/>
          <w:sz w:val="22"/>
          <w:szCs w:val="22"/>
        </w:rPr>
        <w:t xml:space="preserve">counterfeit slab</w:t>
      </w:r>
      <w:r>
        <w:rPr>
          <w:rFonts w:ascii="Georgia" w:cs="Georgia" w:eastAsia="Georgia" w:hAnsi="Georgia"/>
          <w:sz w:val="22"/>
          <w:szCs w:val="22"/>
        </w:rPr>
        <w:t xml:space="preserve">: fraudulent holders that copy the appearance of PCGS or NGC encapsulation around a fake or over-graded coin. The defense is to treat the holder as unverified until the certification number is looked up in the grader’s online database and the returned image is confirmed to match the coin in hand; genuine holders also carry security features—holograms, microprinting, and other devices—that the graders document. The decisive rule for the reader follows from all of the above and bears restating: a four- or five-figure key date should never be bought raw from an unknown seller, and any coin whose price depends on its grade or rarity should be either already certified by a top-tier service or purchased from an established dealer who extends a return privilege and stands behind authenticity.</w:t>
      </w:r>
      <w:r>
        <w:rPr>
          <w:rStyle w:val="FootnoteReference"/>
        </w:rPr>
        <w:footnoteReference w:id="106"/>
      </w:r>
      <w:r>
        <w:rPr>
          <w:rFonts w:ascii="Georgia" w:cs="Georgia" w:eastAsia="Georgia" w:hAnsi="Georgia"/>
          <w:sz w:val="22"/>
          <w:szCs w:val="22"/>
          <w:vertAlign w:val="superscript"/>
        </w:rPr>
        <w:t xml:space="preserve">,</w:t>
      </w:r>
      <w:r>
        <w:rPr>
          <w:rStyle w:val="FootnoteReference"/>
        </w:rPr>
        <w:footnoteReference w:id="88"/>
      </w:r>
    </w:p>
    <w:p>
      <w:pPr>
        <w:pStyle w:val="Heading1"/>
        <w:spacing w:after="160" w:before="320"/>
      </w:pPr>
      <w:r>
        <w:rPr>
          <w:rFonts w:ascii="Arial" w:cs="Arial" w:eastAsia="Arial" w:hAnsi="Arial"/>
        </w:rPr>
        <w:t xml:space="preserve">11. Coins Within a Portfolio: Position Sizing and Liquidity Planning</w:t>
      </w:r>
    </w:p>
    <w:p>
      <w:pPr>
        <w:spacing w:after="160" w:line="276"/>
        <w:jc w:val="both"/>
      </w:pPr>
      <w:r>
        <w:rPr>
          <w:rFonts w:ascii="Georgia" w:cs="Georgia" w:eastAsia="Georgia" w:hAnsi="Georgia"/>
          <w:sz w:val="22"/>
          <w:szCs w:val="22"/>
        </w:rPr>
        <w:t xml:space="preserve">Before turning to specific acquisitions, it is worth situating coins within the reader’s broader financial picture, because the right answer to “which coins?” depends on “how much, and why?” The evidence assembled in Section 4 supports a clear conclusion on sizing: coins belong in the satellite, not the core, of a diversified portfolio. Their attractive properties—low correlation with equities and a meaningful inflation hedge at the high-quality end—are real and were documented by Lombra,</w:t>
      </w:r>
      <w:r>
        <w:rPr>
          <w:rStyle w:val="FootnoteReference"/>
        </w:rPr>
        <w:footnoteReference w:id="16"/>
      </w:r>
      <w:r>
        <w:rPr>
          <w:rFonts w:ascii="Georgia" w:cs="Georgia" w:eastAsia="Georgia" w:hAnsi="Georgia"/>
          <w:sz w:val="22"/>
          <w:szCs w:val="22"/>
        </w:rPr>
        <w:t xml:space="preserve"> but they are purchased at the cost of high volatility, severe illiquidity, and the transaction friction that dominates net returns. A position that a disciplined investor can justify on diversification grounds is therefore a modest fraction of investable assets, sized so that the illiquidity is tolerable and the position need never be sold under duress.</w:t>
      </w:r>
    </w:p>
    <w:p>
      <w:pPr>
        <w:spacing w:after="160" w:line="276"/>
        <w:jc w:val="both"/>
      </w:pPr>
      <w:r>
        <w:rPr>
          <w:rFonts w:ascii="Georgia" w:cs="Georgia" w:eastAsia="Georgia" w:hAnsi="Georgia"/>
          <w:sz w:val="22"/>
          <w:szCs w:val="22"/>
        </w:rPr>
        <w:t xml:space="preserve">Liquidity planning follows from the same facts. The reader should distinguish, within any coin allocation, between the </w:t>
      </w:r>
      <w:r>
        <w:rPr>
          <w:rFonts w:ascii="Georgia" w:cs="Georgia" w:eastAsia="Georgia" w:hAnsi="Georgia"/>
          <w:b/>
          <w:bCs/>
          <w:sz w:val="22"/>
          <w:szCs w:val="22"/>
        </w:rPr>
        <w:t xml:space="preserve">liquid sleeve</w:t>
      </w:r>
      <w:r>
        <w:rPr>
          <w:rFonts w:ascii="Georgia" w:cs="Georgia" w:eastAsia="Georgia" w:hAnsi="Georgia"/>
          <w:sz w:val="22"/>
          <w:szCs w:val="22"/>
        </w:rPr>
        <w:t xml:space="preserve"> and the </w:t>
      </w:r>
      <w:r>
        <w:rPr>
          <w:rFonts w:ascii="Georgia" w:cs="Georgia" w:eastAsia="Georgia" w:hAnsi="Georgia"/>
          <w:b/>
          <w:bCs/>
          <w:sz w:val="22"/>
          <w:szCs w:val="22"/>
        </w:rPr>
        <w:t xml:space="preserve">illiquid sleeve</w:t>
      </w:r>
      <w:r>
        <w:rPr>
          <w:rFonts w:ascii="Georgia" w:cs="Georgia" w:eastAsia="Georgia" w:hAnsi="Georgia"/>
          <w:sz w:val="22"/>
          <w:szCs w:val="22"/>
        </w:rPr>
        <w:t xml:space="preserve">. The liquid sleeve is bullion and common, widely traded coins—American Silver Eagles, common Morgan dollars, junk silver—which can be sold quickly at narrow spreads to any of dozens of dealers, and which therefore double as a quasi-cash reserve. The illiquid sleeve is the certified key dates, condition rarities, and pre-1933 gold that carry the genuine appreciation potential but that may take weeks or months to sell at a fair price and that suffer the full 20-to-40-percent round-trip friction. A prudent structure keeps the illiquid sleeve small relative to the liquid sleeve early on, expanding it only as the reader’s knowledge, dealer relationships, and tolerance for illiquidity grow.</w:t>
      </w:r>
    </w:p>
    <w:p>
      <w:pPr>
        <w:spacing w:after="160" w:line="276"/>
        <w:jc w:val="both"/>
      </w:pPr>
      <w:r>
        <w:rPr>
          <w:rFonts w:ascii="Georgia" w:cs="Georgia" w:eastAsia="Georgia" w:hAnsi="Georgia"/>
          <w:sz w:val="22"/>
          <w:szCs w:val="22"/>
        </w:rPr>
        <w:t xml:space="preserve">Two further portfolio considerations deserve mention. First, </w:t>
      </w:r>
      <w:r>
        <w:rPr>
          <w:rFonts w:ascii="Georgia" w:cs="Georgia" w:eastAsia="Georgia" w:hAnsi="Georgia"/>
          <w:b/>
          <w:bCs/>
          <w:sz w:val="22"/>
          <w:szCs w:val="22"/>
        </w:rPr>
        <w:t xml:space="preserve">metal-price risk</w:t>
      </w:r>
      <w:r>
        <w:rPr>
          <w:rFonts w:ascii="Georgia" w:cs="Georgia" w:eastAsia="Georgia" w:hAnsi="Georgia"/>
          <w:sz w:val="22"/>
          <w:szCs w:val="22"/>
        </w:rPr>
        <w:t xml:space="preserve">: every silver and gold coin carries a melt floor that moves with spot prices, and with silver and gold at historic highs as of mid-2026, the reader is accumulating into elevated metal prices—a risk that argues for measured accumulation rather than a single large purchase, and for treating the bullion sleeve as a metal position whose value can fall as well as rise. Second, </w:t>
      </w:r>
      <w:r>
        <w:rPr>
          <w:rFonts w:ascii="Georgia" w:cs="Georgia" w:eastAsia="Georgia" w:hAnsi="Georgia"/>
          <w:b/>
          <w:bCs/>
          <w:sz w:val="22"/>
          <w:szCs w:val="22"/>
        </w:rPr>
        <w:t xml:space="preserve">concentration and authentication risk</w:t>
      </w:r>
      <w:r>
        <w:rPr>
          <w:rFonts w:ascii="Georgia" w:cs="Georgia" w:eastAsia="Georgia" w:hAnsi="Georgia"/>
          <w:sz w:val="22"/>
          <w:szCs w:val="22"/>
        </w:rPr>
        <w:t xml:space="preserve">: because value concentrates in a few coins, a collection can become unintentionally concentrated in a handful of high-value pieces whose authenticity and grade carry outsized importance—another argument for certification and for documentation. With these portfolio guardrails established, the specific tiered plan follows.</w:t>
      </w:r>
    </w:p>
    <w:p>
      <w:pPr>
        <w:spacing w:after="160" w:line="276"/>
        <w:jc w:val="both"/>
      </w:pPr>
      <w:r>
        <w:rPr>
          <w:rFonts w:ascii="Georgia" w:cs="Georgia" w:eastAsia="Georgia" w:hAnsi="Georgia"/>
          <w:b/>
          <w:bCs/>
          <w:sz w:val="22"/>
          <w:szCs w:val="22"/>
        </w:rPr>
        <w:t xml:space="preserve">Planning the exit.</w:t>
      </w:r>
      <w:r>
        <w:rPr>
          <w:rFonts w:ascii="Georgia" w:cs="Georgia" w:eastAsia="Georgia" w:hAnsi="Georgia"/>
          <w:sz w:val="22"/>
          <w:szCs w:val="22"/>
        </w:rPr>
        <w:t xml:space="preserve"> A collection is only as good as the price it eventually returns, and the exit should be planned at the moment of purchase rather than improvised under pressure. Three liquidation channels exist, each with distinct economics. Selling outright to a dealer is the fastest route and carries no fees, but the dealer pays a wholesale (bid) price—typically ten to twenty-five percent below retail for certified keys and near melt for bullion—because the dealer must resell at a margin.</w:t>
      </w:r>
      <w:r>
        <w:rPr>
          <w:rStyle w:val="FootnoteReference"/>
        </w:rPr>
        <w:footnoteReference w:id="96"/>
      </w:r>
      <w:r>
        <w:rPr>
          <w:rFonts w:ascii="Georgia" w:cs="Georgia" w:eastAsia="Georgia" w:hAnsi="Georgia"/>
          <w:sz w:val="22"/>
          <w:szCs w:val="22"/>
        </w:rPr>
        <w:t xml:space="preserve"> Consigning to a major auction house is the right channel for genuine rarities and high-value coins, where competitive bidding maximizes the realized price; the seller pays a commission (or none, in the case of GreatCollections’ zero-seller-fee model) while the buyer pays the premium, and although the process takes weeks to months, the net proceeds on a genuinely scarce coin frequently exceed what any dealer would pay outright.</w:t>
      </w:r>
      <w:r>
        <w:rPr>
          <w:rStyle w:val="FootnoteReference"/>
        </w:rPr>
        <w:footnoteReference w:id="93"/>
      </w:r>
      <w:r>
        <w:rPr>
          <w:rFonts w:ascii="Georgia" w:cs="Georgia" w:eastAsia="Georgia" w:hAnsi="Georgia"/>
          <w:sz w:val="22"/>
          <w:szCs w:val="22"/>
          <w:vertAlign w:val="superscript"/>
        </w:rPr>
        <w:t xml:space="preserve">,</w:t>
      </w:r>
      <w:r>
        <w:rPr>
          <w:rStyle w:val="FootnoteReference"/>
        </w:rPr>
        <w:footnoteReference w:id="89"/>
      </w:r>
      <w:r>
        <w:rPr>
          <w:rFonts w:ascii="Georgia" w:cs="Georgia" w:eastAsia="Georgia" w:hAnsi="Georgia"/>
          <w:sz w:val="22"/>
          <w:szCs w:val="22"/>
        </w:rPr>
        <w:t xml:space="preserve"> Direct sale through eBay or private treaty captures closer to retail but burdens the seller with listing fees of roughly thirteen percent, shipping, and chargeback and fraud risk, and suits mid-value coins with liquid markets.</w:t>
      </w:r>
      <w:r>
        <w:rPr>
          <w:rStyle w:val="FootnoteReference"/>
        </w:rPr>
        <w:footnoteReference w:id="97"/>
      </w:r>
    </w:p>
    <w:p>
      <w:pPr>
        <w:spacing w:after="160" w:line="276"/>
        <w:jc w:val="both"/>
      </w:pPr>
      <w:r>
        <w:rPr>
          <w:rFonts w:ascii="Georgia" w:cs="Georgia" w:eastAsia="Georgia" w:hAnsi="Georgia"/>
          <w:sz w:val="22"/>
          <w:szCs w:val="22"/>
        </w:rPr>
        <w:t xml:space="preserve">The operative rule mirrors the liquidity sleeves: dispose of bullion and common coins through dealers or direct sale at narrow spreads, route certified keys and rarities to auction, and place mid-value material on the direct market. Two disciplines make any exit materially more valuable. The first is </w:t>
      </w:r>
      <w:r>
        <w:rPr>
          <w:rFonts w:ascii="Georgia" w:cs="Georgia" w:eastAsia="Georgia" w:hAnsi="Georgia"/>
          <w:b/>
          <w:bCs/>
          <w:sz w:val="22"/>
          <w:szCs w:val="22"/>
        </w:rPr>
        <w:t xml:space="preserve">record-keeping</w:t>
      </w:r>
      <w:r>
        <w:rPr>
          <w:rFonts w:ascii="Georgia" w:cs="Georgia" w:eastAsia="Georgia" w:hAnsi="Georgia"/>
          <w:sz w:val="22"/>
          <w:szCs w:val="22"/>
        </w:rPr>
        <w:t xml:space="preserve">: retaining purchase receipts, certification numbers, and a running cost-basis ledger is indispensable both for computing the federal 28 percent collectibles tax on gains—and for harvesting collectible losses against collectible gains—and for sparing the seller from reconstructing basis years later.</w:t>
      </w:r>
      <w:r>
        <w:rPr>
          <w:rStyle w:val="FootnoteReference"/>
        </w:rPr>
        <w:footnoteReference w:id="104"/>
      </w:r>
      <w:r>
        <w:rPr>
          <w:rFonts w:ascii="Georgia" w:cs="Georgia" w:eastAsia="Georgia" w:hAnsi="Georgia"/>
          <w:sz w:val="22"/>
          <w:szCs w:val="22"/>
        </w:rPr>
        <w:t xml:space="preserve"> The second is </w:t>
      </w:r>
      <w:r>
        <w:rPr>
          <w:rFonts w:ascii="Georgia" w:cs="Georgia" w:eastAsia="Georgia" w:hAnsi="Georgia"/>
          <w:b/>
          <w:bCs/>
          <w:sz w:val="22"/>
          <w:szCs w:val="22"/>
        </w:rPr>
        <w:t xml:space="preserve">estate planning</w:t>
      </w:r>
      <w:r>
        <w:rPr>
          <w:rFonts w:ascii="Georgia" w:cs="Georgia" w:eastAsia="Georgia" w:hAnsi="Georgia"/>
          <w:sz w:val="22"/>
          <w:szCs w:val="22"/>
        </w:rPr>
        <w:t xml:space="preserve">: a documented, certified collection accompanied by a current inventory and an established relationship with a trusted dealer or auction house protects heirs from the classic failure mode in which an unfamiliar family sells a lifetime’s accumulation blind, at a fraction of its value, to the first buyer who appears. A short written disposition plan, naming the coins, their location, their documentation, and a preferred channel of sale, is among the highest-return single documents a collector can prepare.</w:t>
      </w:r>
    </w:p>
    <w:p>
      <w:pPr>
        <w:pStyle w:val="Heading1"/>
        <w:spacing w:after="160" w:before="320"/>
      </w:pPr>
      <w:r>
        <w:rPr>
          <w:rFonts w:ascii="Arial" w:cs="Arial" w:eastAsia="Arial" w:hAnsi="Arial"/>
        </w:rPr>
        <w:t xml:space="preserve">12. A Tiered Acquisition Plan for the Northwest Arkansas Collector</w:t>
      </w:r>
    </w:p>
    <w:p>
      <w:pPr>
        <w:spacing w:after="160" w:line="276"/>
        <w:jc w:val="both"/>
      </w:pPr>
      <w:r>
        <w:rPr>
          <w:rFonts w:ascii="Georgia" w:cs="Georgia" w:eastAsia="Georgia" w:hAnsi="Georgia"/>
          <w:sz w:val="22"/>
          <w:szCs w:val="22"/>
        </w:rPr>
        <w:t xml:space="preserve">The analysis above resolves into a concrete program organized by deployable capital. The animating principle is that the bullion floor provides liquidity and an inflation hedge, while the historically appreciating segments—key dates, condition rarities, and pre-1933 gold—are added selectively and held for years. Grading is applied only where it passes the 3× test.</w:t>
      </w:r>
    </w:p>
    <w:p>
      <w:pPr>
        <w:pStyle w:val="Heading2"/>
        <w:spacing w:after="120" w:before="240"/>
      </w:pPr>
      <w:r>
        <w:rPr>
          <w:rFonts w:ascii="Arial" w:cs="Arial" w:eastAsia="Arial" w:hAnsi="Arial"/>
        </w:rPr>
        <w:t xml:space="preserve">12.1 The Four Tiers</w:t>
      </w:r>
    </w:p>
    <w:p>
      <w:pPr>
        <w:spacing w:after="60" w:before="160"/>
      </w:pPr>
      <w:r>
        <w:rPr>
          <w:rFonts w:ascii="Arial" w:cs="Arial" w:eastAsia="Arial" w:hAnsi="Arial"/>
          <w:b/>
          <w:bCs/>
          <w:i/>
          <w:iCs/>
          <w:sz w:val="18"/>
          <w:szCs w:val="18"/>
        </w:rPr>
        <w:t xml:space="preserve">Table 4. Tiered acquisition plan by deployable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Tier (capital)</w:t>
            </w:r>
          </w:p>
        </w:tc>
        <w:tc>
          <w:tcPr>
            <w:tcW w:type="dxa" w:w="43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What to pursue</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Realistic upside / purpose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Under $500
(hobbyist starter)</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Junk-silver fractional position (Mercury/Roosevelt dimes, Washington quarters at ~$48.65/$1-face); a few common Morgan/Peace dollars (~$53 melt); a Dansco album; the Red Book; common-date BU Silver Eagles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Tracks silver; minimal numismatic upside. Purpose: liquidity floor and education</w:t>
            </w:r>
          </w:p>
        </w:tc>
      </w:tr>
      <w:tr>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$500–$2,000</w:t>
            </w:r>
          </w:p>
        </w:tc>
        <w:tc>
          <w:tcPr>
            <w:tcW w:type="dxa" w:w="4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Certified semi-keys (1921 Mercury dimes, mid-grade Walking Liberty halves); a low-grade or problem 1909-S VDB filler; one or two CAC-stickered common-date type coins; a low-mintage Libertad (1999/2000). Selective grading begins</w:t>
            </w:r>
          </w:p>
        </w:tc>
        <w:tc>
          <w:tcPr>
            <w:tcW w:type="dxa" w:w="28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Begins capturing genuine numismatic value; modest, real upside on keys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$2,000–$10,000</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Certified key dates (mid-grade 1914-D, lower-grade 1916-D dime, a Carson City GSA Morgan); one piece of pre-1933 gold (common-date $20 near melt-plus-premium); CAC-quality type coins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Captures the historically appreciating segments; multi-year hold</w:t>
            </w:r>
          </w:p>
        </w:tc>
      </w:tr>
      <w:tr>
        <w:tc>
          <w:tcPr>
            <w:tcW w:type="dxa" w:w="22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$10,000+
(serious / investment)</w:t>
            </w:r>
          </w:p>
        </w:tc>
        <w:tc>
          <w:tcPr>
            <w:tcW w:type="dxa" w:w="43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Finest-affordable key dates with CAC; high-grade pre-1933 gold; registry-quality coins; blue-chip rarities bought below auction comps</w:t>
            </w:r>
          </w:p>
        </w:tc>
        <w:tc>
          <w:tcPr>
            <w:tcW w:type="dxa" w:w="28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Strongest historical appreciation at the quality end; expect illiquidity</w:t>
            </w:r>
          </w:p>
        </w:tc>
      </w:tr>
    </w:tbl>
    <w:p>
      <w:pPr>
        <w:spacing w:after="200"/>
      </w:pPr>
      <w:r>
        <w:rPr>
          <w:rFonts w:ascii="Arial" w:cs="Arial" w:eastAsia="Arial" w:hAnsi="Arial"/>
          <w:i/>
          <w:iCs/>
          <w:color w:val="777777"/>
          <w:sz w:val="16"/>
          <w:szCs w:val="16"/>
        </w:rPr>
        <w:t xml:space="preserve">Synthesis of the return, grading, and marketplace evidence in Sections 3–6; melt figures per Table 3.</w:t>
      </w:r>
    </w:p>
    <w:p>
      <w:pPr>
        <w:pStyle w:val="Heading2"/>
        <w:spacing w:after="120" w:before="240"/>
      </w:pPr>
      <w:r>
        <w:rPr>
          <w:rFonts w:ascii="Arial" w:cs="Arial" w:eastAsia="Arial" w:hAnsi="Arial"/>
        </w:rPr>
        <w:t xml:space="preserve">12.2 Sequenced Recommendations</w:t>
      </w:r>
    </w:p>
    <w:p>
      <w:pPr>
        <w:pStyle w:val="ListParagraph"/>
        <w:numPr>
          <w:ilvl w:val="0"/>
          <w:numId w:val="2"/>
        </w:numPr>
        <w:spacing w:after="80" w:line="264"/>
        <w:jc w:val="both"/>
      </w:pPr>
      <w:r>
        <w:rPr>
          <w:rFonts w:ascii="Georgia" w:cs="Georgia" w:eastAsia="Georgia" w:hAnsi="Georgia"/>
          <w:b/>
          <w:bCs/>
          <w:sz w:val="22"/>
          <w:szCs w:val="22"/>
        </w:rPr>
        <w:t xml:space="preserve">Build the bullion floor first. </w:t>
      </w:r>
      <w:r>
        <w:rPr>
          <w:rFonts w:ascii="Georgia" w:cs="Georgia" w:eastAsia="Georgia" w:hAnsi="Georgia"/>
          <w:sz w:val="22"/>
          <w:szCs w:val="22"/>
        </w:rPr>
        <w:t xml:space="preserve">With silver near $68 and gold near $4,219, and with Arkansas charging no sales or state capital-gains tax on bullion, accumulate junk silver and common Morgans and Silver Eagles from local NWA dealers and the major bullion houses. This is the liquid, low-spread base. A sensible trigger to slow accumulation is silver falling back below roughly $30, or junk-silver premiums spiking above roughly 15 percent over melt.</w:t>
      </w:r>
    </w:p>
    <w:p>
      <w:pPr>
        <w:pStyle w:val="ListParagraph"/>
        <w:numPr>
          <w:ilvl w:val="0"/>
          <w:numId w:val="2"/>
        </w:numPr>
        <w:spacing w:after="80" w:line="264"/>
        <w:jc w:val="both"/>
      </w:pPr>
      <w:r>
        <w:rPr>
          <w:rFonts w:ascii="Georgia" w:cs="Georgia" w:eastAsia="Georgia" w:hAnsi="Georgia"/>
          <w:b/>
          <w:bCs/>
          <w:sz w:val="22"/>
          <w:szCs w:val="22"/>
        </w:rPr>
        <w:t xml:space="preserve">Run the penny project as a collection, not an investment. </w:t>
      </w:r>
      <w:r>
        <w:rPr>
          <w:rFonts w:ascii="Georgia" w:cs="Georgia" w:eastAsia="Georgia" w:hAnsi="Georgia"/>
          <w:sz w:val="22"/>
          <w:szCs w:val="22"/>
        </w:rPr>
        <w:t xml:space="preserve">House a Wheat-cent set in a Dansco No. 7103 album and certify only the keys—the 1909-S VDB, 1914-D, 1922 plain, and 1955 Doubled Die—buying them already slabbed to defeat counterfeits. Do not pay premiums for “last penny 2025” novelty products; the Canadian evidence is clear that common dates will not appreciate.</w:t>
      </w:r>
    </w:p>
    <w:p>
      <w:pPr>
        <w:pStyle w:val="ListParagraph"/>
        <w:numPr>
          <w:ilvl w:val="0"/>
          <w:numId w:val="2"/>
        </w:numPr>
        <w:spacing w:after="80" w:line="264"/>
        <w:jc w:val="both"/>
      </w:pPr>
      <w:r>
        <w:rPr>
          <w:rFonts w:ascii="Georgia" w:cs="Georgia" w:eastAsia="Georgia" w:hAnsi="Georgia"/>
          <w:b/>
          <w:bCs/>
          <w:sz w:val="22"/>
          <w:szCs w:val="22"/>
        </w:rPr>
        <w:t xml:space="preserve">Apply the 3× grading rule ruthlessly. </w:t>
      </w:r>
      <w:r>
        <w:rPr>
          <w:rFonts w:ascii="Georgia" w:cs="Georgia" w:eastAsia="Georgia" w:hAnsi="Georgia"/>
          <w:sz w:val="22"/>
          <w:szCs w:val="22"/>
        </w:rPr>
        <w:t xml:space="preserve">Submit a coin only when certification is expected to add at least three times its all-in cost. Use PCGS Bulk at about $14 per coin only when 100 or more qualifying coins (each under $300, no more than five date-and-mint combinations per form) can be assembled; otherwise submit through a local ANA/PNG dealer’s bulk account.</w:t>
      </w:r>
    </w:p>
    <w:p>
      <w:pPr>
        <w:pStyle w:val="ListParagraph"/>
        <w:numPr>
          <w:ilvl w:val="0"/>
          <w:numId w:val="2"/>
        </w:numPr>
        <w:spacing w:after="80" w:line="264"/>
        <w:jc w:val="both"/>
      </w:pPr>
      <w:r>
        <w:rPr>
          <w:rFonts w:ascii="Georgia" w:cs="Georgia" w:eastAsia="Georgia" w:hAnsi="Georgia"/>
          <w:b/>
          <w:bCs/>
          <w:sz w:val="22"/>
          <w:szCs w:val="22"/>
        </w:rPr>
        <w:t xml:space="preserve">Buy certified key dates and pre-1933 gold below auction comparables. </w:t>
      </w:r>
      <w:r>
        <w:rPr>
          <w:rFonts w:ascii="Georgia" w:cs="Georgia" w:eastAsia="Georgia" w:hAnsi="Georgia"/>
          <w:sz w:val="22"/>
          <w:szCs w:val="22"/>
        </w:rPr>
        <w:t xml:space="preserve">Use the Heritage and PCGS realized-price archives to set ceilings; prefer GreatCollections for its lower fees and CAC-stickered coins for their verified quality; and always back the 20–22 percent buyer’s premium out of any bid.</w:t>
      </w:r>
    </w:p>
    <w:p>
      <w:pPr>
        <w:pStyle w:val="ListParagraph"/>
        <w:numPr>
          <w:ilvl w:val="0"/>
          <w:numId w:val="2"/>
        </w:numPr>
        <w:spacing w:after="80" w:line="264"/>
        <w:jc w:val="both"/>
      </w:pPr>
      <w:r>
        <w:rPr>
          <w:rFonts w:ascii="Georgia" w:cs="Georgia" w:eastAsia="Georgia" w:hAnsi="Georgia"/>
          <w:b/>
          <w:bCs/>
          <w:sz w:val="22"/>
          <w:szCs w:val="22"/>
        </w:rPr>
        <w:t xml:space="preserve">Insure and document. </w:t>
      </w:r>
      <w:r>
        <w:rPr>
          <w:rFonts w:ascii="Georgia" w:cs="Georgia" w:eastAsia="Georgia" w:hAnsi="Georgia"/>
          <w:sz w:val="22"/>
          <w:szCs w:val="22"/>
        </w:rPr>
        <w:t xml:space="preserve">Once holdings exceed roughly $10,000, place a collectibles policy with a specialist insurer and maintain a cost-basis inventory with certification numbers and photographs.</w:t>
      </w:r>
    </w:p>
    <w:p>
      <w:pPr>
        <w:pStyle w:val="ListParagraph"/>
        <w:numPr>
          <w:ilvl w:val="0"/>
          <w:numId w:val="2"/>
        </w:numPr>
        <w:spacing w:after="80" w:line="264"/>
        <w:jc w:val="both"/>
      </w:pPr>
      <w:r>
        <w:rPr>
          <w:rFonts w:ascii="Georgia" w:cs="Georgia" w:eastAsia="Georgia" w:hAnsi="Georgia"/>
          <w:b/>
          <w:bCs/>
          <w:sz w:val="22"/>
          <w:szCs w:val="22"/>
        </w:rPr>
        <w:t xml:space="preserve">Re-evaluate annually against benchmarks. </w:t>
      </w:r>
      <w:r>
        <w:rPr>
          <w:rFonts w:ascii="Georgia" w:cs="Georgia" w:eastAsia="Georgia" w:hAnsi="Georgia"/>
          <w:sz w:val="22"/>
          <w:szCs w:val="22"/>
        </w:rPr>
        <w:t xml:space="preserve">If the PCGS Key Dates and Rarities Index continues to compound near 5 percent and the holdings are CAC-quality, hold. If circumstances force selling into 20–40 percent spreads within fewer than three years, the asset class is wrong for that capital—rotate back to bullion or to traditional financial assets.</w:t>
      </w:r>
    </w:p>
    <w:p>
      <w:pPr>
        <w:pStyle w:val="Heading1"/>
        <w:spacing w:after="160" w:before="320"/>
      </w:pPr>
      <w:r>
        <w:rPr>
          <w:rFonts w:ascii="Arial" w:cs="Arial" w:eastAsia="Arial" w:hAnsi="Arial"/>
        </w:rPr>
        <w:t xml:space="preserve">13. Conclusion</w:t>
      </w:r>
    </w:p>
    <w:p>
      <w:pPr>
        <w:spacing w:after="160" w:line="276"/>
        <w:jc w:val="both"/>
      </w:pPr>
      <w:r>
        <w:rPr>
          <w:rFonts w:ascii="Georgia" w:cs="Georgia" w:eastAsia="Georgia" w:hAnsi="Georgia"/>
          <w:sz w:val="22"/>
          <w:szCs w:val="22"/>
        </w:rPr>
        <w:t xml:space="preserve">The end of the United States cent is a genuine historical milestone and a poor investment thesis. The Canadian experience demonstrates that retiring a denomination does not make its common coins valuable; it merely sharpens the premium on rarities that were already scarce.</w:t>
      </w:r>
      <w:r>
        <w:rPr>
          <w:rStyle w:val="FootnoteReference"/>
        </w:rPr>
        <w:footnoteReference w:id="12"/>
      </w:r>
      <w:r>
        <w:rPr>
          <w:rFonts w:ascii="Georgia" w:cs="Georgia" w:eastAsia="Georgia" w:hAnsi="Georgia"/>
          <w:sz w:val="22"/>
          <w:szCs w:val="22"/>
          <w:vertAlign w:val="superscript"/>
        </w:rPr>
        <w:t xml:space="preserve">,</w:t>
      </w:r>
      <w:r>
        <w:rPr>
          <w:rStyle w:val="FootnoteReference"/>
        </w:rPr>
        <w:footnoteReference w:id="13"/>
      </w:r>
      <w:r>
        <w:rPr>
          <w:rFonts w:ascii="Georgia" w:cs="Georgia" w:eastAsia="Georgia" w:hAnsi="Georgia"/>
          <w:sz w:val="22"/>
          <w:szCs w:val="22"/>
        </w:rPr>
        <w:t xml:space="preserve"> The broader case for coins as an asset class is real but modest and heavily qualified: high-grade rarities have, in favorable studies, rivaled equities and hedged inflation,</w:t>
      </w:r>
      <w:r>
        <w:rPr>
          <w:rStyle w:val="FootnoteReference"/>
        </w:rPr>
        <w:footnoteReference w:id="16"/>
      </w:r>
      <w:r>
        <w:rPr>
          <w:rFonts w:ascii="Georgia" w:cs="Georgia" w:eastAsia="Georgia" w:hAnsi="Georgia"/>
          <w:sz w:val="22"/>
          <w:szCs w:val="22"/>
        </w:rPr>
        <w:t xml:space="preserve"> but generic coins have tracked little better than their metal content over the past quarter-century,</w:t>
      </w:r>
      <w:r>
        <w:rPr>
          <w:rStyle w:val="FootnoteReference"/>
        </w:rPr>
        <w:footnoteReference w:id="24"/>
      </w:r>
      <w:r>
        <w:rPr>
          <w:rFonts w:ascii="Georgia" w:cs="Georgia" w:eastAsia="Georgia" w:hAnsi="Georgia"/>
          <w:sz w:val="22"/>
          <w:szCs w:val="22"/>
        </w:rPr>
        <w:t xml:space="preserve"> and the 10-to-40-percent transaction costs that pervade the market make common modern coins a reliable way to lose money in real terms.</w:t>
      </w:r>
    </w:p>
    <w:p>
      <w:pPr>
        <w:spacing w:after="160" w:line="276"/>
        <w:jc w:val="both"/>
      </w:pPr>
      <w:r>
        <w:rPr>
          <w:rFonts w:ascii="Georgia" w:cs="Georgia" w:eastAsia="Georgia" w:hAnsi="Georgia"/>
          <w:sz w:val="22"/>
          <w:szCs w:val="22"/>
        </w:rPr>
        <w:t xml:space="preserve">For a disciplined collector in Northwest Arkansas, the path forward is therefore clear and layered. A liquid bullion floor, made unusually attractive by Arkansas’s tax treatment and by historically high metal prices, anchors the program. A focused penny collection—built around a handful of authenticated keys rather than bulk novelty—satisfies the historical interest that prompted this inquiry. Selective grading, governed by the 3× test, and patient acquisition of certified key dates and pre-1933 gold below auction comparables, supply whatever genuine appreciation the asset class can offer. Above all, the reader should hold coins for the reasons the evidence actually supports—diversification, an inflation hedge at the high-quality end, and the real and legitimate pleasure of ownership—while pricing the emotional yield honestly and never mistaking a passion asset for a liquid portfolio core.</w:t>
      </w:r>
    </w:p>
    <w:p>
      <w:r>
        <w:br w:type="page"/>
      </w:r>
    </w:p>
    <w:p>
      <w:pPr>
        <w:pStyle w:val="Heading1"/>
        <w:spacing w:after="160" w:before="320"/>
      </w:pPr>
      <w:r>
        <w:rPr>
          <w:rFonts w:ascii="Arial" w:cs="Arial" w:eastAsia="Arial" w:hAnsi="Arial"/>
        </w:rPr>
        <w:t xml:space="preserve">Glossary of Key Terms</w:t>
      </w:r>
    </w:p>
    <w:p>
      <w:pPr>
        <w:spacing w:after="100" w:line="264"/>
        <w:ind w:left="360" w:hanging="360"/>
      </w:pPr>
      <w:r>
        <w:rPr>
          <w:rFonts w:ascii="Arial" w:cs="Arial" w:eastAsia="Arial" w:hAnsi="Arial"/>
          <w:b/>
          <w:bCs/>
          <w:sz w:val="18"/>
          <w:szCs w:val="18"/>
        </w:rPr>
        <w:t xml:space="preserve">Bullion / junk silver.  </w:t>
      </w:r>
      <w:r>
        <w:rPr>
          <w:rFonts w:ascii="Georgia" w:cs="Georgia" w:eastAsia="Georgia" w:hAnsi="Georgia"/>
          <w:sz w:val="18"/>
          <w:szCs w:val="18"/>
        </w:rPr>
        <w:t xml:space="preserve">Coins valued primarily for their precious-metal content. “Junk silver” denotes common-date 90% silver U.S. coins with no numismatic premium, priced off melt value.</w:t>
      </w:r>
    </w:p>
    <w:p>
      <w:pPr>
        <w:spacing w:after="100" w:line="264"/>
        <w:ind w:left="360" w:hanging="360"/>
      </w:pPr>
      <w:r>
        <w:rPr>
          <w:rFonts w:ascii="Arial" w:cs="Arial" w:eastAsia="Arial" w:hAnsi="Arial"/>
          <w:b/>
          <w:bCs/>
          <w:sz w:val="18"/>
          <w:szCs w:val="18"/>
        </w:rPr>
        <w:t xml:space="preserve">Buyer’s premium.  </w:t>
      </w:r>
      <w:r>
        <w:rPr>
          <w:rFonts w:ascii="Georgia" w:cs="Georgia" w:eastAsia="Georgia" w:hAnsi="Georgia"/>
          <w:sz w:val="18"/>
          <w:szCs w:val="18"/>
        </w:rPr>
        <w:t xml:space="preserve">A percentage added to the hammer price at auction and paid by the buyer to the auction house; 20–22% at the major U.S. coin houses in 2026.</w:t>
      </w:r>
    </w:p>
    <w:p>
      <w:pPr>
        <w:spacing w:after="100" w:line="264"/>
        <w:ind w:left="360" w:hanging="360"/>
      </w:pPr>
      <w:r>
        <w:rPr>
          <w:rFonts w:ascii="Arial" w:cs="Arial" w:eastAsia="Arial" w:hAnsi="Arial"/>
          <w:b/>
          <w:bCs/>
          <w:sz w:val="18"/>
          <w:szCs w:val="18"/>
        </w:rPr>
        <w:t xml:space="preserve">CAC / CACG.  </w:t>
      </w:r>
      <w:r>
        <w:rPr>
          <w:rFonts w:ascii="Georgia" w:cs="Georgia" w:eastAsia="Georgia" w:hAnsi="Georgia"/>
          <w:sz w:val="18"/>
          <w:szCs w:val="18"/>
        </w:rPr>
        <w:t xml:space="preserve">Certified Acceptance Corporation, which verifies PCGS/NGC coins with a green or gold sticker, and CAC Grading, its own grading service launched in 2023.</w:t>
      </w:r>
    </w:p>
    <w:p>
      <w:pPr>
        <w:spacing w:after="100" w:line="264"/>
        <w:ind w:left="360" w:hanging="360"/>
      </w:pPr>
      <w:r>
        <w:rPr>
          <w:rFonts w:ascii="Arial" w:cs="Arial" w:eastAsia="Arial" w:hAnsi="Arial"/>
          <w:b/>
          <w:bCs/>
          <w:sz w:val="18"/>
          <w:szCs w:val="18"/>
        </w:rPr>
        <w:t xml:space="preserve">Condition rarity.  </w:t>
      </w:r>
      <w:r>
        <w:rPr>
          <w:rFonts w:ascii="Georgia" w:cs="Georgia" w:eastAsia="Georgia" w:hAnsi="Georgia"/>
          <w:sz w:val="18"/>
          <w:szCs w:val="18"/>
        </w:rPr>
        <w:t xml:space="preserve">A coin common in circulated grades but scarce in high grade, so that its value derives from condition rather than absolute mintage.</w:t>
      </w:r>
    </w:p>
    <w:p>
      <w:pPr>
        <w:spacing w:after="100" w:line="264"/>
        <w:ind w:left="360" w:hanging="360"/>
      </w:pPr>
      <w:r>
        <w:rPr>
          <w:rFonts w:ascii="Arial" w:cs="Arial" w:eastAsia="Arial" w:hAnsi="Arial"/>
          <w:b/>
          <w:bCs/>
          <w:sz w:val="18"/>
          <w:szCs w:val="18"/>
        </w:rPr>
        <w:t xml:space="preserve">Doubled die.  </w:t>
      </w:r>
      <w:r>
        <w:rPr>
          <w:rFonts w:ascii="Georgia" w:cs="Georgia" w:eastAsia="Georgia" w:hAnsi="Georgia"/>
          <w:sz w:val="18"/>
          <w:szCs w:val="18"/>
        </w:rPr>
        <w:t xml:space="preserve">A die variety in which a manufacturing misalignment reproduces doubled design elements on every coin struck; the 1955 DDO cent is the archetype.</w:t>
      </w:r>
    </w:p>
    <w:p>
      <w:pPr>
        <w:spacing w:after="100" w:line="264"/>
        <w:ind w:left="360" w:hanging="360"/>
      </w:pPr>
      <w:r>
        <w:rPr>
          <w:rFonts w:ascii="Arial" w:cs="Arial" w:eastAsia="Arial" w:hAnsi="Arial"/>
          <w:b/>
          <w:bCs/>
          <w:sz w:val="18"/>
          <w:szCs w:val="18"/>
        </w:rPr>
        <w:t xml:space="preserve">Emotional yield.  </w:t>
      </w:r>
      <w:r>
        <w:rPr>
          <w:rFonts w:ascii="Georgia" w:cs="Georgia" w:eastAsia="Georgia" w:hAnsi="Georgia"/>
          <w:sz w:val="18"/>
          <w:szCs w:val="18"/>
        </w:rPr>
        <w:t xml:space="preserve">The portion of financial return collectors knowingly forgo in exchange for the pleasure of ownership; estimated near 2.6% per year across collectible classes.</w:t>
      </w:r>
    </w:p>
    <w:p>
      <w:pPr>
        <w:spacing w:after="100" w:line="264"/>
        <w:ind w:left="360" w:hanging="360"/>
      </w:pPr>
      <w:r>
        <w:rPr>
          <w:rFonts w:ascii="Arial" w:cs="Arial" w:eastAsia="Arial" w:hAnsi="Arial"/>
          <w:b/>
          <w:bCs/>
          <w:sz w:val="18"/>
          <w:szCs w:val="18"/>
        </w:rPr>
        <w:t xml:space="preserve">Hammer price.  </w:t>
      </w:r>
      <w:r>
        <w:rPr>
          <w:rFonts w:ascii="Georgia" w:cs="Georgia" w:eastAsia="Georgia" w:hAnsi="Georgia"/>
          <w:sz w:val="18"/>
          <w:szCs w:val="18"/>
        </w:rPr>
        <w:t xml:space="preserve">The winning bid at auction, before the buyer’s premium is added.</w:t>
      </w:r>
    </w:p>
    <w:p>
      <w:pPr>
        <w:spacing w:after="100" w:line="264"/>
        <w:ind w:left="360" w:hanging="360"/>
      </w:pPr>
      <w:r>
        <w:rPr>
          <w:rFonts w:ascii="Arial" w:cs="Arial" w:eastAsia="Arial" w:hAnsi="Arial"/>
          <w:b/>
          <w:bCs/>
          <w:sz w:val="18"/>
          <w:szCs w:val="18"/>
        </w:rPr>
        <w:t xml:space="preserve">Key date.  </w:t>
      </w:r>
      <w:r>
        <w:rPr>
          <w:rFonts w:ascii="Georgia" w:cs="Georgia" w:eastAsia="Georgia" w:hAnsi="Georgia"/>
          <w:sz w:val="18"/>
          <w:szCs w:val="18"/>
        </w:rPr>
        <w:t xml:space="preserve">The scarcest, most valuable date (or date-and-mint) in a series, which concentrates the series’ value (e.g., 1909-S VDB, 1916-D, 1893-S).</w:t>
      </w:r>
    </w:p>
    <w:p>
      <w:pPr>
        <w:spacing w:after="100" w:line="264"/>
        <w:ind w:left="360" w:hanging="360"/>
      </w:pPr>
      <w:r>
        <w:rPr>
          <w:rFonts w:ascii="Arial" w:cs="Arial" w:eastAsia="Arial" w:hAnsi="Arial"/>
          <w:b/>
          <w:bCs/>
          <w:sz w:val="18"/>
          <w:szCs w:val="18"/>
        </w:rPr>
        <w:t xml:space="preserve">Melt value.  </w:t>
      </w:r>
      <w:r>
        <w:rPr>
          <w:rFonts w:ascii="Georgia" w:cs="Georgia" w:eastAsia="Georgia" w:hAnsi="Georgia"/>
          <w:sz w:val="18"/>
          <w:szCs w:val="18"/>
        </w:rPr>
        <w:t xml:space="preserve">The intrinsic value of a coin’s metal content at current spot prices, exclusive of any numismatic premium.</w:t>
      </w:r>
    </w:p>
    <w:p>
      <w:pPr>
        <w:spacing w:after="100" w:line="264"/>
        <w:ind w:left="360" w:hanging="360"/>
      </w:pPr>
      <w:r>
        <w:rPr>
          <w:rFonts w:ascii="Arial" w:cs="Arial" w:eastAsia="Arial" w:hAnsi="Arial"/>
          <w:b/>
          <w:bCs/>
          <w:sz w:val="18"/>
          <w:szCs w:val="18"/>
        </w:rPr>
        <w:t xml:space="preserve">Mint State (MS) / Proof (PR/PF).  </w:t>
      </w:r>
      <w:r>
        <w:rPr>
          <w:rFonts w:ascii="Georgia" w:cs="Georgia" w:eastAsia="Georgia" w:hAnsi="Georgia"/>
          <w:sz w:val="18"/>
          <w:szCs w:val="18"/>
        </w:rPr>
        <w:t xml:space="preserve">Uncirculated business strikes (MS) and specially produced presentation strikes (PR/PF), each graded 60–70 on the Sheldon scale.</w:t>
      </w:r>
    </w:p>
    <w:p>
      <w:pPr>
        <w:spacing w:after="100" w:line="264"/>
        <w:ind w:left="360" w:hanging="360"/>
      </w:pPr>
      <w:r>
        <w:rPr>
          <w:rFonts w:ascii="Arial" w:cs="Arial" w:eastAsia="Arial" w:hAnsi="Arial"/>
          <w:b/>
          <w:bCs/>
          <w:sz w:val="18"/>
          <w:szCs w:val="18"/>
        </w:rPr>
        <w:t xml:space="preserve">Mintmark.  </w:t>
      </w:r>
      <w:r>
        <w:rPr>
          <w:rFonts w:ascii="Georgia" w:cs="Georgia" w:eastAsia="Georgia" w:hAnsi="Georgia"/>
          <w:sz w:val="18"/>
          <w:szCs w:val="18"/>
        </w:rPr>
        <w:t xml:space="preserve">A small letter denoting the producing mint (e.g., S = San Francisco, D = Denver, CC = Carson City, O = New Orleans); none denotes Philadelphia for most issues.</w:t>
      </w:r>
    </w:p>
    <w:p>
      <w:pPr>
        <w:spacing w:after="100" w:line="264"/>
        <w:ind w:left="360" w:hanging="360"/>
      </w:pPr>
      <w:r>
        <w:rPr>
          <w:rFonts w:ascii="Arial" w:cs="Arial" w:eastAsia="Arial" w:hAnsi="Arial"/>
          <w:b/>
          <w:bCs/>
          <w:sz w:val="18"/>
          <w:szCs w:val="18"/>
        </w:rPr>
        <w:t xml:space="preserve">PCGS3000.  </w:t>
      </w:r>
      <w:r>
        <w:rPr>
          <w:rFonts w:ascii="Georgia" w:cs="Georgia" w:eastAsia="Georgia" w:hAnsi="Georgia"/>
          <w:sz w:val="18"/>
          <w:szCs w:val="18"/>
        </w:rPr>
        <w:t xml:space="preserve">A PCGS index of 3,000 coins, based at $1,000 on January 1, 1970, used as a broad gauge of the rare-coin market.</w:t>
      </w:r>
    </w:p>
    <w:p>
      <w:pPr>
        <w:spacing w:after="100" w:line="264"/>
        <w:ind w:left="360" w:hanging="360"/>
      </w:pPr>
      <w:r>
        <w:rPr>
          <w:rFonts w:ascii="Arial" w:cs="Arial" w:eastAsia="Arial" w:hAnsi="Arial"/>
          <w:b/>
          <w:bCs/>
          <w:sz w:val="18"/>
          <w:szCs w:val="18"/>
        </w:rPr>
        <w:t xml:space="preserve">RD / RB / BN.  </w:t>
      </w:r>
      <w:r>
        <w:rPr>
          <w:rFonts w:ascii="Georgia" w:cs="Georgia" w:eastAsia="Georgia" w:hAnsi="Georgia"/>
          <w:sz w:val="18"/>
          <w:szCs w:val="18"/>
        </w:rPr>
        <w:t xml:space="preserve">Copper color designations—Red, Red-Brown, Brown—that materially affect the value of copper coins at the same numeric grade.</w:t>
      </w:r>
    </w:p>
    <w:p>
      <w:pPr>
        <w:spacing w:after="100" w:line="264"/>
        <w:ind w:left="360" w:hanging="360"/>
      </w:pPr>
      <w:r>
        <w:rPr>
          <w:rFonts w:ascii="Arial" w:cs="Arial" w:eastAsia="Arial" w:hAnsi="Arial"/>
          <w:b/>
          <w:bCs/>
          <w:sz w:val="18"/>
          <w:szCs w:val="18"/>
        </w:rPr>
        <w:t xml:space="preserve">Sheldon scale.  </w:t>
      </w:r>
      <w:r>
        <w:rPr>
          <w:rFonts w:ascii="Georgia" w:cs="Georgia" w:eastAsia="Georgia" w:hAnsi="Georgia"/>
          <w:sz w:val="18"/>
          <w:szCs w:val="18"/>
        </w:rPr>
        <w:t xml:space="preserve">The 1–70 numerical grading scale, originated by William Sheldon and generalized by the ANA, on which coin condition is expressed.</w:t>
      </w:r>
    </w:p>
    <w:p>
      <w:pPr>
        <w:spacing w:after="100" w:line="264"/>
        <w:ind w:left="360" w:hanging="360"/>
      </w:pPr>
      <w:r>
        <w:rPr>
          <w:rFonts w:ascii="Arial" w:cs="Arial" w:eastAsia="Arial" w:hAnsi="Arial"/>
          <w:b/>
          <w:bCs/>
          <w:sz w:val="18"/>
          <w:szCs w:val="18"/>
        </w:rPr>
        <w:t xml:space="preserve">Slab.  </w:t>
      </w:r>
      <w:r>
        <w:rPr>
          <w:rFonts w:ascii="Georgia" w:cs="Georgia" w:eastAsia="Georgia" w:hAnsi="Georgia"/>
          <w:sz w:val="18"/>
          <w:szCs w:val="18"/>
        </w:rPr>
        <w:t xml:space="preserve">The tamper-evident plastic holder in which a third-party grader encapsulates a certified coin, bearing its grade and certification number.</w:t>
      </w:r>
    </w:p>
    <w:p>
      <w:pPr>
        <w:spacing w:after="100" w:line="264"/>
        <w:ind w:left="360" w:hanging="360"/>
      </w:pPr>
      <w:r>
        <w:rPr>
          <w:rFonts w:ascii="Arial" w:cs="Arial" w:eastAsia="Arial" w:hAnsi="Arial"/>
          <w:b/>
          <w:bCs/>
          <w:sz w:val="18"/>
          <w:szCs w:val="18"/>
        </w:rPr>
        <w:t xml:space="preserve">Spread.  </w:t>
      </w:r>
      <w:r>
        <w:rPr>
          <w:rFonts w:ascii="Georgia" w:cs="Georgia" w:eastAsia="Georgia" w:hAnsi="Georgia"/>
          <w:sz w:val="18"/>
          <w:szCs w:val="18"/>
        </w:rPr>
        <w:t xml:space="preserve">The difference between a dealer’s buy and sell prices; on coins commonly 10–40% of retail, the dominant cost for retail investors.</w:t>
      </w:r>
    </w:p>
    <w:p>
      <w:pPr>
        <w:spacing w:after="100" w:line="264"/>
        <w:ind w:left="360" w:hanging="360"/>
      </w:pPr>
      <w:r>
        <w:rPr>
          <w:rFonts w:ascii="Arial" w:cs="Arial" w:eastAsia="Arial" w:hAnsi="Arial"/>
          <w:b/>
          <w:bCs/>
          <w:sz w:val="18"/>
          <w:szCs w:val="18"/>
        </w:rPr>
        <w:t xml:space="preserve">Type set.  </w:t>
      </w:r>
      <w:r>
        <w:rPr>
          <w:rFonts w:ascii="Georgia" w:cs="Georgia" w:eastAsia="Georgia" w:hAnsi="Georgia"/>
          <w:sz w:val="18"/>
          <w:szCs w:val="18"/>
        </w:rPr>
        <w:t xml:space="preserve">A set seeking one example of each design, the most cost-efficient collecting architecture for historical breadth.</w:t>
      </w:r>
    </w:p>
    <w:p>
      <w:r>
        <w:br w:type="page"/>
      </w:r>
    </w:p>
    <w:p>
      <w:pPr>
        <w:pStyle w:val="Heading1"/>
        <w:spacing w:after="160" w:before="320"/>
      </w:pPr>
      <w:r>
        <w:rPr>
          <w:rFonts w:ascii="Arial" w:cs="Arial" w:eastAsia="Arial" w:hAnsi="Arial"/>
        </w:rPr>
        <w:t xml:space="preserve">Appendix A. Key-Date Quick Reference</w:t>
      </w:r>
    </w:p>
    <w:p>
      <w:pPr>
        <w:spacing w:after="120" w:line="276"/>
        <w:jc w:val="both"/>
      </w:pPr>
      <w:r>
        <w:rPr>
          <w:rFonts w:ascii="Georgia" w:cs="Georgia" w:eastAsia="Georgia" w:hAnsi="Georgia"/>
          <w:sz w:val="22"/>
          <w:szCs w:val="22"/>
        </w:rPr>
        <w:t xml:space="preserve">The following consolidated table lists the principal key dates and condition rarities across the major U.S. series discussed in this paper, as a single-page field reference. Values are indicative ranges drawn from the sources cited in Sections 2 and 5 and should be checked against current guide and auction data before any purchase; all such coins should be acquired certified.</w:t>
      </w:r>
    </w:p>
    <w:p>
      <w:pPr>
        <w:spacing w:after="60" w:before="160"/>
      </w:pPr>
      <w:r>
        <w:rPr>
          <w:rFonts w:ascii="Arial" w:cs="Arial" w:eastAsia="Arial" w:hAnsi="Arial"/>
          <w:b/>
          <w:bCs/>
          <w:i/>
          <w:iCs/>
          <w:sz w:val="18"/>
          <w:szCs w:val="18"/>
        </w:rPr>
        <w:t xml:space="preserve">Table A1. Consolidated key-date and condition-rarity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rPr>
          <w:tblHeader/>
        </w:trP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Series</w:t>
            </w:r>
          </w:p>
        </w:tc>
        <w:tc>
          <w:tcPr>
            <w:tcW w:type="dxa" w:w="40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Key date(s)</w:t>
            </w:r>
          </w:p>
        </w:tc>
        <w:tc>
          <w:tcPr>
            <w:tcW w:type="dxa" w:w="2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Indicative value range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Lincoln cent</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1909-S VDB; 1914-D; 1922 plain; 1931-S; 1955 DDO</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$100 – $168,000 by grade</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Lincoln cent (errors)</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1943 bronze; 1944 steel</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$180,000 – $1.7M</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Indian Head cent</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1877; 1909-S</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$700 – five figures</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Buffalo nickel</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1913-S Type 2; 1926-S; 1937-D 3-legged</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$30 – $99,875</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Liberty nickel</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1913 (5 known)</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$3M – $4.2M</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Mercury dime</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1916-D; 1942/1; 1921 / 1921-D</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$600 – $300,000+ (FB)</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Standing Liberty quarter</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1916; 1918/7-S overdate</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$1,500 – $336,000</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Washington quarter</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1932-D; 1932-S</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$100 – high four figures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Walking Liberty half</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Early S and D issues</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Varies by date / grade</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Morgan dollar</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1893-S; 1889-CC; CC issues</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$300 – ~$2M</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Peace dollar</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1921 high relief; 1928</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$150 – four figures</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Saint-Gaudens $20</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1933 (1 ownable)</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$18.87M (record)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American Silver Eagle</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1996; 1995-W proof; 2019-S ERP</w:t>
            </w:r>
          </w:p>
        </w:tc>
        <w:tc>
          <w:tcPr>
            <w:tcW w:type="dxa" w:w="2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$800 – $18,000+</w:t>
            </w:r>
          </w:p>
        </w:tc>
      </w:tr>
      <w:tr>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Mexican Libertad</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1998 (67,000); 1997; 1999</w:t>
            </w:r>
          </w:p>
        </w:tc>
        <w:tc>
          <w:tcPr>
            <w:tcW w:type="dxa" w:w="29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~25% over spot – $6,000</w:t>
            </w:r>
          </w:p>
        </w:tc>
      </w:tr>
    </w:tbl>
    <w:p>
      <w:r>
        <w:br w:type="page"/>
      </w:r>
    </w:p>
    <w:p>
      <w:pPr>
        <w:pStyle w:val="Heading1"/>
        <w:spacing w:after="160" w:before="320"/>
      </w:pPr>
      <w:r>
        <w:rPr>
          <w:rFonts w:ascii="Arial" w:cs="Arial" w:eastAsia="Arial" w:hAnsi="Arial"/>
        </w:rPr>
        <w:t xml:space="preserve">Appendix B. Melt-Value Reference and Worked Calculations</w:t>
      </w:r>
    </w:p>
    <w:p>
      <w:pPr>
        <w:spacing w:after="160" w:line="276"/>
        <w:jc w:val="both"/>
      </w:pPr>
      <w:r>
        <w:rPr>
          <w:rFonts w:ascii="Georgia" w:cs="Georgia" w:eastAsia="Georgia" w:hAnsi="Georgia"/>
          <w:sz w:val="22"/>
          <w:szCs w:val="22"/>
        </w:rPr>
        <w:t xml:space="preserve">This appendix provides the formulas needed to compute the intrinsic-metal floor under any silver or gold coin, so that the reader can re-derive melt values as spot prices change. The general formula is straightforward: </w:t>
      </w:r>
      <w:r>
        <w:rPr>
          <w:rFonts w:ascii="Georgia" w:cs="Georgia" w:eastAsia="Georgia" w:hAnsi="Georgia"/>
          <w:i/>
          <w:iCs/>
          <w:sz w:val="22"/>
          <w:szCs w:val="22"/>
        </w:rPr>
        <w:t xml:space="preserve">melt value = troy-ounce metal content × current spot price per troy ounce</w:t>
      </w:r>
      <w:r>
        <w:rPr>
          <w:rFonts w:ascii="Georgia" w:cs="Georgia" w:eastAsia="Georgia" w:hAnsi="Georgia"/>
          <w:sz w:val="22"/>
          <w:szCs w:val="22"/>
        </w:rPr>
        <w:t xml:space="preserve">. The metal content of common U.S. coins is fixed by their statutory composition and weight; the figures in Table 3 (Section 5) restate the standard values.</w:t>
      </w:r>
    </w:p>
    <w:p>
      <w:pPr>
        <w:spacing w:after="160" w:line="276"/>
        <w:jc w:val="both"/>
      </w:pPr>
      <w:r>
        <w:rPr>
          <w:rFonts w:ascii="Georgia" w:cs="Georgia" w:eastAsia="Georgia" w:hAnsi="Georgia"/>
          <w:b/>
          <w:bCs/>
          <w:sz w:val="22"/>
          <w:szCs w:val="22"/>
        </w:rPr>
        <w:t xml:space="preserve">Worked example 1 — a $100 face bag of 90% silver dimes/quarters. </w:t>
      </w:r>
      <w:r>
        <w:rPr>
          <w:rFonts w:ascii="Georgia" w:cs="Georgia" w:eastAsia="Georgia" w:hAnsi="Georgia"/>
          <w:sz w:val="22"/>
          <w:szCs w:val="22"/>
        </w:rPr>
        <w:t xml:space="preserve">At 0.715 troy ounces of silver per dollar of face value, $100 face contains 71.5 ounces; at a silver spot of $68.04, the melt value is 71.5 × $68.04 ≈ $4,865. A dealer buying junk silver typically pays a small percentage under melt and sells a small percentage over it, so the bid/ask around this figure defines the junk-silver spread.</w:t>
      </w:r>
    </w:p>
    <w:p>
      <w:pPr>
        <w:spacing w:after="160" w:line="276"/>
        <w:jc w:val="both"/>
      </w:pPr>
      <w:r>
        <w:rPr>
          <w:rFonts w:ascii="Georgia" w:cs="Georgia" w:eastAsia="Georgia" w:hAnsi="Georgia"/>
          <w:b/>
          <w:bCs/>
          <w:sz w:val="22"/>
          <w:szCs w:val="22"/>
        </w:rPr>
        <w:t xml:space="preserve">Worked example 2 — a common-date Morgan dollar. </w:t>
      </w:r>
      <w:r>
        <w:rPr>
          <w:rFonts w:ascii="Georgia" w:cs="Georgia" w:eastAsia="Georgia" w:hAnsi="Georgia"/>
          <w:sz w:val="22"/>
          <w:szCs w:val="22"/>
        </w:rPr>
        <w:t xml:space="preserve">At 0.7734 ounces of silver, the melt value at $68.04 spot is 0.7734 × $68.04 ≈ $52.62. A common-date circulated Morgan therefore cannot trade below this floor for long, and its numismatic premium is the amount by which its market price exceeds it.</w:t>
      </w:r>
    </w:p>
    <w:p>
      <w:pPr>
        <w:spacing w:after="160" w:line="276"/>
        <w:jc w:val="both"/>
      </w:pPr>
      <w:r>
        <w:rPr>
          <w:rFonts w:ascii="Georgia" w:cs="Georgia" w:eastAsia="Georgia" w:hAnsi="Georgia"/>
          <w:b/>
          <w:bCs/>
          <w:sz w:val="22"/>
          <w:szCs w:val="22"/>
        </w:rPr>
        <w:t xml:space="preserve">Worked example 3 — a common-date pre-1933 $20 double eagle. </w:t>
      </w:r>
      <w:r>
        <w:rPr>
          <w:rFonts w:ascii="Georgia" w:cs="Georgia" w:eastAsia="Georgia" w:hAnsi="Georgia"/>
          <w:sz w:val="22"/>
          <w:szCs w:val="22"/>
        </w:rPr>
        <w:t xml:space="preserve">A Saint-Gaudens or Liberty double eagle contains 0.9675 troy ounces of gold; at a gold spot of $4,218.56, its melt value is 0.9675 × $4,218.56 ≈ $4,081. Common-date examples trade at this melt value plus a modest numismatic premium, which is why generic pre-1933 gold functions largely as a metal position with a thin collectible overlay.</w:t>
      </w:r>
    </w:p>
    <w:p>
      <w:pPr>
        <w:spacing w:after="160" w:line="276"/>
        <w:jc w:val="both"/>
      </w:pPr>
      <w:r>
        <w:rPr>
          <w:rFonts w:ascii="Georgia" w:cs="Georgia" w:eastAsia="Georgia" w:hAnsi="Georgia"/>
          <w:sz w:val="22"/>
          <w:szCs w:val="22"/>
        </w:rPr>
        <w:t xml:space="preserve">Two cautions apply to all such calculations. First, melt value is a floor for common coins only; for key dates and high grades the numismatic value so exceeds the metal value that melt is irrelevant, and melting such coins would be an act of vandalism against their collector premium. Second, the spot prices used here are historically extreme; the reader should re-run these formulas at prevailing spot before transacting, since a material fall in silver or gold would lower every figure proportionally.</w:t>
      </w:r>
    </w:p>
    <w:p>
      <w:r>
        <w:br w:type="page"/>
      </w:r>
    </w:p>
    <w:p>
      <w:pPr>
        <w:pStyle w:val="Heading1"/>
        <w:spacing w:after="160" w:before="320"/>
      </w:pPr>
      <w:r>
        <w:rPr>
          <w:rFonts w:ascii="Arial" w:cs="Arial" w:eastAsia="Arial" w:hAnsi="Arial"/>
        </w:rPr>
        <w:t xml:space="preserve">Appendix C. Grading-Cost Worked Example and the 3× Test</w:t>
      </w:r>
    </w:p>
    <w:p>
      <w:pPr>
        <w:spacing w:after="160" w:line="276"/>
        <w:jc w:val="both"/>
      </w:pPr>
      <w:r>
        <w:rPr>
          <w:rFonts w:ascii="Georgia" w:cs="Georgia" w:eastAsia="Georgia" w:hAnsi="Georgia"/>
          <w:sz w:val="22"/>
          <w:szCs w:val="22"/>
        </w:rPr>
        <w:t xml:space="preserve">This appendix applies the 3× test of Section 3 to concrete cases, so that the reader can decide quickly whether a given coin merits submission. Recall the rule: submit only when certification is expected to add at least three times its all-in cost. The all-in cost combines the per-coin grading tier, a share of annual membership, the per-order handling fee, and return shipping and insurance.</w:t>
      </w:r>
    </w:p>
    <w:p>
      <w:pPr>
        <w:spacing w:after="60" w:before="160"/>
      </w:pPr>
      <w:r>
        <w:rPr>
          <w:rFonts w:ascii="Arial" w:cs="Arial" w:eastAsia="Arial" w:hAnsi="Arial"/>
          <w:b/>
          <w:bCs/>
          <w:i/>
          <w:iCs/>
          <w:sz w:val="18"/>
          <w:szCs w:val="18"/>
        </w:rPr>
        <w:t xml:space="preserve">Table C1. The 3× grading test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400"/>
        <w:gridCol w:w="2160"/>
      </w:tblGrid>
      <w:tr>
        <w:trPr>
          <w:tblHeader/>
        </w:trPr>
        <w:tc>
          <w:tcPr>
            <w:tcW w:type="dxa" w:w="2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Scenario</w:t>
            </w:r>
          </w:p>
        </w:tc>
        <w:tc>
          <w:tcPr>
            <w:tcW w:type="dxa" w:w="21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All-in grading cost</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Value added by grading</w:t>
            </w:r>
          </w:p>
        </w:tc>
        <w:tc>
          <w:tcPr>
            <w:tcW w:type="dxa" w:w="21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3× test</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Common circulated Wheat cent</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~$45 (Regular, amortized)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~$0–$2</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Fails — do not grade</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BU common-date Silver Eagle</w:t>
            </w:r>
          </w:p>
        </w:tc>
        <w:tc>
          <w:tcPr>
            <w:tcW w:type="dxa" w:w="2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~$30 (Economy)</w:t>
            </w:r>
          </w:p>
        </w:tc>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~$5–$15</w:t>
            </w:r>
          </w:p>
        </w:tc>
        <w:tc>
          <w:tcPr>
            <w:tcW w:type="dxa" w:w="21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Fails — do not grade</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Raw candidate 1909-S VDB (if genuine)</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~$60 (Regular)</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Hundreds to thousands</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Passes — but authenticate first</w:t>
            </w:r>
          </w:p>
        </w:tc>
      </w:tr>
      <w:tr>
        <w:tc>
          <w:tcPr>
            <w:tcW w:type="dxa" w:w="2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Lightly circulated semi-key (e.g., 1921 Merc)</w:t>
            </w:r>
          </w:p>
        </w:tc>
        <w:tc>
          <w:tcPr>
            <w:tcW w:type="dxa" w:w="21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~$45</w:t>
            </w:r>
          </w:p>
        </w:tc>
        <w:tc>
          <w:tcPr>
            <w:tcW w:type="dxa" w:w="24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~$50–$150</w:t>
            </w:r>
          </w:p>
        </w:tc>
        <w:tc>
          <w:tcPr>
            <w:tcW w:type="dxa" w:w="21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Marginal — grade only if high end</w:t>
            </w:r>
          </w:p>
        </w:tc>
      </w:tr>
      <w:tr>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Suspected high-grade type coin</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~$65 (Express)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$200+ if gem</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Passes if grade confirmed</w:t>
            </w:r>
          </w:p>
        </w:tc>
      </w:tr>
    </w:tbl>
    <w:p>
      <w:pPr>
        <w:spacing w:after="160" w:line="276"/>
        <w:jc w:val="both"/>
      </w:pPr>
      <w:r>
        <w:rPr>
          <w:rFonts w:ascii="Georgia" w:cs="Georgia" w:eastAsia="Georgia" w:hAnsi="Georgia"/>
          <w:sz w:val="22"/>
          <w:szCs w:val="22"/>
        </w:rPr>
        <w:t xml:space="preserve">The pattern is consistent: grading pays only where grade or authentication drives a large value differential, which in practice means key dates, genuine high grades, and condition rarities. For everything else, the fee is a dead-weight cost. When a coin does qualify, and when 100 or more similar sub-$300 coins can be assembled, the PCGS Bulk program’s ~$14 per-coin rate (Section 3.3) materially improves the arithmetic; otherwise the coin should be submitted individually or routed through a dealer’s bulk account.</w:t>
      </w:r>
    </w:p>
    <w:p>
      <w:r>
        <w:br w:type="page"/>
      </w:r>
    </w:p>
    <w:p>
      <w:pPr>
        <w:pStyle w:val="Heading1"/>
        <w:spacing w:after="160" w:before="320"/>
      </w:pPr>
      <w:r>
        <w:rPr>
          <w:rFonts w:ascii="Arial" w:cs="Arial" w:eastAsia="Arial" w:hAnsi="Arial"/>
        </w:rPr>
        <w:t xml:space="preserve">Appendix D. Marketplace Directory</w:t>
      </w:r>
    </w:p>
    <w:p>
      <w:pPr>
        <w:spacing w:after="120" w:line="276"/>
        <w:jc w:val="both"/>
      </w:pPr>
      <w:r>
        <w:rPr>
          <w:rFonts w:ascii="Georgia" w:cs="Georgia" w:eastAsia="Georgia" w:hAnsi="Georgia"/>
          <w:sz w:val="22"/>
          <w:szCs w:val="22"/>
        </w:rPr>
        <w:t xml:space="preserve">The following directory consolidates the venues discussed in Section 9 by tier. Contact details and credentials should be verified before transacting, as ownership and terms change; membership in the ANA and the Professional Numismatists Guild is a useful credential to confirm for any dealer.</w:t>
      </w:r>
      <w:r>
        <w:rPr>
          <w:rStyle w:val="FootnoteReference"/>
        </w:rPr>
        <w:footnoteReference w:id="84"/>
      </w:r>
      <w:r>
        <w:rPr>
          <w:rFonts w:ascii="Georgia" w:cs="Georgia" w:eastAsia="Georgia" w:hAnsi="Georgia"/>
          <w:sz w:val="22"/>
          <w:szCs w:val="22"/>
          <w:vertAlign w:val="superscript"/>
        </w:rPr>
        <w:t xml:space="preserve">,</w:t>
      </w:r>
      <w:r>
        <w:rPr>
          <w:rStyle w:val="FootnoteReference"/>
        </w:rPr>
        <w:footnoteReference w:id="88"/>
      </w:r>
    </w:p>
    <w:p>
      <w:pPr>
        <w:spacing w:after="60" w:before="160"/>
      </w:pPr>
      <w:r>
        <w:rPr>
          <w:rFonts w:ascii="Arial" w:cs="Arial" w:eastAsia="Arial" w:hAnsi="Arial"/>
          <w:b/>
          <w:bCs/>
          <w:i/>
          <w:iCs/>
          <w:sz w:val="18"/>
          <w:szCs w:val="18"/>
        </w:rPr>
        <w:t xml:space="preserve">Table D1. Marketplace directory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Tier</w:t>
            </w:r>
          </w:p>
        </w:tc>
        <w:tc>
          <w:tcPr>
            <w:tcW w:type="dxa" w:w="40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Venue</w:t>
            </w:r>
          </w:p>
        </w:tc>
        <w:tc>
          <w:tcPr>
            <w:tcW w:type="dxa" w:w="3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Role / note</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Local (NWA)</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Northwest Arkansas Coin Club</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Regional hub; dealer directory; meetings</w:t>
            </w:r>
          </w:p>
        </w:tc>
      </w:tr>
      <w:tr>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Local (NWA)</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Bentonville Gold Silver &amp; Coins</w:t>
            </w:r>
          </w:p>
        </w:tc>
        <w:tc>
          <w:tcPr>
            <w:tcW w:type="dxa" w:w="36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Bentonville storefront dealer</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Local (NWA)</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AE NWA (Fayetteville); C&amp;S Coins (Springdale); Rose Antique Mall dealer (Rogers)</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Local buy/sell; verify numismatic vs. pawn focus</w:t>
            </w:r>
          </w:p>
        </w:tc>
      </w:tr>
      <w:tr>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Regional</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Heritage Auctions (Dallas, TX)</w:t>
            </w:r>
          </w:p>
        </w:tc>
        <w:tc>
          <w:tcPr>
            <w:tcW w:type="dxa" w:w="36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World’s largest coin auctioneer; within driving distance</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Regional</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Tulsa / OKC / Joplin / Little Rock dealers and shows</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Neighboring-state dealers and rotating shows</w:t>
            </w:r>
          </w:p>
        </w:tc>
      </w:tr>
      <w:tr>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National — bullion</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APMEX; JM Bullion; SD Bullion; Provident</w:t>
            </w:r>
          </w:p>
        </w:tc>
        <w:tc>
          <w:tcPr>
            <w:tcW w:type="dxa" w:w="36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High-volume bullion at low premium</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National — auction</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Heritage; Stack’s Bowers; GreatCollections</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Best material; GreatCollections has no seller fee</w:t>
            </w:r>
          </w:p>
        </w:tc>
      </w:tr>
      <w:tr>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National — dealer</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David Lawrence; Legend; Littleton (beginner)</w:t>
            </w:r>
          </w:p>
        </w:tc>
        <w:tc>
          <w:tcPr>
            <w:tcW w:type="dxa" w:w="36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Retail/auction; mind premiums (GovMint: caution)</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Reference / pricing</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PCGS CoinFacts; NGC; Greysheet; eBay (sold)</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Price discovery; require cert numbers on eBay</w:t>
            </w:r>
          </w:p>
        </w:tc>
      </w:tr>
      <w:tr>
        <w:tc>
          <w:tcPr>
            <w:tcW w:type="dxa" w:w="17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International</w:t>
            </w:r>
          </w:p>
        </w:tc>
        <w:tc>
          <w:tcPr>
            <w:tcW w:type="dxa" w:w="406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Banco de México; Royal Canadian Mint; Royal Mint; Perth Mint</w:t>
            </w:r>
          </w:p>
        </w:tc>
        <w:tc>
          <w:tcPr>
            <w:tcW w:type="dxa" w:w="3600"/>
            <w:tcBorders>
              <w:top w:val="single" w:color="B0B0B0" w:sz="1"/>
              <w:left w:val="single" w:color="B0B0B0" w:sz="1"/>
              <w:bottom w:val="single" w:color="B0B0B0" w:sz="1"/>
              <w:right w:val="single" w:color="B0B0B0"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World/bullion issues; mind duties and FX</w:t>
            </w:r>
          </w:p>
        </w:tc>
      </w:tr>
    </w:tbl>
    <w:p>
      <w:pPr>
        <w:spacing w:after="160" w:line="276"/>
        <w:jc w:val="both"/>
      </w:pPr>
      <w:r>
        <w:rPr>
          <w:rFonts w:ascii="Georgia" w:cs="Georgia" w:eastAsia="Georgia" w:hAnsi="Georgia"/>
          <w:sz w:val="22"/>
          <w:szCs w:val="22"/>
        </w:rPr>
        <w:t xml:space="preserve">A closing operational note ties the directory to the tax analysis of Section 9.6: because Arkansas imposes no sales tax and no state capital-gains tax on coins and bullion, the reader enjoys a structural cost advantage on every transaction conducted as an Arkansas resident, whether sourced locally, regionally, or online—an advantage that compounds over a collecting lifetime and should inform where and how purchases and eventual sales are structured.</w:t>
      </w:r>
      <w:r>
        <w:rPr>
          <w:rStyle w:val="FootnoteReference"/>
        </w:rPr>
        <w:footnoteReference w:id="101"/>
      </w:r>
      <w:r>
        <w:rPr>
          <w:rFonts w:ascii="Georgia" w:cs="Georgia" w:eastAsia="Georgia" w:hAnsi="Georgia"/>
          <w:sz w:val="22"/>
          <w:szCs w:val="22"/>
          <w:vertAlign w:val="superscript"/>
        </w:rPr>
        <w:t xml:space="preserve">,</w:t>
      </w:r>
      <w:r>
        <w:rPr>
          <w:rStyle w:val="FootnoteReference"/>
        </w:rPr>
        <w:footnoteReference w:id="102"/>
      </w:r>
      <w:r>
        <w:rPr>
          <w:rFonts w:ascii="Georgia" w:cs="Georgia" w:eastAsia="Georgia" w:hAnsi="Georgia"/>
          <w:sz w:val="22"/>
          <w:szCs w:val="22"/>
          <w:vertAlign w:val="superscript"/>
        </w:rPr>
        <w:t xml:space="preserve">,</w:t>
      </w:r>
      <w:r>
        <w:rPr>
          <w:rStyle w:val="FootnoteReference"/>
        </w:rPr>
        <w:footnoteReference w:id="103"/>
      </w:r>
    </w:p>
    <w:p>
      <w:r>
        <w:br w:type="page"/>
      </w:r>
    </w:p>
    <w:p>
      <w:pPr>
        <w:pStyle w:val="Heading1"/>
        <w:spacing w:after="160" w:before="320"/>
      </w:pPr>
      <w:r>
        <w:rPr>
          <w:rFonts w:ascii="Arial" w:cs="Arial" w:eastAsia="Arial" w:hAnsi="Arial"/>
        </w:rPr>
        <w:t xml:space="preserve">References</w:t>
      </w:r>
    </w:p>
    <w:p>
      <w:pPr>
        <w:spacing w:after="160"/>
      </w:pPr>
      <w:r>
        <w:rPr>
          <w:rFonts w:ascii="Georgia" w:cs="Georgia" w:eastAsia="Georgia" w:hAnsi="Georgia"/>
          <w:i/>
          <w:iCs/>
          <w:sz w:val="18"/>
          <w:szCs w:val="18"/>
        </w:rPr>
        <w:t xml:space="preserve">Sources are numbered to correspond to the footnote markers throughout the text. Online references include URLs as accessed in June 2026; auction realized prices and price-guide figures are drawn from the cited houses and grading services.</w:t>
      </w:r>
    </w:p>
    <w:p>
      <w:pPr>
        <w:spacing w:after="80" w:line="252"/>
        <w:ind w:left="360" w:hanging="360"/>
      </w:pPr>
      <w:r>
        <w:rPr>
          <w:rFonts w:ascii="Georgia" w:cs="Georgia" w:eastAsia="Georgia" w:hAnsi="Georgia"/>
          <w:b/>
          <w:bCs/>
          <w:sz w:val="18"/>
          <w:szCs w:val="18"/>
        </w:rPr>
        <w:t xml:space="preserve">1.  </w:t>
      </w:r>
      <w:r>
        <w:rPr>
          <w:rFonts w:ascii="Georgia" w:cs="Georgia" w:eastAsia="Georgia" w:hAnsi="Georgia"/>
          <w:sz w:val="18"/>
          <w:szCs w:val="18"/>
        </w:rPr>
        <w:t xml:space="preserve">United States Mint, “United States Mint Hosts Historic Ceremonial Strike for Final Production of the Circulating One-Cent Coin,” Press Release, November 12, 2025. </w:t>
      </w:r>
      <w:hyperlink w:history="1" r:id="rIdj-zlndxbgcsdkvou7hrbk">
        <w:r>
          <w:rPr>
            <w:rStyle w:val="Hyperlink"/>
            <w:rFonts w:ascii="Georgia" w:cs="Georgia" w:eastAsia="Georgia" w:hAnsi="Georgia"/>
            <w:sz w:val="18"/>
            <w:szCs w:val="18"/>
          </w:rPr>
          <w:t xml:space="preserve">https://www.usmint.gov/news/press-releases/united-states-mint-hosts-historic-ceremonial-strike-for-final-production-of-the-circulating-one-cent-coin</w:t>
        </w:r>
      </w:hyperlink>
    </w:p>
    <w:p>
      <w:pPr>
        <w:spacing w:after="80" w:line="252"/>
        <w:ind w:left="360" w:hanging="360"/>
      </w:pPr>
      <w:r>
        <w:rPr>
          <w:rFonts w:ascii="Georgia" w:cs="Georgia" w:eastAsia="Georgia" w:hAnsi="Georgia"/>
          <w:b/>
          <w:bCs/>
          <w:sz w:val="18"/>
          <w:szCs w:val="18"/>
        </w:rPr>
        <w:t xml:space="preserve">2.  </w:t>
      </w:r>
      <w:r>
        <w:rPr>
          <w:rFonts w:ascii="Georgia" w:cs="Georgia" w:eastAsia="Georgia" w:hAnsi="Georgia"/>
          <w:sz w:val="18"/>
          <w:szCs w:val="18"/>
        </w:rPr>
        <w:t xml:space="preserve">United States Department of the Treasury, “Penny FAQs / Media Kit,” 2025. </w:t>
      </w:r>
      <w:hyperlink w:history="1" r:id="rId3-v5xohy8uzprxl9vzp91">
        <w:r>
          <w:rPr>
            <w:rStyle w:val="Hyperlink"/>
            <w:rFonts w:ascii="Georgia" w:cs="Georgia" w:eastAsia="Georgia" w:hAnsi="Georgia"/>
            <w:sz w:val="18"/>
            <w:szCs w:val="18"/>
          </w:rPr>
          <w:t xml:space="preserve">https://www.usmint.gov/news/media-kit/penny</w:t>
        </w:r>
      </w:hyperlink>
    </w:p>
    <w:p>
      <w:pPr>
        <w:spacing w:after="80" w:line="252"/>
        <w:ind w:left="360" w:hanging="360"/>
      </w:pPr>
      <w:r>
        <w:rPr>
          <w:rFonts w:ascii="Georgia" w:cs="Georgia" w:eastAsia="Georgia" w:hAnsi="Georgia"/>
          <w:b/>
          <w:bCs/>
          <w:sz w:val="18"/>
          <w:szCs w:val="18"/>
        </w:rPr>
        <w:t xml:space="preserve">3.  </w:t>
      </w:r>
      <w:r>
        <w:rPr>
          <w:rFonts w:ascii="Georgia" w:cs="Georgia" w:eastAsia="Georgia" w:hAnsi="Georgia"/>
          <w:sz w:val="18"/>
          <w:szCs w:val="18"/>
        </w:rPr>
        <w:t xml:space="preserve">31 U.S.C. § 5111(a) and § 5112 — Denominations, specifications, and design of coins; powers of the Secretary of the Treasury. United States Code.</w:t>
      </w:r>
    </w:p>
    <w:p>
      <w:pPr>
        <w:spacing w:after="80" w:line="252"/>
        <w:ind w:left="360" w:hanging="360"/>
      </w:pPr>
      <w:r>
        <w:rPr>
          <w:rFonts w:ascii="Georgia" w:cs="Georgia" w:eastAsia="Georgia" w:hAnsi="Georgia"/>
          <w:b/>
          <w:bCs/>
          <w:sz w:val="18"/>
          <w:szCs w:val="18"/>
        </w:rPr>
        <w:t xml:space="preserve">4.  </w:t>
      </w:r>
      <w:r>
        <w:rPr>
          <w:rFonts w:ascii="Georgia" w:cs="Georgia" w:eastAsia="Georgia" w:hAnsi="Georgia"/>
          <w:sz w:val="18"/>
          <w:szCs w:val="18"/>
        </w:rPr>
        <w:t xml:space="preserve">United States Mint, FY2024 Annual Report (cost of producing the one-cent coin; reported ≈$85.3 million loss on circulating cents), 2024.</w:t>
      </w:r>
    </w:p>
    <w:p>
      <w:pPr>
        <w:spacing w:after="80" w:line="252"/>
        <w:ind w:left="360" w:hanging="360"/>
      </w:pPr>
      <w:r>
        <w:rPr>
          <w:rFonts w:ascii="Georgia" w:cs="Georgia" w:eastAsia="Georgia" w:hAnsi="Georgia"/>
          <w:b/>
          <w:bCs/>
          <w:sz w:val="18"/>
          <w:szCs w:val="18"/>
        </w:rPr>
        <w:t xml:space="preserve">5.  </w:t>
      </w:r>
      <w:r>
        <w:rPr>
          <w:rFonts w:ascii="Georgia" w:cs="Georgia" w:eastAsia="Georgia" w:hAnsi="Georgia"/>
          <w:sz w:val="18"/>
          <w:szCs w:val="18"/>
        </w:rPr>
        <w:t xml:space="preserve">CoinNews.net, “U.S. Mint Strikes Final Circulating Penny; Production Costs and Savings,” November 2025. </w:t>
      </w:r>
      <w:hyperlink w:history="1" r:id="rIdoep9wsd9ugk9uph73kzp8">
        <w:r>
          <w:rPr>
            <w:rStyle w:val="Hyperlink"/>
            <w:rFonts w:ascii="Georgia" w:cs="Georgia" w:eastAsia="Georgia" w:hAnsi="Georgia"/>
            <w:sz w:val="18"/>
            <w:szCs w:val="18"/>
          </w:rPr>
          <w:t xml:space="preserve">https://www.coinnews.net/</w:t>
        </w:r>
      </w:hyperlink>
    </w:p>
    <w:p>
      <w:pPr>
        <w:spacing w:after="80" w:line="252"/>
        <w:ind w:left="360" w:hanging="360"/>
      </w:pPr>
      <w:r>
        <w:rPr>
          <w:rFonts w:ascii="Georgia" w:cs="Georgia" w:eastAsia="Georgia" w:hAnsi="Georgia"/>
          <w:b/>
          <w:bCs/>
          <w:sz w:val="18"/>
          <w:szCs w:val="18"/>
        </w:rPr>
        <w:t xml:space="preserve">6.  </w:t>
      </w:r>
      <w:r>
        <w:rPr>
          <w:rFonts w:ascii="Georgia" w:cs="Georgia" w:eastAsia="Georgia" w:hAnsi="Georgia"/>
          <w:sz w:val="18"/>
          <w:szCs w:val="18"/>
        </w:rPr>
        <w:t xml:space="preserve">CNBC, “The U.S. just minted its final penny — why you may want to cash in your coins now,” November 19, 2025. </w:t>
      </w:r>
      <w:hyperlink w:history="1" r:id="rIdobi6e3qdxvo9f7motmfms">
        <w:r>
          <w:rPr>
            <w:rStyle w:val="Hyperlink"/>
            <w:rFonts w:ascii="Georgia" w:cs="Georgia" w:eastAsia="Georgia" w:hAnsi="Georgia"/>
            <w:sz w:val="18"/>
            <w:szCs w:val="18"/>
          </w:rPr>
          <w:t xml:space="preserve">https://www.cnbc.com/2025/11/19/us-mints-final-penny.html</w:t>
        </w:r>
      </w:hyperlink>
    </w:p>
    <w:p>
      <w:pPr>
        <w:spacing w:after="80" w:line="252"/>
        <w:ind w:left="360" w:hanging="360"/>
      </w:pPr>
      <w:r>
        <w:rPr>
          <w:rFonts w:ascii="Georgia" w:cs="Georgia" w:eastAsia="Georgia" w:hAnsi="Georgia"/>
          <w:b/>
          <w:bCs/>
          <w:sz w:val="18"/>
          <w:szCs w:val="18"/>
        </w:rPr>
        <w:t xml:space="preserve">7.  </w:t>
      </w:r>
      <w:r>
        <w:rPr>
          <w:rFonts w:ascii="Georgia" w:cs="Georgia" w:eastAsia="Georgia" w:hAnsi="Georgia"/>
          <w:sz w:val="18"/>
          <w:szCs w:val="18"/>
        </w:rPr>
        <w:t xml:space="preserve">Wikipedia, “Penny debate in the United States,” accessed June 2026. </w:t>
      </w:r>
      <w:hyperlink w:history="1" r:id="rIdzz26n_nxxhdav8oulyih4">
        <w:r>
          <w:rPr>
            <w:rStyle w:val="Hyperlink"/>
            <w:rFonts w:ascii="Georgia" w:cs="Georgia" w:eastAsia="Georgia" w:hAnsi="Georgia"/>
            <w:sz w:val="18"/>
            <w:szCs w:val="18"/>
          </w:rPr>
          <w:t xml:space="preserve">https://en.wikipedia.org/wiki/Penny_debate_in_the_United_States</w:t>
        </w:r>
      </w:hyperlink>
    </w:p>
    <w:p>
      <w:pPr>
        <w:spacing w:after="80" w:line="252"/>
        <w:ind w:left="360" w:hanging="360"/>
      </w:pPr>
      <w:r>
        <w:rPr>
          <w:rFonts w:ascii="Georgia" w:cs="Georgia" w:eastAsia="Georgia" w:hAnsi="Georgia"/>
          <w:b/>
          <w:bCs/>
          <w:sz w:val="18"/>
          <w:szCs w:val="18"/>
        </w:rPr>
        <w:t xml:space="preserve">8.  </w:t>
      </w:r>
      <w:r>
        <w:rPr>
          <w:rFonts w:ascii="Georgia" w:cs="Georgia" w:eastAsia="Georgia" w:hAnsi="Georgia"/>
          <w:sz w:val="18"/>
          <w:szCs w:val="18"/>
        </w:rPr>
        <w:t xml:space="preserve">American Bankers Association, estimates of pennies in circulation (cited in contemporaneous press coverage of penny discontinuation), 2025.</w:t>
      </w:r>
    </w:p>
    <w:p>
      <w:pPr>
        <w:spacing w:after="80" w:line="252"/>
        <w:ind w:left="360" w:hanging="360"/>
      </w:pPr>
      <w:r>
        <w:rPr>
          <w:rFonts w:ascii="Georgia" w:cs="Georgia" w:eastAsia="Georgia" w:hAnsi="Georgia"/>
          <w:b/>
          <w:bCs/>
          <w:sz w:val="18"/>
          <w:szCs w:val="18"/>
        </w:rPr>
        <w:t xml:space="preserve">9.  </w:t>
      </w:r>
      <w:r>
        <w:rPr>
          <w:rFonts w:ascii="Georgia" w:cs="Georgia" w:eastAsia="Georgia" w:hAnsi="Georgia"/>
          <w:sz w:val="18"/>
          <w:szCs w:val="18"/>
        </w:rPr>
        <w:t xml:space="preserve">Board of Governors of the Federal Reserve System, guidance to depository institutions on one-cent coin handling, 2025–2026.</w:t>
      </w:r>
    </w:p>
    <w:p>
      <w:pPr>
        <w:spacing w:after="80" w:line="252"/>
        <w:ind w:left="360" w:hanging="360"/>
      </w:pPr>
      <w:r>
        <w:rPr>
          <w:rFonts w:ascii="Georgia" w:cs="Georgia" w:eastAsia="Georgia" w:hAnsi="Georgia"/>
          <w:b/>
          <w:bCs/>
          <w:sz w:val="18"/>
          <w:szCs w:val="18"/>
        </w:rPr>
        <w:t xml:space="preserve">10.  </w:t>
      </w:r>
      <w:r>
        <w:rPr>
          <w:rFonts w:ascii="Georgia" w:cs="Georgia" w:eastAsia="Georgia" w:hAnsi="Georgia"/>
          <w:sz w:val="18"/>
          <w:szCs w:val="18"/>
        </w:rPr>
        <w:t xml:space="preserve">Wikipedia, “Penny (Canadian coin),” accessed June 2026. </w:t>
      </w:r>
      <w:hyperlink w:history="1" r:id="rIdnhfajshhnwruquqkqdiez">
        <w:r>
          <w:rPr>
            <w:rStyle w:val="Hyperlink"/>
            <w:rFonts w:ascii="Georgia" w:cs="Georgia" w:eastAsia="Georgia" w:hAnsi="Georgia"/>
            <w:sz w:val="18"/>
            <w:szCs w:val="18"/>
          </w:rPr>
          <w:t xml:space="preserve">https://en.wikipedia.org/wiki/Penny_(Canadian_coin)</w:t>
        </w:r>
      </w:hyperlink>
    </w:p>
    <w:p>
      <w:pPr>
        <w:spacing w:after="80" w:line="252"/>
        <w:ind w:left="360" w:hanging="360"/>
      </w:pPr>
      <w:r>
        <w:rPr>
          <w:rFonts w:ascii="Georgia" w:cs="Georgia" w:eastAsia="Georgia" w:hAnsi="Georgia"/>
          <w:b/>
          <w:bCs/>
          <w:sz w:val="18"/>
          <w:szCs w:val="18"/>
        </w:rPr>
        <w:t xml:space="preserve">11.  </w:t>
      </w:r>
      <w:r>
        <w:rPr>
          <w:rFonts w:ascii="Georgia" w:cs="Georgia" w:eastAsia="Georgia" w:hAnsi="Georgia"/>
          <w:sz w:val="18"/>
          <w:szCs w:val="18"/>
        </w:rPr>
        <w:t xml:space="preserve">Royal Canadian Mint, announcement on the elimination of the penny (production ceased May 2012; distribution ended February 4, 2013).</w:t>
      </w:r>
    </w:p>
    <w:p>
      <w:pPr>
        <w:spacing w:after="80" w:line="252"/>
        <w:ind w:left="360" w:hanging="360"/>
      </w:pPr>
      <w:r>
        <w:rPr>
          <w:rFonts w:ascii="Georgia" w:cs="Georgia" w:eastAsia="Georgia" w:hAnsi="Georgia"/>
          <w:b/>
          <w:bCs/>
          <w:sz w:val="18"/>
          <w:szCs w:val="18"/>
        </w:rPr>
        <w:t xml:space="preserve">12.  </w:t>
      </w:r>
      <w:r>
        <w:rPr>
          <w:rFonts w:ascii="Georgia" w:cs="Georgia" w:eastAsia="Georgia" w:hAnsi="Georgia"/>
          <w:sz w:val="18"/>
          <w:szCs w:val="18"/>
        </w:rPr>
        <w:t xml:space="preserve">CTV News Kitchener, “Ten years since the penny was phased out” (interview with Todd Sandham, Colonial Acres Coins), February 4, 2023.</w:t>
      </w:r>
    </w:p>
    <w:p>
      <w:pPr>
        <w:spacing w:after="80" w:line="252"/>
        <w:ind w:left="360" w:hanging="360"/>
      </w:pPr>
      <w:r>
        <w:rPr>
          <w:rFonts w:ascii="Georgia" w:cs="Georgia" w:eastAsia="Georgia" w:hAnsi="Georgia"/>
          <w:b/>
          <w:bCs/>
          <w:sz w:val="18"/>
          <w:szCs w:val="18"/>
        </w:rPr>
        <w:t xml:space="preserve">13.  </w:t>
      </w:r>
      <w:r>
        <w:rPr>
          <w:rFonts w:ascii="Georgia" w:cs="Georgia" w:eastAsia="Georgia" w:hAnsi="Georgia"/>
          <w:sz w:val="18"/>
          <w:szCs w:val="18"/>
        </w:rPr>
        <w:t xml:space="preserve">Coin Identifier, “Most Valuable Canadian Pennies — Centennial, Bicentennial and Value Chart,” accessed 2026. </w:t>
      </w:r>
      <w:hyperlink w:history="1" r:id="rIdjg3tldkweokgyatxbtpa_">
        <w:r>
          <w:rPr>
            <w:rStyle w:val="Hyperlink"/>
            <w:rFonts w:ascii="Georgia" w:cs="Georgia" w:eastAsia="Georgia" w:hAnsi="Georgia"/>
            <w:sz w:val="18"/>
            <w:szCs w:val="18"/>
          </w:rPr>
          <w:t xml:space="preserve">https://coin-identifier.com/blog/coins-overview/most-valuable-canadian-pennies</w:t>
        </w:r>
      </w:hyperlink>
    </w:p>
    <w:p>
      <w:pPr>
        <w:spacing w:after="80" w:line="252"/>
        <w:ind w:left="360" w:hanging="360"/>
      </w:pPr>
      <w:r>
        <w:rPr>
          <w:rFonts w:ascii="Georgia" w:cs="Georgia" w:eastAsia="Georgia" w:hAnsi="Georgia"/>
          <w:b/>
          <w:bCs/>
          <w:sz w:val="18"/>
          <w:szCs w:val="18"/>
        </w:rPr>
        <w:t xml:space="preserve">14.  </w:t>
      </w:r>
      <w:r>
        <w:rPr>
          <w:rFonts w:ascii="Georgia" w:cs="Georgia" w:eastAsia="Georgia" w:hAnsi="Georgia"/>
          <w:sz w:val="18"/>
          <w:szCs w:val="18"/>
        </w:rPr>
        <w:t xml:space="preserve">CDN Coin, “2012 1c Canada’s Last One Cent Coins — Copper-Plated Steel (10 Pack),” product listing, accessed 2026. </w:t>
      </w:r>
      <w:hyperlink w:history="1" r:id="rIdum0sj0wtl8qpg57md7l6r">
        <w:r>
          <w:rPr>
            <w:rStyle w:val="Hyperlink"/>
            <w:rFonts w:ascii="Georgia" w:cs="Georgia" w:eastAsia="Georgia" w:hAnsi="Georgia"/>
            <w:sz w:val="18"/>
            <w:szCs w:val="18"/>
          </w:rPr>
          <w:t xml:space="preserve">https://cdncoin.com/en-us/products/2012-1-cent-cent-steel-10-rol</w:t>
        </w:r>
      </w:hyperlink>
    </w:p>
    <w:p>
      <w:pPr>
        <w:spacing w:after="80" w:line="252"/>
        <w:ind w:left="360" w:hanging="360"/>
      </w:pPr>
      <w:r>
        <w:rPr>
          <w:rFonts w:ascii="Georgia" w:cs="Georgia" w:eastAsia="Georgia" w:hAnsi="Georgia"/>
          <w:b/>
          <w:bCs/>
          <w:sz w:val="18"/>
          <w:szCs w:val="18"/>
        </w:rPr>
        <w:t xml:space="preserve">15.  </w:t>
      </w:r>
      <w:r>
        <w:rPr>
          <w:rFonts w:ascii="Georgia" w:cs="Georgia" w:eastAsia="Georgia" w:hAnsi="Georgia"/>
          <w:sz w:val="18"/>
          <w:szCs w:val="18"/>
        </w:rPr>
        <w:t xml:space="preserve">United States Mint, history of the half cent (authorized by the Coinage Act of 1792; discontinued 1857).</w:t>
      </w:r>
    </w:p>
    <w:p>
      <w:pPr>
        <w:spacing w:after="80" w:line="252"/>
        <w:ind w:left="360" w:hanging="360"/>
      </w:pPr>
      <w:r>
        <w:rPr>
          <w:rFonts w:ascii="Georgia" w:cs="Georgia" w:eastAsia="Georgia" w:hAnsi="Georgia"/>
          <w:b/>
          <w:bCs/>
          <w:sz w:val="18"/>
          <w:szCs w:val="18"/>
        </w:rPr>
        <w:t xml:space="preserve">16.  </w:t>
      </w:r>
      <w:r>
        <w:rPr>
          <w:rFonts w:ascii="Georgia" w:cs="Georgia" w:eastAsia="Georgia" w:hAnsi="Georgia"/>
          <w:sz w:val="18"/>
          <w:szCs w:val="18"/>
        </w:rPr>
        <w:t xml:space="preserve">Raymond E. Lombra, Ph.D., “The Investment Performance of Rare U.S. Coins,” R L Associates (commissioned by Blanchard and Company), February 2017. </w:t>
      </w:r>
      <w:hyperlink w:history="1" r:id="rIds2umd2pcjxewacswo6gyw">
        <w:r>
          <w:rPr>
            <w:rStyle w:val="Hyperlink"/>
            <w:rFonts w:ascii="Georgia" w:cs="Georgia" w:eastAsia="Georgia" w:hAnsi="Georgia"/>
            <w:sz w:val="18"/>
            <w:szCs w:val="18"/>
          </w:rPr>
          <w:t xml:space="preserve">https://www.blanchardgold.com/wp-content/uploads/2017/02/blanchard_lombra_report_2016.pdf</w:t>
        </w:r>
      </w:hyperlink>
    </w:p>
    <w:p>
      <w:pPr>
        <w:spacing w:after="80" w:line="252"/>
        <w:ind w:left="360" w:hanging="360"/>
      </w:pPr>
      <w:r>
        <w:rPr>
          <w:rFonts w:ascii="Georgia" w:cs="Georgia" w:eastAsia="Georgia" w:hAnsi="Georgia"/>
          <w:b/>
          <w:bCs/>
          <w:sz w:val="18"/>
          <w:szCs w:val="18"/>
        </w:rPr>
        <w:t xml:space="preserve">17.  </w:t>
      </w:r>
      <w:r>
        <w:rPr>
          <w:rFonts w:ascii="Georgia" w:cs="Georgia" w:eastAsia="Georgia" w:hAnsi="Georgia"/>
          <w:sz w:val="18"/>
          <w:szCs w:val="18"/>
        </w:rPr>
        <w:t xml:space="preserve">Elroy Dimson and Christophe Spaenjers, “The Investment Performance of Art and Other Collectibles,” in Risk and Uncertainty in the Art Market (and Financial Analysts Journal, 2014); working paper SSRN 2319338. </w:t>
      </w:r>
      <w:hyperlink w:history="1" r:id="rIdj8zfdwmzb8mlirkcf7i4t">
        <w:r>
          <w:rPr>
            <w:rStyle w:val="Hyperlink"/>
            <w:rFonts w:ascii="Georgia" w:cs="Georgia" w:eastAsia="Georgia" w:hAnsi="Georgia"/>
            <w:sz w:val="18"/>
            <w:szCs w:val="18"/>
          </w:rPr>
          <w:t xml:space="preserve">https://papers.ssrn.com/sol3/papers.cfm?abstract_id=2319338</w:t>
        </w:r>
      </w:hyperlink>
    </w:p>
    <w:p>
      <w:pPr>
        <w:spacing w:after="80" w:line="252"/>
        <w:ind w:left="360" w:hanging="360"/>
      </w:pPr>
      <w:r>
        <w:rPr>
          <w:rFonts w:ascii="Georgia" w:cs="Georgia" w:eastAsia="Georgia" w:hAnsi="Georgia"/>
          <w:b/>
          <w:bCs/>
          <w:sz w:val="18"/>
          <w:szCs w:val="18"/>
        </w:rPr>
        <w:t xml:space="preserve">18.  </w:t>
      </w:r>
      <w:r>
        <w:rPr>
          <w:rFonts w:ascii="Georgia" w:cs="Georgia" w:eastAsia="Georgia" w:hAnsi="Georgia"/>
          <w:sz w:val="18"/>
          <w:szCs w:val="18"/>
        </w:rPr>
        <w:t xml:space="preserve">Elroy Dimson, Kuntara Pukthuanthong, and others, research on “emotional assets” and the emotional yield of collectibles (follow-on analysis, 2026).</w:t>
      </w:r>
    </w:p>
    <w:p>
      <w:pPr>
        <w:spacing w:after="80" w:line="252"/>
        <w:ind w:left="360" w:hanging="360"/>
      </w:pPr>
      <w:r>
        <w:rPr>
          <w:rFonts w:ascii="Georgia" w:cs="Georgia" w:eastAsia="Georgia" w:hAnsi="Georgia"/>
          <w:b/>
          <w:bCs/>
          <w:sz w:val="18"/>
          <w:szCs w:val="18"/>
        </w:rPr>
        <w:t xml:space="preserve">19.  </w:t>
      </w:r>
      <w:r>
        <w:rPr>
          <w:rFonts w:ascii="Georgia" w:cs="Georgia" w:eastAsia="Georgia" w:hAnsi="Georgia"/>
          <w:sz w:val="18"/>
          <w:szCs w:val="18"/>
        </w:rPr>
        <w:t xml:space="preserve">Journal of Cultural Economics, machine-learning hedonic analysis of rare-coin prices (grade, mint mark, and conservation as price drivers), 2025.</w:t>
      </w:r>
    </w:p>
    <w:p>
      <w:pPr>
        <w:spacing w:after="80" w:line="252"/>
        <w:ind w:left="360" w:hanging="360"/>
      </w:pPr>
      <w:r>
        <w:rPr>
          <w:rFonts w:ascii="Georgia" w:cs="Georgia" w:eastAsia="Georgia" w:hAnsi="Georgia"/>
          <w:b/>
          <w:bCs/>
          <w:sz w:val="18"/>
          <w:szCs w:val="18"/>
        </w:rPr>
        <w:t xml:space="preserve">20.  </w:t>
      </w:r>
      <w:r>
        <w:rPr>
          <w:rFonts w:ascii="Georgia" w:cs="Georgia" w:eastAsia="Georgia" w:hAnsi="Georgia"/>
          <w:sz w:val="18"/>
          <w:szCs w:val="18"/>
        </w:rPr>
        <w:t xml:space="preserve">Dickie, M., Delorme, C. D., and Humphreys, J. M., “Factors Affecting Coin Prices,” contribution to the hedonic-pricing literature on numismatics, 1994.</w:t>
      </w:r>
    </w:p>
    <w:p>
      <w:pPr>
        <w:spacing w:after="80" w:line="252"/>
        <w:ind w:left="360" w:hanging="360"/>
      </w:pPr>
      <w:r>
        <w:rPr>
          <w:rFonts w:ascii="Georgia" w:cs="Georgia" w:eastAsia="Georgia" w:hAnsi="Georgia"/>
          <w:b/>
          <w:bCs/>
          <w:sz w:val="18"/>
          <w:szCs w:val="18"/>
        </w:rPr>
        <w:t xml:space="preserve">21.  </w:t>
      </w:r>
      <w:r>
        <w:rPr>
          <w:rFonts w:ascii="Georgia" w:cs="Georgia" w:eastAsia="Georgia" w:hAnsi="Georgia"/>
          <w:sz w:val="18"/>
          <w:szCs w:val="18"/>
        </w:rPr>
        <w:t xml:space="preserve">Kenneth J. Koford and Adrian E. Tschoegl, “The Market Value of Rarity” (analysis of coin markets), Journal of Economic Behavior &amp; Organization, 1998.</w:t>
      </w:r>
    </w:p>
    <w:p>
      <w:pPr>
        <w:spacing w:after="80" w:line="252"/>
        <w:ind w:left="360" w:hanging="360"/>
      </w:pPr>
      <w:r>
        <w:rPr>
          <w:rFonts w:ascii="Georgia" w:cs="Georgia" w:eastAsia="Georgia" w:hAnsi="Georgia"/>
          <w:b/>
          <w:bCs/>
          <w:sz w:val="18"/>
          <w:szCs w:val="18"/>
        </w:rPr>
        <w:t xml:space="preserve">22.  </w:t>
      </w:r>
      <w:r>
        <w:rPr>
          <w:rFonts w:ascii="Georgia" w:cs="Georgia" w:eastAsia="Georgia" w:hAnsi="Georgia"/>
          <w:sz w:val="18"/>
          <w:szCs w:val="18"/>
        </w:rPr>
        <w:t xml:space="preserve">Vicente Caballer and others, hedonic modeling of collectible-coin valuation, 2010.</w:t>
      </w:r>
    </w:p>
    <w:p>
      <w:pPr>
        <w:spacing w:after="80" w:line="252"/>
        <w:ind w:left="360" w:hanging="360"/>
      </w:pPr>
      <w:r>
        <w:rPr>
          <w:rFonts w:ascii="Georgia" w:cs="Georgia" w:eastAsia="Georgia" w:hAnsi="Georgia"/>
          <w:b/>
          <w:bCs/>
          <w:sz w:val="18"/>
          <w:szCs w:val="18"/>
        </w:rPr>
        <w:t xml:space="preserve">23.  </w:t>
      </w:r>
      <w:r>
        <w:rPr>
          <w:rFonts w:ascii="Georgia" w:cs="Georgia" w:eastAsia="Georgia" w:hAnsi="Georgia"/>
          <w:sz w:val="18"/>
          <w:szCs w:val="18"/>
        </w:rPr>
        <w:t xml:space="preserve">Professional Coin Grading Service (PCGS), “The PCGS3000 Rare Coin Index,” index methodology and historical values (base $1,000 on January 1, 1970). </w:t>
      </w:r>
      <w:hyperlink w:history="1" r:id="rId5akm1rrtzm6lau4gw_rlk">
        <w:r>
          <w:rPr>
            <w:rStyle w:val="Hyperlink"/>
            <w:rFonts w:ascii="Georgia" w:cs="Georgia" w:eastAsia="Georgia" w:hAnsi="Georgia"/>
            <w:sz w:val="18"/>
            <w:szCs w:val="18"/>
          </w:rPr>
          <w:t xml:space="preserve">https://www.pcgs.com/prices/pcgs3000</w:t>
        </w:r>
      </w:hyperlink>
    </w:p>
    <w:p>
      <w:pPr>
        <w:spacing w:after="80" w:line="252"/>
        <w:ind w:left="360" w:hanging="360"/>
      </w:pPr>
      <w:r>
        <w:rPr>
          <w:rFonts w:ascii="Georgia" w:cs="Georgia" w:eastAsia="Georgia" w:hAnsi="Georgia"/>
          <w:b/>
          <w:bCs/>
          <w:sz w:val="18"/>
          <w:szCs w:val="18"/>
        </w:rPr>
        <w:t xml:space="preserve">24.  </w:t>
      </w:r>
      <w:r>
        <w:rPr>
          <w:rFonts w:ascii="Georgia" w:cs="Georgia" w:eastAsia="Georgia" w:hAnsi="Georgia"/>
          <w:sz w:val="18"/>
          <w:szCs w:val="18"/>
        </w:rPr>
        <w:t xml:space="preserve">RareCoins101 / market analysis of PCGS3000 and PCGS Key Dates and Rarities Index annualized returns, 2000–2025.</w:t>
      </w:r>
    </w:p>
    <w:p>
      <w:pPr>
        <w:spacing w:after="80" w:line="252"/>
        <w:ind w:left="360" w:hanging="360"/>
      </w:pPr>
      <w:r>
        <w:rPr>
          <w:rFonts w:ascii="Georgia" w:cs="Georgia" w:eastAsia="Georgia" w:hAnsi="Georgia"/>
          <w:b/>
          <w:bCs/>
          <w:sz w:val="18"/>
          <w:szCs w:val="18"/>
        </w:rPr>
        <w:t xml:space="preserve">25.  </w:t>
      </w:r>
      <w:r>
        <w:rPr>
          <w:rFonts w:ascii="Georgia" w:cs="Georgia" w:eastAsia="Georgia" w:hAnsi="Georgia"/>
          <w:sz w:val="18"/>
          <w:szCs w:val="18"/>
        </w:rPr>
        <w:t xml:space="preserve">PCGS, “Key Dates and Rarities Index,” component index of the PCGS price-index family. </w:t>
      </w:r>
      <w:hyperlink w:history="1" r:id="rId0fv3octpzjlc_c0gnukq1">
        <w:r>
          <w:rPr>
            <w:rStyle w:val="Hyperlink"/>
            <w:rFonts w:ascii="Georgia" w:cs="Georgia" w:eastAsia="Georgia" w:hAnsi="Georgia"/>
            <w:sz w:val="18"/>
            <w:szCs w:val="18"/>
          </w:rPr>
          <w:t xml:space="preserve">https://www.pcgs.com/prices</w:t>
        </w:r>
      </w:hyperlink>
    </w:p>
    <w:p>
      <w:pPr>
        <w:spacing w:after="80" w:line="252"/>
        <w:ind w:left="360" w:hanging="360"/>
      </w:pPr>
      <w:r>
        <w:rPr>
          <w:rFonts w:ascii="Georgia" w:cs="Georgia" w:eastAsia="Georgia" w:hAnsi="Georgia"/>
          <w:b/>
          <w:bCs/>
          <w:sz w:val="18"/>
          <w:szCs w:val="18"/>
        </w:rPr>
        <w:t xml:space="preserve">26.  </w:t>
      </w:r>
      <w:r>
        <w:rPr>
          <w:rFonts w:ascii="Georgia" w:cs="Georgia" w:eastAsia="Georgia" w:hAnsi="Georgia"/>
          <w:sz w:val="18"/>
          <w:szCs w:val="18"/>
        </w:rPr>
        <w:t xml:space="preserve">Planet Banknote, “Beyond Gold &amp; Silver: Unlocking the Hidden Value of Numismatic Assets for Your Portfolio,” accessed 2026. </w:t>
      </w:r>
      <w:hyperlink w:history="1" r:id="rId3iinedo96z4udgy115d_l">
        <w:r>
          <w:rPr>
            <w:rStyle w:val="Hyperlink"/>
            <w:rFonts w:ascii="Georgia" w:cs="Georgia" w:eastAsia="Georgia" w:hAnsi="Georgia"/>
            <w:sz w:val="18"/>
            <w:szCs w:val="18"/>
          </w:rPr>
          <w:t xml:space="preserve">https://planetbanknote.com/banknote-blog/beyond-gold-silver-unlocking-the-hidden-value-of-numismatic-assets-for-your-portfolio/</w:t>
        </w:r>
      </w:hyperlink>
    </w:p>
    <w:p>
      <w:pPr>
        <w:spacing w:after="80" w:line="252"/>
        <w:ind w:left="360" w:hanging="360"/>
      </w:pPr>
      <w:r>
        <w:rPr>
          <w:rFonts w:ascii="Georgia" w:cs="Georgia" w:eastAsia="Georgia" w:hAnsi="Georgia"/>
          <w:b/>
          <w:bCs/>
          <w:sz w:val="18"/>
          <w:szCs w:val="18"/>
        </w:rPr>
        <w:t xml:space="preserve">27.  </w:t>
      </w:r>
      <w:r>
        <w:rPr>
          <w:rFonts w:ascii="Georgia" w:cs="Georgia" w:eastAsia="Georgia" w:hAnsi="Georgia"/>
          <w:sz w:val="18"/>
          <w:szCs w:val="18"/>
        </w:rPr>
        <w:t xml:space="preserve">Ainvest, “Rare Coins: A Niche Opportunity in an Undervalued Asset Class,” July 2025. </w:t>
      </w:r>
      <w:hyperlink w:history="1" r:id="rIddl8s_lxe8tr24ccg_a2tx">
        <w:r>
          <w:rPr>
            <w:rStyle w:val="Hyperlink"/>
            <w:rFonts w:ascii="Georgia" w:cs="Georgia" w:eastAsia="Georgia" w:hAnsi="Georgia"/>
            <w:sz w:val="18"/>
            <w:szCs w:val="18"/>
          </w:rPr>
          <w:t xml:space="preserve">https://www.ainvest.com/news/rare-coins-niche-opportunity-undervalued-asset-class-2507/</w:t>
        </w:r>
      </w:hyperlink>
    </w:p>
    <w:p>
      <w:pPr>
        <w:spacing w:after="80" w:line="252"/>
        <w:ind w:left="360" w:hanging="360"/>
      </w:pPr>
      <w:r>
        <w:rPr>
          <w:rFonts w:ascii="Georgia" w:cs="Georgia" w:eastAsia="Georgia" w:hAnsi="Georgia"/>
          <w:b/>
          <w:bCs/>
          <w:sz w:val="18"/>
          <w:szCs w:val="18"/>
        </w:rPr>
        <w:t xml:space="preserve">28.  </w:t>
      </w:r>
      <w:r>
        <w:rPr>
          <w:rFonts w:ascii="Georgia" w:cs="Georgia" w:eastAsia="Georgia" w:hAnsi="Georgia"/>
          <w:sz w:val="18"/>
          <w:szCs w:val="18"/>
        </w:rPr>
        <w:t xml:space="preserve">AMAC, “Today’s Market Crisis Resembles Other Super Bullish Gold and Silver Rare Coin Markets,” accessed 2026. </w:t>
      </w:r>
      <w:hyperlink w:history="1" r:id="rIdiydmk9cie03o8e3rl-vvf">
        <w:r>
          <w:rPr>
            <w:rStyle w:val="Hyperlink"/>
            <w:rFonts w:ascii="Georgia" w:cs="Georgia" w:eastAsia="Georgia" w:hAnsi="Georgia"/>
            <w:sz w:val="18"/>
            <w:szCs w:val="18"/>
          </w:rPr>
          <w:t xml:space="preserve">https://amac.us/blog/finance/todays-market-crisis-resembles-other-super-bullish-gold-and-silver-rare-coin-markets/</w:t>
        </w:r>
      </w:hyperlink>
    </w:p>
    <w:p>
      <w:pPr>
        <w:spacing w:after="80" w:line="252"/>
        <w:ind w:left="360" w:hanging="360"/>
      </w:pPr>
      <w:r>
        <w:rPr>
          <w:rFonts w:ascii="Georgia" w:cs="Georgia" w:eastAsia="Georgia" w:hAnsi="Georgia"/>
          <w:b/>
          <w:bCs/>
          <w:sz w:val="18"/>
          <w:szCs w:val="18"/>
        </w:rPr>
        <w:t xml:space="preserve">29.  </w:t>
      </w:r>
      <w:r>
        <w:rPr>
          <w:rFonts w:ascii="Georgia" w:cs="Georgia" w:eastAsia="Georgia" w:hAnsi="Georgia"/>
          <w:sz w:val="18"/>
          <w:szCs w:val="18"/>
        </w:rPr>
        <w:t xml:space="preserve">Global Coin, “Rare Coin Investment: Comprehensive Analysis of Market Trends for Ultra-Wealthy Investors,” accessed 2026. </w:t>
      </w:r>
      <w:hyperlink w:history="1" r:id="rIdczl5ep1nahs14d2jy4frw">
        <w:r>
          <w:rPr>
            <w:rStyle w:val="Hyperlink"/>
            <w:rFonts w:ascii="Georgia" w:cs="Georgia" w:eastAsia="Georgia" w:hAnsi="Georgia"/>
            <w:sz w:val="18"/>
            <w:szCs w:val="18"/>
          </w:rPr>
          <w:t xml:space="preserve">https://shopglobalcoin.com/blogs/blog/rare-coin-investment-comprehensive-analysis-of-market-trends-for-ultra-wealthy-investors</w:t>
        </w:r>
      </w:hyperlink>
    </w:p>
    <w:p>
      <w:pPr>
        <w:spacing w:after="80" w:line="252"/>
        <w:ind w:left="360" w:hanging="360"/>
      </w:pPr>
      <w:r>
        <w:rPr>
          <w:rFonts w:ascii="Georgia" w:cs="Georgia" w:eastAsia="Georgia" w:hAnsi="Georgia"/>
          <w:b/>
          <w:bCs/>
          <w:sz w:val="18"/>
          <w:szCs w:val="18"/>
        </w:rPr>
        <w:t xml:space="preserve">30.  </w:t>
      </w:r>
      <w:r>
        <w:rPr>
          <w:rFonts w:ascii="Georgia" w:cs="Georgia" w:eastAsia="Georgia" w:hAnsi="Georgia"/>
          <w:sz w:val="18"/>
          <w:szCs w:val="18"/>
        </w:rPr>
        <w:t xml:space="preserve">Professional Coin Grading Service (PCGS), “Grading Standards and the Sheldon Scale,” PCGS Grading Guide. </w:t>
      </w:r>
      <w:hyperlink w:history="1" r:id="rIdi5gt4xdxxz1mzxmowk_lq">
        <w:r>
          <w:rPr>
            <w:rStyle w:val="Hyperlink"/>
            <w:rFonts w:ascii="Georgia" w:cs="Georgia" w:eastAsia="Georgia" w:hAnsi="Georgia"/>
            <w:sz w:val="18"/>
            <w:szCs w:val="18"/>
          </w:rPr>
          <w:t xml:space="preserve">https://www.pcgs.com/grades</w:t>
        </w:r>
      </w:hyperlink>
    </w:p>
    <w:p>
      <w:pPr>
        <w:spacing w:after="80" w:line="252"/>
        <w:ind w:left="360" w:hanging="360"/>
      </w:pPr>
      <w:r>
        <w:rPr>
          <w:rFonts w:ascii="Georgia" w:cs="Georgia" w:eastAsia="Georgia" w:hAnsi="Georgia"/>
          <w:b/>
          <w:bCs/>
          <w:sz w:val="18"/>
          <w:szCs w:val="18"/>
        </w:rPr>
        <w:t xml:space="preserve">31.  </w:t>
      </w:r>
      <w:r>
        <w:rPr>
          <w:rFonts w:ascii="Georgia" w:cs="Georgia" w:eastAsia="Georgia" w:hAnsi="Georgia"/>
          <w:sz w:val="18"/>
          <w:szCs w:val="18"/>
        </w:rPr>
        <w:t xml:space="preserve">William H. Sheldon, Penny Whimsy (origin of the 1–70 numerical grading scale for early American cents), 1949/1958.</w:t>
      </w:r>
    </w:p>
    <w:p>
      <w:pPr>
        <w:spacing w:after="80" w:line="252"/>
        <w:ind w:left="360" w:hanging="360"/>
      </w:pPr>
      <w:r>
        <w:rPr>
          <w:rFonts w:ascii="Georgia" w:cs="Georgia" w:eastAsia="Georgia" w:hAnsi="Georgia"/>
          <w:b/>
          <w:bCs/>
          <w:sz w:val="18"/>
          <w:szCs w:val="18"/>
        </w:rPr>
        <w:t xml:space="preserve">32.  </w:t>
      </w:r>
      <w:r>
        <w:rPr>
          <w:rFonts w:ascii="Georgia" w:cs="Georgia" w:eastAsia="Georgia" w:hAnsi="Georgia"/>
          <w:sz w:val="18"/>
          <w:szCs w:val="18"/>
        </w:rPr>
        <w:t xml:space="preserve">American Numismatic Association (ANA), Official ANA Grading Standards for United States Coins, current edition.</w:t>
      </w:r>
    </w:p>
    <w:p>
      <w:pPr>
        <w:spacing w:after="80" w:line="252"/>
        <w:ind w:left="360" w:hanging="360"/>
      </w:pPr>
      <w:r>
        <w:rPr>
          <w:rFonts w:ascii="Georgia" w:cs="Georgia" w:eastAsia="Georgia" w:hAnsi="Georgia"/>
          <w:b/>
          <w:bCs/>
          <w:sz w:val="18"/>
          <w:szCs w:val="18"/>
        </w:rPr>
        <w:t xml:space="preserve">33.  </w:t>
      </w:r>
      <w:r>
        <w:rPr>
          <w:rFonts w:ascii="Georgia" w:cs="Georgia" w:eastAsia="Georgia" w:hAnsi="Georgia"/>
          <w:sz w:val="18"/>
          <w:szCs w:val="18"/>
        </w:rPr>
        <w:t xml:space="preserve">Numismatic Guaranty Company (NGC), “NGC Coin Grading Scale,” NGC Grading. </w:t>
      </w:r>
      <w:hyperlink w:history="1" r:id="rId6eadiedihqge0zga7xm3n">
        <w:r>
          <w:rPr>
            <w:rStyle w:val="Hyperlink"/>
            <w:rFonts w:ascii="Georgia" w:cs="Georgia" w:eastAsia="Georgia" w:hAnsi="Georgia"/>
            <w:sz w:val="18"/>
            <w:szCs w:val="18"/>
          </w:rPr>
          <w:t xml:space="preserve">https://www.ngccoin.com/coin-grading/grading-scale/</w:t>
        </w:r>
      </w:hyperlink>
    </w:p>
    <w:p>
      <w:pPr>
        <w:spacing w:after="80" w:line="252"/>
        <w:ind w:left="360" w:hanging="360"/>
      </w:pPr>
      <w:r>
        <w:rPr>
          <w:rFonts w:ascii="Georgia" w:cs="Georgia" w:eastAsia="Georgia" w:hAnsi="Georgia"/>
          <w:b/>
          <w:bCs/>
          <w:sz w:val="18"/>
          <w:szCs w:val="18"/>
        </w:rPr>
        <w:t xml:space="preserve">34.  </w:t>
      </w:r>
      <w:r>
        <w:rPr>
          <w:rFonts w:ascii="Georgia" w:cs="Georgia" w:eastAsia="Georgia" w:hAnsi="Georgia"/>
          <w:sz w:val="18"/>
          <w:szCs w:val="18"/>
        </w:rPr>
        <w:t xml:space="preserve">Certified Acceptance Corporation (CAC) and CAC Grading (CACG), company overview and sticker/grading program (CACG launched October 2023).</w:t>
      </w:r>
    </w:p>
    <w:p>
      <w:pPr>
        <w:spacing w:after="80" w:line="252"/>
        <w:ind w:left="360" w:hanging="360"/>
      </w:pPr>
      <w:r>
        <w:rPr>
          <w:rFonts w:ascii="Georgia" w:cs="Georgia" w:eastAsia="Georgia" w:hAnsi="Georgia"/>
          <w:b/>
          <w:bCs/>
          <w:sz w:val="18"/>
          <w:szCs w:val="18"/>
        </w:rPr>
        <w:t xml:space="preserve">35.  </w:t>
      </w:r>
      <w:r>
        <w:rPr>
          <w:rFonts w:ascii="Georgia" w:cs="Georgia" w:eastAsia="Georgia" w:hAnsi="Georgia"/>
          <w:sz w:val="18"/>
          <w:szCs w:val="18"/>
        </w:rPr>
        <w:t xml:space="preserve">APMEX, “What is CACG Coin Grading?” APMEX Learn, accessed 2026. </w:t>
      </w:r>
      <w:hyperlink w:history="1" r:id="rId7sq1mkeumwcudyp0jhkle">
        <w:r>
          <w:rPr>
            <w:rStyle w:val="Hyperlink"/>
            <w:rFonts w:ascii="Georgia" w:cs="Georgia" w:eastAsia="Georgia" w:hAnsi="Georgia"/>
            <w:sz w:val="18"/>
            <w:szCs w:val="18"/>
          </w:rPr>
          <w:t xml:space="preserve">https://learn.apmex.com/answers/what-is-cacg-coin-grading/</w:t>
        </w:r>
      </w:hyperlink>
    </w:p>
    <w:p>
      <w:pPr>
        <w:spacing w:after="80" w:line="252"/>
        <w:ind w:left="360" w:hanging="360"/>
      </w:pPr>
      <w:r>
        <w:rPr>
          <w:rFonts w:ascii="Georgia" w:cs="Georgia" w:eastAsia="Georgia" w:hAnsi="Georgia"/>
          <w:b/>
          <w:bCs/>
          <w:sz w:val="18"/>
          <w:szCs w:val="18"/>
        </w:rPr>
        <w:t xml:space="preserve">36.  </w:t>
      </w:r>
      <w:r>
        <w:rPr>
          <w:rFonts w:ascii="Georgia" w:cs="Georgia" w:eastAsia="Georgia" w:hAnsi="Georgia"/>
          <w:sz w:val="18"/>
          <w:szCs w:val="18"/>
        </w:rPr>
        <w:t xml:space="preserve">Professional Coin Grading Service (PCGS), “Services and Fees,” 2026 fee schedule. </w:t>
      </w:r>
      <w:hyperlink w:history="1" r:id="rId3r9sb2mlninace-rmrsbr">
        <w:r>
          <w:rPr>
            <w:rStyle w:val="Hyperlink"/>
            <w:rFonts w:ascii="Georgia" w:cs="Georgia" w:eastAsia="Georgia" w:hAnsi="Georgia"/>
            <w:sz w:val="18"/>
            <w:szCs w:val="18"/>
          </w:rPr>
          <w:t xml:space="preserve">https://www.pcgs.com/prices/pricesfees</w:t>
        </w:r>
      </w:hyperlink>
    </w:p>
    <w:p>
      <w:pPr>
        <w:spacing w:after="80" w:line="252"/>
        <w:ind w:left="360" w:hanging="360"/>
      </w:pPr>
      <w:r>
        <w:rPr>
          <w:rFonts w:ascii="Georgia" w:cs="Georgia" w:eastAsia="Georgia" w:hAnsi="Georgia"/>
          <w:b/>
          <w:bCs/>
          <w:sz w:val="18"/>
          <w:szCs w:val="18"/>
        </w:rPr>
        <w:t xml:space="preserve">37.  </w:t>
      </w:r>
      <w:r>
        <w:rPr>
          <w:rFonts w:ascii="Georgia" w:cs="Georgia" w:eastAsia="Georgia" w:hAnsi="Georgia"/>
          <w:sz w:val="18"/>
          <w:szCs w:val="18"/>
        </w:rPr>
        <w:t xml:space="preserve">Numismatic Guaranty Company (NGC), “Services and Fees,” 2026 fee schedule. </w:t>
      </w:r>
      <w:hyperlink w:history="1" r:id="rId15ubxxvedcndemhxraeve">
        <w:r>
          <w:rPr>
            <w:rStyle w:val="Hyperlink"/>
            <w:rFonts w:ascii="Georgia" w:cs="Georgia" w:eastAsia="Georgia" w:hAnsi="Georgia"/>
            <w:sz w:val="18"/>
            <w:szCs w:val="18"/>
          </w:rPr>
          <w:t xml:space="preserve">https://www.ngccoin.com/coin-grading/fees/</w:t>
        </w:r>
      </w:hyperlink>
    </w:p>
    <w:p>
      <w:pPr>
        <w:spacing w:after="80" w:line="252"/>
        <w:ind w:left="360" w:hanging="360"/>
      </w:pPr>
      <w:r>
        <w:rPr>
          <w:rFonts w:ascii="Georgia" w:cs="Georgia" w:eastAsia="Georgia" w:hAnsi="Georgia"/>
          <w:b/>
          <w:bCs/>
          <w:sz w:val="18"/>
          <w:szCs w:val="18"/>
        </w:rPr>
        <w:t xml:space="preserve">38.  </w:t>
      </w:r>
      <w:r>
        <w:rPr>
          <w:rFonts w:ascii="Georgia" w:cs="Georgia" w:eastAsia="Georgia" w:hAnsi="Georgia"/>
          <w:sz w:val="18"/>
          <w:szCs w:val="18"/>
        </w:rPr>
        <w:t xml:space="preserve">StoneX Bullion, “How much does it cost to grade a coin?” accessed 2026. </w:t>
      </w:r>
      <w:hyperlink w:history="1" r:id="rIdyj2ksi8pxewwuuokjmdzy">
        <w:r>
          <w:rPr>
            <w:rStyle w:val="Hyperlink"/>
            <w:rFonts w:ascii="Georgia" w:cs="Georgia" w:eastAsia="Georgia" w:hAnsi="Georgia"/>
            <w:sz w:val="18"/>
            <w:szCs w:val="18"/>
          </w:rPr>
          <w:t xml:space="preserve">https://stonexbullion.com/en/blog/how-much-does-it-cost-to-grade-a-coin/</w:t>
        </w:r>
      </w:hyperlink>
    </w:p>
    <w:p>
      <w:pPr>
        <w:spacing w:after="80" w:line="252"/>
        <w:ind w:left="360" w:hanging="360"/>
      </w:pPr>
      <w:r>
        <w:rPr>
          <w:rFonts w:ascii="Georgia" w:cs="Georgia" w:eastAsia="Georgia" w:hAnsi="Georgia"/>
          <w:b/>
          <w:bCs/>
          <w:sz w:val="18"/>
          <w:szCs w:val="18"/>
        </w:rPr>
        <w:t xml:space="preserve">39.  </w:t>
      </w:r>
      <w:r>
        <w:rPr>
          <w:rFonts w:ascii="Georgia" w:cs="Georgia" w:eastAsia="Georgia" w:hAnsi="Georgia"/>
          <w:sz w:val="18"/>
          <w:szCs w:val="18"/>
        </w:rPr>
        <w:t xml:space="preserve">CoinGrader AI, “Coin Grading Cost 2026 — PCGS, NGC &amp; ANACS Fees Compared,” accessed 2026. </w:t>
      </w:r>
      <w:hyperlink w:history="1" r:id="rIdgxa9xlbufdobdop7qlbsa">
        <w:r>
          <w:rPr>
            <w:rStyle w:val="Hyperlink"/>
            <w:rFonts w:ascii="Georgia" w:cs="Georgia" w:eastAsia="Georgia" w:hAnsi="Georgia"/>
            <w:sz w:val="18"/>
            <w:szCs w:val="18"/>
          </w:rPr>
          <w:t xml:space="preserve">https://www.coingraderai.com/coin-grading-cost</w:t>
        </w:r>
      </w:hyperlink>
    </w:p>
    <w:p>
      <w:pPr>
        <w:spacing w:after="80" w:line="252"/>
        <w:ind w:left="360" w:hanging="360"/>
      </w:pPr>
      <w:r>
        <w:rPr>
          <w:rFonts w:ascii="Georgia" w:cs="Georgia" w:eastAsia="Georgia" w:hAnsi="Georgia"/>
          <w:b/>
          <w:bCs/>
          <w:sz w:val="18"/>
          <w:szCs w:val="18"/>
        </w:rPr>
        <w:t xml:space="preserve">40.  </w:t>
      </w:r>
      <w:r>
        <w:rPr>
          <w:rFonts w:ascii="Georgia" w:cs="Georgia" w:eastAsia="Georgia" w:hAnsi="Georgia"/>
          <w:sz w:val="18"/>
          <w:szCs w:val="18"/>
        </w:rPr>
        <w:t xml:space="preserve">Professional Coin Grading Service (PCGS), “Bulk Submissions,” program terms and requirements. </w:t>
      </w:r>
      <w:hyperlink w:history="1" r:id="rIdtifgtlx-lbvg5djgu4zjb">
        <w:r>
          <w:rPr>
            <w:rStyle w:val="Hyperlink"/>
            <w:rFonts w:ascii="Georgia" w:cs="Georgia" w:eastAsia="Georgia" w:hAnsi="Georgia"/>
            <w:sz w:val="18"/>
            <w:szCs w:val="18"/>
          </w:rPr>
          <w:t xml:space="preserve">https://www.pcgs.com/bulk</w:t>
        </w:r>
      </w:hyperlink>
    </w:p>
    <w:p>
      <w:pPr>
        <w:spacing w:after="80" w:line="252"/>
        <w:ind w:left="360" w:hanging="360"/>
      </w:pPr>
      <w:r>
        <w:rPr>
          <w:rFonts w:ascii="Georgia" w:cs="Georgia" w:eastAsia="Georgia" w:hAnsi="Georgia"/>
          <w:b/>
          <w:bCs/>
          <w:sz w:val="18"/>
          <w:szCs w:val="18"/>
        </w:rPr>
        <w:t xml:space="preserve">41.  </w:t>
      </w:r>
      <w:r>
        <w:rPr>
          <w:rFonts w:ascii="Georgia" w:cs="Georgia" w:eastAsia="Georgia" w:hAnsi="Georgia"/>
          <w:sz w:val="18"/>
          <w:szCs w:val="18"/>
        </w:rPr>
        <w:t xml:space="preserve">Numismatic Guaranty Company (NGC), “Bulk Grading Services,” program terms and requirements. </w:t>
      </w:r>
      <w:hyperlink w:history="1" r:id="rIdggaq_ou-v7ifxyy_nn_eb">
        <w:r>
          <w:rPr>
            <w:rStyle w:val="Hyperlink"/>
            <w:rFonts w:ascii="Georgia" w:cs="Georgia" w:eastAsia="Georgia" w:hAnsi="Georgia"/>
            <w:sz w:val="18"/>
            <w:szCs w:val="18"/>
          </w:rPr>
          <w:t xml:space="preserve">https://www.ngccoin.com/</w:t>
        </w:r>
      </w:hyperlink>
    </w:p>
    <w:p>
      <w:pPr>
        <w:spacing w:after="80" w:line="252"/>
        <w:ind w:left="360" w:hanging="360"/>
      </w:pPr>
      <w:r>
        <w:rPr>
          <w:rFonts w:ascii="Georgia" w:cs="Georgia" w:eastAsia="Georgia" w:hAnsi="Georgia"/>
          <w:b/>
          <w:bCs/>
          <w:sz w:val="18"/>
          <w:szCs w:val="18"/>
        </w:rPr>
        <w:t xml:space="preserve">42.  </w:t>
      </w:r>
      <w:r>
        <w:rPr>
          <w:rFonts w:ascii="Georgia" w:cs="Georgia" w:eastAsia="Georgia" w:hAnsi="Georgia"/>
          <w:sz w:val="18"/>
          <w:szCs w:val="18"/>
        </w:rPr>
        <w:t xml:space="preserve">ANACS, services and fee schedule (budget-tier certification). </w:t>
      </w:r>
      <w:hyperlink w:history="1" r:id="rId0hcdtfkmcmewsyydadhj3">
        <w:r>
          <w:rPr>
            <w:rStyle w:val="Hyperlink"/>
            <w:rFonts w:ascii="Georgia" w:cs="Georgia" w:eastAsia="Georgia" w:hAnsi="Georgia"/>
            <w:sz w:val="18"/>
            <w:szCs w:val="18"/>
          </w:rPr>
          <w:t xml:space="preserve">https://www.anacs.com/</w:t>
        </w:r>
      </w:hyperlink>
    </w:p>
    <w:p>
      <w:pPr>
        <w:spacing w:after="80" w:line="252"/>
        <w:ind w:left="360" w:hanging="360"/>
      </w:pPr>
      <w:r>
        <w:rPr>
          <w:rFonts w:ascii="Georgia" w:cs="Georgia" w:eastAsia="Georgia" w:hAnsi="Georgia"/>
          <w:b/>
          <w:bCs/>
          <w:sz w:val="18"/>
          <w:szCs w:val="18"/>
        </w:rPr>
        <w:t xml:space="preserve">43.  </w:t>
      </w:r>
      <w:r>
        <w:rPr>
          <w:rFonts w:ascii="Georgia" w:cs="Georgia" w:eastAsia="Georgia" w:hAnsi="Georgia"/>
          <w:sz w:val="18"/>
          <w:szCs w:val="18"/>
        </w:rPr>
        <w:t xml:space="preserve">Blanchard and Company, “What is CAC and How Does it Affect Coin Values?” (CAC green/gold sticker premium examples). </w:t>
      </w:r>
      <w:hyperlink w:history="1" r:id="rIdmhzjxji1xinsjhmduc-j1">
        <w:r>
          <w:rPr>
            <w:rStyle w:val="Hyperlink"/>
            <w:rFonts w:ascii="Georgia" w:cs="Georgia" w:eastAsia="Georgia" w:hAnsi="Georgia"/>
            <w:sz w:val="18"/>
            <w:szCs w:val="18"/>
          </w:rPr>
          <w:t xml:space="preserve">https://www.blanchardgold.com/</w:t>
        </w:r>
      </w:hyperlink>
    </w:p>
    <w:p>
      <w:pPr>
        <w:spacing w:after="80" w:line="252"/>
        <w:ind w:left="360" w:hanging="360"/>
      </w:pPr>
      <w:r>
        <w:rPr>
          <w:rFonts w:ascii="Georgia" w:cs="Georgia" w:eastAsia="Georgia" w:hAnsi="Georgia"/>
          <w:b/>
          <w:bCs/>
          <w:sz w:val="18"/>
          <w:szCs w:val="18"/>
        </w:rPr>
        <w:t xml:space="preserve">44.  </w:t>
      </w:r>
      <w:r>
        <w:rPr>
          <w:rFonts w:ascii="Georgia" w:cs="Georgia" w:eastAsia="Georgia" w:hAnsi="Georgia"/>
          <w:sz w:val="18"/>
          <w:szCs w:val="18"/>
        </w:rPr>
        <w:t xml:space="preserve">PCGS CoinFacts, “1909-S VDB Lincoln Cent” (mintage 484,000; price guide and auction records). </w:t>
      </w:r>
      <w:hyperlink w:history="1" r:id="rIdhirldnh84vmqj0-8c71ya">
        <w:r>
          <w:rPr>
            <w:rStyle w:val="Hyperlink"/>
            <w:rFonts w:ascii="Georgia" w:cs="Georgia" w:eastAsia="Georgia" w:hAnsi="Georgia"/>
            <w:sz w:val="18"/>
            <w:szCs w:val="18"/>
          </w:rPr>
          <w:t xml:space="preserve">https://www.pcgs.com/coinfacts/coin/1909-s-vdb-1c/2428</w:t>
        </w:r>
      </w:hyperlink>
    </w:p>
    <w:p>
      <w:pPr>
        <w:spacing w:after="80" w:line="252"/>
        <w:ind w:left="360" w:hanging="360"/>
      </w:pPr>
      <w:r>
        <w:rPr>
          <w:rFonts w:ascii="Georgia" w:cs="Georgia" w:eastAsia="Georgia" w:hAnsi="Georgia"/>
          <w:b/>
          <w:bCs/>
          <w:sz w:val="18"/>
          <w:szCs w:val="18"/>
        </w:rPr>
        <w:t xml:space="preserve">45.  </w:t>
      </w:r>
      <w:r>
        <w:rPr>
          <w:rFonts w:ascii="Georgia" w:cs="Georgia" w:eastAsia="Georgia" w:hAnsi="Georgia"/>
          <w:sz w:val="18"/>
          <w:szCs w:val="18"/>
        </w:rPr>
        <w:t xml:space="preserve">Bullion Shark, “1909-S VDB Penny Value,” accessed 2026. </w:t>
      </w:r>
      <w:hyperlink w:history="1" r:id="rIdwavlcdwvlifespoqr0v7u">
        <w:r>
          <w:rPr>
            <w:rStyle w:val="Hyperlink"/>
            <w:rFonts w:ascii="Georgia" w:cs="Georgia" w:eastAsia="Georgia" w:hAnsi="Georgia"/>
            <w:sz w:val="18"/>
            <w:szCs w:val="18"/>
          </w:rPr>
          <w:t xml:space="preserve">https://bullionsharks.com/1909-s-wheat-penny-vdb/</w:t>
        </w:r>
      </w:hyperlink>
    </w:p>
    <w:p>
      <w:pPr>
        <w:spacing w:after="80" w:line="252"/>
        <w:ind w:left="360" w:hanging="360"/>
      </w:pPr>
      <w:r>
        <w:rPr>
          <w:rFonts w:ascii="Georgia" w:cs="Georgia" w:eastAsia="Georgia" w:hAnsi="Georgia"/>
          <w:b/>
          <w:bCs/>
          <w:sz w:val="18"/>
          <w:szCs w:val="18"/>
        </w:rPr>
        <w:t xml:space="preserve">46.  </w:t>
      </w:r>
      <w:r>
        <w:rPr>
          <w:rFonts w:ascii="Georgia" w:cs="Georgia" w:eastAsia="Georgia" w:hAnsi="Georgia"/>
          <w:sz w:val="18"/>
          <w:szCs w:val="18"/>
        </w:rPr>
        <w:t xml:space="preserve">Gainesville Coins, “1909-S VDB Penny Values, Varieties, and Rarities,” accessed 2026. </w:t>
      </w:r>
      <w:hyperlink w:history="1" r:id="rIdnstkz8h8a8vhxaff1xi7a">
        <w:r>
          <w:rPr>
            <w:rStyle w:val="Hyperlink"/>
            <w:rFonts w:ascii="Georgia" w:cs="Georgia" w:eastAsia="Georgia" w:hAnsi="Georgia"/>
            <w:sz w:val="18"/>
            <w:szCs w:val="18"/>
          </w:rPr>
          <w:t xml:space="preserve">https://www.gainesvillecoins.com/blog/1909-s-vdb-penny-value</w:t>
        </w:r>
      </w:hyperlink>
    </w:p>
    <w:p>
      <w:pPr>
        <w:spacing w:after="80" w:line="252"/>
        <w:ind w:left="360" w:hanging="360"/>
      </w:pPr>
      <w:r>
        <w:rPr>
          <w:rFonts w:ascii="Georgia" w:cs="Georgia" w:eastAsia="Georgia" w:hAnsi="Georgia"/>
          <w:b/>
          <w:bCs/>
          <w:sz w:val="18"/>
          <w:szCs w:val="18"/>
        </w:rPr>
        <w:t xml:space="preserve">47.  </w:t>
      </w:r>
      <w:r>
        <w:rPr>
          <w:rFonts w:ascii="Georgia" w:cs="Georgia" w:eastAsia="Georgia" w:hAnsi="Georgia"/>
          <w:sz w:val="18"/>
          <w:szCs w:val="18"/>
        </w:rPr>
        <w:t xml:space="preserve">Coin Identifier, “1909 VDB Penny Value Guide — Rare 1909-S VDB, Errors &amp; Price Chart,” accessed 2026. </w:t>
      </w:r>
      <w:hyperlink w:history="1" r:id="rIdxlr1fzpjbzsnkxtt3gdv0">
        <w:r>
          <w:rPr>
            <w:rStyle w:val="Hyperlink"/>
            <w:rFonts w:ascii="Georgia" w:cs="Georgia" w:eastAsia="Georgia" w:hAnsi="Georgia"/>
            <w:sz w:val="18"/>
            <w:szCs w:val="18"/>
          </w:rPr>
          <w:t xml:space="preserve">https://coin-identifier.com/blog/coins-overview/1909-vdb-penny-value</w:t>
        </w:r>
      </w:hyperlink>
    </w:p>
    <w:p>
      <w:pPr>
        <w:spacing w:after="80" w:line="252"/>
        <w:ind w:left="360" w:hanging="360"/>
      </w:pPr>
      <w:r>
        <w:rPr>
          <w:rFonts w:ascii="Georgia" w:cs="Georgia" w:eastAsia="Georgia" w:hAnsi="Georgia"/>
          <w:b/>
          <w:bCs/>
          <w:sz w:val="18"/>
          <w:szCs w:val="18"/>
        </w:rPr>
        <w:t xml:space="preserve">48.  </w:t>
      </w:r>
      <w:r>
        <w:rPr>
          <w:rFonts w:ascii="Georgia" w:cs="Georgia" w:eastAsia="Georgia" w:hAnsi="Georgia"/>
          <w:sz w:val="18"/>
          <w:szCs w:val="18"/>
        </w:rPr>
        <w:t xml:space="preserve">Heritage Auctions, realized price for 1909-S VDB Lincoln Cent MS67 Red (sold April 2022, $168,000). </w:t>
      </w:r>
      <w:hyperlink w:history="1" r:id="rId4na9buwnl8jwzwwgelx2c">
        <w:r>
          <w:rPr>
            <w:rStyle w:val="Hyperlink"/>
            <w:rFonts w:ascii="Georgia" w:cs="Georgia" w:eastAsia="Georgia" w:hAnsi="Georgia"/>
            <w:sz w:val="18"/>
            <w:szCs w:val="18"/>
          </w:rPr>
          <w:t xml:space="preserve">https://coins.ha.com/</w:t>
        </w:r>
      </w:hyperlink>
    </w:p>
    <w:p>
      <w:pPr>
        <w:spacing w:after="80" w:line="252"/>
        <w:ind w:left="360" w:hanging="360"/>
      </w:pPr>
      <w:r>
        <w:rPr>
          <w:rFonts w:ascii="Georgia" w:cs="Georgia" w:eastAsia="Georgia" w:hAnsi="Georgia"/>
          <w:b/>
          <w:bCs/>
          <w:sz w:val="18"/>
          <w:szCs w:val="18"/>
        </w:rPr>
        <w:t xml:space="preserve">49.  </w:t>
      </w:r>
      <w:r>
        <w:rPr>
          <w:rFonts w:ascii="Georgia" w:cs="Georgia" w:eastAsia="Georgia" w:hAnsi="Georgia"/>
          <w:sz w:val="18"/>
          <w:szCs w:val="18"/>
        </w:rPr>
        <w:t xml:space="preserve">PCGS CoinFacts, “1914-D Lincoln Cent” (price guide; MS66 RD Heritage record ≈$81,075). </w:t>
      </w:r>
      <w:hyperlink w:history="1" r:id="rIdznks-_tzhvnw4smmcnbsx">
        <w:r>
          <w:rPr>
            <w:rStyle w:val="Hyperlink"/>
            <w:rFonts w:ascii="Georgia" w:cs="Georgia" w:eastAsia="Georgia" w:hAnsi="Georgia"/>
            <w:sz w:val="18"/>
            <w:szCs w:val="18"/>
          </w:rPr>
          <w:t xml:space="preserve">https://www.pcgs.com/coinfacts/coin/1914-d-1c/2471</w:t>
        </w:r>
      </w:hyperlink>
    </w:p>
    <w:p>
      <w:pPr>
        <w:spacing w:after="80" w:line="252"/>
        <w:ind w:left="360" w:hanging="360"/>
      </w:pPr>
      <w:r>
        <w:rPr>
          <w:rFonts w:ascii="Georgia" w:cs="Georgia" w:eastAsia="Georgia" w:hAnsi="Georgia"/>
          <w:b/>
          <w:bCs/>
          <w:sz w:val="18"/>
          <w:szCs w:val="18"/>
        </w:rPr>
        <w:t xml:space="preserve">50.  </w:t>
      </w:r>
      <w:r>
        <w:rPr>
          <w:rFonts w:ascii="Georgia" w:cs="Georgia" w:eastAsia="Georgia" w:hAnsi="Georgia"/>
          <w:sz w:val="18"/>
          <w:szCs w:val="18"/>
        </w:rPr>
        <w:t xml:space="preserve">PCGS CoinFacts, “1922 No D Strong Reverse Lincoln Cent” (price guide and auction records). </w:t>
      </w:r>
      <w:hyperlink w:history="1" r:id="rIdclukdmafcusj-swhjz1eq">
        <w:r>
          <w:rPr>
            <w:rStyle w:val="Hyperlink"/>
            <w:rFonts w:ascii="Georgia" w:cs="Georgia" w:eastAsia="Georgia" w:hAnsi="Georgia"/>
            <w:sz w:val="18"/>
            <w:szCs w:val="18"/>
          </w:rPr>
          <w:t xml:space="preserve">https://www.pcgs.com/coinfacts/coin/1922-no-d-strong-reverse-1c/2540</w:t>
        </w:r>
      </w:hyperlink>
    </w:p>
    <w:p>
      <w:pPr>
        <w:spacing w:after="80" w:line="252"/>
        <w:ind w:left="360" w:hanging="360"/>
      </w:pPr>
      <w:r>
        <w:rPr>
          <w:rFonts w:ascii="Georgia" w:cs="Georgia" w:eastAsia="Georgia" w:hAnsi="Georgia"/>
          <w:b/>
          <w:bCs/>
          <w:sz w:val="18"/>
          <w:szCs w:val="18"/>
        </w:rPr>
        <w:t xml:space="preserve">51.  </w:t>
      </w:r>
      <w:r>
        <w:rPr>
          <w:rFonts w:ascii="Georgia" w:cs="Georgia" w:eastAsia="Georgia" w:hAnsi="Georgia"/>
          <w:sz w:val="18"/>
          <w:szCs w:val="18"/>
        </w:rPr>
        <w:t xml:space="preserve">Legend Numismatics / Heritage Auctions, realized prices for the 1943-D bronze cent ($1.7M, 2010) and 1943 bronze Lincoln cents. </w:t>
      </w:r>
      <w:hyperlink w:history="1" r:id="rIdxqkwbtebitqeg9nbyoben">
        <w:r>
          <w:rPr>
            <w:rStyle w:val="Hyperlink"/>
            <w:rFonts w:ascii="Georgia" w:cs="Georgia" w:eastAsia="Georgia" w:hAnsi="Georgia"/>
            <w:sz w:val="18"/>
            <w:szCs w:val="18"/>
          </w:rPr>
          <w:t xml:space="preserve">https://coins.ha.com/</w:t>
        </w:r>
      </w:hyperlink>
    </w:p>
    <w:p>
      <w:pPr>
        <w:spacing w:after="80" w:line="252"/>
        <w:ind w:left="360" w:hanging="360"/>
      </w:pPr>
      <w:r>
        <w:rPr>
          <w:rFonts w:ascii="Georgia" w:cs="Georgia" w:eastAsia="Georgia" w:hAnsi="Georgia"/>
          <w:b/>
          <w:bCs/>
          <w:sz w:val="18"/>
          <w:szCs w:val="18"/>
        </w:rPr>
        <w:t xml:space="preserve">52.  </w:t>
      </w:r>
      <w:r>
        <w:rPr>
          <w:rFonts w:ascii="Georgia" w:cs="Georgia" w:eastAsia="Georgia" w:hAnsi="Georgia"/>
          <w:sz w:val="18"/>
          <w:szCs w:val="18"/>
        </w:rPr>
        <w:t xml:space="preserve">Heritage Auctions, realized price for the Don Lutes 1943 bronze cent, AU53 ($204,000, January 2019). </w:t>
      </w:r>
      <w:hyperlink w:history="1" r:id="rId5ej5y5kr6sxkktmk4ijl-">
        <w:r>
          <w:rPr>
            <w:rStyle w:val="Hyperlink"/>
            <w:rFonts w:ascii="Georgia" w:cs="Georgia" w:eastAsia="Georgia" w:hAnsi="Georgia"/>
            <w:sz w:val="18"/>
            <w:szCs w:val="18"/>
          </w:rPr>
          <w:t xml:space="preserve">https://coins.ha.com/</w:t>
        </w:r>
      </w:hyperlink>
    </w:p>
    <w:p>
      <w:pPr>
        <w:spacing w:after="80" w:line="252"/>
        <w:ind w:left="360" w:hanging="360"/>
      </w:pPr>
      <w:r>
        <w:rPr>
          <w:rFonts w:ascii="Georgia" w:cs="Georgia" w:eastAsia="Georgia" w:hAnsi="Georgia"/>
          <w:b/>
          <w:bCs/>
          <w:sz w:val="18"/>
          <w:szCs w:val="18"/>
        </w:rPr>
        <w:t xml:space="preserve">53.  </w:t>
      </w:r>
      <w:r>
        <w:rPr>
          <w:rFonts w:ascii="Georgia" w:cs="Georgia" w:eastAsia="Georgia" w:hAnsi="Georgia"/>
          <w:sz w:val="18"/>
          <w:szCs w:val="18"/>
        </w:rPr>
        <w:t xml:space="preserve">Heritage Auctions, realized price for 1944 steel cent, Philadelphia ($180,000, June 2021). </w:t>
      </w:r>
      <w:hyperlink w:history="1" r:id="rId_orgpbwymvxu-3iviqivs">
        <w:r>
          <w:rPr>
            <w:rStyle w:val="Hyperlink"/>
            <w:rFonts w:ascii="Georgia" w:cs="Georgia" w:eastAsia="Georgia" w:hAnsi="Georgia"/>
            <w:sz w:val="18"/>
            <w:szCs w:val="18"/>
          </w:rPr>
          <w:t xml:space="preserve">https://coins.ha.com/</w:t>
        </w:r>
      </w:hyperlink>
    </w:p>
    <w:p>
      <w:pPr>
        <w:spacing w:after="80" w:line="252"/>
        <w:ind w:left="360" w:hanging="360"/>
      </w:pPr>
      <w:r>
        <w:rPr>
          <w:rFonts w:ascii="Georgia" w:cs="Georgia" w:eastAsia="Georgia" w:hAnsi="Georgia"/>
          <w:b/>
          <w:bCs/>
          <w:sz w:val="18"/>
          <w:szCs w:val="18"/>
        </w:rPr>
        <w:t xml:space="preserve">54.  </w:t>
      </w:r>
      <w:r>
        <w:rPr>
          <w:rFonts w:ascii="Georgia" w:cs="Georgia" w:eastAsia="Georgia" w:hAnsi="Georgia"/>
          <w:sz w:val="18"/>
          <w:szCs w:val="18"/>
        </w:rPr>
        <w:t xml:space="preserve">GreatCollections, realized price for 1944-S steel cent MS66 (≈$490,500, January 2025). </w:t>
      </w:r>
      <w:hyperlink w:history="1" r:id="rIdseuocnxrajq0e-r2esvbs">
        <w:r>
          <w:rPr>
            <w:rStyle w:val="Hyperlink"/>
            <w:rFonts w:ascii="Georgia" w:cs="Georgia" w:eastAsia="Georgia" w:hAnsi="Georgia"/>
            <w:sz w:val="18"/>
            <w:szCs w:val="18"/>
          </w:rPr>
          <w:t xml:space="preserve">https://www.greatcollections.com/</w:t>
        </w:r>
      </w:hyperlink>
    </w:p>
    <w:p>
      <w:pPr>
        <w:spacing w:after="80" w:line="252"/>
        <w:ind w:left="360" w:hanging="360"/>
      </w:pPr>
      <w:r>
        <w:rPr>
          <w:rFonts w:ascii="Georgia" w:cs="Georgia" w:eastAsia="Georgia" w:hAnsi="Georgia"/>
          <w:b/>
          <w:bCs/>
          <w:sz w:val="18"/>
          <w:szCs w:val="18"/>
        </w:rPr>
        <w:t xml:space="preserve">55.  </w:t>
      </w:r>
      <w:r>
        <w:rPr>
          <w:rFonts w:ascii="Georgia" w:cs="Georgia" w:eastAsia="Georgia" w:hAnsi="Georgia"/>
          <w:sz w:val="18"/>
          <w:szCs w:val="18"/>
        </w:rPr>
        <w:t xml:space="preserve">Stack’s Bowers Galleries, realized price for 1955 Doubled Die Obverse Lincoln Cent MS65+ Red ($114,000, 2018). </w:t>
      </w:r>
      <w:hyperlink w:history="1" r:id="rIdg2byjrq11q28hnnhu-b7x">
        <w:r>
          <w:rPr>
            <w:rStyle w:val="Hyperlink"/>
            <w:rFonts w:ascii="Georgia" w:cs="Georgia" w:eastAsia="Georgia" w:hAnsi="Georgia"/>
            <w:sz w:val="18"/>
            <w:szCs w:val="18"/>
          </w:rPr>
          <w:t xml:space="preserve">https://www.stacksbowers.com/</w:t>
        </w:r>
      </w:hyperlink>
    </w:p>
    <w:p>
      <w:pPr>
        <w:spacing w:after="80" w:line="252"/>
        <w:ind w:left="360" w:hanging="360"/>
      </w:pPr>
      <w:r>
        <w:rPr>
          <w:rFonts w:ascii="Georgia" w:cs="Georgia" w:eastAsia="Georgia" w:hAnsi="Georgia"/>
          <w:b/>
          <w:bCs/>
          <w:sz w:val="18"/>
          <w:szCs w:val="18"/>
        </w:rPr>
        <w:t xml:space="preserve">56.  </w:t>
      </w:r>
      <w:r>
        <w:rPr>
          <w:rFonts w:ascii="Georgia" w:cs="Georgia" w:eastAsia="Georgia" w:hAnsi="Georgia"/>
          <w:sz w:val="18"/>
          <w:szCs w:val="18"/>
        </w:rPr>
        <w:t xml:space="preserve">PCGS CoinFacts, “1877 Indian Head Cent” and “1931-S Lincoln Cent” (semi-key price guides). </w:t>
      </w:r>
      <w:hyperlink w:history="1" r:id="rIdym2golxwve2momywimsbc">
        <w:r>
          <w:rPr>
            <w:rStyle w:val="Hyperlink"/>
            <w:rFonts w:ascii="Georgia" w:cs="Georgia" w:eastAsia="Georgia" w:hAnsi="Georgia"/>
            <w:sz w:val="18"/>
            <w:szCs w:val="18"/>
          </w:rPr>
          <w:t xml:space="preserve">https://www.pcgs.com/coinfacts</w:t>
        </w:r>
      </w:hyperlink>
    </w:p>
    <w:p>
      <w:pPr>
        <w:spacing w:after="80" w:line="252"/>
        <w:ind w:left="360" w:hanging="360"/>
      </w:pPr>
      <w:r>
        <w:rPr>
          <w:rFonts w:ascii="Georgia" w:cs="Georgia" w:eastAsia="Georgia" w:hAnsi="Georgia"/>
          <w:b/>
          <w:bCs/>
          <w:sz w:val="18"/>
          <w:szCs w:val="18"/>
        </w:rPr>
        <w:t xml:space="preserve">57.  </w:t>
      </w:r>
      <w:r>
        <w:rPr>
          <w:rFonts w:ascii="Georgia" w:cs="Georgia" w:eastAsia="Georgia" w:hAnsi="Georgia"/>
          <w:sz w:val="18"/>
          <w:szCs w:val="18"/>
        </w:rPr>
        <w:t xml:space="preserve">PCGS CoinFacts, “1793 Chain and Wreath Large Cents” (early Large Cent rarities and price guides). </w:t>
      </w:r>
      <w:hyperlink w:history="1" r:id="rIdvodxje0hf85-ilqqlsdxq">
        <w:r>
          <w:rPr>
            <w:rStyle w:val="Hyperlink"/>
            <w:rFonts w:ascii="Georgia" w:cs="Georgia" w:eastAsia="Georgia" w:hAnsi="Georgia"/>
            <w:sz w:val="18"/>
            <w:szCs w:val="18"/>
          </w:rPr>
          <w:t xml:space="preserve">https://www.pcgs.com/coinfacts</w:t>
        </w:r>
      </w:hyperlink>
    </w:p>
    <w:p>
      <w:pPr>
        <w:spacing w:after="80" w:line="252"/>
        <w:ind w:left="360" w:hanging="360"/>
      </w:pPr>
      <w:r>
        <w:rPr>
          <w:rFonts w:ascii="Georgia" w:cs="Georgia" w:eastAsia="Georgia" w:hAnsi="Georgia"/>
          <w:b/>
          <w:bCs/>
          <w:sz w:val="18"/>
          <w:szCs w:val="18"/>
        </w:rPr>
        <w:t xml:space="preserve">58.  </w:t>
      </w:r>
      <w:r>
        <w:rPr>
          <w:rFonts w:ascii="Georgia" w:cs="Georgia" w:eastAsia="Georgia" w:hAnsi="Georgia"/>
          <w:sz w:val="18"/>
          <w:szCs w:val="18"/>
        </w:rPr>
        <w:t xml:space="preserve">PCGS, “Copper Color Designations: Red (RD), Red-Brown (RB), and Brown (BN)” and their effect on value. </w:t>
      </w:r>
      <w:hyperlink w:history="1" r:id="rIdkphzfdlzk-twewcc_cpju">
        <w:r>
          <w:rPr>
            <w:rStyle w:val="Hyperlink"/>
            <w:rFonts w:ascii="Georgia" w:cs="Georgia" w:eastAsia="Georgia" w:hAnsi="Georgia"/>
            <w:sz w:val="18"/>
            <w:szCs w:val="18"/>
          </w:rPr>
          <w:t xml:space="preserve">https://www.pcgs.com/</w:t>
        </w:r>
      </w:hyperlink>
    </w:p>
    <w:p>
      <w:pPr>
        <w:spacing w:after="80" w:line="252"/>
        <w:ind w:left="360" w:hanging="360"/>
      </w:pPr>
      <w:r>
        <w:rPr>
          <w:rFonts w:ascii="Georgia" w:cs="Georgia" w:eastAsia="Georgia" w:hAnsi="Georgia"/>
          <w:b/>
          <w:bCs/>
          <w:sz w:val="18"/>
          <w:szCs w:val="18"/>
        </w:rPr>
        <w:t xml:space="preserve">59.  </w:t>
      </w:r>
      <w:r>
        <w:rPr>
          <w:rFonts w:ascii="Georgia" w:cs="Georgia" w:eastAsia="Georgia" w:hAnsi="Georgia"/>
          <w:sz w:val="18"/>
          <w:szCs w:val="18"/>
        </w:rPr>
        <w:t xml:space="preserve">PCGS CoinFacts, “Twenty Cent Pieces (1875–1878)” — shortest-lived regular U.S. denomination. </w:t>
      </w:r>
      <w:hyperlink w:history="1" r:id="rIdouc7ko8fqyhf-cmxugl4d">
        <w:r>
          <w:rPr>
            <w:rStyle w:val="Hyperlink"/>
            <w:rFonts w:ascii="Georgia" w:cs="Georgia" w:eastAsia="Georgia" w:hAnsi="Georgia"/>
            <w:sz w:val="18"/>
            <w:szCs w:val="18"/>
          </w:rPr>
          <w:t xml:space="preserve">https://www.pcgs.com/coinfacts/category/twenty-cent-1875-1878/27</w:t>
        </w:r>
      </w:hyperlink>
    </w:p>
    <w:p>
      <w:pPr>
        <w:spacing w:after="80" w:line="252"/>
        <w:ind w:left="360" w:hanging="360"/>
      </w:pPr>
      <w:r>
        <w:rPr>
          <w:rFonts w:ascii="Georgia" w:cs="Georgia" w:eastAsia="Georgia" w:hAnsi="Georgia"/>
          <w:b/>
          <w:bCs/>
          <w:sz w:val="18"/>
          <w:szCs w:val="18"/>
        </w:rPr>
        <w:t xml:space="preserve">60.  </w:t>
      </w:r>
      <w:r>
        <w:rPr>
          <w:rFonts w:ascii="Georgia" w:cs="Georgia" w:eastAsia="Georgia" w:hAnsi="Georgia"/>
          <w:sz w:val="18"/>
          <w:szCs w:val="18"/>
        </w:rPr>
        <w:t xml:space="preserve">PCGS CoinFacts and Heritage Auctions, the 1913 Liberty Head Nickel (five known; $4.2M sale, 2022). </w:t>
      </w:r>
      <w:hyperlink w:history="1" r:id="rIdv2ilpbyiuolxxeht7dfs5">
        <w:r>
          <w:rPr>
            <w:rStyle w:val="Hyperlink"/>
            <w:rFonts w:ascii="Georgia" w:cs="Georgia" w:eastAsia="Georgia" w:hAnsi="Georgia"/>
            <w:sz w:val="18"/>
            <w:szCs w:val="18"/>
          </w:rPr>
          <w:t xml:space="preserve">https://www.pcgs.com/coinfacts</w:t>
        </w:r>
      </w:hyperlink>
    </w:p>
    <w:p>
      <w:pPr>
        <w:spacing w:after="80" w:line="252"/>
        <w:ind w:left="360" w:hanging="360"/>
      </w:pPr>
      <w:r>
        <w:rPr>
          <w:rFonts w:ascii="Georgia" w:cs="Georgia" w:eastAsia="Georgia" w:hAnsi="Georgia"/>
          <w:b/>
          <w:bCs/>
          <w:sz w:val="18"/>
          <w:szCs w:val="18"/>
        </w:rPr>
        <w:t xml:space="preserve">61.  </w:t>
      </w:r>
      <w:r>
        <w:rPr>
          <w:rFonts w:ascii="Georgia" w:cs="Georgia" w:eastAsia="Georgia" w:hAnsi="Georgia"/>
          <w:sz w:val="18"/>
          <w:szCs w:val="18"/>
        </w:rPr>
        <w:t xml:space="preserve">Legend Numismatics, realized price for 1937-D “Three-Legged” Buffalo Nickel MS66+ (≈$99,875, 2021). </w:t>
      </w:r>
      <w:hyperlink w:history="1" r:id="rIdjpidqinv38lb1cjhuyse7">
        <w:r>
          <w:rPr>
            <w:rStyle w:val="Hyperlink"/>
            <w:rFonts w:ascii="Georgia" w:cs="Georgia" w:eastAsia="Georgia" w:hAnsi="Georgia"/>
            <w:sz w:val="18"/>
            <w:szCs w:val="18"/>
          </w:rPr>
          <w:t xml:space="preserve">https://www.legendnumismatics.com/</w:t>
        </w:r>
      </w:hyperlink>
    </w:p>
    <w:p>
      <w:pPr>
        <w:spacing w:after="80" w:line="252"/>
        <w:ind w:left="360" w:hanging="360"/>
      </w:pPr>
      <w:r>
        <w:rPr>
          <w:rFonts w:ascii="Georgia" w:cs="Georgia" w:eastAsia="Georgia" w:hAnsi="Georgia"/>
          <w:b/>
          <w:bCs/>
          <w:sz w:val="18"/>
          <w:szCs w:val="18"/>
        </w:rPr>
        <w:t xml:space="preserve">62.  </w:t>
      </w:r>
      <w:r>
        <w:rPr>
          <w:rFonts w:ascii="Georgia" w:cs="Georgia" w:eastAsia="Georgia" w:hAnsi="Georgia"/>
          <w:sz w:val="18"/>
          <w:szCs w:val="18"/>
        </w:rPr>
        <w:t xml:space="preserve">Heritage Auctions, realized price for 1913-S Type 2 Buffalo Nickel MS67+ ($84,000, 2025). </w:t>
      </w:r>
      <w:hyperlink w:history="1" r:id="rIddt6glcxs2lcafjn3pukyo">
        <w:r>
          <w:rPr>
            <w:rStyle w:val="Hyperlink"/>
            <w:rFonts w:ascii="Georgia" w:cs="Georgia" w:eastAsia="Georgia" w:hAnsi="Georgia"/>
            <w:sz w:val="18"/>
            <w:szCs w:val="18"/>
          </w:rPr>
          <w:t xml:space="preserve">https://coins.ha.com/</w:t>
        </w:r>
      </w:hyperlink>
    </w:p>
    <w:p>
      <w:pPr>
        <w:spacing w:after="80" w:line="252"/>
        <w:ind w:left="360" w:hanging="360"/>
      </w:pPr>
      <w:r>
        <w:rPr>
          <w:rFonts w:ascii="Georgia" w:cs="Georgia" w:eastAsia="Georgia" w:hAnsi="Georgia"/>
          <w:b/>
          <w:bCs/>
          <w:sz w:val="18"/>
          <w:szCs w:val="18"/>
        </w:rPr>
        <w:t xml:space="preserve">63.  </w:t>
      </w:r>
      <w:r>
        <w:rPr>
          <w:rFonts w:ascii="Georgia" w:cs="Georgia" w:eastAsia="Georgia" w:hAnsi="Georgia"/>
          <w:sz w:val="18"/>
          <w:szCs w:val="18"/>
        </w:rPr>
        <w:t xml:space="preserve">PCGS CoinFacts, “1926-S Buffalo Nickel” (key-date price guide). </w:t>
      </w:r>
      <w:hyperlink w:history="1" r:id="rIdcsvzqd-uagya3ed4fe7ww">
        <w:r>
          <w:rPr>
            <w:rStyle w:val="Hyperlink"/>
            <w:rFonts w:ascii="Georgia" w:cs="Georgia" w:eastAsia="Georgia" w:hAnsi="Georgia"/>
            <w:sz w:val="18"/>
            <w:szCs w:val="18"/>
          </w:rPr>
          <w:t xml:space="preserve">https://www.pcgs.com/coinfacts/coin/1926-s-5c/3942</w:t>
        </w:r>
      </w:hyperlink>
    </w:p>
    <w:p>
      <w:pPr>
        <w:spacing w:after="80" w:line="252"/>
        <w:ind w:left="360" w:hanging="360"/>
      </w:pPr>
      <w:r>
        <w:rPr>
          <w:rFonts w:ascii="Georgia" w:cs="Georgia" w:eastAsia="Georgia" w:hAnsi="Georgia"/>
          <w:b/>
          <w:bCs/>
          <w:sz w:val="18"/>
          <w:szCs w:val="18"/>
        </w:rPr>
        <w:t xml:space="preserve">64.  </w:t>
      </w:r>
      <w:r>
        <w:rPr>
          <w:rFonts w:ascii="Georgia" w:cs="Georgia" w:eastAsia="Georgia" w:hAnsi="Georgia"/>
          <w:sz w:val="18"/>
          <w:szCs w:val="18"/>
        </w:rPr>
        <w:t xml:space="preserve">Curio Comp, “1916-D Mercury Dime Value &amp; Price Guide (2026),” accessed 2026. </w:t>
      </w:r>
      <w:hyperlink w:history="1" r:id="rIdludbkyb7x7vttqo0f1uas">
        <w:r>
          <w:rPr>
            <w:rStyle w:val="Hyperlink"/>
            <w:rFonts w:ascii="Georgia" w:cs="Georgia" w:eastAsia="Georgia" w:hAnsi="Georgia"/>
            <w:sz w:val="18"/>
            <w:szCs w:val="18"/>
          </w:rPr>
          <w:t xml:space="preserve">https://curiocomp.com/coins/1916-d-mercury-dime</w:t>
        </w:r>
      </w:hyperlink>
    </w:p>
    <w:p>
      <w:pPr>
        <w:spacing w:after="80" w:line="252"/>
        <w:ind w:left="360" w:hanging="360"/>
      </w:pPr>
      <w:r>
        <w:rPr>
          <w:rFonts w:ascii="Georgia" w:cs="Georgia" w:eastAsia="Georgia" w:hAnsi="Georgia"/>
          <w:b/>
          <w:bCs/>
          <w:sz w:val="18"/>
          <w:szCs w:val="18"/>
        </w:rPr>
        <w:t xml:space="preserve">65.  </w:t>
      </w:r>
      <w:r>
        <w:rPr>
          <w:rFonts w:ascii="Georgia" w:cs="Georgia" w:eastAsia="Georgia" w:hAnsi="Georgia"/>
          <w:sz w:val="18"/>
          <w:szCs w:val="18"/>
        </w:rPr>
        <w:t xml:space="preserve">Mercury Dime Worth, “Complete 1916–1945 Value Guide (2026),” accessed 2026. </w:t>
      </w:r>
      <w:hyperlink w:history="1" r:id="rIduckjcrmdkatpshcdo5e3q">
        <w:r>
          <w:rPr>
            <w:rStyle w:val="Hyperlink"/>
            <w:rFonts w:ascii="Georgia" w:cs="Georgia" w:eastAsia="Georgia" w:hAnsi="Georgia"/>
            <w:sz w:val="18"/>
            <w:szCs w:val="18"/>
          </w:rPr>
          <w:t xml:space="preserve">https://mercurydimeworth.com/</w:t>
        </w:r>
      </w:hyperlink>
    </w:p>
    <w:p>
      <w:pPr>
        <w:spacing w:after="80" w:line="252"/>
        <w:ind w:left="360" w:hanging="360"/>
      </w:pPr>
      <w:r>
        <w:rPr>
          <w:rFonts w:ascii="Georgia" w:cs="Georgia" w:eastAsia="Georgia" w:hAnsi="Georgia"/>
          <w:b/>
          <w:bCs/>
          <w:sz w:val="18"/>
          <w:szCs w:val="18"/>
        </w:rPr>
        <w:t xml:space="preserve">66.  </w:t>
      </w:r>
      <w:r>
        <w:rPr>
          <w:rFonts w:ascii="Georgia" w:cs="Georgia" w:eastAsia="Georgia" w:hAnsi="Georgia"/>
          <w:sz w:val="18"/>
          <w:szCs w:val="18"/>
        </w:rPr>
        <w:t xml:space="preserve">Gainesville Coins, “Key Date Mercury Dimes: 1916-D, 1921, 1921-D,” accessed 2026. </w:t>
      </w:r>
      <w:hyperlink w:history="1" r:id="rId6us9zx9eqzmciv6ba_nsg">
        <w:r>
          <w:rPr>
            <w:rStyle w:val="Hyperlink"/>
            <w:rFonts w:ascii="Georgia" w:cs="Georgia" w:eastAsia="Georgia" w:hAnsi="Georgia"/>
            <w:sz w:val="18"/>
            <w:szCs w:val="18"/>
          </w:rPr>
          <w:t xml:space="preserve">https://www.gainesvillecoins.com/blog/key-date-mercury-dimes</w:t>
        </w:r>
      </w:hyperlink>
    </w:p>
    <w:p>
      <w:pPr>
        <w:spacing w:after="80" w:line="252"/>
        <w:ind w:left="360" w:hanging="360"/>
      </w:pPr>
      <w:r>
        <w:rPr>
          <w:rFonts w:ascii="Georgia" w:cs="Georgia" w:eastAsia="Georgia" w:hAnsi="Georgia"/>
          <w:b/>
          <w:bCs/>
          <w:sz w:val="18"/>
          <w:szCs w:val="18"/>
        </w:rPr>
        <w:t xml:space="preserve">67.  </w:t>
      </w:r>
      <w:r>
        <w:rPr>
          <w:rFonts w:ascii="Georgia" w:cs="Georgia" w:eastAsia="Georgia" w:hAnsi="Georgia"/>
          <w:sz w:val="18"/>
          <w:szCs w:val="18"/>
        </w:rPr>
        <w:t xml:space="preserve">PCGS CoinFacts, “1916 Standing Liberty Quarter” and “1918/7-S Overdate Quarter” (key-date guides; Heritage $336,000 record). </w:t>
      </w:r>
      <w:hyperlink w:history="1" r:id="rIdls6yregonk4rdi0u0ozt-">
        <w:r>
          <w:rPr>
            <w:rStyle w:val="Hyperlink"/>
            <w:rFonts w:ascii="Georgia" w:cs="Georgia" w:eastAsia="Georgia" w:hAnsi="Georgia"/>
            <w:sz w:val="18"/>
            <w:szCs w:val="18"/>
          </w:rPr>
          <w:t xml:space="preserve">https://www.pcgs.com/coinfacts</w:t>
        </w:r>
      </w:hyperlink>
    </w:p>
    <w:p>
      <w:pPr>
        <w:spacing w:after="80" w:line="252"/>
        <w:ind w:left="360" w:hanging="360"/>
      </w:pPr>
      <w:r>
        <w:rPr>
          <w:rFonts w:ascii="Georgia" w:cs="Georgia" w:eastAsia="Georgia" w:hAnsi="Georgia"/>
          <w:b/>
          <w:bCs/>
          <w:sz w:val="18"/>
          <w:szCs w:val="18"/>
        </w:rPr>
        <w:t xml:space="preserve">68.  </w:t>
      </w:r>
      <w:r>
        <w:rPr>
          <w:rFonts w:ascii="Georgia" w:cs="Georgia" w:eastAsia="Georgia" w:hAnsi="Georgia"/>
          <w:sz w:val="18"/>
          <w:szCs w:val="18"/>
        </w:rPr>
        <w:t xml:space="preserve">PCGS CoinFacts, “Walking Liberty Half Dollar (1916–1947)” series overview and key dates. </w:t>
      </w:r>
      <w:hyperlink w:history="1" r:id="rIdcp3km5q8jh_giwp55tfre">
        <w:r>
          <w:rPr>
            <w:rStyle w:val="Hyperlink"/>
            <w:rFonts w:ascii="Georgia" w:cs="Georgia" w:eastAsia="Georgia" w:hAnsi="Georgia"/>
            <w:sz w:val="18"/>
            <w:szCs w:val="18"/>
          </w:rPr>
          <w:t xml:space="preserve">https://www.pcgs.com/coinfacts/category/walking-liberty-half-dollar-1916-1947/755</w:t>
        </w:r>
      </w:hyperlink>
    </w:p>
    <w:p>
      <w:pPr>
        <w:spacing w:after="80" w:line="252"/>
        <w:ind w:left="360" w:hanging="360"/>
      </w:pPr>
      <w:r>
        <w:rPr>
          <w:rFonts w:ascii="Georgia" w:cs="Georgia" w:eastAsia="Georgia" w:hAnsi="Georgia"/>
          <w:b/>
          <w:bCs/>
          <w:sz w:val="18"/>
          <w:szCs w:val="18"/>
        </w:rPr>
        <w:t xml:space="preserve">69.  </w:t>
      </w:r>
      <w:r>
        <w:rPr>
          <w:rFonts w:ascii="Georgia" w:cs="Georgia" w:eastAsia="Georgia" w:hAnsi="Georgia"/>
          <w:sz w:val="18"/>
          <w:szCs w:val="18"/>
        </w:rPr>
        <w:t xml:space="preserve">PCGS CoinFacts, “Morgan Dollar (1878–1921),” category overview. </w:t>
      </w:r>
      <w:hyperlink w:history="1" r:id="rIdmnws-ubbpv-fg-aounhqt">
        <w:r>
          <w:rPr>
            <w:rStyle w:val="Hyperlink"/>
            <w:rFonts w:ascii="Georgia" w:cs="Georgia" w:eastAsia="Georgia" w:hAnsi="Georgia"/>
            <w:sz w:val="18"/>
            <w:szCs w:val="18"/>
          </w:rPr>
          <w:t xml:space="preserve">https://www.pcgs.com/coinfacts/category/morgan-dollar-1878-1921/744</w:t>
        </w:r>
      </w:hyperlink>
    </w:p>
    <w:p>
      <w:pPr>
        <w:spacing w:after="80" w:line="252"/>
        <w:ind w:left="360" w:hanging="360"/>
      </w:pPr>
      <w:r>
        <w:rPr>
          <w:rFonts w:ascii="Georgia" w:cs="Georgia" w:eastAsia="Georgia" w:hAnsi="Georgia"/>
          <w:b/>
          <w:bCs/>
          <w:sz w:val="18"/>
          <w:szCs w:val="18"/>
        </w:rPr>
        <w:t xml:space="preserve">70.  </w:t>
      </w:r>
      <w:r>
        <w:rPr>
          <w:rFonts w:ascii="Georgia" w:cs="Georgia" w:eastAsia="Georgia" w:hAnsi="Georgia"/>
          <w:sz w:val="18"/>
          <w:szCs w:val="18"/>
        </w:rPr>
        <w:t xml:space="preserve">PCGS, “Coin of the Issue: 1889-CC Morgan Dollar, PCGS MS64” (mintage 350,000; finest-known values). </w:t>
      </w:r>
      <w:hyperlink w:history="1" r:id="rIdbkeenmx9wfj09knqbvcbz">
        <w:r>
          <w:rPr>
            <w:rStyle w:val="Hyperlink"/>
            <w:rFonts w:ascii="Georgia" w:cs="Georgia" w:eastAsia="Georgia" w:hAnsi="Georgia"/>
            <w:sz w:val="18"/>
            <w:szCs w:val="18"/>
          </w:rPr>
          <w:t xml:space="preserve">https://www.pcgs.com/news/coti-1889-cc-morgan-dollar-pcgs-ms64</w:t>
        </w:r>
      </w:hyperlink>
    </w:p>
    <w:p>
      <w:pPr>
        <w:spacing w:after="80" w:line="252"/>
        <w:ind w:left="360" w:hanging="360"/>
      </w:pPr>
      <w:r>
        <w:rPr>
          <w:rFonts w:ascii="Georgia" w:cs="Georgia" w:eastAsia="Georgia" w:hAnsi="Georgia"/>
          <w:b/>
          <w:bCs/>
          <w:sz w:val="18"/>
          <w:szCs w:val="18"/>
        </w:rPr>
        <w:t xml:space="preserve">71.  </w:t>
      </w:r>
      <w:r>
        <w:rPr>
          <w:rFonts w:ascii="Georgia" w:cs="Georgia" w:eastAsia="Georgia" w:hAnsi="Georgia"/>
          <w:sz w:val="18"/>
          <w:szCs w:val="18"/>
        </w:rPr>
        <w:t xml:space="preserve">PCGS CoinFacts and Heritage Auctions, the 1893-S Morgan Dollar (finest MS67 ≈$2 million). </w:t>
      </w:r>
      <w:hyperlink w:history="1" r:id="rIdkw8w-emkcjcbovlnr18vs">
        <w:r>
          <w:rPr>
            <w:rStyle w:val="Hyperlink"/>
            <w:rFonts w:ascii="Georgia" w:cs="Georgia" w:eastAsia="Georgia" w:hAnsi="Georgia"/>
            <w:sz w:val="18"/>
            <w:szCs w:val="18"/>
          </w:rPr>
          <w:t xml:space="preserve">https://www.pcgs.com/coinfacts</w:t>
        </w:r>
      </w:hyperlink>
    </w:p>
    <w:p>
      <w:pPr>
        <w:spacing w:after="80" w:line="252"/>
        <w:ind w:left="360" w:hanging="360"/>
      </w:pPr>
      <w:r>
        <w:rPr>
          <w:rFonts w:ascii="Georgia" w:cs="Georgia" w:eastAsia="Georgia" w:hAnsi="Georgia"/>
          <w:b/>
          <w:bCs/>
          <w:sz w:val="18"/>
          <w:szCs w:val="18"/>
        </w:rPr>
        <w:t xml:space="preserve">72.  </w:t>
      </w:r>
      <w:r>
        <w:rPr>
          <w:rFonts w:ascii="Georgia" w:cs="Georgia" w:eastAsia="Georgia" w:hAnsi="Georgia"/>
          <w:sz w:val="18"/>
          <w:szCs w:val="18"/>
        </w:rPr>
        <w:t xml:space="preserve">Southgate Coins, “GSA Carson City Morgan Dollar Hoard History,” accessed 2026. </w:t>
      </w:r>
      <w:hyperlink w:history="1" r:id="rIdr5qz6xamwah-b4cxslcsn">
        <w:r>
          <w:rPr>
            <w:rStyle w:val="Hyperlink"/>
            <w:rFonts w:ascii="Georgia" w:cs="Georgia" w:eastAsia="Georgia" w:hAnsi="Georgia"/>
            <w:sz w:val="18"/>
            <w:szCs w:val="18"/>
          </w:rPr>
          <w:t xml:space="preserve">https://www.southgatecoins.com/gsa-carson-city-hoard-history</w:t>
        </w:r>
      </w:hyperlink>
    </w:p>
    <w:p>
      <w:pPr>
        <w:spacing w:after="80" w:line="252"/>
        <w:ind w:left="360" w:hanging="360"/>
      </w:pPr>
      <w:r>
        <w:rPr>
          <w:rFonts w:ascii="Georgia" w:cs="Georgia" w:eastAsia="Georgia" w:hAnsi="Georgia"/>
          <w:b/>
          <w:bCs/>
          <w:sz w:val="18"/>
          <w:szCs w:val="18"/>
        </w:rPr>
        <w:t xml:space="preserve">73.  </w:t>
      </w:r>
      <w:r>
        <w:rPr>
          <w:rFonts w:ascii="Georgia" w:cs="Georgia" w:eastAsia="Georgia" w:hAnsi="Georgia"/>
          <w:sz w:val="18"/>
          <w:szCs w:val="18"/>
        </w:rPr>
        <w:t xml:space="preserve">PCGS, “The Majestic 1933 Saint-Gaudens Double Eagle,” PCGS News. </w:t>
      </w:r>
      <w:hyperlink w:history="1" r:id="rIdtq-ms1f1afynd-6wkgrwz">
        <w:r>
          <w:rPr>
            <w:rStyle w:val="Hyperlink"/>
            <w:rFonts w:ascii="Georgia" w:cs="Georgia" w:eastAsia="Georgia" w:hAnsi="Georgia"/>
            <w:sz w:val="18"/>
            <w:szCs w:val="18"/>
          </w:rPr>
          <w:t xml:space="preserve">https://www.pcgs.com/news/majestic-1933-saint-gaudens-double-eagle</w:t>
        </w:r>
      </w:hyperlink>
    </w:p>
    <w:p>
      <w:pPr>
        <w:spacing w:after="80" w:line="252"/>
        <w:ind w:left="360" w:hanging="360"/>
      </w:pPr>
      <w:r>
        <w:rPr>
          <w:rFonts w:ascii="Georgia" w:cs="Georgia" w:eastAsia="Georgia" w:hAnsi="Georgia"/>
          <w:b/>
          <w:bCs/>
          <w:sz w:val="18"/>
          <w:szCs w:val="18"/>
        </w:rPr>
        <w:t xml:space="preserve">74.  </w:t>
      </w:r>
      <w:r>
        <w:rPr>
          <w:rFonts w:ascii="Georgia" w:cs="Georgia" w:eastAsia="Georgia" w:hAnsi="Georgia"/>
          <w:sz w:val="18"/>
          <w:szCs w:val="18"/>
        </w:rPr>
        <w:t xml:space="preserve">Coin World, “1933 double eagle tops $18.8 million for new record” (Sotheby’s, June 8, 2021). </w:t>
      </w:r>
      <w:hyperlink w:history="1" r:id="rIdvn35fjfenqswuhqjd4d4z">
        <w:r>
          <w:rPr>
            <w:rStyle w:val="Hyperlink"/>
            <w:rFonts w:ascii="Georgia" w:cs="Georgia" w:eastAsia="Georgia" w:hAnsi="Georgia"/>
            <w:sz w:val="18"/>
            <w:szCs w:val="18"/>
          </w:rPr>
          <w:t xml:space="preserve">https://www.coinworld.com/news/us-coins/1933-double-eagle-tops-18-point-8-million-dollars-for-new-record</w:t>
        </w:r>
      </w:hyperlink>
    </w:p>
    <w:p>
      <w:pPr>
        <w:spacing w:after="80" w:line="252"/>
        <w:ind w:left="360" w:hanging="360"/>
      </w:pPr>
      <w:r>
        <w:rPr>
          <w:rFonts w:ascii="Georgia" w:cs="Georgia" w:eastAsia="Georgia" w:hAnsi="Georgia"/>
          <w:b/>
          <w:bCs/>
          <w:sz w:val="18"/>
          <w:szCs w:val="18"/>
        </w:rPr>
        <w:t xml:space="preserve">75.  </w:t>
      </w:r>
      <w:r>
        <w:rPr>
          <w:rFonts w:ascii="Georgia" w:cs="Georgia" w:eastAsia="Georgia" w:hAnsi="Georgia"/>
          <w:sz w:val="18"/>
          <w:szCs w:val="18"/>
        </w:rPr>
        <w:t xml:space="preserve">Sotheby’s, sale of the Weitzman 1933 Double Eagle for $18,872,250, June 8, 2021. </w:t>
      </w:r>
      <w:hyperlink w:history="1" r:id="rIdzwie5ittnzmcnxaehso6a">
        <w:r>
          <w:rPr>
            <w:rStyle w:val="Hyperlink"/>
            <w:rFonts w:ascii="Georgia" w:cs="Georgia" w:eastAsia="Georgia" w:hAnsi="Georgia"/>
            <w:sz w:val="18"/>
            <w:szCs w:val="18"/>
          </w:rPr>
          <w:t xml:space="preserve">https://www.sothebys.com/</w:t>
        </w:r>
      </w:hyperlink>
    </w:p>
    <w:p>
      <w:pPr>
        <w:spacing w:after="80" w:line="252"/>
        <w:ind w:left="360" w:hanging="360"/>
      </w:pPr>
      <w:r>
        <w:rPr>
          <w:rFonts w:ascii="Georgia" w:cs="Georgia" w:eastAsia="Georgia" w:hAnsi="Georgia"/>
          <w:b/>
          <w:bCs/>
          <w:sz w:val="18"/>
          <w:szCs w:val="18"/>
        </w:rPr>
        <w:t xml:space="preserve">76.  </w:t>
      </w:r>
      <w:r>
        <w:rPr>
          <w:rFonts w:ascii="Georgia" w:cs="Georgia" w:eastAsia="Georgia" w:hAnsi="Georgia"/>
          <w:sz w:val="18"/>
          <w:szCs w:val="18"/>
        </w:rPr>
        <w:t xml:space="preserve">Executive Order 6102 (1933), requiring the delivery of gold coin, gold bullion, and gold certificates to the Federal Reserve.</w:t>
      </w:r>
    </w:p>
    <w:p>
      <w:pPr>
        <w:spacing w:after="80" w:line="252"/>
        <w:ind w:left="360" w:hanging="360"/>
      </w:pPr>
      <w:r>
        <w:rPr>
          <w:rFonts w:ascii="Georgia" w:cs="Georgia" w:eastAsia="Georgia" w:hAnsi="Georgia"/>
          <w:b/>
          <w:bCs/>
          <w:sz w:val="18"/>
          <w:szCs w:val="18"/>
        </w:rPr>
        <w:t xml:space="preserve">77.  </w:t>
      </w:r>
      <w:r>
        <w:rPr>
          <w:rFonts w:ascii="Georgia" w:cs="Georgia" w:eastAsia="Georgia" w:hAnsi="Georgia"/>
          <w:sz w:val="18"/>
          <w:szCs w:val="18"/>
        </w:rPr>
        <w:t xml:space="preserve">Gainesville Coins, “What Are the Key Dates for the Silver Eagle?” accessed 2026. </w:t>
      </w:r>
      <w:hyperlink w:history="1" r:id="rIdm310lvtajdcxkrmsbd4ib">
        <w:r>
          <w:rPr>
            <w:rStyle w:val="Hyperlink"/>
            <w:rFonts w:ascii="Georgia" w:cs="Georgia" w:eastAsia="Georgia" w:hAnsi="Georgia"/>
            <w:sz w:val="18"/>
            <w:szCs w:val="18"/>
          </w:rPr>
          <w:t xml:space="preserve">https://www.gainesvillecoins.com/blog/dates-silver-eagle</w:t>
        </w:r>
      </w:hyperlink>
    </w:p>
    <w:p>
      <w:pPr>
        <w:spacing w:after="80" w:line="252"/>
        <w:ind w:left="360" w:hanging="360"/>
      </w:pPr>
      <w:r>
        <w:rPr>
          <w:rFonts w:ascii="Georgia" w:cs="Georgia" w:eastAsia="Georgia" w:hAnsi="Georgia"/>
          <w:b/>
          <w:bCs/>
          <w:sz w:val="18"/>
          <w:szCs w:val="18"/>
        </w:rPr>
        <w:t xml:space="preserve">78.  </w:t>
      </w:r>
      <w:r>
        <w:rPr>
          <w:rFonts w:ascii="Georgia" w:cs="Georgia" w:eastAsia="Georgia" w:hAnsi="Georgia"/>
          <w:sz w:val="18"/>
          <w:szCs w:val="18"/>
        </w:rPr>
        <w:t xml:space="preserve">MintBuilder, “American Silver Eagle: Complete Buyer’s Guide for 2026,” accessed 2026. </w:t>
      </w:r>
      <w:hyperlink w:history="1" r:id="rIdvvp-d5rp5yiidq8xhnfwn">
        <w:r>
          <w:rPr>
            <w:rStyle w:val="Hyperlink"/>
            <w:rFonts w:ascii="Georgia" w:cs="Georgia" w:eastAsia="Georgia" w:hAnsi="Georgia"/>
            <w:sz w:val="18"/>
            <w:szCs w:val="18"/>
          </w:rPr>
          <w:t xml:space="preserve">https://mintbuilder.com/blog/american-silver-eagle</w:t>
        </w:r>
      </w:hyperlink>
    </w:p>
    <w:p>
      <w:pPr>
        <w:spacing w:after="80" w:line="252"/>
        <w:ind w:left="360" w:hanging="360"/>
      </w:pPr>
      <w:r>
        <w:rPr>
          <w:rFonts w:ascii="Georgia" w:cs="Georgia" w:eastAsia="Georgia" w:hAnsi="Georgia"/>
          <w:b/>
          <w:bCs/>
          <w:sz w:val="18"/>
          <w:szCs w:val="18"/>
        </w:rPr>
        <w:t xml:space="preserve">79.  </w:t>
      </w:r>
      <w:r>
        <w:rPr>
          <w:rFonts w:ascii="Georgia" w:cs="Georgia" w:eastAsia="Georgia" w:hAnsi="Georgia"/>
          <w:sz w:val="18"/>
          <w:szCs w:val="18"/>
        </w:rPr>
        <w:t xml:space="preserve">Banco de México / Casa de Moneda de México (Mexican Mint), Silver Libertad mintage figures and program history.</w:t>
      </w:r>
    </w:p>
    <w:p>
      <w:pPr>
        <w:spacing w:after="80" w:line="252"/>
        <w:ind w:left="360" w:hanging="360"/>
      </w:pPr>
      <w:r>
        <w:rPr>
          <w:rFonts w:ascii="Georgia" w:cs="Georgia" w:eastAsia="Georgia" w:hAnsi="Georgia"/>
          <w:b/>
          <w:bCs/>
          <w:sz w:val="18"/>
          <w:szCs w:val="18"/>
        </w:rPr>
        <w:t xml:space="preserve">80.  </w:t>
      </w:r>
      <w:r>
        <w:rPr>
          <w:rFonts w:ascii="Georgia" w:cs="Georgia" w:eastAsia="Georgia" w:hAnsi="Georgia"/>
          <w:sz w:val="18"/>
          <w:szCs w:val="18"/>
        </w:rPr>
        <w:t xml:space="preserve">APMEX / Provident Metals, Mexican Silver Libertad mintage and premium data (“Holy Trinity” keys 1997, 1998, 1999). </w:t>
      </w:r>
      <w:hyperlink w:history="1" r:id="rIdotma019qkzw72e0oovfri">
        <w:r>
          <w:rPr>
            <w:rStyle w:val="Hyperlink"/>
            <w:rFonts w:ascii="Georgia" w:cs="Georgia" w:eastAsia="Georgia" w:hAnsi="Georgia"/>
            <w:sz w:val="18"/>
            <w:szCs w:val="18"/>
          </w:rPr>
          <w:t xml:space="preserve">https://www.apmex.com/</w:t>
        </w:r>
      </w:hyperlink>
    </w:p>
    <w:p>
      <w:pPr>
        <w:spacing w:after="80" w:line="252"/>
        <w:ind w:left="360" w:hanging="360"/>
      </w:pPr>
      <w:r>
        <w:rPr>
          <w:rFonts w:ascii="Georgia" w:cs="Georgia" w:eastAsia="Georgia" w:hAnsi="Georgia"/>
          <w:b/>
          <w:bCs/>
          <w:sz w:val="18"/>
          <w:szCs w:val="18"/>
        </w:rPr>
        <w:t xml:space="preserve">81.  </w:t>
      </w:r>
      <w:r>
        <w:rPr>
          <w:rFonts w:ascii="Georgia" w:cs="Georgia" w:eastAsia="Georgia" w:hAnsi="Georgia"/>
          <w:sz w:val="18"/>
          <w:szCs w:val="18"/>
        </w:rPr>
        <w:t xml:space="preserve">FindBullionPrices, “Silver Coin Melt Value Calculator — All US Silver Coins (Updated Daily),” accessed June 19, 2026. </w:t>
      </w:r>
      <w:hyperlink w:history="1" r:id="rIdh8un0b8lxiwru57cfuoxo">
        <w:r>
          <w:rPr>
            <w:rStyle w:val="Hyperlink"/>
            <w:rFonts w:ascii="Georgia" w:cs="Georgia" w:eastAsia="Georgia" w:hAnsi="Georgia"/>
            <w:sz w:val="18"/>
            <w:szCs w:val="18"/>
          </w:rPr>
          <w:t xml:space="preserve">https://findbullionprices.com/silver-coin-melt-values</w:t>
        </w:r>
      </w:hyperlink>
    </w:p>
    <w:p>
      <w:pPr>
        <w:spacing w:after="80" w:line="252"/>
        <w:ind w:left="360" w:hanging="360"/>
      </w:pPr>
      <w:r>
        <w:rPr>
          <w:rFonts w:ascii="Georgia" w:cs="Georgia" w:eastAsia="Georgia" w:hAnsi="Georgia"/>
          <w:b/>
          <w:bCs/>
          <w:sz w:val="18"/>
          <w:szCs w:val="18"/>
        </w:rPr>
        <w:t xml:space="preserve">82.  </w:t>
      </w:r>
      <w:r>
        <w:rPr>
          <w:rFonts w:ascii="Georgia" w:cs="Georgia" w:eastAsia="Georgia" w:hAnsi="Georgia"/>
          <w:sz w:val="18"/>
          <w:szCs w:val="18"/>
        </w:rPr>
        <w:t xml:space="preserve">USA Coin Book, daily spot prices for gold, silver, and platinum, accessed June 19, 2026. </w:t>
      </w:r>
      <w:hyperlink w:history="1" r:id="rIda7unki9ensle9prd4lyuc">
        <w:r>
          <w:rPr>
            <w:rStyle w:val="Hyperlink"/>
            <w:rFonts w:ascii="Georgia" w:cs="Georgia" w:eastAsia="Georgia" w:hAnsi="Georgia"/>
            <w:sz w:val="18"/>
            <w:szCs w:val="18"/>
          </w:rPr>
          <w:t xml:space="preserve">https://www.usacoinbook.com/</w:t>
        </w:r>
      </w:hyperlink>
    </w:p>
    <w:p>
      <w:pPr>
        <w:spacing w:after="80" w:line="252"/>
        <w:ind w:left="360" w:hanging="360"/>
      </w:pPr>
      <w:r>
        <w:rPr>
          <w:rFonts w:ascii="Georgia" w:cs="Georgia" w:eastAsia="Georgia" w:hAnsi="Georgia"/>
          <w:b/>
          <w:bCs/>
          <w:sz w:val="18"/>
          <w:szCs w:val="18"/>
        </w:rPr>
        <w:t xml:space="preserve">83.  </w:t>
      </w:r>
      <w:r>
        <w:rPr>
          <w:rFonts w:ascii="Georgia" w:cs="Georgia" w:eastAsia="Georgia" w:hAnsi="Georgia"/>
          <w:sz w:val="18"/>
          <w:szCs w:val="18"/>
        </w:rPr>
        <w:t xml:space="preserve">US Gold and Coin, “Silver Melt Value Calculator — Coins &amp; Sterling,” accessed 2026. </w:t>
      </w:r>
      <w:hyperlink w:history="1" r:id="rIdtcnsxvzzjipkm8zg10oiy">
        <w:r>
          <w:rPr>
            <w:rStyle w:val="Hyperlink"/>
            <w:rFonts w:ascii="Georgia" w:cs="Georgia" w:eastAsia="Georgia" w:hAnsi="Georgia"/>
            <w:sz w:val="18"/>
            <w:szCs w:val="18"/>
          </w:rPr>
          <w:t xml:space="preserve">https://usgoldandcoin.com/tools/silver-melt-value-calculator</w:t>
        </w:r>
      </w:hyperlink>
    </w:p>
    <w:p>
      <w:pPr>
        <w:spacing w:after="80" w:line="252"/>
        <w:ind w:left="360" w:hanging="360"/>
      </w:pPr>
      <w:r>
        <w:rPr>
          <w:rFonts w:ascii="Georgia" w:cs="Georgia" w:eastAsia="Georgia" w:hAnsi="Georgia"/>
          <w:b/>
          <w:bCs/>
          <w:sz w:val="18"/>
          <w:szCs w:val="18"/>
        </w:rPr>
        <w:t xml:space="preserve">84.  </w:t>
      </w:r>
      <w:r>
        <w:rPr>
          <w:rFonts w:ascii="Georgia" w:cs="Georgia" w:eastAsia="Georgia" w:hAnsi="Georgia"/>
          <w:sz w:val="18"/>
          <w:szCs w:val="18"/>
        </w:rPr>
        <w:t xml:space="preserve">American Numismatic Association (ANA), “Online Coin Dealer Directory — Arkansas,” accessed 2026. </w:t>
      </w:r>
      <w:hyperlink w:history="1" r:id="rIdq6waefwqt7lhepk9gu5ai">
        <w:r>
          <w:rPr>
            <w:rStyle w:val="Hyperlink"/>
            <w:rFonts w:ascii="Georgia" w:cs="Georgia" w:eastAsia="Georgia" w:hAnsi="Georgia"/>
            <w:sz w:val="18"/>
            <w:szCs w:val="18"/>
          </w:rPr>
          <w:t xml:space="preserve">https://coin-dealer-directory.money.org/arkansas</w:t>
        </w:r>
      </w:hyperlink>
    </w:p>
    <w:p>
      <w:pPr>
        <w:spacing w:after="80" w:line="252"/>
        <w:ind w:left="360" w:hanging="360"/>
      </w:pPr>
      <w:r>
        <w:rPr>
          <w:rFonts w:ascii="Georgia" w:cs="Georgia" w:eastAsia="Georgia" w:hAnsi="Georgia"/>
          <w:b/>
          <w:bCs/>
          <w:sz w:val="18"/>
          <w:szCs w:val="18"/>
        </w:rPr>
        <w:t xml:space="preserve">85.  </w:t>
      </w:r>
      <w:r>
        <w:rPr>
          <w:rFonts w:ascii="Georgia" w:cs="Georgia" w:eastAsia="Georgia" w:hAnsi="Georgia"/>
          <w:sz w:val="18"/>
          <w:szCs w:val="18"/>
        </w:rPr>
        <w:t xml:space="preserve">Northwest Arkansas Coin Club, dealer directory and club information, accessed 2026. </w:t>
      </w:r>
      <w:hyperlink w:history="1" r:id="rIdssp4tudm-yly_egiw9j8y">
        <w:r>
          <w:rPr>
            <w:rStyle w:val="Hyperlink"/>
            <w:rFonts w:ascii="Georgia" w:cs="Georgia" w:eastAsia="Georgia" w:hAnsi="Georgia"/>
            <w:sz w:val="18"/>
            <w:szCs w:val="18"/>
          </w:rPr>
          <w:t xml:space="preserve">https://www.nwacoinclub.com/</w:t>
        </w:r>
      </w:hyperlink>
    </w:p>
    <w:p>
      <w:pPr>
        <w:spacing w:after="80" w:line="252"/>
        <w:ind w:left="360" w:hanging="360"/>
      </w:pPr>
      <w:r>
        <w:rPr>
          <w:rFonts w:ascii="Georgia" w:cs="Georgia" w:eastAsia="Georgia" w:hAnsi="Georgia"/>
          <w:b/>
          <w:bCs/>
          <w:sz w:val="18"/>
          <w:szCs w:val="18"/>
        </w:rPr>
        <w:t xml:space="preserve">86.  </w:t>
      </w:r>
      <w:r>
        <w:rPr>
          <w:rFonts w:ascii="Georgia" w:cs="Georgia" w:eastAsia="Georgia" w:hAnsi="Georgia"/>
          <w:sz w:val="18"/>
          <w:szCs w:val="18"/>
        </w:rPr>
        <w:t xml:space="preserve">Coin &amp; Currency NWA, business listing (Northwest Arkansas), accessed 2026. </w:t>
      </w:r>
      <w:hyperlink w:history="1" r:id="rId6d-klh6jeaiptb1ea5ltx">
        <w:r>
          <w:rPr>
            <w:rStyle w:val="Hyperlink"/>
            <w:rFonts w:ascii="Georgia" w:cs="Georgia" w:eastAsia="Georgia" w:hAnsi="Georgia"/>
            <w:sz w:val="18"/>
            <w:szCs w:val="18"/>
          </w:rPr>
          <w:t xml:space="preserve">https://coinandcurrencynwa.com/</w:t>
        </w:r>
      </w:hyperlink>
    </w:p>
    <w:p>
      <w:pPr>
        <w:spacing w:after="80" w:line="252"/>
        <w:ind w:left="360" w:hanging="360"/>
      </w:pPr>
      <w:r>
        <w:rPr>
          <w:rFonts w:ascii="Georgia" w:cs="Georgia" w:eastAsia="Georgia" w:hAnsi="Georgia"/>
          <w:b/>
          <w:bCs/>
          <w:sz w:val="18"/>
          <w:szCs w:val="18"/>
        </w:rPr>
        <w:t xml:space="preserve">87.  </w:t>
      </w:r>
      <w:r>
        <w:rPr>
          <w:rFonts w:ascii="Georgia" w:cs="Georgia" w:eastAsia="Georgia" w:hAnsi="Georgia"/>
          <w:sz w:val="18"/>
          <w:szCs w:val="18"/>
        </w:rPr>
        <w:t xml:space="preserve">Bentonville Gold Silver &amp; Coins, business listing (3500 SW Regional Airport Blvd, Suite A, Bentonville, AR), accessed 2026.</w:t>
      </w:r>
    </w:p>
    <w:p>
      <w:pPr>
        <w:spacing w:after="80" w:line="252"/>
        <w:ind w:left="360" w:hanging="360"/>
      </w:pPr>
      <w:r>
        <w:rPr>
          <w:rFonts w:ascii="Georgia" w:cs="Georgia" w:eastAsia="Georgia" w:hAnsi="Georgia"/>
          <w:b/>
          <w:bCs/>
          <w:sz w:val="18"/>
          <w:szCs w:val="18"/>
        </w:rPr>
        <w:t xml:space="preserve">88.  </w:t>
      </w:r>
      <w:r>
        <w:rPr>
          <w:rFonts w:ascii="Georgia" w:cs="Georgia" w:eastAsia="Georgia" w:hAnsi="Georgia"/>
          <w:sz w:val="18"/>
          <w:szCs w:val="18"/>
        </w:rPr>
        <w:t xml:space="preserve">Professional Numismatists Guild (PNG), member dealer directory and code of ethics. </w:t>
      </w:r>
      <w:hyperlink w:history="1" r:id="rIdk6qt7mo3ekhi-imxmk2va">
        <w:r>
          <w:rPr>
            <w:rStyle w:val="Hyperlink"/>
            <w:rFonts w:ascii="Georgia" w:cs="Georgia" w:eastAsia="Georgia" w:hAnsi="Georgia"/>
            <w:sz w:val="18"/>
            <w:szCs w:val="18"/>
          </w:rPr>
          <w:t xml:space="preserve">https://www.pngdealers.org/</w:t>
        </w:r>
      </w:hyperlink>
    </w:p>
    <w:p>
      <w:pPr>
        <w:spacing w:after="80" w:line="252"/>
        <w:ind w:left="360" w:hanging="360"/>
      </w:pPr>
      <w:r>
        <w:rPr>
          <w:rFonts w:ascii="Georgia" w:cs="Georgia" w:eastAsia="Georgia" w:hAnsi="Georgia"/>
          <w:b/>
          <w:bCs/>
          <w:sz w:val="18"/>
          <w:szCs w:val="18"/>
        </w:rPr>
        <w:t xml:space="preserve">89.  </w:t>
      </w:r>
      <w:r>
        <w:rPr>
          <w:rFonts w:ascii="Georgia" w:cs="Georgia" w:eastAsia="Georgia" w:hAnsi="Georgia"/>
          <w:sz w:val="18"/>
          <w:szCs w:val="18"/>
        </w:rPr>
        <w:t xml:space="preserve">Heritage Auctions, corporate information and 2026 buyer’s premium schedule (22% for U.S. coins effective January 1, 2026). </w:t>
      </w:r>
      <w:hyperlink w:history="1" r:id="rIdecfzlqne05nzrefzwyqfq">
        <w:r>
          <w:rPr>
            <w:rStyle w:val="Hyperlink"/>
            <w:rFonts w:ascii="Georgia" w:cs="Georgia" w:eastAsia="Georgia" w:hAnsi="Georgia"/>
            <w:sz w:val="18"/>
            <w:szCs w:val="18"/>
          </w:rPr>
          <w:t xml:space="preserve">https://www.ha.com/</w:t>
        </w:r>
      </w:hyperlink>
    </w:p>
    <w:p>
      <w:pPr>
        <w:spacing w:after="80" w:line="252"/>
        <w:ind w:left="360" w:hanging="360"/>
      </w:pPr>
      <w:r>
        <w:rPr>
          <w:rFonts w:ascii="Georgia" w:cs="Georgia" w:eastAsia="Georgia" w:hAnsi="Georgia"/>
          <w:b/>
          <w:bCs/>
          <w:sz w:val="18"/>
          <w:szCs w:val="18"/>
        </w:rPr>
        <w:t xml:space="preserve">90.  </w:t>
      </w:r>
      <w:r>
        <w:rPr>
          <w:rFonts w:ascii="Georgia" w:cs="Georgia" w:eastAsia="Georgia" w:hAnsi="Georgia"/>
          <w:sz w:val="18"/>
          <w:szCs w:val="18"/>
        </w:rPr>
        <w:t xml:space="preserve">Collectors Universe forums, “Heritage Buyer’s Premium going to 20%” and “Heritage BP increasing to 22% 1/1/26 for US coins.” </w:t>
      </w:r>
      <w:hyperlink w:history="1" r:id="rId7qhrclz9blvlha3rstl1_">
        <w:r>
          <w:rPr>
            <w:rStyle w:val="Hyperlink"/>
            <w:rFonts w:ascii="Georgia" w:cs="Georgia" w:eastAsia="Georgia" w:hAnsi="Georgia"/>
            <w:sz w:val="18"/>
            <w:szCs w:val="18"/>
          </w:rPr>
          <w:t xml:space="preserve">https://forums.collectors.com/discussion/1119001/heritage-bp-increasing-to-22-1-1-26-for-us-coins</w:t>
        </w:r>
      </w:hyperlink>
    </w:p>
    <w:p>
      <w:pPr>
        <w:spacing w:after="80" w:line="252"/>
        <w:ind w:left="360" w:hanging="360"/>
      </w:pPr>
      <w:r>
        <w:rPr>
          <w:rFonts w:ascii="Georgia" w:cs="Georgia" w:eastAsia="Georgia" w:hAnsi="Georgia"/>
          <w:b/>
          <w:bCs/>
          <w:sz w:val="18"/>
          <w:szCs w:val="18"/>
        </w:rPr>
        <w:t xml:space="preserve">91.  </w:t>
      </w:r>
      <w:r>
        <w:rPr>
          <w:rFonts w:ascii="Georgia" w:cs="Georgia" w:eastAsia="Georgia" w:hAnsi="Georgia"/>
          <w:sz w:val="18"/>
          <w:szCs w:val="18"/>
        </w:rPr>
        <w:t xml:space="preserve">US Coin Shows, “Coin Auction Houses: Heritage, Stack’s Bowers,” accessed 2026. </w:t>
      </w:r>
      <w:hyperlink w:history="1" r:id="rIdc52mdjemii7zirxczirnd">
        <w:r>
          <w:rPr>
            <w:rStyle w:val="Hyperlink"/>
            <w:rFonts w:ascii="Georgia" w:cs="Georgia" w:eastAsia="Georgia" w:hAnsi="Georgia"/>
            <w:sz w:val="18"/>
            <w:szCs w:val="18"/>
          </w:rPr>
          <w:t xml:space="preserve">https://www.uscoinshows.com/learn/selling-coins/coin-auction-houses</w:t>
        </w:r>
      </w:hyperlink>
    </w:p>
    <w:p>
      <w:pPr>
        <w:spacing w:after="80" w:line="252"/>
        <w:ind w:left="360" w:hanging="360"/>
      </w:pPr>
      <w:r>
        <w:rPr>
          <w:rFonts w:ascii="Georgia" w:cs="Georgia" w:eastAsia="Georgia" w:hAnsi="Georgia"/>
          <w:b/>
          <w:bCs/>
          <w:sz w:val="18"/>
          <w:szCs w:val="18"/>
        </w:rPr>
        <w:t xml:space="preserve">92.  </w:t>
      </w:r>
      <w:r>
        <w:rPr>
          <w:rFonts w:ascii="Georgia" w:cs="Georgia" w:eastAsia="Georgia" w:hAnsi="Georgia"/>
          <w:sz w:val="18"/>
          <w:szCs w:val="18"/>
        </w:rPr>
        <w:t xml:space="preserve">Collectors Coin Corner, “Comparing Heritage and Stack’s Bowers Auction House Fees,” accessed 2026. </w:t>
      </w:r>
      <w:hyperlink w:history="1" r:id="rIdiyrwbtkrr6hx6txledzvy">
        <w:r>
          <w:rPr>
            <w:rStyle w:val="Hyperlink"/>
            <w:rFonts w:ascii="Georgia" w:cs="Georgia" w:eastAsia="Georgia" w:hAnsi="Georgia"/>
            <w:sz w:val="18"/>
            <w:szCs w:val="18"/>
          </w:rPr>
          <w:t xml:space="preserve">https://collectorscoincorner.com/auction-buying/</w:t>
        </w:r>
      </w:hyperlink>
    </w:p>
    <w:p>
      <w:pPr>
        <w:spacing w:after="80" w:line="252"/>
        <w:ind w:left="360" w:hanging="360"/>
      </w:pPr>
      <w:r>
        <w:rPr>
          <w:rFonts w:ascii="Georgia" w:cs="Georgia" w:eastAsia="Georgia" w:hAnsi="Georgia"/>
          <w:b/>
          <w:bCs/>
          <w:sz w:val="18"/>
          <w:szCs w:val="18"/>
        </w:rPr>
        <w:t xml:space="preserve">93.  </w:t>
      </w:r>
      <w:r>
        <w:rPr>
          <w:rFonts w:ascii="Georgia" w:cs="Georgia" w:eastAsia="Georgia" w:hAnsi="Georgia"/>
          <w:sz w:val="18"/>
          <w:szCs w:val="18"/>
        </w:rPr>
        <w:t xml:space="preserve">GreatCollections Coin Auctions, seller-commission and buyer-fee structure (zero seller’s commission; ≈10% buyer fee). </w:t>
      </w:r>
      <w:hyperlink w:history="1" r:id="rIdrkbpu4vecinllh25nj8tk">
        <w:r>
          <w:rPr>
            <w:rStyle w:val="Hyperlink"/>
            <w:rFonts w:ascii="Georgia" w:cs="Georgia" w:eastAsia="Georgia" w:hAnsi="Georgia"/>
            <w:sz w:val="18"/>
            <w:szCs w:val="18"/>
          </w:rPr>
          <w:t xml:space="preserve">https://www.greatcollections.com/</w:t>
        </w:r>
      </w:hyperlink>
    </w:p>
    <w:p>
      <w:pPr>
        <w:spacing w:after="80" w:line="252"/>
        <w:ind w:left="360" w:hanging="360"/>
      </w:pPr>
      <w:r>
        <w:rPr>
          <w:rFonts w:ascii="Georgia" w:cs="Georgia" w:eastAsia="Georgia" w:hAnsi="Georgia"/>
          <w:b/>
          <w:bCs/>
          <w:sz w:val="18"/>
          <w:szCs w:val="18"/>
        </w:rPr>
        <w:t xml:space="preserve">94.  </w:t>
      </w:r>
      <w:r>
        <w:rPr>
          <w:rFonts w:ascii="Georgia" w:cs="Georgia" w:eastAsia="Georgia" w:hAnsi="Georgia"/>
          <w:sz w:val="18"/>
          <w:szCs w:val="18"/>
        </w:rPr>
        <w:t xml:space="preserve">Stack’s Bowers Galleries, auction terms and buyer’s premium schedule. </w:t>
      </w:r>
      <w:hyperlink w:history="1" r:id="rId_ytjhhwuyrgebuiteo1bu">
        <w:r>
          <w:rPr>
            <w:rStyle w:val="Hyperlink"/>
            <w:rFonts w:ascii="Georgia" w:cs="Georgia" w:eastAsia="Georgia" w:hAnsi="Georgia"/>
            <w:sz w:val="18"/>
            <w:szCs w:val="18"/>
          </w:rPr>
          <w:t xml:space="preserve">https://www.stacksbowers.com/</w:t>
        </w:r>
      </w:hyperlink>
    </w:p>
    <w:p>
      <w:pPr>
        <w:spacing w:after="80" w:line="252"/>
        <w:ind w:left="360" w:hanging="360"/>
      </w:pPr>
      <w:r>
        <w:rPr>
          <w:rFonts w:ascii="Georgia" w:cs="Georgia" w:eastAsia="Georgia" w:hAnsi="Georgia"/>
          <w:b/>
          <w:bCs/>
          <w:sz w:val="18"/>
          <w:szCs w:val="18"/>
        </w:rPr>
        <w:t xml:space="preserve">95.  </w:t>
      </w:r>
      <w:r>
        <w:rPr>
          <w:rFonts w:ascii="Georgia" w:cs="Georgia" w:eastAsia="Georgia" w:hAnsi="Georgia"/>
          <w:sz w:val="18"/>
          <w:szCs w:val="18"/>
        </w:rPr>
        <w:t xml:space="preserve">David Lawrence Rare Coins, dealer and auction information. </w:t>
      </w:r>
      <w:hyperlink w:history="1" r:id="rIdziznhflcyktpa4p0e8yv8">
        <w:r>
          <w:rPr>
            <w:rStyle w:val="Hyperlink"/>
            <w:rFonts w:ascii="Georgia" w:cs="Georgia" w:eastAsia="Georgia" w:hAnsi="Georgia"/>
            <w:sz w:val="18"/>
            <w:szCs w:val="18"/>
          </w:rPr>
          <w:t xml:space="preserve">https://www.davidlawrence.com/</w:t>
        </w:r>
      </w:hyperlink>
    </w:p>
    <w:p>
      <w:pPr>
        <w:spacing w:after="80" w:line="252"/>
        <w:ind w:left="360" w:hanging="360"/>
      </w:pPr>
      <w:r>
        <w:rPr>
          <w:rFonts w:ascii="Georgia" w:cs="Georgia" w:eastAsia="Georgia" w:hAnsi="Georgia"/>
          <w:b/>
          <w:bCs/>
          <w:sz w:val="18"/>
          <w:szCs w:val="18"/>
        </w:rPr>
        <w:t xml:space="preserve">96.  </w:t>
      </w:r>
      <w:r>
        <w:rPr>
          <w:rFonts w:ascii="Georgia" w:cs="Georgia" w:eastAsia="Georgia" w:hAnsi="Georgia"/>
          <w:sz w:val="18"/>
          <w:szCs w:val="18"/>
        </w:rPr>
        <w:t xml:space="preserve">Greysheet / CDN Publishing, Coin Dealer Newsletter wholesale (bid/ask) pricing. </w:t>
      </w:r>
      <w:hyperlink w:history="1" r:id="rIdsfufirwjkewauoy5tdckx">
        <w:r>
          <w:rPr>
            <w:rStyle w:val="Hyperlink"/>
            <w:rFonts w:ascii="Georgia" w:cs="Georgia" w:eastAsia="Georgia" w:hAnsi="Georgia"/>
            <w:sz w:val="18"/>
            <w:szCs w:val="18"/>
          </w:rPr>
          <w:t xml:space="preserve">https://www.greysheet.com/</w:t>
        </w:r>
      </w:hyperlink>
    </w:p>
    <w:p>
      <w:pPr>
        <w:spacing w:after="80" w:line="252"/>
        <w:ind w:left="360" w:hanging="360"/>
      </w:pPr>
      <w:r>
        <w:rPr>
          <w:rFonts w:ascii="Georgia" w:cs="Georgia" w:eastAsia="Georgia" w:hAnsi="Georgia"/>
          <w:b/>
          <w:bCs/>
          <w:sz w:val="18"/>
          <w:szCs w:val="18"/>
        </w:rPr>
        <w:t xml:space="preserve">97.  </w:t>
      </w:r>
      <w:r>
        <w:rPr>
          <w:rFonts w:ascii="Georgia" w:cs="Georgia" w:eastAsia="Georgia" w:hAnsi="Georgia"/>
          <w:sz w:val="18"/>
          <w:szCs w:val="18"/>
        </w:rPr>
        <w:t xml:space="preserve">eBay, completed/sold-listing search methodology for coin price discovery, accessed 2026. </w:t>
      </w:r>
      <w:hyperlink w:history="1" r:id="rIdlxtkipd8ordn1-t5rc3qm">
        <w:r>
          <w:rPr>
            <w:rStyle w:val="Hyperlink"/>
            <w:rFonts w:ascii="Georgia" w:cs="Georgia" w:eastAsia="Georgia" w:hAnsi="Georgia"/>
            <w:sz w:val="18"/>
            <w:szCs w:val="18"/>
          </w:rPr>
          <w:t xml:space="preserve">https://www.ebay.com/</w:t>
        </w:r>
      </w:hyperlink>
    </w:p>
    <w:p>
      <w:pPr>
        <w:spacing w:after="80" w:line="252"/>
        <w:ind w:left="360" w:hanging="360"/>
      </w:pPr>
      <w:r>
        <w:rPr>
          <w:rFonts w:ascii="Georgia" w:cs="Georgia" w:eastAsia="Georgia" w:hAnsi="Georgia"/>
          <w:b/>
          <w:bCs/>
          <w:sz w:val="18"/>
          <w:szCs w:val="18"/>
        </w:rPr>
        <w:t xml:space="preserve">98.  </w:t>
      </w:r>
      <w:r>
        <w:rPr>
          <w:rFonts w:ascii="Georgia" w:cs="Georgia" w:eastAsia="Georgia" w:hAnsi="Georgia"/>
          <w:sz w:val="18"/>
          <w:szCs w:val="18"/>
        </w:rPr>
        <w:t xml:space="preserve">The Coin Authority, “Dansco Albums,” product catalog, accessed 2026. </w:t>
      </w:r>
      <w:hyperlink w:history="1" r:id="rId81pk1qr6vwyj23_zx0mmq">
        <w:r>
          <w:rPr>
            <w:rStyle w:val="Hyperlink"/>
            <w:rFonts w:ascii="Georgia" w:cs="Georgia" w:eastAsia="Georgia" w:hAnsi="Georgia"/>
            <w:sz w:val="18"/>
            <w:szCs w:val="18"/>
          </w:rPr>
          <w:t xml:space="preserve">https://www.thecoinauthority.com/danscoreg-albums-c-119_144_170/</w:t>
        </w:r>
      </w:hyperlink>
    </w:p>
    <w:p>
      <w:pPr>
        <w:spacing w:after="80" w:line="252"/>
        <w:ind w:left="360" w:hanging="360"/>
      </w:pPr>
      <w:r>
        <w:rPr>
          <w:rFonts w:ascii="Georgia" w:cs="Georgia" w:eastAsia="Georgia" w:hAnsi="Georgia"/>
          <w:b/>
          <w:bCs/>
          <w:sz w:val="18"/>
          <w:szCs w:val="18"/>
        </w:rPr>
        <w:t xml:space="preserve">99.  </w:t>
      </w:r>
      <w:r>
        <w:rPr>
          <w:rFonts w:ascii="Georgia" w:cs="Georgia" w:eastAsia="Georgia" w:hAnsi="Georgia"/>
          <w:sz w:val="18"/>
          <w:szCs w:val="18"/>
        </w:rPr>
        <w:t xml:space="preserve">Dansco Album Store, “Cent Dansco Albums — Large Cents, Indian Heads, Lincolns,” accessed 2026. </w:t>
      </w:r>
      <w:hyperlink w:history="1" r:id="rIdlplpmgclfrk7nbygok_bo">
        <w:r>
          <w:rPr>
            <w:rStyle w:val="Hyperlink"/>
            <w:rFonts w:ascii="Georgia" w:cs="Georgia" w:eastAsia="Georgia" w:hAnsi="Georgia"/>
            <w:sz w:val="18"/>
            <w:szCs w:val="18"/>
          </w:rPr>
          <w:t xml:space="preserve">https://www.danscoalbumstore.com/dansco-albums-cents-c-63_102.html</w:t>
        </w:r>
      </w:hyperlink>
    </w:p>
    <w:p>
      <w:pPr>
        <w:spacing w:after="80" w:line="252"/>
        <w:ind w:left="360" w:hanging="360"/>
      </w:pPr>
      <w:r>
        <w:rPr>
          <w:rFonts w:ascii="Georgia" w:cs="Georgia" w:eastAsia="Georgia" w:hAnsi="Georgia"/>
          <w:b/>
          <w:bCs/>
          <w:sz w:val="18"/>
          <w:szCs w:val="18"/>
        </w:rPr>
        <w:t xml:space="preserve">100.  </w:t>
      </w:r>
      <w:r>
        <w:rPr>
          <w:rFonts w:ascii="Georgia" w:cs="Georgia" w:eastAsia="Georgia" w:hAnsi="Georgia"/>
          <w:sz w:val="18"/>
          <w:szCs w:val="18"/>
        </w:rPr>
        <w:t xml:space="preserve">R. S. Yeoman and Jeff Garrett (ed.), A Guide Book of United States Coins 2026 (“The Official Red Book”), 79th edition, Whitman Publishing, 2025.</w:t>
      </w:r>
    </w:p>
    <w:p>
      <w:pPr>
        <w:spacing w:after="80" w:line="252"/>
        <w:ind w:left="360" w:hanging="360"/>
      </w:pPr>
      <w:r>
        <w:rPr>
          <w:rFonts w:ascii="Georgia" w:cs="Georgia" w:eastAsia="Georgia" w:hAnsi="Georgia"/>
          <w:b/>
          <w:bCs/>
          <w:sz w:val="18"/>
          <w:szCs w:val="18"/>
        </w:rPr>
        <w:t xml:space="preserve">101.  </w:t>
      </w:r>
      <w:r>
        <w:rPr>
          <w:rFonts w:ascii="Georgia" w:cs="Georgia" w:eastAsia="Georgia" w:hAnsi="Georgia"/>
          <w:sz w:val="18"/>
          <w:szCs w:val="18"/>
        </w:rPr>
        <w:t xml:space="preserve">Arkansas Senate Bill 336 / Act (sales- and use-tax exemption for coins, currency, and bullion; effective October 1, 2021), codified at Ark. Code Ann. § 26-52-454.</w:t>
      </w:r>
    </w:p>
    <w:p>
      <w:pPr>
        <w:spacing w:after="80" w:line="252"/>
        <w:ind w:left="360" w:hanging="360"/>
      </w:pPr>
      <w:r>
        <w:rPr>
          <w:rFonts w:ascii="Georgia" w:cs="Georgia" w:eastAsia="Georgia" w:hAnsi="Georgia"/>
          <w:b/>
          <w:bCs/>
          <w:sz w:val="18"/>
          <w:szCs w:val="18"/>
        </w:rPr>
        <w:t xml:space="preserve">102.  </w:t>
      </w:r>
      <w:r>
        <w:rPr>
          <w:rFonts w:ascii="Georgia" w:cs="Georgia" w:eastAsia="Georgia" w:hAnsi="Georgia"/>
          <w:sz w:val="18"/>
          <w:szCs w:val="18"/>
        </w:rPr>
        <w:t xml:space="preserve">Arkansas House Bill 1718 (2023), eliminating state capital-gains tax on the sale or exchange of precious-metal bullion.</w:t>
      </w:r>
    </w:p>
    <w:p>
      <w:pPr>
        <w:spacing w:after="80" w:line="252"/>
        <w:ind w:left="360" w:hanging="360"/>
      </w:pPr>
      <w:r>
        <w:rPr>
          <w:rFonts w:ascii="Georgia" w:cs="Georgia" w:eastAsia="Georgia" w:hAnsi="Georgia"/>
          <w:b/>
          <w:bCs/>
          <w:sz w:val="18"/>
          <w:szCs w:val="18"/>
        </w:rPr>
        <w:t xml:space="preserve">103.  </w:t>
      </w:r>
      <w:r>
        <w:rPr>
          <w:rFonts w:ascii="Georgia" w:cs="Georgia" w:eastAsia="Georgia" w:hAnsi="Georgia"/>
          <w:sz w:val="18"/>
          <w:szCs w:val="18"/>
        </w:rPr>
        <w:t xml:space="preserve">Sound Money Defense League, “Sound Money Index” (state rankings on monetary metals policy; Arkansas ranked #5), 2025–2026. </w:t>
      </w:r>
      <w:hyperlink w:history="1" r:id="rIda708gbqxqlzae37zjxjh1">
        <w:r>
          <w:rPr>
            <w:rStyle w:val="Hyperlink"/>
            <w:rFonts w:ascii="Georgia" w:cs="Georgia" w:eastAsia="Georgia" w:hAnsi="Georgia"/>
            <w:sz w:val="18"/>
            <w:szCs w:val="18"/>
          </w:rPr>
          <w:t xml:space="preserve">https://www.soundmoneydefense.org/sound-money-index</w:t>
        </w:r>
      </w:hyperlink>
    </w:p>
    <w:p>
      <w:pPr>
        <w:spacing w:after="80" w:line="252"/>
        <w:ind w:left="360" w:hanging="360"/>
      </w:pPr>
      <w:r>
        <w:rPr>
          <w:rFonts w:ascii="Georgia" w:cs="Georgia" w:eastAsia="Georgia" w:hAnsi="Georgia"/>
          <w:b/>
          <w:bCs/>
          <w:sz w:val="18"/>
          <w:szCs w:val="18"/>
        </w:rPr>
        <w:t xml:space="preserve">104.  </w:t>
      </w:r>
      <w:r>
        <w:rPr>
          <w:rFonts w:ascii="Georgia" w:cs="Georgia" w:eastAsia="Georgia" w:hAnsi="Georgia"/>
          <w:sz w:val="18"/>
          <w:szCs w:val="18"/>
        </w:rPr>
        <w:t xml:space="preserve">Internal Revenue Service, Topic No. 409 — Capital Gains and Losses (28% maximum rate on collectibles, including coins). </w:t>
      </w:r>
      <w:hyperlink w:history="1" r:id="rIdiv3gr34nqfjrfuktrvwco">
        <w:r>
          <w:rPr>
            <w:rStyle w:val="Hyperlink"/>
            <w:rFonts w:ascii="Georgia" w:cs="Georgia" w:eastAsia="Georgia" w:hAnsi="Georgia"/>
            <w:sz w:val="18"/>
            <w:szCs w:val="18"/>
          </w:rPr>
          <w:t xml:space="preserve">https://www.irs.gov/taxtopics/tc409</w:t>
        </w:r>
      </w:hyperlink>
    </w:p>
    <w:p>
      <w:pPr>
        <w:spacing w:after="80" w:line="252"/>
        <w:ind w:left="360" w:hanging="360"/>
      </w:pPr>
      <w:r>
        <w:rPr>
          <w:rFonts w:ascii="Georgia" w:cs="Georgia" w:eastAsia="Georgia" w:hAnsi="Georgia"/>
          <w:b/>
          <w:bCs/>
          <w:sz w:val="18"/>
          <w:szCs w:val="18"/>
        </w:rPr>
        <w:t xml:space="preserve">105.  </w:t>
      </w:r>
      <w:r>
        <w:rPr>
          <w:rFonts w:ascii="Georgia" w:cs="Georgia" w:eastAsia="Georgia" w:hAnsi="Georgia"/>
          <w:sz w:val="18"/>
          <w:szCs w:val="18"/>
        </w:rPr>
        <w:t xml:space="preserve">Collectibles Insurance Services (CIS) / Hugh Wood Inc., collectibles and numismatic insurance coverage. </w:t>
      </w:r>
      <w:hyperlink w:history="1" r:id="rIdtlm0c0wzddnfyscuh9k3i">
        <w:r>
          <w:rPr>
            <w:rStyle w:val="Hyperlink"/>
            <w:rFonts w:ascii="Georgia" w:cs="Georgia" w:eastAsia="Georgia" w:hAnsi="Georgia"/>
            <w:sz w:val="18"/>
            <w:szCs w:val="18"/>
          </w:rPr>
          <w:t xml:space="preserve">https://www.collectinsure.com/</w:t>
        </w:r>
      </w:hyperlink>
    </w:p>
    <w:p>
      <w:pPr>
        <w:spacing w:after="80" w:line="252"/>
        <w:ind w:left="360" w:hanging="360"/>
      </w:pPr>
      <w:r>
        <w:rPr>
          <w:rFonts w:ascii="Georgia" w:cs="Georgia" w:eastAsia="Georgia" w:hAnsi="Georgia"/>
          <w:b/>
          <w:bCs/>
          <w:sz w:val="18"/>
          <w:szCs w:val="18"/>
        </w:rPr>
        <w:t xml:space="preserve">106.  </w:t>
      </w:r>
      <w:r>
        <w:rPr>
          <w:rFonts w:ascii="Georgia" w:cs="Georgia" w:eastAsia="Georgia" w:hAnsi="Georgia"/>
          <w:sz w:val="18"/>
          <w:szCs w:val="18"/>
        </w:rPr>
        <w:t xml:space="preserve">PCGS, “Counterfeit Detection” resources and most-commonly-counterfeited U.S. coins. </w:t>
      </w:r>
      <w:hyperlink w:history="1" r:id="rIddxpihctlmfe0nihw7yieb">
        <w:r>
          <w:rPr>
            <w:rStyle w:val="Hyperlink"/>
            <w:rFonts w:ascii="Georgia" w:cs="Georgia" w:eastAsia="Georgia" w:hAnsi="Georgia"/>
            <w:sz w:val="18"/>
            <w:szCs w:val="18"/>
          </w:rPr>
          <w:t xml:space="preserve">https://www.pcgs.com/counterfeitdetection</w:t>
        </w:r>
      </w:hyperlink>
    </w:p>
    <w:p>
      <w:pPr>
        <w:spacing w:after="80" w:line="252"/>
        <w:ind w:left="360" w:hanging="360"/>
      </w:pPr>
      <w:r>
        <w:rPr>
          <w:rFonts w:ascii="Georgia" w:cs="Georgia" w:eastAsia="Georgia" w:hAnsi="Georgia"/>
          <w:b/>
          <w:bCs/>
          <w:sz w:val="18"/>
          <w:szCs w:val="18"/>
        </w:rPr>
        <w:t xml:space="preserve">107.  </w:t>
      </w:r>
      <w:r>
        <w:rPr>
          <w:rFonts w:ascii="Georgia" w:cs="Georgia" w:eastAsia="Georgia" w:hAnsi="Georgia"/>
          <w:sz w:val="18"/>
          <w:szCs w:val="18"/>
        </w:rPr>
        <w:t xml:space="preserve">Numismatic News (Active Interest Media), market commentary and price-guide reporting. </w:t>
      </w:r>
      <w:hyperlink w:history="1" r:id="rIdxux2kupizcwmf1yef5oni">
        <w:r>
          <w:rPr>
            <w:rStyle w:val="Hyperlink"/>
            <w:rFonts w:ascii="Georgia" w:cs="Georgia" w:eastAsia="Georgia" w:hAnsi="Georgia"/>
            <w:sz w:val="18"/>
            <w:szCs w:val="18"/>
          </w:rPr>
          <w:t xml:space="preserve">https://www.numismaticnews.net/</w:t>
        </w:r>
      </w:hyperlink>
    </w:p>
    <w:p>
      <w:pPr>
        <w:spacing w:after="80" w:line="252"/>
        <w:ind w:left="360" w:hanging="360"/>
      </w:pPr>
      <w:r>
        <w:rPr>
          <w:rFonts w:ascii="Georgia" w:cs="Georgia" w:eastAsia="Georgia" w:hAnsi="Georgia"/>
          <w:b/>
          <w:bCs/>
          <w:sz w:val="18"/>
          <w:szCs w:val="18"/>
        </w:rPr>
        <w:t xml:space="preserve">108.  </w:t>
      </w:r>
      <w:r>
        <w:rPr>
          <w:rFonts w:ascii="Georgia" w:cs="Georgia" w:eastAsia="Georgia" w:hAnsi="Georgia"/>
          <w:sz w:val="18"/>
          <w:szCs w:val="18"/>
        </w:rPr>
        <w:t xml:space="preserve">CoinWeek, numismatic news, market analysis, and auction reporting. </w:t>
      </w:r>
      <w:hyperlink w:history="1" r:id="rIdgpgs2drtbymxoeug9enu8">
        <w:r>
          <w:rPr>
            <w:rStyle w:val="Hyperlink"/>
            <w:rFonts w:ascii="Georgia" w:cs="Georgia" w:eastAsia="Georgia" w:hAnsi="Georgia"/>
            <w:sz w:val="18"/>
            <w:szCs w:val="18"/>
          </w:rPr>
          <w:t xml:space="preserve">https://coinweek.com/</w:t>
        </w:r>
      </w:hyperlink>
    </w:p>
    <w:p>
      <w:pPr>
        <w:spacing w:after="80" w:line="252"/>
        <w:ind w:left="360" w:hanging="360"/>
      </w:pPr>
      <w:r>
        <w:rPr>
          <w:rFonts w:ascii="Georgia" w:cs="Georgia" w:eastAsia="Georgia" w:hAnsi="Georgia"/>
          <w:b/>
          <w:bCs/>
          <w:sz w:val="18"/>
          <w:szCs w:val="18"/>
        </w:rPr>
        <w:t xml:space="preserve">109.  </w:t>
      </w:r>
      <w:r>
        <w:rPr>
          <w:rFonts w:ascii="Georgia" w:cs="Georgia" w:eastAsia="Georgia" w:hAnsi="Georgia"/>
          <w:sz w:val="18"/>
          <w:szCs w:val="18"/>
        </w:rPr>
        <w:t xml:space="preserve">United States Mint, history and specifications of the Lincoln cent, including the 2009 Bicentennial reverses and the 2010+ Union Shield reverse. </w:t>
      </w:r>
      <w:hyperlink w:history="1" r:id="rIdtoyxhdf-0og8o2tudlmrr">
        <w:r>
          <w:rPr>
            <w:rStyle w:val="Hyperlink"/>
            <w:rFonts w:ascii="Georgia" w:cs="Georgia" w:eastAsia="Georgia" w:hAnsi="Georgia"/>
            <w:sz w:val="18"/>
            <w:szCs w:val="18"/>
          </w:rPr>
          <w:t xml:space="preserve">https://www.usmint.gov/learn/coin-and-medal-programs/circulating-coins/penny</w:t>
        </w:r>
      </w:hyperlink>
    </w:p>
    <w:p>
      <w:pPr>
        <w:spacing w:after="80" w:line="252"/>
        <w:ind w:left="360" w:hanging="360"/>
      </w:pPr>
      <w:r>
        <w:rPr>
          <w:rFonts w:ascii="Georgia" w:cs="Georgia" w:eastAsia="Georgia" w:hAnsi="Georgia"/>
          <w:b/>
          <w:bCs/>
          <w:sz w:val="18"/>
          <w:szCs w:val="18"/>
        </w:rPr>
        <w:t xml:space="preserve">110.  </w:t>
      </w:r>
      <w:r>
        <w:rPr>
          <w:rFonts w:ascii="Georgia" w:cs="Georgia" w:eastAsia="Georgia" w:hAnsi="Georgia"/>
          <w:sz w:val="18"/>
          <w:szCs w:val="18"/>
        </w:rPr>
        <w:t xml:space="preserve">United States Mint, composition history of the cent (95% copper pre-1982; copper-plated zinc 1982–present) and the 1943 zinc-coated steel / 1943 bronze and 1944 steel transitional errors. </w:t>
      </w:r>
      <w:hyperlink w:history="1" r:id="rIdhzivivpvwz2_kdzbktq6d">
        <w:r>
          <w:rPr>
            <w:rStyle w:val="Hyperlink"/>
            <w:rFonts w:ascii="Georgia" w:cs="Georgia" w:eastAsia="Georgia" w:hAnsi="Georgia"/>
            <w:sz w:val="18"/>
            <w:szCs w:val="18"/>
          </w:rPr>
          <w:t xml:space="preserve">https://www.usmint.gov/</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United States Mint, “United States Mint Hosts Historic Ceremonial Strike for Final Production of the Circulating One-Cent Coin,” Press Release, November 12, 2025. https://www.usmint.gov/news/press-releases/united-states-mint-hosts-historic-ceremonial-strike-for-final-production-of-the-circulating-one-cent-coin</w:t>
      </w:r>
    </w:p>
  </w:footnote>
  <w:footnote w:id="2">
    <w:p>
      <w:r>
        <w:rPr>
          <w:rStyle w:val="FootnoteReference"/>
        </w:rPr>
        <w:footnoteRef/>
      </w:r>
      <w:r>
        <w:rPr>
          <w:sz w:val="18"/>
          <w:szCs w:val="18"/>
        </w:rPr>
        <w:t xml:space="preserve">United States Department of the Treasury, “Penny FAQs / Media Kit,” 2025. https://www.usmint.gov/news/media-kit/penny</w:t>
      </w:r>
    </w:p>
  </w:footnote>
  <w:footnote w:id="3">
    <w:p>
      <w:r>
        <w:rPr>
          <w:rStyle w:val="FootnoteReference"/>
        </w:rPr>
        <w:footnoteRef/>
      </w:r>
      <w:r>
        <w:rPr>
          <w:sz w:val="18"/>
          <w:szCs w:val="18"/>
        </w:rPr>
        <w:t xml:space="preserve">31 U.S.C. § 5111(a) and § 5112 — Denominations, specifications, and design of coins; powers of the Secretary of the Treasury. United States Code.</w:t>
      </w:r>
    </w:p>
  </w:footnote>
  <w:footnote w:id="4">
    <w:p>
      <w:r>
        <w:rPr>
          <w:rStyle w:val="FootnoteReference"/>
        </w:rPr>
        <w:footnoteRef/>
      </w:r>
      <w:r>
        <w:rPr>
          <w:sz w:val="18"/>
          <w:szCs w:val="18"/>
        </w:rPr>
        <w:t xml:space="preserve">United States Mint, FY2024 Annual Report (cost of producing the one-cent coin; reported ≈$85.3 million loss on circulating cents), 2024.</w:t>
      </w:r>
    </w:p>
  </w:footnote>
  <w:footnote w:id="5">
    <w:p>
      <w:r>
        <w:rPr>
          <w:rStyle w:val="FootnoteReference"/>
        </w:rPr>
        <w:footnoteRef/>
      </w:r>
      <w:r>
        <w:rPr>
          <w:sz w:val="18"/>
          <w:szCs w:val="18"/>
        </w:rPr>
        <w:t xml:space="preserve">CoinNews.net, “U.S. Mint Strikes Final Circulating Penny; Production Costs and Savings,” November 2025. https://www.coinnews.net/</w:t>
      </w:r>
    </w:p>
  </w:footnote>
  <w:footnote w:id="6">
    <w:p>
      <w:r>
        <w:rPr>
          <w:rStyle w:val="FootnoteReference"/>
        </w:rPr>
        <w:footnoteRef/>
      </w:r>
      <w:r>
        <w:rPr>
          <w:sz w:val="18"/>
          <w:szCs w:val="18"/>
        </w:rPr>
        <w:t xml:space="preserve">CNBC, “The U.S. just minted its final penny — why you may want to cash in your coins now,” November 19, 2025. https://www.cnbc.com/2025/11/19/us-mints-final-penny.html</w:t>
      </w:r>
    </w:p>
  </w:footnote>
  <w:footnote w:id="7">
    <w:p>
      <w:r>
        <w:rPr>
          <w:rStyle w:val="FootnoteReference"/>
        </w:rPr>
        <w:footnoteRef/>
      </w:r>
      <w:r>
        <w:rPr>
          <w:sz w:val="18"/>
          <w:szCs w:val="18"/>
        </w:rPr>
        <w:t xml:space="preserve">Wikipedia, “Penny debate in the United States,” accessed June 2026. https://en.wikipedia.org/wiki/Penny_debate_in_the_United_States</w:t>
      </w:r>
    </w:p>
  </w:footnote>
  <w:footnote w:id="8">
    <w:p>
      <w:r>
        <w:rPr>
          <w:rStyle w:val="FootnoteReference"/>
        </w:rPr>
        <w:footnoteRef/>
      </w:r>
      <w:r>
        <w:rPr>
          <w:sz w:val="18"/>
          <w:szCs w:val="18"/>
        </w:rPr>
        <w:t xml:space="preserve">American Bankers Association, estimates of pennies in circulation (cited in contemporaneous press coverage of penny discontinuation), 2025.</w:t>
      </w:r>
    </w:p>
  </w:footnote>
  <w:footnote w:id="9">
    <w:p>
      <w:r>
        <w:rPr>
          <w:rStyle w:val="FootnoteReference"/>
        </w:rPr>
        <w:footnoteRef/>
      </w:r>
      <w:r>
        <w:rPr>
          <w:sz w:val="18"/>
          <w:szCs w:val="18"/>
        </w:rPr>
        <w:t xml:space="preserve">Board of Governors of the Federal Reserve System, guidance to depository institutions on one-cent coin handling, 2025–2026.</w:t>
      </w:r>
    </w:p>
  </w:footnote>
  <w:footnote w:id="10">
    <w:p>
      <w:r>
        <w:rPr>
          <w:rStyle w:val="FootnoteReference"/>
        </w:rPr>
        <w:footnoteRef/>
      </w:r>
      <w:r>
        <w:rPr>
          <w:sz w:val="18"/>
          <w:szCs w:val="18"/>
        </w:rPr>
        <w:t xml:space="preserve">Wikipedia, “Penny (Canadian coin),” accessed June 2026. https://en.wikipedia.org/wiki/Penny_(Canadian_coin)</w:t>
      </w:r>
    </w:p>
  </w:footnote>
  <w:footnote w:id="11">
    <w:p>
      <w:r>
        <w:rPr>
          <w:rStyle w:val="FootnoteReference"/>
        </w:rPr>
        <w:footnoteRef/>
      </w:r>
      <w:r>
        <w:rPr>
          <w:sz w:val="18"/>
          <w:szCs w:val="18"/>
        </w:rPr>
        <w:t xml:space="preserve">Royal Canadian Mint, announcement on the elimination of the penny (production ceased May 2012; distribution ended February 4, 2013).</w:t>
      </w:r>
    </w:p>
  </w:footnote>
  <w:footnote w:id="12">
    <w:p>
      <w:r>
        <w:rPr>
          <w:rStyle w:val="FootnoteReference"/>
        </w:rPr>
        <w:footnoteRef/>
      </w:r>
      <w:r>
        <w:rPr>
          <w:sz w:val="18"/>
          <w:szCs w:val="18"/>
        </w:rPr>
        <w:t xml:space="preserve">CTV News Kitchener, “Ten years since the penny was phased out” (interview with Todd Sandham, Colonial Acres Coins), February 4, 2023.</w:t>
      </w:r>
    </w:p>
  </w:footnote>
  <w:footnote w:id="13">
    <w:p>
      <w:r>
        <w:rPr>
          <w:rStyle w:val="FootnoteReference"/>
        </w:rPr>
        <w:footnoteRef/>
      </w:r>
      <w:r>
        <w:rPr>
          <w:sz w:val="18"/>
          <w:szCs w:val="18"/>
        </w:rPr>
        <w:t xml:space="preserve">Coin Identifier, “Most Valuable Canadian Pennies — Centennial, Bicentennial and Value Chart,” accessed 2026. https://coin-identifier.com/blog/coins-overview/most-valuable-canadian-pennies</w:t>
      </w:r>
    </w:p>
  </w:footnote>
  <w:footnote w:id="14">
    <w:p>
      <w:r>
        <w:rPr>
          <w:rStyle w:val="FootnoteReference"/>
        </w:rPr>
        <w:footnoteRef/>
      </w:r>
      <w:r>
        <w:rPr>
          <w:sz w:val="18"/>
          <w:szCs w:val="18"/>
        </w:rPr>
        <w:t xml:space="preserve">CDN Coin, “2012 1c Canada’s Last One Cent Coins — Copper-Plated Steel (10 Pack),” product listing, accessed 2026. https://cdncoin.com/en-us/products/2012-1-cent-cent-steel-10-rol</w:t>
      </w:r>
    </w:p>
  </w:footnote>
  <w:footnote w:id="15">
    <w:p>
      <w:r>
        <w:rPr>
          <w:rStyle w:val="FootnoteReference"/>
        </w:rPr>
        <w:footnoteRef/>
      </w:r>
      <w:r>
        <w:rPr>
          <w:sz w:val="18"/>
          <w:szCs w:val="18"/>
        </w:rPr>
        <w:t xml:space="preserve">United States Mint, history of the half cent (authorized by the Coinage Act of 1792; discontinued 1857).</w:t>
      </w:r>
    </w:p>
  </w:footnote>
  <w:footnote w:id="16">
    <w:p>
      <w:r>
        <w:rPr>
          <w:rStyle w:val="FootnoteReference"/>
        </w:rPr>
        <w:footnoteRef/>
      </w:r>
      <w:r>
        <w:rPr>
          <w:sz w:val="18"/>
          <w:szCs w:val="18"/>
        </w:rPr>
        <w:t xml:space="preserve">Raymond E. Lombra, Ph.D., “The Investment Performance of Rare U.S. Coins,” R L Associates (commissioned by Blanchard and Company), February 2017. https://www.blanchardgold.com/wp-content/uploads/2017/02/blanchard_lombra_report_2016.pdf</w:t>
      </w:r>
    </w:p>
  </w:footnote>
  <w:footnote w:id="17">
    <w:p>
      <w:r>
        <w:rPr>
          <w:rStyle w:val="FootnoteReference"/>
        </w:rPr>
        <w:footnoteRef/>
      </w:r>
      <w:r>
        <w:rPr>
          <w:sz w:val="18"/>
          <w:szCs w:val="18"/>
        </w:rPr>
        <w:t xml:space="preserve">Elroy Dimson and Christophe Spaenjers, “The Investment Performance of Art and Other Collectibles,” in Risk and Uncertainty in the Art Market (and Financial Analysts Journal, 2014); working paper SSRN 2319338. https://papers.ssrn.com/sol3/papers.cfm?abstract_id=2319338</w:t>
      </w:r>
    </w:p>
  </w:footnote>
  <w:footnote w:id="18">
    <w:p>
      <w:r>
        <w:rPr>
          <w:rStyle w:val="FootnoteReference"/>
        </w:rPr>
        <w:footnoteRef/>
      </w:r>
      <w:r>
        <w:rPr>
          <w:sz w:val="18"/>
          <w:szCs w:val="18"/>
        </w:rPr>
        <w:t xml:space="preserve">Elroy Dimson, Kuntara Pukthuanthong, and others, research on “emotional assets” and the emotional yield of collectibles (follow-on analysis, 2026).</w:t>
      </w:r>
    </w:p>
  </w:footnote>
  <w:footnote w:id="19">
    <w:p>
      <w:r>
        <w:rPr>
          <w:rStyle w:val="FootnoteReference"/>
        </w:rPr>
        <w:footnoteRef/>
      </w:r>
      <w:r>
        <w:rPr>
          <w:sz w:val="18"/>
          <w:szCs w:val="18"/>
        </w:rPr>
        <w:t xml:space="preserve">Journal of Cultural Economics, machine-learning hedonic analysis of rare-coin prices (grade, mint mark, and conservation as price drivers), 2025.</w:t>
      </w:r>
    </w:p>
  </w:footnote>
  <w:footnote w:id="20">
    <w:p>
      <w:r>
        <w:rPr>
          <w:rStyle w:val="FootnoteReference"/>
        </w:rPr>
        <w:footnoteRef/>
      </w:r>
      <w:r>
        <w:rPr>
          <w:sz w:val="18"/>
          <w:szCs w:val="18"/>
        </w:rPr>
        <w:t xml:space="preserve">Dickie, M., Delorme, C. D., and Humphreys, J. M., “Factors Affecting Coin Prices,” contribution to the hedonic-pricing literature on numismatics, 1994.</w:t>
      </w:r>
    </w:p>
  </w:footnote>
  <w:footnote w:id="21">
    <w:p>
      <w:r>
        <w:rPr>
          <w:rStyle w:val="FootnoteReference"/>
        </w:rPr>
        <w:footnoteRef/>
      </w:r>
      <w:r>
        <w:rPr>
          <w:sz w:val="18"/>
          <w:szCs w:val="18"/>
        </w:rPr>
        <w:t xml:space="preserve">Kenneth J. Koford and Adrian E. Tschoegl, “The Market Value of Rarity” (analysis of coin markets), Journal of Economic Behavior &amp; Organization, 1998.</w:t>
      </w:r>
    </w:p>
  </w:footnote>
  <w:footnote w:id="22">
    <w:p>
      <w:r>
        <w:rPr>
          <w:rStyle w:val="FootnoteReference"/>
        </w:rPr>
        <w:footnoteRef/>
      </w:r>
      <w:r>
        <w:rPr>
          <w:sz w:val="18"/>
          <w:szCs w:val="18"/>
        </w:rPr>
        <w:t xml:space="preserve">Vicente Caballer and others, hedonic modeling of collectible-coin valuation, 2010.</w:t>
      </w:r>
    </w:p>
  </w:footnote>
  <w:footnote w:id="23">
    <w:p>
      <w:r>
        <w:rPr>
          <w:rStyle w:val="FootnoteReference"/>
        </w:rPr>
        <w:footnoteRef/>
      </w:r>
      <w:r>
        <w:rPr>
          <w:sz w:val="18"/>
          <w:szCs w:val="18"/>
        </w:rPr>
        <w:t xml:space="preserve">Professional Coin Grading Service (PCGS), “The PCGS3000 Rare Coin Index,” index methodology and historical values (base $1,000 on January 1, 1970). https://www.pcgs.com/prices/pcgs3000</w:t>
      </w:r>
    </w:p>
  </w:footnote>
  <w:footnote w:id="24">
    <w:p>
      <w:r>
        <w:rPr>
          <w:rStyle w:val="FootnoteReference"/>
        </w:rPr>
        <w:footnoteRef/>
      </w:r>
      <w:r>
        <w:rPr>
          <w:sz w:val="18"/>
          <w:szCs w:val="18"/>
        </w:rPr>
        <w:t xml:space="preserve">RareCoins101 / market analysis of PCGS3000 and PCGS Key Dates and Rarities Index annualized returns, 2000–2025.</w:t>
      </w:r>
    </w:p>
  </w:footnote>
  <w:footnote w:id="25">
    <w:p>
      <w:r>
        <w:rPr>
          <w:rStyle w:val="FootnoteReference"/>
        </w:rPr>
        <w:footnoteRef/>
      </w:r>
      <w:r>
        <w:rPr>
          <w:sz w:val="18"/>
          <w:szCs w:val="18"/>
        </w:rPr>
        <w:t xml:space="preserve">PCGS, “Key Dates and Rarities Index,” component index of the PCGS price-index family. https://www.pcgs.com/prices</w:t>
      </w:r>
    </w:p>
  </w:footnote>
  <w:footnote w:id="26">
    <w:p>
      <w:r>
        <w:rPr>
          <w:rStyle w:val="FootnoteReference"/>
        </w:rPr>
        <w:footnoteRef/>
      </w:r>
      <w:r>
        <w:rPr>
          <w:sz w:val="18"/>
          <w:szCs w:val="18"/>
        </w:rPr>
        <w:t xml:space="preserve">Planet Banknote, “Beyond Gold &amp; Silver: Unlocking the Hidden Value of Numismatic Assets for Your Portfolio,” accessed 2026. https://planetbanknote.com/banknote-blog/beyond-gold-silver-unlocking-the-hidden-value-of-numismatic-assets-for-your-portfolio/</w:t>
      </w:r>
    </w:p>
  </w:footnote>
  <w:footnote w:id="27">
    <w:p>
      <w:r>
        <w:rPr>
          <w:rStyle w:val="FootnoteReference"/>
        </w:rPr>
        <w:footnoteRef/>
      </w:r>
      <w:r>
        <w:rPr>
          <w:sz w:val="18"/>
          <w:szCs w:val="18"/>
        </w:rPr>
        <w:t xml:space="preserve">Ainvest, “Rare Coins: A Niche Opportunity in an Undervalued Asset Class,” July 2025. https://www.ainvest.com/news/rare-coins-niche-opportunity-undervalued-asset-class-2507/</w:t>
      </w:r>
    </w:p>
  </w:footnote>
  <w:footnote w:id="28">
    <w:p>
      <w:r>
        <w:rPr>
          <w:rStyle w:val="FootnoteReference"/>
        </w:rPr>
        <w:footnoteRef/>
      </w:r>
      <w:r>
        <w:rPr>
          <w:sz w:val="18"/>
          <w:szCs w:val="18"/>
        </w:rPr>
        <w:t xml:space="preserve">AMAC, “Today’s Market Crisis Resembles Other Super Bullish Gold and Silver Rare Coin Markets,” accessed 2026. https://amac.us/blog/finance/todays-market-crisis-resembles-other-super-bullish-gold-and-silver-rare-coin-markets/</w:t>
      </w:r>
    </w:p>
  </w:footnote>
  <w:footnote w:id="29">
    <w:p>
      <w:r>
        <w:rPr>
          <w:rStyle w:val="FootnoteReference"/>
        </w:rPr>
        <w:footnoteRef/>
      </w:r>
      <w:r>
        <w:rPr>
          <w:sz w:val="18"/>
          <w:szCs w:val="18"/>
        </w:rPr>
        <w:t xml:space="preserve">Global Coin, “Rare Coin Investment: Comprehensive Analysis of Market Trends for Ultra-Wealthy Investors,” accessed 2026. https://shopglobalcoin.com/blogs/blog/rare-coin-investment-comprehensive-analysis-of-market-trends-for-ultra-wealthy-investors</w:t>
      </w:r>
    </w:p>
  </w:footnote>
  <w:footnote w:id="30">
    <w:p>
      <w:r>
        <w:rPr>
          <w:rStyle w:val="FootnoteReference"/>
        </w:rPr>
        <w:footnoteRef/>
      </w:r>
      <w:r>
        <w:rPr>
          <w:sz w:val="18"/>
          <w:szCs w:val="18"/>
        </w:rPr>
        <w:t xml:space="preserve">Professional Coin Grading Service (PCGS), “Grading Standards and the Sheldon Scale,” PCGS Grading Guide. https://www.pcgs.com/grades</w:t>
      </w:r>
    </w:p>
  </w:footnote>
  <w:footnote w:id="31">
    <w:p>
      <w:r>
        <w:rPr>
          <w:rStyle w:val="FootnoteReference"/>
        </w:rPr>
        <w:footnoteRef/>
      </w:r>
      <w:r>
        <w:rPr>
          <w:sz w:val="18"/>
          <w:szCs w:val="18"/>
        </w:rPr>
        <w:t xml:space="preserve">William H. Sheldon, Penny Whimsy (origin of the 1–70 numerical grading scale for early American cents), 1949/1958.</w:t>
      </w:r>
    </w:p>
  </w:footnote>
  <w:footnote w:id="32">
    <w:p>
      <w:r>
        <w:rPr>
          <w:rStyle w:val="FootnoteReference"/>
        </w:rPr>
        <w:footnoteRef/>
      </w:r>
      <w:r>
        <w:rPr>
          <w:sz w:val="18"/>
          <w:szCs w:val="18"/>
        </w:rPr>
        <w:t xml:space="preserve">American Numismatic Association (ANA), Official ANA Grading Standards for United States Coins, current edition.</w:t>
      </w:r>
    </w:p>
  </w:footnote>
  <w:footnote w:id="33">
    <w:p>
      <w:r>
        <w:rPr>
          <w:rStyle w:val="FootnoteReference"/>
        </w:rPr>
        <w:footnoteRef/>
      </w:r>
      <w:r>
        <w:rPr>
          <w:sz w:val="18"/>
          <w:szCs w:val="18"/>
        </w:rPr>
        <w:t xml:space="preserve">Numismatic Guaranty Company (NGC), “NGC Coin Grading Scale,” NGC Grading. https://www.ngccoin.com/coin-grading/grading-scale/</w:t>
      </w:r>
    </w:p>
  </w:footnote>
  <w:footnote w:id="34">
    <w:p>
      <w:r>
        <w:rPr>
          <w:rStyle w:val="FootnoteReference"/>
        </w:rPr>
        <w:footnoteRef/>
      </w:r>
      <w:r>
        <w:rPr>
          <w:sz w:val="18"/>
          <w:szCs w:val="18"/>
        </w:rPr>
        <w:t xml:space="preserve">Certified Acceptance Corporation (CAC) and CAC Grading (CACG), company overview and sticker/grading program (CACG launched October 2023).</w:t>
      </w:r>
    </w:p>
  </w:footnote>
  <w:footnote w:id="35">
    <w:p>
      <w:r>
        <w:rPr>
          <w:rStyle w:val="FootnoteReference"/>
        </w:rPr>
        <w:footnoteRef/>
      </w:r>
      <w:r>
        <w:rPr>
          <w:sz w:val="18"/>
          <w:szCs w:val="18"/>
        </w:rPr>
        <w:t xml:space="preserve">APMEX, “What is CACG Coin Grading?” APMEX Learn, accessed 2026. https://learn.apmex.com/answers/what-is-cacg-coin-grading/</w:t>
      </w:r>
    </w:p>
  </w:footnote>
  <w:footnote w:id="36">
    <w:p>
      <w:r>
        <w:rPr>
          <w:rStyle w:val="FootnoteReference"/>
        </w:rPr>
        <w:footnoteRef/>
      </w:r>
      <w:r>
        <w:rPr>
          <w:sz w:val="18"/>
          <w:szCs w:val="18"/>
        </w:rPr>
        <w:t xml:space="preserve">Professional Coin Grading Service (PCGS), “Services and Fees,” 2026 fee schedule. https://www.pcgs.com/prices/pricesfees</w:t>
      </w:r>
    </w:p>
  </w:footnote>
  <w:footnote w:id="37">
    <w:p>
      <w:r>
        <w:rPr>
          <w:rStyle w:val="FootnoteReference"/>
        </w:rPr>
        <w:footnoteRef/>
      </w:r>
      <w:r>
        <w:rPr>
          <w:sz w:val="18"/>
          <w:szCs w:val="18"/>
        </w:rPr>
        <w:t xml:space="preserve">Numismatic Guaranty Company (NGC), “Services and Fees,” 2026 fee schedule. https://www.ngccoin.com/coin-grading/fees/</w:t>
      </w:r>
    </w:p>
  </w:footnote>
  <w:footnote w:id="38">
    <w:p>
      <w:r>
        <w:rPr>
          <w:rStyle w:val="FootnoteReference"/>
        </w:rPr>
        <w:footnoteRef/>
      </w:r>
      <w:r>
        <w:rPr>
          <w:sz w:val="18"/>
          <w:szCs w:val="18"/>
        </w:rPr>
        <w:t xml:space="preserve">StoneX Bullion, “How much does it cost to grade a coin?” accessed 2026. https://stonexbullion.com/en/blog/how-much-does-it-cost-to-grade-a-coin/</w:t>
      </w:r>
    </w:p>
  </w:footnote>
  <w:footnote w:id="39">
    <w:p>
      <w:r>
        <w:rPr>
          <w:rStyle w:val="FootnoteReference"/>
        </w:rPr>
        <w:footnoteRef/>
      </w:r>
      <w:r>
        <w:rPr>
          <w:sz w:val="18"/>
          <w:szCs w:val="18"/>
        </w:rPr>
        <w:t xml:space="preserve">CoinGrader AI, “Coin Grading Cost 2026 — PCGS, NGC &amp; ANACS Fees Compared,” accessed 2026. https://www.coingraderai.com/coin-grading-cost</w:t>
      </w:r>
    </w:p>
  </w:footnote>
  <w:footnote w:id="40">
    <w:p>
      <w:r>
        <w:rPr>
          <w:rStyle w:val="FootnoteReference"/>
        </w:rPr>
        <w:footnoteRef/>
      </w:r>
      <w:r>
        <w:rPr>
          <w:sz w:val="18"/>
          <w:szCs w:val="18"/>
        </w:rPr>
        <w:t xml:space="preserve">Professional Coin Grading Service (PCGS), “Bulk Submissions,” program terms and requirements. https://www.pcgs.com/bulk</w:t>
      </w:r>
    </w:p>
  </w:footnote>
  <w:footnote w:id="41">
    <w:p>
      <w:r>
        <w:rPr>
          <w:rStyle w:val="FootnoteReference"/>
        </w:rPr>
        <w:footnoteRef/>
      </w:r>
      <w:r>
        <w:rPr>
          <w:sz w:val="18"/>
          <w:szCs w:val="18"/>
        </w:rPr>
        <w:t xml:space="preserve">Numismatic Guaranty Company (NGC), “Bulk Grading Services,” program terms and requirements. https://www.ngccoin.com/</w:t>
      </w:r>
    </w:p>
  </w:footnote>
  <w:footnote w:id="42">
    <w:p>
      <w:r>
        <w:rPr>
          <w:rStyle w:val="FootnoteReference"/>
        </w:rPr>
        <w:footnoteRef/>
      </w:r>
      <w:r>
        <w:rPr>
          <w:sz w:val="18"/>
          <w:szCs w:val="18"/>
        </w:rPr>
        <w:t xml:space="preserve">ANACS, services and fee schedule (budget-tier certification). https://www.anacs.com/</w:t>
      </w:r>
    </w:p>
  </w:footnote>
  <w:footnote w:id="43">
    <w:p>
      <w:r>
        <w:rPr>
          <w:rStyle w:val="FootnoteReference"/>
        </w:rPr>
        <w:footnoteRef/>
      </w:r>
      <w:r>
        <w:rPr>
          <w:sz w:val="18"/>
          <w:szCs w:val="18"/>
        </w:rPr>
        <w:t xml:space="preserve">Blanchard and Company, “What is CAC and How Does it Affect Coin Values?” (CAC green/gold sticker premium examples). https://www.blanchardgold.com/</w:t>
      </w:r>
    </w:p>
  </w:footnote>
  <w:footnote w:id="44">
    <w:p>
      <w:r>
        <w:rPr>
          <w:rStyle w:val="FootnoteReference"/>
        </w:rPr>
        <w:footnoteRef/>
      </w:r>
      <w:r>
        <w:rPr>
          <w:sz w:val="18"/>
          <w:szCs w:val="18"/>
        </w:rPr>
        <w:t xml:space="preserve">PCGS CoinFacts, “1909-S VDB Lincoln Cent” (mintage 484,000; price guide and auction records). https://www.pcgs.com/coinfacts/coin/1909-s-vdb-1c/2428</w:t>
      </w:r>
    </w:p>
  </w:footnote>
  <w:footnote w:id="45">
    <w:p>
      <w:r>
        <w:rPr>
          <w:rStyle w:val="FootnoteReference"/>
        </w:rPr>
        <w:footnoteRef/>
      </w:r>
      <w:r>
        <w:rPr>
          <w:sz w:val="18"/>
          <w:szCs w:val="18"/>
        </w:rPr>
        <w:t xml:space="preserve">Bullion Shark, “1909-S VDB Penny Value,” accessed 2026. https://bullionsharks.com/1909-s-wheat-penny-vdb/</w:t>
      </w:r>
    </w:p>
  </w:footnote>
  <w:footnote w:id="46">
    <w:p>
      <w:r>
        <w:rPr>
          <w:rStyle w:val="FootnoteReference"/>
        </w:rPr>
        <w:footnoteRef/>
      </w:r>
      <w:r>
        <w:rPr>
          <w:sz w:val="18"/>
          <w:szCs w:val="18"/>
        </w:rPr>
        <w:t xml:space="preserve">Gainesville Coins, “1909-S VDB Penny Values, Varieties, and Rarities,” accessed 2026. https://www.gainesvillecoins.com/blog/1909-s-vdb-penny-value</w:t>
      </w:r>
    </w:p>
  </w:footnote>
  <w:footnote w:id="47">
    <w:p>
      <w:r>
        <w:rPr>
          <w:rStyle w:val="FootnoteReference"/>
        </w:rPr>
        <w:footnoteRef/>
      </w:r>
      <w:r>
        <w:rPr>
          <w:sz w:val="18"/>
          <w:szCs w:val="18"/>
        </w:rPr>
        <w:t xml:space="preserve">Coin Identifier, “1909 VDB Penny Value Guide — Rare 1909-S VDB, Errors &amp; Price Chart,” accessed 2026. https://coin-identifier.com/blog/coins-overview/1909-vdb-penny-value</w:t>
      </w:r>
    </w:p>
  </w:footnote>
  <w:footnote w:id="48">
    <w:p>
      <w:r>
        <w:rPr>
          <w:rStyle w:val="FootnoteReference"/>
        </w:rPr>
        <w:footnoteRef/>
      </w:r>
      <w:r>
        <w:rPr>
          <w:sz w:val="18"/>
          <w:szCs w:val="18"/>
        </w:rPr>
        <w:t xml:space="preserve">Heritage Auctions, realized price for 1909-S VDB Lincoln Cent MS67 Red (sold April 2022, $168,000). https://coins.ha.com/</w:t>
      </w:r>
    </w:p>
  </w:footnote>
  <w:footnote w:id="49">
    <w:p>
      <w:r>
        <w:rPr>
          <w:rStyle w:val="FootnoteReference"/>
        </w:rPr>
        <w:footnoteRef/>
      </w:r>
      <w:r>
        <w:rPr>
          <w:sz w:val="18"/>
          <w:szCs w:val="18"/>
        </w:rPr>
        <w:t xml:space="preserve">PCGS CoinFacts, “1914-D Lincoln Cent” (price guide; MS66 RD Heritage record ≈$81,075). https://www.pcgs.com/coinfacts/coin/1914-d-1c/2471</w:t>
      </w:r>
    </w:p>
  </w:footnote>
  <w:footnote w:id="50">
    <w:p>
      <w:r>
        <w:rPr>
          <w:rStyle w:val="FootnoteReference"/>
        </w:rPr>
        <w:footnoteRef/>
      </w:r>
      <w:r>
        <w:rPr>
          <w:sz w:val="18"/>
          <w:szCs w:val="18"/>
        </w:rPr>
        <w:t xml:space="preserve">PCGS CoinFacts, “1922 No D Strong Reverse Lincoln Cent” (price guide and auction records). https://www.pcgs.com/coinfacts/coin/1922-no-d-strong-reverse-1c/2540</w:t>
      </w:r>
    </w:p>
  </w:footnote>
  <w:footnote w:id="51">
    <w:p>
      <w:r>
        <w:rPr>
          <w:rStyle w:val="FootnoteReference"/>
        </w:rPr>
        <w:footnoteRef/>
      </w:r>
      <w:r>
        <w:rPr>
          <w:sz w:val="18"/>
          <w:szCs w:val="18"/>
        </w:rPr>
        <w:t xml:space="preserve">Legend Numismatics / Heritage Auctions, realized prices for the 1943-D bronze cent ($1.7M, 2010) and 1943 bronze Lincoln cents. https://coins.ha.com/</w:t>
      </w:r>
    </w:p>
  </w:footnote>
  <w:footnote w:id="52">
    <w:p>
      <w:r>
        <w:rPr>
          <w:rStyle w:val="FootnoteReference"/>
        </w:rPr>
        <w:footnoteRef/>
      </w:r>
      <w:r>
        <w:rPr>
          <w:sz w:val="18"/>
          <w:szCs w:val="18"/>
        </w:rPr>
        <w:t xml:space="preserve">Heritage Auctions, realized price for the Don Lutes 1943 bronze cent, AU53 ($204,000, January 2019). https://coins.ha.com/</w:t>
      </w:r>
    </w:p>
  </w:footnote>
  <w:footnote w:id="53">
    <w:p>
      <w:r>
        <w:rPr>
          <w:rStyle w:val="FootnoteReference"/>
        </w:rPr>
        <w:footnoteRef/>
      </w:r>
      <w:r>
        <w:rPr>
          <w:sz w:val="18"/>
          <w:szCs w:val="18"/>
        </w:rPr>
        <w:t xml:space="preserve">Heritage Auctions, realized price for 1944 steel cent, Philadelphia ($180,000, June 2021). https://coins.ha.com/</w:t>
      </w:r>
    </w:p>
  </w:footnote>
  <w:footnote w:id="54">
    <w:p>
      <w:r>
        <w:rPr>
          <w:rStyle w:val="FootnoteReference"/>
        </w:rPr>
        <w:footnoteRef/>
      </w:r>
      <w:r>
        <w:rPr>
          <w:sz w:val="18"/>
          <w:szCs w:val="18"/>
        </w:rPr>
        <w:t xml:space="preserve">GreatCollections, realized price for 1944-S steel cent MS66 (≈$490,500, January 2025). https://www.greatcollections.com/</w:t>
      </w:r>
    </w:p>
  </w:footnote>
  <w:footnote w:id="55">
    <w:p>
      <w:r>
        <w:rPr>
          <w:rStyle w:val="FootnoteReference"/>
        </w:rPr>
        <w:footnoteRef/>
      </w:r>
      <w:r>
        <w:rPr>
          <w:sz w:val="18"/>
          <w:szCs w:val="18"/>
        </w:rPr>
        <w:t xml:space="preserve">Stack’s Bowers Galleries, realized price for 1955 Doubled Die Obverse Lincoln Cent MS65+ Red ($114,000, 2018). https://www.stacksbowers.com/</w:t>
      </w:r>
    </w:p>
  </w:footnote>
  <w:footnote w:id="56">
    <w:p>
      <w:r>
        <w:rPr>
          <w:rStyle w:val="FootnoteReference"/>
        </w:rPr>
        <w:footnoteRef/>
      </w:r>
      <w:r>
        <w:rPr>
          <w:sz w:val="18"/>
          <w:szCs w:val="18"/>
        </w:rPr>
        <w:t xml:space="preserve">PCGS CoinFacts, “1877 Indian Head Cent” and “1931-S Lincoln Cent” (semi-key price guides). https://www.pcgs.com/coinfacts</w:t>
      </w:r>
    </w:p>
  </w:footnote>
  <w:footnote w:id="57">
    <w:p>
      <w:r>
        <w:rPr>
          <w:rStyle w:val="FootnoteReference"/>
        </w:rPr>
        <w:footnoteRef/>
      </w:r>
      <w:r>
        <w:rPr>
          <w:sz w:val="18"/>
          <w:szCs w:val="18"/>
        </w:rPr>
        <w:t xml:space="preserve">PCGS CoinFacts, “1793 Chain and Wreath Large Cents” (early Large Cent rarities and price guides). https://www.pcgs.com/coinfacts</w:t>
      </w:r>
    </w:p>
  </w:footnote>
  <w:footnote w:id="58">
    <w:p>
      <w:r>
        <w:rPr>
          <w:rStyle w:val="FootnoteReference"/>
        </w:rPr>
        <w:footnoteRef/>
      </w:r>
      <w:r>
        <w:rPr>
          <w:sz w:val="18"/>
          <w:szCs w:val="18"/>
        </w:rPr>
        <w:t xml:space="preserve">PCGS, “Copper Color Designations: Red (RD), Red-Brown (RB), and Brown (BN)” and their effect on value. https://www.pcgs.com/</w:t>
      </w:r>
    </w:p>
  </w:footnote>
  <w:footnote w:id="59">
    <w:p>
      <w:r>
        <w:rPr>
          <w:rStyle w:val="FootnoteReference"/>
        </w:rPr>
        <w:footnoteRef/>
      </w:r>
      <w:r>
        <w:rPr>
          <w:sz w:val="18"/>
          <w:szCs w:val="18"/>
        </w:rPr>
        <w:t xml:space="preserve">PCGS CoinFacts, “Twenty Cent Pieces (1875–1878)” — shortest-lived regular U.S. denomination. https://www.pcgs.com/coinfacts/category/twenty-cent-1875-1878/27</w:t>
      </w:r>
    </w:p>
  </w:footnote>
  <w:footnote w:id="60">
    <w:p>
      <w:r>
        <w:rPr>
          <w:rStyle w:val="FootnoteReference"/>
        </w:rPr>
        <w:footnoteRef/>
      </w:r>
      <w:r>
        <w:rPr>
          <w:sz w:val="18"/>
          <w:szCs w:val="18"/>
        </w:rPr>
        <w:t xml:space="preserve">PCGS CoinFacts and Heritage Auctions, the 1913 Liberty Head Nickel (five known; $4.2M sale, 2022). https://www.pcgs.com/coinfacts</w:t>
      </w:r>
    </w:p>
  </w:footnote>
  <w:footnote w:id="61">
    <w:p>
      <w:r>
        <w:rPr>
          <w:rStyle w:val="FootnoteReference"/>
        </w:rPr>
        <w:footnoteRef/>
      </w:r>
      <w:r>
        <w:rPr>
          <w:sz w:val="18"/>
          <w:szCs w:val="18"/>
        </w:rPr>
        <w:t xml:space="preserve">Legend Numismatics, realized price for 1937-D “Three-Legged” Buffalo Nickel MS66+ (≈$99,875, 2021). https://www.legendnumismatics.com/</w:t>
      </w:r>
    </w:p>
  </w:footnote>
  <w:footnote w:id="62">
    <w:p>
      <w:r>
        <w:rPr>
          <w:rStyle w:val="FootnoteReference"/>
        </w:rPr>
        <w:footnoteRef/>
      </w:r>
      <w:r>
        <w:rPr>
          <w:sz w:val="18"/>
          <w:szCs w:val="18"/>
        </w:rPr>
        <w:t xml:space="preserve">Heritage Auctions, realized price for 1913-S Type 2 Buffalo Nickel MS67+ ($84,000, 2025). https://coins.ha.com/</w:t>
      </w:r>
    </w:p>
  </w:footnote>
  <w:footnote w:id="63">
    <w:p>
      <w:r>
        <w:rPr>
          <w:rStyle w:val="FootnoteReference"/>
        </w:rPr>
        <w:footnoteRef/>
      </w:r>
      <w:r>
        <w:rPr>
          <w:sz w:val="18"/>
          <w:szCs w:val="18"/>
        </w:rPr>
        <w:t xml:space="preserve">PCGS CoinFacts, “1926-S Buffalo Nickel” (key-date price guide). https://www.pcgs.com/coinfacts/coin/1926-s-5c/3942</w:t>
      </w:r>
    </w:p>
  </w:footnote>
  <w:footnote w:id="64">
    <w:p>
      <w:r>
        <w:rPr>
          <w:rStyle w:val="FootnoteReference"/>
        </w:rPr>
        <w:footnoteRef/>
      </w:r>
      <w:r>
        <w:rPr>
          <w:sz w:val="18"/>
          <w:szCs w:val="18"/>
        </w:rPr>
        <w:t xml:space="preserve">Curio Comp, “1916-D Mercury Dime Value &amp; Price Guide (2026),” accessed 2026. https://curiocomp.com/coins/1916-d-mercury-dime</w:t>
      </w:r>
    </w:p>
  </w:footnote>
  <w:footnote w:id="65">
    <w:p>
      <w:r>
        <w:rPr>
          <w:rStyle w:val="FootnoteReference"/>
        </w:rPr>
        <w:footnoteRef/>
      </w:r>
      <w:r>
        <w:rPr>
          <w:sz w:val="18"/>
          <w:szCs w:val="18"/>
        </w:rPr>
        <w:t xml:space="preserve">Mercury Dime Worth, “Complete 1916–1945 Value Guide (2026),” accessed 2026. https://mercurydimeworth.com/</w:t>
      </w:r>
    </w:p>
  </w:footnote>
  <w:footnote w:id="66">
    <w:p>
      <w:r>
        <w:rPr>
          <w:rStyle w:val="FootnoteReference"/>
        </w:rPr>
        <w:footnoteRef/>
      </w:r>
      <w:r>
        <w:rPr>
          <w:sz w:val="18"/>
          <w:szCs w:val="18"/>
        </w:rPr>
        <w:t xml:space="preserve">Gainesville Coins, “Key Date Mercury Dimes: 1916-D, 1921, 1921-D,” accessed 2026. https://www.gainesvillecoins.com/blog/key-date-mercury-dimes</w:t>
      </w:r>
    </w:p>
  </w:footnote>
  <w:footnote w:id="67">
    <w:p>
      <w:r>
        <w:rPr>
          <w:rStyle w:val="FootnoteReference"/>
        </w:rPr>
        <w:footnoteRef/>
      </w:r>
      <w:r>
        <w:rPr>
          <w:sz w:val="18"/>
          <w:szCs w:val="18"/>
        </w:rPr>
        <w:t xml:space="preserve">PCGS CoinFacts, “1916 Standing Liberty Quarter” and “1918/7-S Overdate Quarter” (key-date guides; Heritage $336,000 record). https://www.pcgs.com/coinfacts</w:t>
      </w:r>
    </w:p>
  </w:footnote>
  <w:footnote w:id="68">
    <w:p>
      <w:r>
        <w:rPr>
          <w:rStyle w:val="FootnoteReference"/>
        </w:rPr>
        <w:footnoteRef/>
      </w:r>
      <w:r>
        <w:rPr>
          <w:sz w:val="18"/>
          <w:szCs w:val="18"/>
        </w:rPr>
        <w:t xml:space="preserve">PCGS CoinFacts, “Walking Liberty Half Dollar (1916–1947)” series overview and key dates. https://www.pcgs.com/coinfacts/category/walking-liberty-half-dollar-1916-1947/755</w:t>
      </w:r>
    </w:p>
  </w:footnote>
  <w:footnote w:id="69">
    <w:p>
      <w:r>
        <w:rPr>
          <w:rStyle w:val="FootnoteReference"/>
        </w:rPr>
        <w:footnoteRef/>
      </w:r>
      <w:r>
        <w:rPr>
          <w:sz w:val="18"/>
          <w:szCs w:val="18"/>
        </w:rPr>
        <w:t xml:space="preserve">PCGS CoinFacts, “Morgan Dollar (1878–1921),” category overview. https://www.pcgs.com/coinfacts/category/morgan-dollar-1878-1921/744</w:t>
      </w:r>
    </w:p>
  </w:footnote>
  <w:footnote w:id="70">
    <w:p>
      <w:r>
        <w:rPr>
          <w:rStyle w:val="FootnoteReference"/>
        </w:rPr>
        <w:footnoteRef/>
      </w:r>
      <w:r>
        <w:rPr>
          <w:sz w:val="18"/>
          <w:szCs w:val="18"/>
        </w:rPr>
        <w:t xml:space="preserve">PCGS, “Coin of the Issue: 1889-CC Morgan Dollar, PCGS MS64” (mintage 350,000; finest-known values). https://www.pcgs.com/news/coti-1889-cc-morgan-dollar-pcgs-ms64</w:t>
      </w:r>
    </w:p>
  </w:footnote>
  <w:footnote w:id="71">
    <w:p>
      <w:r>
        <w:rPr>
          <w:rStyle w:val="FootnoteReference"/>
        </w:rPr>
        <w:footnoteRef/>
      </w:r>
      <w:r>
        <w:rPr>
          <w:sz w:val="18"/>
          <w:szCs w:val="18"/>
        </w:rPr>
        <w:t xml:space="preserve">PCGS CoinFacts and Heritage Auctions, the 1893-S Morgan Dollar (finest MS67 ≈$2 million). https://www.pcgs.com/coinfacts</w:t>
      </w:r>
    </w:p>
  </w:footnote>
  <w:footnote w:id="72">
    <w:p>
      <w:r>
        <w:rPr>
          <w:rStyle w:val="FootnoteReference"/>
        </w:rPr>
        <w:footnoteRef/>
      </w:r>
      <w:r>
        <w:rPr>
          <w:sz w:val="18"/>
          <w:szCs w:val="18"/>
        </w:rPr>
        <w:t xml:space="preserve">Southgate Coins, “GSA Carson City Morgan Dollar Hoard History,” accessed 2026. https://www.southgatecoins.com/gsa-carson-city-hoard-history</w:t>
      </w:r>
    </w:p>
  </w:footnote>
  <w:footnote w:id="73">
    <w:p>
      <w:r>
        <w:rPr>
          <w:rStyle w:val="FootnoteReference"/>
        </w:rPr>
        <w:footnoteRef/>
      </w:r>
      <w:r>
        <w:rPr>
          <w:sz w:val="18"/>
          <w:szCs w:val="18"/>
        </w:rPr>
        <w:t xml:space="preserve">PCGS, “The Majestic 1933 Saint-Gaudens Double Eagle,” PCGS News. https://www.pcgs.com/news/majestic-1933-saint-gaudens-double-eagle</w:t>
      </w:r>
    </w:p>
  </w:footnote>
  <w:footnote w:id="74">
    <w:p>
      <w:r>
        <w:rPr>
          <w:rStyle w:val="FootnoteReference"/>
        </w:rPr>
        <w:footnoteRef/>
      </w:r>
      <w:r>
        <w:rPr>
          <w:sz w:val="18"/>
          <w:szCs w:val="18"/>
        </w:rPr>
        <w:t xml:space="preserve">Coin World, “1933 double eagle tops $18.8 million for new record” (Sotheby’s, June 8, 2021). https://www.coinworld.com/news/us-coins/1933-double-eagle-tops-18-point-8-million-dollars-for-new-record</w:t>
      </w:r>
    </w:p>
  </w:footnote>
  <w:footnote w:id="75">
    <w:p>
      <w:r>
        <w:rPr>
          <w:rStyle w:val="FootnoteReference"/>
        </w:rPr>
        <w:footnoteRef/>
      </w:r>
      <w:r>
        <w:rPr>
          <w:sz w:val="18"/>
          <w:szCs w:val="18"/>
        </w:rPr>
        <w:t xml:space="preserve">Sotheby’s, sale of the Weitzman 1933 Double Eagle for $18,872,250, June 8, 2021. https://www.sothebys.com/</w:t>
      </w:r>
    </w:p>
  </w:footnote>
  <w:footnote w:id="76">
    <w:p>
      <w:r>
        <w:rPr>
          <w:rStyle w:val="FootnoteReference"/>
        </w:rPr>
        <w:footnoteRef/>
      </w:r>
      <w:r>
        <w:rPr>
          <w:sz w:val="18"/>
          <w:szCs w:val="18"/>
        </w:rPr>
        <w:t xml:space="preserve">Executive Order 6102 (1933), requiring the delivery of gold coin, gold bullion, and gold certificates to the Federal Reserve.</w:t>
      </w:r>
    </w:p>
  </w:footnote>
  <w:footnote w:id="77">
    <w:p>
      <w:r>
        <w:rPr>
          <w:rStyle w:val="FootnoteReference"/>
        </w:rPr>
        <w:footnoteRef/>
      </w:r>
      <w:r>
        <w:rPr>
          <w:sz w:val="18"/>
          <w:szCs w:val="18"/>
        </w:rPr>
        <w:t xml:space="preserve">Gainesville Coins, “What Are the Key Dates for the Silver Eagle?” accessed 2026. https://www.gainesvillecoins.com/blog/dates-silver-eagle</w:t>
      </w:r>
    </w:p>
  </w:footnote>
  <w:footnote w:id="78">
    <w:p>
      <w:r>
        <w:rPr>
          <w:rStyle w:val="FootnoteReference"/>
        </w:rPr>
        <w:footnoteRef/>
      </w:r>
      <w:r>
        <w:rPr>
          <w:sz w:val="18"/>
          <w:szCs w:val="18"/>
        </w:rPr>
        <w:t xml:space="preserve">MintBuilder, “American Silver Eagle: Complete Buyer’s Guide for 2026,” accessed 2026. https://mintbuilder.com/blog/american-silver-eagle</w:t>
      </w:r>
    </w:p>
  </w:footnote>
  <w:footnote w:id="79">
    <w:p>
      <w:r>
        <w:rPr>
          <w:rStyle w:val="FootnoteReference"/>
        </w:rPr>
        <w:footnoteRef/>
      </w:r>
      <w:r>
        <w:rPr>
          <w:sz w:val="18"/>
          <w:szCs w:val="18"/>
        </w:rPr>
        <w:t xml:space="preserve">Banco de México / Casa de Moneda de México (Mexican Mint), Silver Libertad mintage figures and program history.</w:t>
      </w:r>
    </w:p>
  </w:footnote>
  <w:footnote w:id="80">
    <w:p>
      <w:r>
        <w:rPr>
          <w:rStyle w:val="FootnoteReference"/>
        </w:rPr>
        <w:footnoteRef/>
      </w:r>
      <w:r>
        <w:rPr>
          <w:sz w:val="18"/>
          <w:szCs w:val="18"/>
        </w:rPr>
        <w:t xml:space="preserve">APMEX / Provident Metals, Mexican Silver Libertad mintage and premium data (“Holy Trinity” keys 1997, 1998, 1999). https://www.apmex.com/</w:t>
      </w:r>
    </w:p>
  </w:footnote>
  <w:footnote w:id="81">
    <w:p>
      <w:r>
        <w:rPr>
          <w:rStyle w:val="FootnoteReference"/>
        </w:rPr>
        <w:footnoteRef/>
      </w:r>
      <w:r>
        <w:rPr>
          <w:sz w:val="18"/>
          <w:szCs w:val="18"/>
        </w:rPr>
        <w:t xml:space="preserve">FindBullionPrices, “Silver Coin Melt Value Calculator — All US Silver Coins (Updated Daily),” accessed June 19, 2026. https://findbullionprices.com/silver-coin-melt-values</w:t>
      </w:r>
    </w:p>
  </w:footnote>
  <w:footnote w:id="82">
    <w:p>
      <w:r>
        <w:rPr>
          <w:rStyle w:val="FootnoteReference"/>
        </w:rPr>
        <w:footnoteRef/>
      </w:r>
      <w:r>
        <w:rPr>
          <w:sz w:val="18"/>
          <w:szCs w:val="18"/>
        </w:rPr>
        <w:t xml:space="preserve">USA Coin Book, daily spot prices for gold, silver, and platinum, accessed June 19, 2026. https://www.usacoinbook.com/</w:t>
      </w:r>
    </w:p>
  </w:footnote>
  <w:footnote w:id="83">
    <w:p>
      <w:r>
        <w:rPr>
          <w:rStyle w:val="FootnoteReference"/>
        </w:rPr>
        <w:footnoteRef/>
      </w:r>
      <w:r>
        <w:rPr>
          <w:sz w:val="18"/>
          <w:szCs w:val="18"/>
        </w:rPr>
        <w:t xml:space="preserve">US Gold and Coin, “Silver Melt Value Calculator — Coins &amp; Sterling,” accessed 2026. https://usgoldandcoin.com/tools/silver-melt-value-calculator</w:t>
      </w:r>
    </w:p>
  </w:footnote>
  <w:footnote w:id="84">
    <w:p>
      <w:r>
        <w:rPr>
          <w:rStyle w:val="FootnoteReference"/>
        </w:rPr>
        <w:footnoteRef/>
      </w:r>
      <w:r>
        <w:rPr>
          <w:sz w:val="18"/>
          <w:szCs w:val="18"/>
        </w:rPr>
        <w:t xml:space="preserve">American Numismatic Association (ANA), “Online Coin Dealer Directory — Arkansas,” accessed 2026. https://coin-dealer-directory.money.org/arkansas</w:t>
      </w:r>
    </w:p>
  </w:footnote>
  <w:footnote w:id="85">
    <w:p>
      <w:r>
        <w:rPr>
          <w:rStyle w:val="FootnoteReference"/>
        </w:rPr>
        <w:footnoteRef/>
      </w:r>
      <w:r>
        <w:rPr>
          <w:sz w:val="18"/>
          <w:szCs w:val="18"/>
        </w:rPr>
        <w:t xml:space="preserve">Northwest Arkansas Coin Club, dealer directory and club information, accessed 2026. https://www.nwacoinclub.com/</w:t>
      </w:r>
    </w:p>
  </w:footnote>
  <w:footnote w:id="86">
    <w:p>
      <w:r>
        <w:rPr>
          <w:rStyle w:val="FootnoteReference"/>
        </w:rPr>
        <w:footnoteRef/>
      </w:r>
      <w:r>
        <w:rPr>
          <w:sz w:val="18"/>
          <w:szCs w:val="18"/>
        </w:rPr>
        <w:t xml:space="preserve">Coin &amp; Currency NWA, business listing (Northwest Arkansas), accessed 2026. https://coinandcurrencynwa.com/</w:t>
      </w:r>
    </w:p>
  </w:footnote>
  <w:footnote w:id="87">
    <w:p>
      <w:r>
        <w:rPr>
          <w:rStyle w:val="FootnoteReference"/>
        </w:rPr>
        <w:footnoteRef/>
      </w:r>
      <w:r>
        <w:rPr>
          <w:sz w:val="18"/>
          <w:szCs w:val="18"/>
        </w:rPr>
        <w:t xml:space="preserve">Bentonville Gold Silver &amp; Coins, business listing (3500 SW Regional Airport Blvd, Suite A, Bentonville, AR), accessed 2026.</w:t>
      </w:r>
    </w:p>
  </w:footnote>
  <w:footnote w:id="88">
    <w:p>
      <w:r>
        <w:rPr>
          <w:rStyle w:val="FootnoteReference"/>
        </w:rPr>
        <w:footnoteRef/>
      </w:r>
      <w:r>
        <w:rPr>
          <w:sz w:val="18"/>
          <w:szCs w:val="18"/>
        </w:rPr>
        <w:t xml:space="preserve">Professional Numismatists Guild (PNG), member dealer directory and code of ethics. https://www.pngdealers.org/</w:t>
      </w:r>
    </w:p>
  </w:footnote>
  <w:footnote w:id="89">
    <w:p>
      <w:r>
        <w:rPr>
          <w:rStyle w:val="FootnoteReference"/>
        </w:rPr>
        <w:footnoteRef/>
      </w:r>
      <w:r>
        <w:rPr>
          <w:sz w:val="18"/>
          <w:szCs w:val="18"/>
        </w:rPr>
        <w:t xml:space="preserve">Heritage Auctions, corporate information and 2026 buyer’s premium schedule (22% for U.S. coins effective January 1, 2026). https://www.ha.com/</w:t>
      </w:r>
    </w:p>
  </w:footnote>
  <w:footnote w:id="90">
    <w:p>
      <w:r>
        <w:rPr>
          <w:rStyle w:val="FootnoteReference"/>
        </w:rPr>
        <w:footnoteRef/>
      </w:r>
      <w:r>
        <w:rPr>
          <w:sz w:val="18"/>
          <w:szCs w:val="18"/>
        </w:rPr>
        <w:t xml:space="preserve">Collectors Universe forums, “Heritage Buyer’s Premium going to 20%” and “Heritage BP increasing to 22% 1/1/26 for US coins.” https://forums.collectors.com/discussion/1119001/heritage-bp-increasing-to-22-1-1-26-for-us-coins</w:t>
      </w:r>
    </w:p>
  </w:footnote>
  <w:footnote w:id="91">
    <w:p>
      <w:r>
        <w:rPr>
          <w:rStyle w:val="FootnoteReference"/>
        </w:rPr>
        <w:footnoteRef/>
      </w:r>
      <w:r>
        <w:rPr>
          <w:sz w:val="18"/>
          <w:szCs w:val="18"/>
        </w:rPr>
        <w:t xml:space="preserve">US Coin Shows, “Coin Auction Houses: Heritage, Stack’s Bowers,” accessed 2026. https://www.uscoinshows.com/learn/selling-coins/coin-auction-houses</w:t>
      </w:r>
    </w:p>
  </w:footnote>
  <w:footnote w:id="92">
    <w:p>
      <w:r>
        <w:rPr>
          <w:rStyle w:val="FootnoteReference"/>
        </w:rPr>
        <w:footnoteRef/>
      </w:r>
      <w:r>
        <w:rPr>
          <w:sz w:val="18"/>
          <w:szCs w:val="18"/>
        </w:rPr>
        <w:t xml:space="preserve">Collectors Coin Corner, “Comparing Heritage and Stack’s Bowers Auction House Fees,” accessed 2026. https://collectorscoincorner.com/auction-buying/</w:t>
      </w:r>
    </w:p>
  </w:footnote>
  <w:footnote w:id="93">
    <w:p>
      <w:r>
        <w:rPr>
          <w:rStyle w:val="FootnoteReference"/>
        </w:rPr>
        <w:footnoteRef/>
      </w:r>
      <w:r>
        <w:rPr>
          <w:sz w:val="18"/>
          <w:szCs w:val="18"/>
        </w:rPr>
        <w:t xml:space="preserve">GreatCollections Coin Auctions, seller-commission and buyer-fee structure (zero seller’s commission; ≈10% buyer fee). https://www.greatcollections.com/</w:t>
      </w:r>
    </w:p>
  </w:footnote>
  <w:footnote w:id="94">
    <w:p>
      <w:r>
        <w:rPr>
          <w:rStyle w:val="FootnoteReference"/>
        </w:rPr>
        <w:footnoteRef/>
      </w:r>
      <w:r>
        <w:rPr>
          <w:sz w:val="18"/>
          <w:szCs w:val="18"/>
        </w:rPr>
        <w:t xml:space="preserve">Stack’s Bowers Galleries, auction terms and buyer’s premium schedule. https://www.stacksbowers.com/</w:t>
      </w:r>
    </w:p>
  </w:footnote>
  <w:footnote w:id="95">
    <w:p>
      <w:r>
        <w:rPr>
          <w:rStyle w:val="FootnoteReference"/>
        </w:rPr>
        <w:footnoteRef/>
      </w:r>
      <w:r>
        <w:rPr>
          <w:sz w:val="18"/>
          <w:szCs w:val="18"/>
        </w:rPr>
        <w:t xml:space="preserve">David Lawrence Rare Coins, dealer and auction information. https://www.davidlawrence.com/</w:t>
      </w:r>
    </w:p>
  </w:footnote>
  <w:footnote w:id="96">
    <w:p>
      <w:r>
        <w:rPr>
          <w:rStyle w:val="FootnoteReference"/>
        </w:rPr>
        <w:footnoteRef/>
      </w:r>
      <w:r>
        <w:rPr>
          <w:sz w:val="18"/>
          <w:szCs w:val="18"/>
        </w:rPr>
        <w:t xml:space="preserve">Greysheet / CDN Publishing, Coin Dealer Newsletter wholesale (bid/ask) pricing. https://www.greysheet.com/</w:t>
      </w:r>
    </w:p>
  </w:footnote>
  <w:footnote w:id="97">
    <w:p>
      <w:r>
        <w:rPr>
          <w:rStyle w:val="FootnoteReference"/>
        </w:rPr>
        <w:footnoteRef/>
      </w:r>
      <w:r>
        <w:rPr>
          <w:sz w:val="18"/>
          <w:szCs w:val="18"/>
        </w:rPr>
        <w:t xml:space="preserve">eBay, completed/sold-listing search methodology for coin price discovery, accessed 2026. https://www.ebay.com/</w:t>
      </w:r>
    </w:p>
  </w:footnote>
  <w:footnote w:id="98">
    <w:p>
      <w:r>
        <w:rPr>
          <w:rStyle w:val="FootnoteReference"/>
        </w:rPr>
        <w:footnoteRef/>
      </w:r>
      <w:r>
        <w:rPr>
          <w:sz w:val="18"/>
          <w:szCs w:val="18"/>
        </w:rPr>
        <w:t xml:space="preserve">The Coin Authority, “Dansco Albums,” product catalog, accessed 2026. https://www.thecoinauthority.com/danscoreg-albums-c-119_144_170/</w:t>
      </w:r>
    </w:p>
  </w:footnote>
  <w:footnote w:id="99">
    <w:p>
      <w:r>
        <w:rPr>
          <w:rStyle w:val="FootnoteReference"/>
        </w:rPr>
        <w:footnoteRef/>
      </w:r>
      <w:r>
        <w:rPr>
          <w:sz w:val="18"/>
          <w:szCs w:val="18"/>
        </w:rPr>
        <w:t xml:space="preserve">Dansco Album Store, “Cent Dansco Albums — Large Cents, Indian Heads, Lincolns,” accessed 2026. https://www.danscoalbumstore.com/dansco-albums-cents-c-63_102.html</w:t>
      </w:r>
    </w:p>
  </w:footnote>
  <w:footnote w:id="100">
    <w:p>
      <w:r>
        <w:rPr>
          <w:rStyle w:val="FootnoteReference"/>
        </w:rPr>
        <w:footnoteRef/>
      </w:r>
      <w:r>
        <w:rPr>
          <w:sz w:val="18"/>
          <w:szCs w:val="18"/>
        </w:rPr>
        <w:t xml:space="preserve">R. S. Yeoman and Jeff Garrett (ed.), A Guide Book of United States Coins 2026 (“The Official Red Book”), 79th edition, Whitman Publishing, 2025.</w:t>
      </w:r>
    </w:p>
  </w:footnote>
  <w:footnote w:id="101">
    <w:p>
      <w:r>
        <w:rPr>
          <w:rStyle w:val="FootnoteReference"/>
        </w:rPr>
        <w:footnoteRef/>
      </w:r>
      <w:r>
        <w:rPr>
          <w:sz w:val="18"/>
          <w:szCs w:val="18"/>
        </w:rPr>
        <w:t xml:space="preserve">Arkansas Senate Bill 336 / Act (sales- and use-tax exemption for coins, currency, and bullion; effective October 1, 2021), codified at Ark. Code Ann. § 26-52-454.</w:t>
      </w:r>
    </w:p>
  </w:footnote>
  <w:footnote w:id="102">
    <w:p>
      <w:r>
        <w:rPr>
          <w:rStyle w:val="FootnoteReference"/>
        </w:rPr>
        <w:footnoteRef/>
      </w:r>
      <w:r>
        <w:rPr>
          <w:sz w:val="18"/>
          <w:szCs w:val="18"/>
        </w:rPr>
        <w:t xml:space="preserve">Arkansas House Bill 1718 (2023), eliminating state capital-gains tax on the sale or exchange of precious-metal bullion.</w:t>
      </w:r>
    </w:p>
  </w:footnote>
  <w:footnote w:id="103">
    <w:p>
      <w:r>
        <w:rPr>
          <w:rStyle w:val="FootnoteReference"/>
        </w:rPr>
        <w:footnoteRef/>
      </w:r>
      <w:r>
        <w:rPr>
          <w:sz w:val="18"/>
          <w:szCs w:val="18"/>
        </w:rPr>
        <w:t xml:space="preserve">Sound Money Defense League, “Sound Money Index” (state rankings on monetary metals policy; Arkansas ranked #5), 2025–2026. https://www.soundmoneydefense.org/sound-money-index</w:t>
      </w:r>
    </w:p>
  </w:footnote>
  <w:footnote w:id="104">
    <w:p>
      <w:r>
        <w:rPr>
          <w:rStyle w:val="FootnoteReference"/>
        </w:rPr>
        <w:footnoteRef/>
      </w:r>
      <w:r>
        <w:rPr>
          <w:sz w:val="18"/>
          <w:szCs w:val="18"/>
        </w:rPr>
        <w:t xml:space="preserve">Internal Revenue Service, Topic No. 409 — Capital Gains and Losses (28% maximum rate on collectibles, including coins). https://www.irs.gov/taxtopics/tc409</w:t>
      </w:r>
    </w:p>
  </w:footnote>
  <w:footnote w:id="105">
    <w:p>
      <w:r>
        <w:rPr>
          <w:rStyle w:val="FootnoteReference"/>
        </w:rPr>
        <w:footnoteRef/>
      </w:r>
      <w:r>
        <w:rPr>
          <w:sz w:val="18"/>
          <w:szCs w:val="18"/>
        </w:rPr>
        <w:t xml:space="preserve">Collectibles Insurance Services (CIS) / Hugh Wood Inc., collectibles and numismatic insurance coverage. https://www.collectinsure.com/</w:t>
      </w:r>
    </w:p>
  </w:footnote>
  <w:footnote w:id="106">
    <w:p>
      <w:r>
        <w:rPr>
          <w:rStyle w:val="FootnoteReference"/>
        </w:rPr>
        <w:footnoteRef/>
      </w:r>
      <w:r>
        <w:rPr>
          <w:sz w:val="18"/>
          <w:szCs w:val="18"/>
        </w:rPr>
        <w:t xml:space="preserve">PCGS, “Counterfeit Detection” resources and most-commonly-counterfeited U.S. coins. https://www.pcgs.com/counterfeitdetection</w:t>
      </w:r>
    </w:p>
  </w:footnote>
  <w:footnote w:id="107">
    <w:p>
      <w:r>
        <w:rPr>
          <w:rStyle w:val="FootnoteReference"/>
        </w:rPr>
        <w:footnoteRef/>
      </w:r>
      <w:r>
        <w:rPr>
          <w:sz w:val="18"/>
          <w:szCs w:val="18"/>
        </w:rPr>
        <w:t xml:space="preserve">Numismatic News (Active Interest Media), market commentary and price-guide reporting. https://www.numismaticnews.net/</w:t>
      </w:r>
    </w:p>
  </w:footnote>
  <w:footnote w:id="108">
    <w:p>
      <w:r>
        <w:rPr>
          <w:rStyle w:val="FootnoteReference"/>
        </w:rPr>
        <w:footnoteRef/>
      </w:r>
      <w:r>
        <w:rPr>
          <w:sz w:val="18"/>
          <w:szCs w:val="18"/>
        </w:rPr>
        <w:t xml:space="preserve">CoinWeek, numismatic news, market analysis, and auction reporting. https://coinweek.com/</w:t>
      </w:r>
    </w:p>
  </w:footnote>
  <w:footnote w:id="109">
    <w:p>
      <w:r>
        <w:rPr>
          <w:rStyle w:val="FootnoteReference"/>
        </w:rPr>
        <w:footnoteRef/>
      </w:r>
      <w:r>
        <w:rPr>
          <w:sz w:val="18"/>
          <w:szCs w:val="18"/>
        </w:rPr>
        <w:t xml:space="preserve">United States Mint, history and specifications of the Lincoln cent, including the 2009 Bicentennial reverses and the 2010+ Union Shield reverse. https://www.usmint.gov/learn/coin-and-medal-programs/circulating-coins/penny</w:t>
      </w:r>
    </w:p>
  </w:footnote>
  <w:footnote w:id="110">
    <w:p>
      <w:r>
        <w:rPr>
          <w:rStyle w:val="FootnoteReference"/>
        </w:rPr>
        <w:footnoteRef/>
      </w:r>
      <w:r>
        <w:rPr>
          <w:sz w:val="18"/>
          <w:szCs w:val="18"/>
        </w:rPr>
        <w:t xml:space="preserve">United States Mint, composition history of the cent (95% copper pre-1982; copper-plated zinc 1982–present) and the 1943 zinc-coated steel / 1943 bronze and 1944 steel transitional errors. https://www.usmint.gov/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jc w:val="right"/>
    </w:pPr>
    <w:r>
      <w:rPr>
        <w:rFonts w:ascii="Arial" w:cs="Arial" w:eastAsia="Arial" w:hAnsi="Arial"/>
        <w:color w:val="888888"/>
        <w:sz w:val="16"/>
        <w:szCs w:val="16"/>
      </w:rPr>
      <w:t xml:space="preserve">Numismatics as an Alternative Investment — Garcia / NWA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5496"/>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333333"/>
      <w:sz w:val="22"/>
      <w:szCs w:val="22"/>
    </w:rPr>
  </w:style>
  <w:style w:type="paragraph" w:styleId="Hyperlink">
    <w:name w:val="Hyperlink"/>
    <w:basedOn w:val="Normal"/>
    <w:rPr>
      <w:color w:val="1155CC"/>
      <w:u w:val="single"/>
    </w:rPr>
  </w:style>
  <w:style w:type="paragraph" w:styleId="FootnoteText">
    <w:name w:val="Footnote Text"/>
    <w:basedOn w:val="Normal"/>
    <w:pPr>
      <w:spacing w:after="40" w:line="240"/>
    </w:pPr>
    <w:rPr>
      <w:rFonts w:ascii="Georgia" w:cs="Georgia" w:eastAsia="Georgia" w:hAnsi="Georgi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zlndxbgcsdkvou7hrbk" Type="http://schemas.openxmlformats.org/officeDocument/2006/relationships/hyperlink" Target="https://www.usmint.gov/news/press-releases/united-states-mint-hosts-historic-ceremonial-strike-for-final-production-of-the-circulating-one-cent-coin" TargetMode="External"/><Relationship Id="rId3-v5xohy8uzprxl9vzp91" Type="http://schemas.openxmlformats.org/officeDocument/2006/relationships/hyperlink" Target="https://www.usmint.gov/news/media-kit/penny" TargetMode="External"/><Relationship Id="rIdoep9wsd9ugk9uph73kzp8" Type="http://schemas.openxmlformats.org/officeDocument/2006/relationships/hyperlink" Target="https://www.coinnews.net/" TargetMode="External"/><Relationship Id="rIdobi6e3qdxvo9f7motmfms" Type="http://schemas.openxmlformats.org/officeDocument/2006/relationships/hyperlink" Target="https://www.cnbc.com/2025/11/19/us-mints-final-penny.html" TargetMode="External"/><Relationship Id="rIdzz26n_nxxhdav8oulyih4" Type="http://schemas.openxmlformats.org/officeDocument/2006/relationships/hyperlink" Target="https://en.wikipedia.org/wiki/Penny_debate_in_the_United_States" TargetMode="External"/><Relationship Id="rIdnhfajshhnwruquqkqdiez" Type="http://schemas.openxmlformats.org/officeDocument/2006/relationships/hyperlink" Target="https://en.wikipedia.org/wiki/Penny_(Canadian_coin)" TargetMode="External"/><Relationship Id="rIdjg3tldkweokgyatxbtpa_" Type="http://schemas.openxmlformats.org/officeDocument/2006/relationships/hyperlink" Target="https://coin-identifier.com/blog/coins-overview/most-valuable-canadian-pennies" TargetMode="External"/><Relationship Id="rIdum0sj0wtl8qpg57md7l6r" Type="http://schemas.openxmlformats.org/officeDocument/2006/relationships/hyperlink" Target="https://cdncoin.com/en-us/products/2012-1-cent-cent-steel-10-rol" TargetMode="External"/><Relationship Id="rIds2umd2pcjxewacswo6gyw" Type="http://schemas.openxmlformats.org/officeDocument/2006/relationships/hyperlink" Target="https://www.blanchardgold.com/wp-content/uploads/2017/02/blanchard_lombra_report_2016.pdf" TargetMode="External"/><Relationship Id="rIdj8zfdwmzb8mlirkcf7i4t" Type="http://schemas.openxmlformats.org/officeDocument/2006/relationships/hyperlink" Target="https://papers.ssrn.com/sol3/papers.cfm?abstract_id=2319338" TargetMode="External"/><Relationship Id="rId5akm1rrtzm6lau4gw_rlk" Type="http://schemas.openxmlformats.org/officeDocument/2006/relationships/hyperlink" Target="https://www.pcgs.com/prices/pcgs3000" TargetMode="External"/><Relationship Id="rId0fv3octpzjlc_c0gnukq1" Type="http://schemas.openxmlformats.org/officeDocument/2006/relationships/hyperlink" Target="https://www.pcgs.com/prices" TargetMode="External"/><Relationship Id="rId3iinedo96z4udgy115d_l" Type="http://schemas.openxmlformats.org/officeDocument/2006/relationships/hyperlink" Target="https://planetbanknote.com/banknote-blog/beyond-gold-silver-unlocking-the-hidden-value-of-numismatic-assets-for-your-portfolio/" TargetMode="External"/><Relationship Id="rIddl8s_lxe8tr24ccg_a2tx" Type="http://schemas.openxmlformats.org/officeDocument/2006/relationships/hyperlink" Target="https://www.ainvest.com/news/rare-coins-niche-opportunity-undervalued-asset-class-2507/" TargetMode="External"/><Relationship Id="rIdiydmk9cie03o8e3rl-vvf" Type="http://schemas.openxmlformats.org/officeDocument/2006/relationships/hyperlink" Target="https://amac.us/blog/finance/todays-market-crisis-resembles-other-super-bullish-gold-and-silver-rare-coin-markets/" TargetMode="External"/><Relationship Id="rIdczl5ep1nahs14d2jy4frw" Type="http://schemas.openxmlformats.org/officeDocument/2006/relationships/hyperlink" Target="https://shopglobalcoin.com/blogs/blog/rare-coin-investment-comprehensive-analysis-of-market-trends-for-ultra-wealthy-investors" TargetMode="External"/><Relationship Id="rIdi5gt4xdxxz1mzxmowk_lq" Type="http://schemas.openxmlformats.org/officeDocument/2006/relationships/hyperlink" Target="https://www.pcgs.com/grades" TargetMode="External"/><Relationship Id="rId6eadiedihqge0zga7xm3n" Type="http://schemas.openxmlformats.org/officeDocument/2006/relationships/hyperlink" Target="https://www.ngccoin.com/coin-grading/grading-scale/" TargetMode="External"/><Relationship Id="rId7sq1mkeumwcudyp0jhkle" Type="http://schemas.openxmlformats.org/officeDocument/2006/relationships/hyperlink" Target="https://learn.apmex.com/answers/what-is-cacg-coin-grading/" TargetMode="External"/><Relationship Id="rId3r9sb2mlninace-rmrsbr" Type="http://schemas.openxmlformats.org/officeDocument/2006/relationships/hyperlink" Target="https://www.pcgs.com/prices/pricesfees" TargetMode="External"/><Relationship Id="rId15ubxxvedcndemhxraeve" Type="http://schemas.openxmlformats.org/officeDocument/2006/relationships/hyperlink" Target="https://www.ngccoin.com/coin-grading/fees/" TargetMode="External"/><Relationship Id="rIdyj2ksi8pxewwuuokjmdzy" Type="http://schemas.openxmlformats.org/officeDocument/2006/relationships/hyperlink" Target="https://stonexbullion.com/en/blog/how-much-does-it-cost-to-grade-a-coin/" TargetMode="External"/><Relationship Id="rIdgxa9xlbufdobdop7qlbsa" Type="http://schemas.openxmlformats.org/officeDocument/2006/relationships/hyperlink" Target="https://www.coingraderai.com/coin-grading-cost" TargetMode="External"/><Relationship Id="rIdtifgtlx-lbvg5djgu4zjb" Type="http://schemas.openxmlformats.org/officeDocument/2006/relationships/hyperlink" Target="https://www.pcgs.com/bulk" TargetMode="External"/><Relationship Id="rIdggaq_ou-v7ifxyy_nn_eb" Type="http://schemas.openxmlformats.org/officeDocument/2006/relationships/hyperlink" Target="https://www.ngccoin.com/" TargetMode="External"/><Relationship Id="rId0hcdtfkmcmewsyydadhj3" Type="http://schemas.openxmlformats.org/officeDocument/2006/relationships/hyperlink" Target="https://www.anacs.com/" TargetMode="External"/><Relationship Id="rIdmhzjxji1xinsjhmduc-j1" Type="http://schemas.openxmlformats.org/officeDocument/2006/relationships/hyperlink" Target="https://www.blanchardgold.com/" TargetMode="External"/><Relationship Id="rIdhirldnh84vmqj0-8c71ya" Type="http://schemas.openxmlformats.org/officeDocument/2006/relationships/hyperlink" Target="https://www.pcgs.com/coinfacts/coin/1909-s-vdb-1c/2428" TargetMode="External"/><Relationship Id="rIdwavlcdwvlifespoqr0v7u" Type="http://schemas.openxmlformats.org/officeDocument/2006/relationships/hyperlink" Target="https://bullionsharks.com/1909-s-wheat-penny-vdb/" TargetMode="External"/><Relationship Id="rIdnstkz8h8a8vhxaff1xi7a" Type="http://schemas.openxmlformats.org/officeDocument/2006/relationships/hyperlink" Target="https://www.gainesvillecoins.com/blog/1909-s-vdb-penny-value" TargetMode="External"/><Relationship Id="rIdxlr1fzpjbzsnkxtt3gdv0" Type="http://schemas.openxmlformats.org/officeDocument/2006/relationships/hyperlink" Target="https://coin-identifier.com/blog/coins-overview/1909-vdb-penny-value" TargetMode="External"/><Relationship Id="rId4na9buwnl8jwzwwgelx2c" Type="http://schemas.openxmlformats.org/officeDocument/2006/relationships/hyperlink" Target="https://coins.ha.com/" TargetMode="External"/><Relationship Id="rIdznks-_tzhvnw4smmcnbsx" Type="http://schemas.openxmlformats.org/officeDocument/2006/relationships/hyperlink" Target="https://www.pcgs.com/coinfacts/coin/1914-d-1c/2471" TargetMode="External"/><Relationship Id="rIdclukdmafcusj-swhjz1eq" Type="http://schemas.openxmlformats.org/officeDocument/2006/relationships/hyperlink" Target="https://www.pcgs.com/coinfacts/coin/1922-no-d-strong-reverse-1c/2540" TargetMode="External"/><Relationship Id="rIdxqkwbtebitqeg9nbyoben" Type="http://schemas.openxmlformats.org/officeDocument/2006/relationships/hyperlink" Target="https://coins.ha.com/" TargetMode="External"/><Relationship Id="rId5ej5y5kr6sxkktmk4ijl-" Type="http://schemas.openxmlformats.org/officeDocument/2006/relationships/hyperlink" Target="https://coins.ha.com/" TargetMode="External"/><Relationship Id="rId_orgpbwymvxu-3iviqivs" Type="http://schemas.openxmlformats.org/officeDocument/2006/relationships/hyperlink" Target="https://coins.ha.com/" TargetMode="External"/><Relationship Id="rIdseuocnxrajq0e-r2esvbs" Type="http://schemas.openxmlformats.org/officeDocument/2006/relationships/hyperlink" Target="https://www.greatcollections.com/" TargetMode="External"/><Relationship Id="rIdg2byjrq11q28hnnhu-b7x" Type="http://schemas.openxmlformats.org/officeDocument/2006/relationships/hyperlink" Target="https://www.stacksbowers.com/" TargetMode="External"/><Relationship Id="rIdym2golxwve2momywimsbc" Type="http://schemas.openxmlformats.org/officeDocument/2006/relationships/hyperlink" Target="https://www.pcgs.com/coinfacts" TargetMode="External"/><Relationship Id="rIdvodxje0hf85-ilqqlsdxq" Type="http://schemas.openxmlformats.org/officeDocument/2006/relationships/hyperlink" Target="https://www.pcgs.com/coinfacts" TargetMode="External"/><Relationship Id="rIdkphzfdlzk-twewcc_cpju" Type="http://schemas.openxmlformats.org/officeDocument/2006/relationships/hyperlink" Target="https://www.pcgs.com/" TargetMode="External"/><Relationship Id="rIdouc7ko8fqyhf-cmxugl4d" Type="http://schemas.openxmlformats.org/officeDocument/2006/relationships/hyperlink" Target="https://www.pcgs.com/coinfacts/category/twenty-cent-1875-1878/27" TargetMode="External"/><Relationship Id="rIdv2ilpbyiuolxxeht7dfs5" Type="http://schemas.openxmlformats.org/officeDocument/2006/relationships/hyperlink" Target="https://www.pcgs.com/coinfacts" TargetMode="External"/><Relationship Id="rIdjpidqinv38lb1cjhuyse7" Type="http://schemas.openxmlformats.org/officeDocument/2006/relationships/hyperlink" Target="https://www.legendnumismatics.com/" TargetMode="External"/><Relationship Id="rIddt6glcxs2lcafjn3pukyo" Type="http://schemas.openxmlformats.org/officeDocument/2006/relationships/hyperlink" Target="https://coins.ha.com/" TargetMode="External"/><Relationship Id="rIdcsvzqd-uagya3ed4fe7ww" Type="http://schemas.openxmlformats.org/officeDocument/2006/relationships/hyperlink" Target="https://www.pcgs.com/coinfacts/coin/1926-s-5c/3942" TargetMode="External"/><Relationship Id="rIdludbkyb7x7vttqo0f1uas" Type="http://schemas.openxmlformats.org/officeDocument/2006/relationships/hyperlink" Target="https://curiocomp.com/coins/1916-d-mercury-dime" TargetMode="External"/><Relationship Id="rIduckjcrmdkatpshcdo5e3q" Type="http://schemas.openxmlformats.org/officeDocument/2006/relationships/hyperlink" Target="https://mercurydimeworth.com/" TargetMode="External"/><Relationship Id="rId6us9zx9eqzmciv6ba_nsg" Type="http://schemas.openxmlformats.org/officeDocument/2006/relationships/hyperlink" Target="https://www.gainesvillecoins.com/blog/key-date-mercury-dimes" TargetMode="External"/><Relationship Id="rIdls6yregonk4rdi0u0ozt-" Type="http://schemas.openxmlformats.org/officeDocument/2006/relationships/hyperlink" Target="https://www.pcgs.com/coinfacts" TargetMode="External"/><Relationship Id="rIdcp3km5q8jh_giwp55tfre" Type="http://schemas.openxmlformats.org/officeDocument/2006/relationships/hyperlink" Target="https://www.pcgs.com/coinfacts/category/walking-liberty-half-dollar-1916-1947/755" TargetMode="External"/><Relationship Id="rIdmnws-ubbpv-fg-aounhqt" Type="http://schemas.openxmlformats.org/officeDocument/2006/relationships/hyperlink" Target="https://www.pcgs.com/coinfacts/category/morgan-dollar-1878-1921/744" TargetMode="External"/><Relationship Id="rIdbkeenmx9wfj09knqbvcbz" Type="http://schemas.openxmlformats.org/officeDocument/2006/relationships/hyperlink" Target="https://www.pcgs.com/news/coti-1889-cc-morgan-dollar-pcgs-ms64" TargetMode="External"/><Relationship Id="rIdkw8w-emkcjcbovlnr18vs" Type="http://schemas.openxmlformats.org/officeDocument/2006/relationships/hyperlink" Target="https://www.pcgs.com/coinfacts" TargetMode="External"/><Relationship Id="rIdr5qz6xamwah-b4cxslcsn" Type="http://schemas.openxmlformats.org/officeDocument/2006/relationships/hyperlink" Target="https://www.southgatecoins.com/gsa-carson-city-hoard-history" TargetMode="External"/><Relationship Id="rIdtq-ms1f1afynd-6wkgrwz" Type="http://schemas.openxmlformats.org/officeDocument/2006/relationships/hyperlink" Target="https://www.pcgs.com/news/majestic-1933-saint-gaudens-double-eagle" TargetMode="External"/><Relationship Id="rIdvn35fjfenqswuhqjd4d4z" Type="http://schemas.openxmlformats.org/officeDocument/2006/relationships/hyperlink" Target="https://www.coinworld.com/news/us-coins/1933-double-eagle-tops-18-point-8-million-dollars-for-new-record" TargetMode="External"/><Relationship Id="rIdzwie5ittnzmcnxaehso6a" Type="http://schemas.openxmlformats.org/officeDocument/2006/relationships/hyperlink" Target="https://www.sothebys.com/" TargetMode="External"/><Relationship Id="rIdm310lvtajdcxkrmsbd4ib" Type="http://schemas.openxmlformats.org/officeDocument/2006/relationships/hyperlink" Target="https://www.gainesvillecoins.com/blog/dates-silver-eagle" TargetMode="External"/><Relationship Id="rIdvvp-d5rp5yiidq8xhnfwn" Type="http://schemas.openxmlformats.org/officeDocument/2006/relationships/hyperlink" Target="https://mintbuilder.com/blog/american-silver-eagle" TargetMode="External"/><Relationship Id="rIdotma019qkzw72e0oovfri" Type="http://schemas.openxmlformats.org/officeDocument/2006/relationships/hyperlink" Target="https://www.apmex.com/" TargetMode="External"/><Relationship Id="rIdh8un0b8lxiwru57cfuoxo" Type="http://schemas.openxmlformats.org/officeDocument/2006/relationships/hyperlink" Target="https://findbullionprices.com/silver-coin-melt-values" TargetMode="External"/><Relationship Id="rIda7unki9ensle9prd4lyuc" Type="http://schemas.openxmlformats.org/officeDocument/2006/relationships/hyperlink" Target="https://www.usacoinbook.com/" TargetMode="External"/><Relationship Id="rIdtcnsxvzzjipkm8zg10oiy" Type="http://schemas.openxmlformats.org/officeDocument/2006/relationships/hyperlink" Target="https://usgoldandcoin.com/tools/silver-melt-value-calculator" TargetMode="External"/><Relationship Id="rIdq6waefwqt7lhepk9gu5ai" Type="http://schemas.openxmlformats.org/officeDocument/2006/relationships/hyperlink" Target="https://coin-dealer-directory.money.org/arkansas" TargetMode="External"/><Relationship Id="rIdssp4tudm-yly_egiw9j8y" Type="http://schemas.openxmlformats.org/officeDocument/2006/relationships/hyperlink" Target="https://www.nwacoinclub.com/" TargetMode="External"/><Relationship Id="rId6d-klh6jeaiptb1ea5ltx" Type="http://schemas.openxmlformats.org/officeDocument/2006/relationships/hyperlink" Target="https://coinandcurrencynwa.com/" TargetMode="External"/><Relationship Id="rIdk6qt7mo3ekhi-imxmk2va" Type="http://schemas.openxmlformats.org/officeDocument/2006/relationships/hyperlink" Target="https://www.pngdealers.org/" TargetMode="External"/><Relationship Id="rIdecfzlqne05nzrefzwyqfq" Type="http://schemas.openxmlformats.org/officeDocument/2006/relationships/hyperlink" Target="https://www.ha.com/" TargetMode="External"/><Relationship Id="rId7qhrclz9blvlha3rstl1_" Type="http://schemas.openxmlformats.org/officeDocument/2006/relationships/hyperlink" Target="https://forums.collectors.com/discussion/1119001/heritage-bp-increasing-to-22-1-1-26-for-us-coins" TargetMode="External"/><Relationship Id="rIdc52mdjemii7zirxczirnd" Type="http://schemas.openxmlformats.org/officeDocument/2006/relationships/hyperlink" Target="https://www.uscoinshows.com/learn/selling-coins/coin-auction-houses" TargetMode="External"/><Relationship Id="rIdiyrwbtkrr6hx6txledzvy" Type="http://schemas.openxmlformats.org/officeDocument/2006/relationships/hyperlink" Target="https://collectorscoincorner.com/auction-buying/" TargetMode="External"/><Relationship Id="rIdrkbpu4vecinllh25nj8tk" Type="http://schemas.openxmlformats.org/officeDocument/2006/relationships/hyperlink" Target="https://www.greatcollections.com/" TargetMode="External"/><Relationship Id="rId_ytjhhwuyrgebuiteo1bu" Type="http://schemas.openxmlformats.org/officeDocument/2006/relationships/hyperlink" Target="https://www.stacksbowers.com/" TargetMode="External"/><Relationship Id="rIdziznhflcyktpa4p0e8yv8" Type="http://schemas.openxmlformats.org/officeDocument/2006/relationships/hyperlink" Target="https://www.davidlawrence.com/" TargetMode="External"/><Relationship Id="rIdsfufirwjkewauoy5tdckx" Type="http://schemas.openxmlformats.org/officeDocument/2006/relationships/hyperlink" Target="https://www.greysheet.com/" TargetMode="External"/><Relationship Id="rIdlxtkipd8ordn1-t5rc3qm" Type="http://schemas.openxmlformats.org/officeDocument/2006/relationships/hyperlink" Target="https://www.ebay.com/" TargetMode="External"/><Relationship Id="rId81pk1qr6vwyj23_zx0mmq" Type="http://schemas.openxmlformats.org/officeDocument/2006/relationships/hyperlink" Target="https://www.thecoinauthority.com/danscoreg-albums-c-119_144_170/" TargetMode="External"/><Relationship Id="rIdlplpmgclfrk7nbygok_bo" Type="http://schemas.openxmlformats.org/officeDocument/2006/relationships/hyperlink" Target="https://www.danscoalbumstore.com/dansco-albums-cents-c-63_102.html" TargetMode="External"/><Relationship Id="rIda708gbqxqlzae37zjxjh1" Type="http://schemas.openxmlformats.org/officeDocument/2006/relationships/hyperlink" Target="https://www.soundmoneydefense.org/sound-money-index" TargetMode="External"/><Relationship Id="rIdiv3gr34nqfjrfuktrvwco" Type="http://schemas.openxmlformats.org/officeDocument/2006/relationships/hyperlink" Target="https://www.irs.gov/taxtopics/tc409" TargetMode="External"/><Relationship Id="rIdtlm0c0wzddnfyscuh9k3i" Type="http://schemas.openxmlformats.org/officeDocument/2006/relationships/hyperlink" Target="https://www.collectinsure.com/" TargetMode="External"/><Relationship Id="rIddxpihctlmfe0nihw7yieb" Type="http://schemas.openxmlformats.org/officeDocument/2006/relationships/hyperlink" Target="https://www.pcgs.com/counterfeitdetection" TargetMode="External"/><Relationship Id="rIdxux2kupizcwmf1yef5oni" Type="http://schemas.openxmlformats.org/officeDocument/2006/relationships/hyperlink" Target="https://www.numismaticnews.net/" TargetMode="External"/><Relationship Id="rIdgpgs2drtbymxoeug9enu8" Type="http://schemas.openxmlformats.org/officeDocument/2006/relationships/hyperlink" Target="https://coinweek.com/" TargetMode="External"/><Relationship Id="rIdtoyxhdf-0og8o2tudlmrr" Type="http://schemas.openxmlformats.org/officeDocument/2006/relationships/hyperlink" Target="https://www.usmint.gov/learn/coin-and-medal-programs/circulating-coins/penny" TargetMode="External"/><Relationship Id="rIdhzivivpvwz2_kdzbktq6d" Type="http://schemas.openxmlformats.org/officeDocument/2006/relationships/hyperlink" Target="https://www.usmint.gov/" TargetMode="External"/><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 Collecting, Grading, and Numismatics as an Alternative Investment</dc:title>
  <dc:creator>Prepared for Maximiliano Garcia</dc:creator>
  <dc:description>Research brief and acquisition plan for the Northwest Arkansas collector</dc:description>
  <cp:lastModifiedBy>Un-named</cp:lastModifiedBy>
  <cp:revision>1</cp:revision>
  <dcterms:created xsi:type="dcterms:W3CDTF">2026-06-19T21:38:45.926Z</dcterms:created>
  <dcterms:modified xsi:type="dcterms:W3CDTF">2026-06-19T21:38:45.926Z</dcterms:modified>
</cp:coreProperties>
</file>

<file path=docProps/custom.xml><?xml version="1.0" encoding="utf-8"?>
<Properties xmlns="http://schemas.openxmlformats.org/officeDocument/2006/custom-properties" xmlns:vt="http://schemas.openxmlformats.org/officeDocument/2006/docPropsVTypes"/>
</file>