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footnotes.xml" ContentType="application/vnd.openxmlformats-officedocument.wordprocessingml.footnotes+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spacing w:before="0" w:after="70"/>
        <w:jc w:val="center"/>
        <w:rPr/>
      </w:pPr>
      <w:r>
        <w:rPr>
          <w:b/>
          <w:bCs/>
          <w:color w:val="1F3A5F"/>
          <w:sz w:val="38"/>
          <w:szCs w:val="38"/>
        </w:rPr>
        <w:t>THE MATHEMATICS, THEORY, AND PSYCHOLOGY</w:t>
      </w:r>
    </w:p>
    <w:p>
      <w:pPr>
        <w:pStyle w:val="Normal"/>
        <w:spacing w:before="0" w:after="220"/>
        <w:jc w:val="center"/>
        <w:rPr/>
      </w:pPr>
      <w:r>
        <w:rPr>
          <w:b/>
          <w:bCs/>
          <w:color w:val="1F3A5F"/>
          <w:sz w:val="38"/>
          <w:szCs w:val="38"/>
        </w:rPr>
        <w:t>OF CASINO GAMBLING</w:t>
      </w:r>
    </w:p>
    <w:p>
      <w:pPr>
        <w:pStyle w:val="Normal"/>
        <w:pBdr>
          <w:top w:val="single" w:sz="8" w:space="10" w:color="2E5984"/>
          <w:bottom w:val="single" w:sz="8" w:space="10" w:color="2E5984"/>
        </w:pBdr>
        <w:spacing w:before="60" w:after="60"/>
        <w:jc w:val="center"/>
        <w:rPr/>
      </w:pPr>
      <w:r>
        <w:rPr>
          <w:i/>
          <w:iCs/>
          <w:color w:val="44546A"/>
          <w:sz w:val="23"/>
          <w:szCs w:val="23"/>
        </w:rPr>
        <w:t>A Survey of Game Theory, Expected Value, Bankroll Dynamics, and Behavioral Decision-Making Across House-Banked and Player-Banked Games</w:t>
      </w:r>
    </w:p>
    <w:p>
      <w:pPr>
        <w:pStyle w:val="Normal"/>
        <w:spacing w:before="520" w:after="0"/>
        <w:jc w:val="center"/>
        <w:rPr/>
      </w:pPr>
      <w:r>
        <w:rPr>
          <w:color w:val="44546A"/>
          <w:sz w:val="24"/>
          <w:szCs w:val="24"/>
        </w:rPr>
        <w:t>A Research Monograph</w:t>
      </w:r>
    </w:p>
    <w:p>
      <w:pPr>
        <w:pStyle w:val="Normal"/>
        <w:spacing w:before="1400" w:after="0"/>
        <w:jc w:val="center"/>
        <w:rPr/>
      </w:pPr>
      <w:r>
        <w:rPr>
          <w:color w:val="44546A"/>
          <w:sz w:val="19"/>
          <w:szCs w:val="19"/>
        </w:rPr>
        <w:t>Compiled for</w:t>
      </w:r>
    </w:p>
    <w:p>
      <w:pPr>
        <w:pStyle w:val="Normal"/>
        <w:spacing w:before="40" w:after="0"/>
        <w:jc w:val="center"/>
        <w:rPr/>
      </w:pPr>
      <w:r>
        <w:rPr>
          <w:b/>
          <w:bCs/>
          <w:color w:val="1F3A5F"/>
          <w:sz w:val="26"/>
          <w:szCs w:val="26"/>
        </w:rPr>
        <w:t>Maximiliano Garcia</w:t>
      </w:r>
    </w:p>
    <w:p>
      <w:pPr>
        <w:pStyle w:val="Normal"/>
        <w:spacing w:before="560" w:after="0"/>
        <w:jc w:val="center"/>
        <w:rPr/>
      </w:pPr>
      <w:r>
        <w:rPr>
          <w:color w:val="44546A"/>
          <w:sz w:val="18"/>
          <w:szCs w:val="18"/>
        </w:rPr>
        <w:t>127 cited academic and expert sources</w:t>
      </w:r>
    </w:p>
    <w:p>
      <w:pPr>
        <w:pStyle w:val="Normal"/>
        <w:spacing w:before="36" w:after="0"/>
        <w:jc w:val="center"/>
        <w:rPr/>
      </w:pPr>
      <w:r>
        <w:rPr>
          <w:color w:val="44546A"/>
          <w:sz w:val="18"/>
          <w:szCs w:val="18"/>
        </w:rPr>
        <w:t>June 2026</w:t>
      </w:r>
    </w:p>
    <w:p>
      <w:pPr>
        <w:pStyle w:val="Normal"/>
        <w:spacing w:before="820" w:after="0"/>
        <w:jc w:val="center"/>
        <w:rPr/>
      </w:pPr>
      <w:r>
        <w:rPr>
          <w:color w:val="44546A"/>
          <w:sz w:val="19"/>
          <w:szCs w:val="19"/>
        </w:rPr>
        <w:t>Patience pays. 🦞</w:t>
      </w:r>
    </w:p>
    <w:p>
      <w:pPr>
        <w:pStyle w:val="Normal"/>
        <w:rPr/>
      </w:pPr>
      <w:r>
        <w:rPr/>
      </w:r>
      <w:r>
        <w:br w:type="page"/>
      </w:r>
    </w:p>
    <w:p>
      <w:pPr>
        <w:pStyle w:val="Normal"/>
        <w:spacing w:before="0" w:after="200"/>
        <w:rPr/>
      </w:pPr>
      <w:r>
        <w:rPr>
          <w:b/>
          <w:bCs/>
          <w:color w:val="1F3A5F"/>
          <w:sz w:val="32"/>
          <w:szCs w:val="32"/>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2509_617431631">
            <w:r>
              <w:rPr>
                <w:rStyle w:val="IndexLink"/>
              </w:rPr>
              <w:t>Abstract</w:t>
              <w:tab/>
              <w:t>4</w:t>
            </w:r>
          </w:hyperlink>
        </w:p>
        <w:p>
          <w:pPr>
            <w:pStyle w:val="TOC2"/>
            <w:tabs>
              <w:tab w:val="clear" w:pos="9077"/>
              <w:tab w:val="right" w:pos="9359" w:leader="dot"/>
            </w:tabs>
            <w:rPr/>
          </w:pPr>
          <w:hyperlink w:anchor="__RefHeading___Toc2511_617431631">
            <w:r>
              <w:rPr>
                <w:rStyle w:val="IndexLink"/>
              </w:rPr>
              <w:t>A note on sources and figures</w:t>
              <w:tab/>
              <w:t>4</w:t>
            </w:r>
          </w:hyperlink>
        </w:p>
        <w:p>
          <w:pPr>
            <w:pStyle w:val="TOC1"/>
            <w:tabs>
              <w:tab w:val="clear" w:pos="9360"/>
              <w:tab w:val="right" w:pos="9359" w:leader="dot"/>
            </w:tabs>
            <w:rPr/>
          </w:pPr>
          <w:hyperlink w:anchor="__RefHeading___Toc2513_617431631">
            <w:r>
              <w:rPr>
                <w:rStyle w:val="IndexLink"/>
              </w:rPr>
              <w:t>1. Foundations: Expected Value, Variance, and the House Edge</w:t>
              <w:tab/>
              <w:t>5</w:t>
            </w:r>
          </w:hyperlink>
        </w:p>
        <w:p>
          <w:pPr>
            <w:pStyle w:val="TOC2"/>
            <w:tabs>
              <w:tab w:val="clear" w:pos="9077"/>
              <w:tab w:val="right" w:pos="9359" w:leader="dot"/>
            </w:tabs>
            <w:rPr/>
          </w:pPr>
          <w:hyperlink w:anchor="__RefHeading___Toc2515_617431631">
            <w:r>
              <w:rPr>
                <w:rStyle w:val="IndexLink"/>
              </w:rPr>
              <w:t>1.1 The casino wager as a priced instrument</w:t>
              <w:tab/>
              <w:t>5</w:t>
            </w:r>
          </w:hyperlink>
        </w:p>
        <w:p>
          <w:pPr>
            <w:pStyle w:val="TOC2"/>
            <w:tabs>
              <w:tab w:val="clear" w:pos="9077"/>
              <w:tab w:val="right" w:pos="9359" w:leader="dot"/>
            </w:tabs>
            <w:rPr/>
          </w:pPr>
          <w:hyperlink w:anchor="__RefHeading___Toc2517_617431631">
            <w:r>
              <w:rPr>
                <w:rStyle w:val="IndexLink"/>
              </w:rPr>
              <w:t>1.2 House edge, element of risk, and hold</w:t>
              <w:tab/>
              <w:t>5</w:t>
            </w:r>
          </w:hyperlink>
        </w:p>
        <w:p>
          <w:pPr>
            <w:pStyle w:val="TOC2"/>
            <w:tabs>
              <w:tab w:val="clear" w:pos="9077"/>
              <w:tab w:val="right" w:pos="9359" w:leader="dot"/>
            </w:tabs>
            <w:rPr/>
          </w:pPr>
          <w:hyperlink w:anchor="__RefHeading___Toc2519_617431631">
            <w:r>
              <w:rPr>
                <w:rStyle w:val="IndexLink"/>
              </w:rPr>
              <w:t>1.3 Variance and why the short run is not the long run</w:t>
              <w:tab/>
              <w:t>6</w:t>
            </w:r>
          </w:hyperlink>
        </w:p>
        <w:p>
          <w:pPr>
            <w:pStyle w:val="TOC3"/>
            <w:tabs>
              <w:tab w:val="clear" w:pos="8793"/>
              <w:tab w:val="right" w:pos="9359" w:leader="dot"/>
            </w:tabs>
            <w:rPr/>
          </w:pPr>
          <w:hyperlink w:anchor="__RefHeading___Toc2521_617431631">
            <w:r>
              <w:rPr>
                <w:rStyle w:val="IndexLink"/>
              </w:rPr>
              <w:t>A worked example: the normal approximation over a session</w:t>
              <w:tab/>
              <w:t>6</w:t>
            </w:r>
          </w:hyperlink>
        </w:p>
        <w:p>
          <w:pPr>
            <w:pStyle w:val="TOC2"/>
            <w:tabs>
              <w:tab w:val="clear" w:pos="9077"/>
              <w:tab w:val="right" w:pos="9359" w:leader="dot"/>
            </w:tabs>
            <w:rPr/>
          </w:pPr>
          <w:hyperlink w:anchor="__RefHeading___Toc2523_617431631">
            <w:r>
              <w:rPr>
                <w:rStyle w:val="IndexLink"/>
              </w:rPr>
              <w:t>1.4 Independent versus dependent trials</w:t>
              <w:tab/>
              <w:t>7</w:t>
            </w:r>
          </w:hyperlink>
        </w:p>
        <w:p>
          <w:pPr>
            <w:pStyle w:val="TOC1"/>
            <w:tabs>
              <w:tab w:val="clear" w:pos="9360"/>
              <w:tab w:val="right" w:pos="9359" w:leader="dot"/>
            </w:tabs>
            <w:rPr/>
          </w:pPr>
          <w:hyperlink w:anchor="__RefHeading___Toc2525_617431631">
            <w:r>
              <w:rPr>
                <w:rStyle w:val="IndexLink"/>
              </w:rPr>
              <w:t>2. A Game-by-Game Mathematical Audit</w:t>
              <w:tab/>
              <w:t>8</w:t>
            </w:r>
          </w:hyperlink>
        </w:p>
        <w:p>
          <w:pPr>
            <w:pStyle w:val="TOC2"/>
            <w:tabs>
              <w:tab w:val="clear" w:pos="9077"/>
              <w:tab w:val="right" w:pos="9359" w:leader="dot"/>
            </w:tabs>
            <w:rPr/>
          </w:pPr>
          <w:hyperlink w:anchor="__RefHeading___Toc2527_617431631">
            <w:r>
              <w:rPr>
                <w:rStyle w:val="IndexLink"/>
              </w:rPr>
              <w:t>2.1 Baccarat: the fixed-tableau game</w:t>
              <w:tab/>
              <w:t>9</w:t>
            </w:r>
          </w:hyperlink>
        </w:p>
        <w:p>
          <w:pPr>
            <w:pStyle w:val="TOC2"/>
            <w:tabs>
              <w:tab w:val="clear" w:pos="9077"/>
              <w:tab w:val="right" w:pos="9359" w:leader="dot"/>
            </w:tabs>
            <w:rPr/>
          </w:pPr>
          <w:hyperlink w:anchor="__RefHeading___Toc2529_617431631">
            <w:r>
              <w:rPr>
                <w:rStyle w:val="IndexLink"/>
              </w:rPr>
              <w:t>2.2 Roulette: the partage exception</w:t>
              <w:tab/>
              <w:t>9</w:t>
            </w:r>
          </w:hyperlink>
        </w:p>
        <w:p>
          <w:pPr>
            <w:pStyle w:val="TOC2"/>
            <w:tabs>
              <w:tab w:val="clear" w:pos="9077"/>
              <w:tab w:val="right" w:pos="9359" w:leader="dot"/>
            </w:tabs>
            <w:rPr/>
          </w:pPr>
          <w:hyperlink w:anchor="__RefHeading___Toc2531_617431631">
            <w:r>
              <w:rPr>
                <w:rStyle w:val="IndexLink"/>
              </w:rPr>
              <w:t>2.3 Craps: the zero-edge odds bet</w:t>
              <w:tab/>
              <w:t>10</w:t>
            </w:r>
          </w:hyperlink>
        </w:p>
        <w:p>
          <w:pPr>
            <w:pStyle w:val="TOC2"/>
            <w:tabs>
              <w:tab w:val="clear" w:pos="9077"/>
              <w:tab w:val="right" w:pos="9359" w:leader="dot"/>
            </w:tabs>
            <w:rPr/>
          </w:pPr>
          <w:hyperlink w:anchor="__RefHeading___Toc2533_617431631">
            <w:r>
              <w:rPr>
                <w:rStyle w:val="IndexLink"/>
              </w:rPr>
              <w:t>2.4 The proprietary and carnival games</w:t>
              <w:tab/>
              <w:t>10</w:t>
            </w:r>
          </w:hyperlink>
        </w:p>
        <w:p>
          <w:pPr>
            <w:pStyle w:val="TOC1"/>
            <w:tabs>
              <w:tab w:val="clear" w:pos="9360"/>
              <w:tab w:val="right" w:pos="9359" w:leader="dot"/>
            </w:tabs>
            <w:rPr/>
          </w:pPr>
          <w:hyperlink w:anchor="__RefHeading___Toc2535_617431631">
            <w:r>
              <w:rPr>
                <w:rStyle w:val="IndexLink"/>
              </w:rPr>
              <w:t>3. The Forgotten Multiplier: Game Speed and Cost per Hour</w:t>
              <w:tab/>
              <w:t>11</w:t>
            </w:r>
          </w:hyperlink>
        </w:p>
        <w:p>
          <w:pPr>
            <w:pStyle w:val="TOC1"/>
            <w:tabs>
              <w:tab w:val="clear" w:pos="9360"/>
              <w:tab w:val="right" w:pos="9359" w:leader="dot"/>
            </w:tabs>
            <w:rPr/>
          </w:pPr>
          <w:hyperlink w:anchor="__RefHeading___Toc2537_617431631">
            <w:r>
              <w:rPr>
                <w:rStyle w:val="IndexLink"/>
              </w:rPr>
              <w:t>4. Blackjack I: Basic Strategy and the Compression of the Edge</w:t>
              <w:tab/>
              <w:t>12</w:t>
            </w:r>
          </w:hyperlink>
        </w:p>
        <w:p>
          <w:pPr>
            <w:pStyle w:val="TOC2"/>
            <w:tabs>
              <w:tab w:val="clear" w:pos="9077"/>
              <w:tab w:val="right" w:pos="9359" w:leader="dot"/>
            </w:tabs>
            <w:rPr/>
          </w:pPr>
          <w:hyperlink w:anchor="__RefHeading___Toc2539_617431631">
            <w:r>
              <w:rPr>
                <w:rStyle w:val="IndexLink"/>
              </w:rPr>
              <w:t>4.1 Why blackjack is special</w:t>
              <w:tab/>
              <w:t>12</w:t>
            </w:r>
          </w:hyperlink>
        </w:p>
        <w:p>
          <w:pPr>
            <w:pStyle w:val="TOC2"/>
            <w:tabs>
              <w:tab w:val="clear" w:pos="9077"/>
              <w:tab w:val="right" w:pos="9359" w:leader="dot"/>
            </w:tabs>
            <w:rPr/>
          </w:pPr>
          <w:hyperlink w:anchor="__RefHeading___Toc2541_617431631">
            <w:r>
              <w:rPr>
                <w:rStyle w:val="IndexLink"/>
              </w:rPr>
              <w:t>4.2 The structure of basic strategy</w:t>
              <w:tab/>
              <w:t>12</w:t>
            </w:r>
          </w:hyperlink>
        </w:p>
        <w:p>
          <w:pPr>
            <w:pStyle w:val="TOC2"/>
            <w:tabs>
              <w:tab w:val="clear" w:pos="9077"/>
              <w:tab w:val="right" w:pos="9359" w:leader="dot"/>
            </w:tabs>
            <w:rPr/>
          </w:pPr>
          <w:hyperlink w:anchor="__RefHeading___Toc2543_617431631">
            <w:r>
              <w:rPr>
                <w:rStyle w:val="IndexLink"/>
              </w:rPr>
              <w:t>4.3 The cost of the rules</w:t>
              <w:tab/>
              <w:t>13</w:t>
            </w:r>
          </w:hyperlink>
        </w:p>
        <w:p>
          <w:pPr>
            <w:pStyle w:val="TOC2"/>
            <w:tabs>
              <w:tab w:val="clear" w:pos="9077"/>
              <w:tab w:val="right" w:pos="9359" w:leader="dot"/>
            </w:tabs>
            <w:rPr/>
          </w:pPr>
          <w:hyperlink w:anchor="__RefHeading___Toc2545_617431631">
            <w:r>
              <w:rPr>
                <w:rStyle w:val="IndexLink"/>
              </w:rPr>
              <w:t>4.4 The four most expensive mistakes</w:t>
              <w:tab/>
              <w:t>13</w:t>
            </w:r>
          </w:hyperlink>
        </w:p>
        <w:p>
          <w:pPr>
            <w:pStyle w:val="TOC2"/>
            <w:tabs>
              <w:tab w:val="clear" w:pos="9077"/>
              <w:tab w:val="right" w:pos="9359" w:leader="dot"/>
            </w:tabs>
            <w:rPr/>
          </w:pPr>
          <w:hyperlink w:anchor="__RefHeading___Toc2547_617431631">
            <w:r>
              <w:rPr>
                <w:rStyle w:val="IndexLink"/>
              </w:rPr>
              <w:t>4.5 Rules variation and the S17/H17 fault line</w:t>
              <w:tab/>
              <w:t>14</w:t>
            </w:r>
          </w:hyperlink>
        </w:p>
        <w:p>
          <w:pPr>
            <w:pStyle w:val="TOC1"/>
            <w:tabs>
              <w:tab w:val="clear" w:pos="9360"/>
              <w:tab w:val="right" w:pos="9359" w:leader="dot"/>
            </w:tabs>
            <w:rPr/>
          </w:pPr>
          <w:hyperlink w:anchor="__RefHeading___Toc2549_617431631">
            <w:r>
              <w:rPr>
                <w:rStyle w:val="IndexLink"/>
              </w:rPr>
              <w:t>5. Blackjack II: Card Counting and the Player’s Edge</w:t>
              <w:tab/>
              <w:t>15</w:t>
            </w:r>
          </w:hyperlink>
        </w:p>
        <w:p>
          <w:pPr>
            <w:pStyle w:val="TOC2"/>
            <w:tabs>
              <w:tab w:val="clear" w:pos="9077"/>
              <w:tab w:val="right" w:pos="9359" w:leader="dot"/>
            </w:tabs>
            <w:rPr/>
          </w:pPr>
          <w:hyperlink w:anchor="__RefHeading___Toc2551_617431631">
            <w:r>
              <w:rPr>
                <w:rStyle w:val="IndexLink"/>
              </w:rPr>
              <w:t>5.1 The principle</w:t>
              <w:tab/>
              <w:t>15</w:t>
            </w:r>
          </w:hyperlink>
        </w:p>
        <w:p>
          <w:pPr>
            <w:pStyle w:val="TOC2"/>
            <w:tabs>
              <w:tab w:val="clear" w:pos="9077"/>
              <w:tab w:val="right" w:pos="9359" w:leader="dot"/>
            </w:tabs>
            <w:rPr/>
          </w:pPr>
          <w:hyperlink w:anchor="__RefHeading___Toc2553_617431631">
            <w:r>
              <w:rPr>
                <w:rStyle w:val="IndexLink"/>
              </w:rPr>
              <w:t>5.2 The Hi-Lo system</w:t>
              <w:tab/>
              <w:t>15</w:t>
            </w:r>
          </w:hyperlink>
        </w:p>
        <w:p>
          <w:pPr>
            <w:pStyle w:val="TOC2"/>
            <w:tabs>
              <w:tab w:val="clear" w:pos="9077"/>
              <w:tab w:val="right" w:pos="9359" w:leader="dot"/>
            </w:tabs>
            <w:rPr/>
          </w:pPr>
          <w:hyperlink w:anchor="__RefHeading___Toc2555_617431631">
            <w:r>
              <w:rPr>
                <w:rStyle w:val="IndexLink"/>
              </w:rPr>
              <w:t>5.3 How large is the edge?</w:t>
              <w:tab/>
              <w:t>15</w:t>
            </w:r>
          </w:hyperlink>
        </w:p>
        <w:p>
          <w:pPr>
            <w:pStyle w:val="TOC2"/>
            <w:tabs>
              <w:tab w:val="clear" w:pos="9077"/>
              <w:tab w:val="right" w:pos="9359" w:leader="dot"/>
            </w:tabs>
            <w:rPr/>
          </w:pPr>
          <w:hyperlink w:anchor="__RefHeading___Toc2557_617431631">
            <w:r>
              <w:rPr>
                <w:rStyle w:val="IndexLink"/>
              </w:rPr>
              <w:t>5.4 History: from Thorp to the MIT teams</w:t>
              <w:tab/>
              <w:t>16</w:t>
            </w:r>
          </w:hyperlink>
        </w:p>
        <w:p>
          <w:pPr>
            <w:pStyle w:val="TOC2"/>
            <w:tabs>
              <w:tab w:val="clear" w:pos="9077"/>
              <w:tab w:val="right" w:pos="9359" w:leader="dot"/>
            </w:tabs>
            <w:rPr/>
          </w:pPr>
          <w:hyperlink w:anchor="__RefHeading___Toc2559_617431631">
            <w:r>
              <w:rPr>
                <w:rStyle w:val="IndexLink"/>
              </w:rPr>
              <w:t>5.5 Countermeasures and the law</w:t>
              <w:tab/>
              <w:t>16</w:t>
            </w:r>
          </w:hyperlink>
        </w:p>
        <w:p>
          <w:pPr>
            <w:pStyle w:val="TOC1"/>
            <w:tabs>
              <w:tab w:val="clear" w:pos="9360"/>
              <w:tab w:val="right" w:pos="9359" w:leader="dot"/>
            </w:tabs>
            <w:rPr/>
          </w:pPr>
          <w:hyperlink w:anchor="__RefHeading___Toc2561_617431631">
            <w:r>
              <w:rPr>
                <w:rStyle w:val="IndexLink"/>
              </w:rPr>
              <w:t>6. Video Poker: Where Positive Expectation Is Printed on the Glass</w:t>
              <w:tab/>
              <w:t>18</w:t>
            </w:r>
          </w:hyperlink>
        </w:p>
        <w:p>
          <w:pPr>
            <w:pStyle w:val="TOC2"/>
            <w:tabs>
              <w:tab w:val="clear" w:pos="9077"/>
              <w:tab w:val="right" w:pos="9359" w:leader="dot"/>
            </w:tabs>
            <w:rPr/>
          </w:pPr>
          <w:hyperlink w:anchor="__RefHeading___Toc2563_617431631">
            <w:r>
              <w:rPr>
                <w:rStyle w:val="IndexLink"/>
              </w:rPr>
              <w:t>6.1 Why video poker can be beaten</w:t>
              <w:tab/>
              <w:t>18</w:t>
            </w:r>
          </w:hyperlink>
        </w:p>
        <w:p>
          <w:pPr>
            <w:pStyle w:val="TOC2"/>
            <w:tabs>
              <w:tab w:val="clear" w:pos="9077"/>
              <w:tab w:val="right" w:pos="9359" w:leader="dot"/>
            </w:tabs>
            <w:rPr/>
          </w:pPr>
          <w:hyperlink w:anchor="__RefHeading___Toc2565_617431631">
            <w:r>
              <w:rPr>
                <w:rStyle w:val="IndexLink"/>
              </w:rPr>
              <w:t>6.2 Reading a pay table</w:t>
              <w:tab/>
              <w:t>18</w:t>
            </w:r>
          </w:hyperlink>
        </w:p>
        <w:p>
          <w:pPr>
            <w:pStyle w:val="TOC2"/>
            <w:tabs>
              <w:tab w:val="clear" w:pos="9077"/>
              <w:tab w:val="right" w:pos="9359" w:leader="dot"/>
            </w:tabs>
            <w:rPr/>
          </w:pPr>
          <w:hyperlink w:anchor="__RefHeading___Toc2567_617431631">
            <w:r>
              <w:rPr>
                <w:rStyle w:val="IndexLink"/>
              </w:rPr>
              <w:t>6.3 Strategy, error cost, and the max-coin rule</w:t>
              <w:tab/>
              <w:t>19</w:t>
            </w:r>
          </w:hyperlink>
        </w:p>
        <w:p>
          <w:pPr>
            <w:pStyle w:val="TOC2"/>
            <w:tabs>
              <w:tab w:val="clear" w:pos="9077"/>
              <w:tab w:val="right" w:pos="9359" w:leader="dot"/>
            </w:tabs>
            <w:rPr/>
          </w:pPr>
          <w:hyperlink w:anchor="__RefHeading___Toc2569_617431631">
            <w:r>
              <w:rPr>
                <w:rStyle w:val="IndexLink"/>
              </w:rPr>
              <w:t>6.4 Variance and the long road to the edge</w:t>
              <w:tab/>
              <w:t>19</w:t>
            </w:r>
          </w:hyperlink>
        </w:p>
        <w:p>
          <w:pPr>
            <w:pStyle w:val="TOC2"/>
            <w:tabs>
              <w:tab w:val="clear" w:pos="9077"/>
              <w:tab w:val="right" w:pos="9359" w:leader="dot"/>
            </w:tabs>
            <w:rPr/>
          </w:pPr>
          <w:hyperlink w:anchor="__RefHeading___Toc2571_617431631">
            <w:r>
              <w:rPr>
                <w:rStyle w:val="IndexLink"/>
              </w:rPr>
              <w:t>6.5 Progressives and comps: crossing 100%</w:t>
              <w:tab/>
              <w:t>19</w:t>
            </w:r>
          </w:hyperlink>
        </w:p>
        <w:p>
          <w:pPr>
            <w:pStyle w:val="TOC1"/>
            <w:tabs>
              <w:tab w:val="clear" w:pos="9360"/>
              <w:tab w:val="right" w:pos="9359" w:leader="dot"/>
            </w:tabs>
            <w:rPr/>
          </w:pPr>
          <w:hyperlink w:anchor="__RefHeading___Toc2573_617431631">
            <w:r>
              <w:rPr>
                <w:rStyle w:val="IndexLink"/>
              </w:rPr>
              <w:t>7. Poker: Beating Players, Not the House</w:t>
              <w:tab/>
              <w:t>20</w:t>
            </w:r>
          </w:hyperlink>
        </w:p>
        <w:p>
          <w:pPr>
            <w:pStyle w:val="TOC2"/>
            <w:tabs>
              <w:tab w:val="clear" w:pos="9077"/>
              <w:tab w:val="right" w:pos="9359" w:leader="dot"/>
            </w:tabs>
            <w:rPr/>
          </w:pPr>
          <w:hyperlink w:anchor="__RefHeading___Toc2575_617431631">
            <w:r>
              <w:rPr>
                <w:rStyle w:val="IndexLink"/>
              </w:rPr>
              <w:t>7.1 A categorically different game</w:t>
              <w:tab/>
              <w:t>20</w:t>
            </w:r>
          </w:hyperlink>
        </w:p>
        <w:p>
          <w:pPr>
            <w:pStyle w:val="TOC2"/>
            <w:tabs>
              <w:tab w:val="clear" w:pos="9077"/>
              <w:tab w:val="right" w:pos="9359" w:leader="dot"/>
            </w:tabs>
            <w:rPr/>
          </w:pPr>
          <w:hyperlink w:anchor="__RefHeading___Toc2577_617431631">
            <w:r>
              <w:rPr>
                <w:rStyle w:val="IndexLink"/>
              </w:rPr>
              <w:t>7.2 Equity, pot odds, and the arithmetic of a call</w:t>
              <w:tab/>
              <w:t>20</w:t>
            </w:r>
          </w:hyperlink>
        </w:p>
        <w:p>
          <w:pPr>
            <w:pStyle w:val="TOC2"/>
            <w:tabs>
              <w:tab w:val="clear" w:pos="9077"/>
              <w:tab w:val="right" w:pos="9359" w:leader="dot"/>
            </w:tabs>
            <w:rPr/>
          </w:pPr>
          <w:hyperlink w:anchor="__RefHeading___Toc2579_617431631">
            <w:r>
              <w:rPr>
                <w:rStyle w:val="IndexLink"/>
              </w:rPr>
              <w:t>7.3 Ranges, polarization, and game-theory-optimal play</w:t>
              <w:tab/>
              <w:t>20</w:t>
            </w:r>
          </w:hyperlink>
        </w:p>
        <w:p>
          <w:pPr>
            <w:pStyle w:val="TOC2"/>
            <w:tabs>
              <w:tab w:val="clear" w:pos="9077"/>
              <w:tab w:val="right" w:pos="9359" w:leader="dot"/>
            </w:tabs>
            <w:rPr/>
          </w:pPr>
          <w:hyperlink w:anchor="__RefHeading___Toc2581_617431631">
            <w:r>
              <w:rPr>
                <w:rStyle w:val="IndexLink"/>
              </w:rPr>
              <w:t>7.4 Variance, bankroll, and the rake</w:t>
              <w:tab/>
              <w:t>21</w:t>
            </w:r>
          </w:hyperlink>
        </w:p>
        <w:p>
          <w:pPr>
            <w:pStyle w:val="TOC1"/>
            <w:tabs>
              <w:tab w:val="clear" w:pos="9360"/>
              <w:tab w:val="right" w:pos="9359" w:leader="dot"/>
            </w:tabs>
            <w:rPr/>
          </w:pPr>
          <w:hyperlink w:anchor="__RefHeading___Toc2583_617431631">
            <w:r>
              <w:rPr>
                <w:rStyle w:val="IndexLink"/>
              </w:rPr>
              <w:t>8. Bankroll Theory, the Kelly Criterion, and the Trading Parallel</w:t>
              <w:tab/>
              <w:t>22</w:t>
            </w:r>
          </w:hyperlink>
        </w:p>
        <w:p>
          <w:pPr>
            <w:pStyle w:val="TOC2"/>
            <w:tabs>
              <w:tab w:val="clear" w:pos="9077"/>
              <w:tab w:val="right" w:pos="9359" w:leader="dot"/>
            </w:tabs>
            <w:rPr/>
          </w:pPr>
          <w:hyperlink w:anchor="__RefHeading___Toc2585_617431631">
            <w:r>
              <w:rPr>
                <w:rStyle w:val="IndexLink"/>
              </w:rPr>
              <w:t>8.1 The Kelly criterion</w:t>
              <w:tab/>
              <w:t>22</w:t>
            </w:r>
          </w:hyperlink>
        </w:p>
        <w:p>
          <w:pPr>
            <w:pStyle w:val="TOC2"/>
            <w:tabs>
              <w:tab w:val="clear" w:pos="9077"/>
              <w:tab w:val="right" w:pos="9359" w:leader="dot"/>
            </w:tabs>
            <w:rPr/>
          </w:pPr>
          <w:hyperlink w:anchor="__RefHeading___Toc2587_617431631">
            <w:r>
              <w:rPr>
                <w:rStyle w:val="IndexLink"/>
              </w:rPr>
              <w:t>8.2 Why professionals bet fractional Kelly</w:t>
              <w:tab/>
              <w:t>22</w:t>
            </w:r>
          </w:hyperlink>
        </w:p>
        <w:p>
          <w:pPr>
            <w:pStyle w:val="TOC2"/>
            <w:tabs>
              <w:tab w:val="clear" w:pos="9077"/>
              <w:tab w:val="right" w:pos="9359" w:leader="dot"/>
            </w:tabs>
            <w:rPr/>
          </w:pPr>
          <w:hyperlink w:anchor="__RefHeading___Toc2589_617431631">
            <w:r>
              <w:rPr>
                <w:rStyle w:val="IndexLink"/>
              </w:rPr>
              <w:t>8.3 Risk of ruin</w:t>
              <w:tab/>
              <w:t>23</w:t>
            </w:r>
          </w:hyperlink>
        </w:p>
        <w:p>
          <w:pPr>
            <w:pStyle w:val="TOC2"/>
            <w:tabs>
              <w:tab w:val="clear" w:pos="9077"/>
              <w:tab w:val="right" w:pos="9359" w:leader="dot"/>
            </w:tabs>
            <w:rPr/>
          </w:pPr>
          <w:hyperlink w:anchor="__RefHeading___Toc2591_617431631">
            <w:r>
              <w:rPr>
                <w:rStyle w:val="IndexLink"/>
              </w:rPr>
              <w:t>8.4 What stopping rules can and cannot do</w:t>
              <w:tab/>
              <w:t>23</w:t>
            </w:r>
          </w:hyperlink>
        </w:p>
        <w:p>
          <w:pPr>
            <w:pStyle w:val="TOC2"/>
            <w:tabs>
              <w:tab w:val="clear" w:pos="9077"/>
              <w:tab w:val="right" w:pos="9359" w:leader="dot"/>
            </w:tabs>
            <w:rPr/>
          </w:pPr>
          <w:hyperlink w:anchor="__RefHeading___Toc2593_617431631">
            <w:r>
              <w:rPr>
                <w:rStyle w:val="IndexLink"/>
              </w:rPr>
              <w:t>8.5 The trading parallel, stated exactly</w:t>
              <w:tab/>
              <w:t>24</w:t>
            </w:r>
          </w:hyperlink>
        </w:p>
        <w:p>
          <w:pPr>
            <w:pStyle w:val="TOC1"/>
            <w:tabs>
              <w:tab w:val="clear" w:pos="9360"/>
              <w:tab w:val="right" w:pos="9359" w:leader="dot"/>
            </w:tabs>
            <w:rPr/>
          </w:pPr>
          <w:hyperlink w:anchor="__RefHeading___Toc2595_617431631">
            <w:r>
              <w:rPr>
                <w:rStyle w:val="IndexLink"/>
              </w:rPr>
              <w:t>9. Behavioral Foundations: Loss Aversion, Cognitive Bias, and the Engineered “Zone”</w:t>
              <w:tab/>
              <w:t>25</w:t>
            </w:r>
          </w:hyperlink>
        </w:p>
        <w:p>
          <w:pPr>
            <w:pStyle w:val="TOC2"/>
            <w:tabs>
              <w:tab w:val="clear" w:pos="9077"/>
              <w:tab w:val="right" w:pos="9359" w:leader="dot"/>
            </w:tabs>
            <w:rPr/>
          </w:pPr>
          <w:hyperlink w:anchor="__RefHeading___Toc2597_617431631">
            <w:r>
              <w:rPr>
                <w:rStyle w:val="IndexLink"/>
              </w:rPr>
              <w:t>9.1 Prospect theory and loss aversion</w:t>
              <w:tab/>
              <w:t>25</w:t>
            </w:r>
          </w:hyperlink>
        </w:p>
        <w:p>
          <w:pPr>
            <w:pStyle w:val="TOC2"/>
            <w:tabs>
              <w:tab w:val="clear" w:pos="9077"/>
              <w:tab w:val="right" w:pos="9359" w:leader="dot"/>
            </w:tabs>
            <w:rPr/>
          </w:pPr>
          <w:hyperlink w:anchor="__RefHeading___Toc2599_617431631">
            <w:r>
              <w:rPr>
                <w:rStyle w:val="IndexLink"/>
              </w:rPr>
              <w:t>9.2 The cognitive-bias catalogue</w:t>
              <w:tab/>
              <w:t>25</w:t>
            </w:r>
          </w:hyperlink>
        </w:p>
        <w:p>
          <w:pPr>
            <w:pStyle w:val="TOC2"/>
            <w:tabs>
              <w:tab w:val="clear" w:pos="9077"/>
              <w:tab w:val="right" w:pos="9359" w:leader="dot"/>
            </w:tabs>
            <w:rPr/>
          </w:pPr>
          <w:hyperlink w:anchor="__RefHeading___Toc2601_617431631">
            <w:r>
              <w:rPr>
                <w:rStyle w:val="IndexLink"/>
              </w:rPr>
              <w:t>9.3 Addiction by design: the engineered “zone”</w:t>
              <w:tab/>
              <w:t>26</w:t>
            </w:r>
          </w:hyperlink>
        </w:p>
        <w:p>
          <w:pPr>
            <w:pStyle w:val="TOC2"/>
            <w:tabs>
              <w:tab w:val="clear" w:pos="9077"/>
              <w:tab w:val="right" w:pos="9359" w:leader="dot"/>
            </w:tabs>
            <w:rPr/>
          </w:pPr>
          <w:hyperlink w:anchor="__RefHeading___Toc2603_617431631">
            <w:r>
              <w:rPr>
                <w:rStyle w:val="IndexLink"/>
              </w:rPr>
              <w:t>9.4 The scale of harm</w:t>
              <w:tab/>
              <w:t>27</w:t>
            </w:r>
          </w:hyperlink>
        </w:p>
        <w:p>
          <w:pPr>
            <w:pStyle w:val="TOC1"/>
            <w:tabs>
              <w:tab w:val="clear" w:pos="9360"/>
              <w:tab w:val="right" w:pos="9359" w:leader="dot"/>
            </w:tabs>
            <w:rPr/>
          </w:pPr>
          <w:hyperlink w:anchor="__RefHeading___Toc2605_617431631">
            <w:r>
              <w:rPr>
                <w:rStyle w:val="IndexLink"/>
              </w:rPr>
              <w:t>10. Slot Machines and Progressive Jackpots: The Mathematics of the Unbeatable Game</w:t>
              <w:tab/>
              <w:t>28</w:t>
            </w:r>
          </w:hyperlink>
        </w:p>
        <w:p>
          <w:pPr>
            <w:pStyle w:val="TOC2"/>
            <w:tabs>
              <w:tab w:val="clear" w:pos="9077"/>
              <w:tab w:val="right" w:pos="9359" w:leader="dot"/>
            </w:tabs>
            <w:rPr/>
          </w:pPr>
          <w:hyperlink w:anchor="__RefHeading___Toc2607_617431631">
            <w:r>
              <w:rPr>
                <w:rStyle w:val="IndexLink"/>
              </w:rPr>
              <w:t>10.1 How a reel machine prices itself</w:t>
              <w:tab/>
              <w:t>28</w:t>
            </w:r>
          </w:hyperlink>
        </w:p>
        <w:p>
          <w:pPr>
            <w:pStyle w:val="TOC2"/>
            <w:tabs>
              <w:tab w:val="clear" w:pos="9077"/>
              <w:tab w:val="right" w:pos="9359" w:leader="dot"/>
            </w:tabs>
            <w:rPr/>
          </w:pPr>
          <w:hyperlink w:anchor="__RefHeading___Toc2609_617431631">
            <w:r>
              <w:rPr>
                <w:rStyle w:val="IndexLink"/>
              </w:rPr>
              <w:t>10.2 The volatility–hit-frequency trade-off</w:t>
              <w:tab/>
              <w:t>28</w:t>
            </w:r>
          </w:hyperlink>
        </w:p>
        <w:p>
          <w:pPr>
            <w:pStyle w:val="TOC2"/>
            <w:tabs>
              <w:tab w:val="clear" w:pos="9077"/>
              <w:tab w:val="right" w:pos="9359" w:leader="dot"/>
            </w:tabs>
            <w:rPr/>
          </w:pPr>
          <w:hyperlink w:anchor="__RefHeading___Toc2611_617431631">
            <w:r>
              <w:rPr>
                <w:rStyle w:val="IndexLink"/>
              </w:rPr>
              <w:t>10.3 Progressive jackpots: when, if ever, a slot turns positive</w:t>
              <w:tab/>
              <w:t>28</w:t>
            </w:r>
          </w:hyperlink>
        </w:p>
        <w:p>
          <w:pPr>
            <w:pStyle w:val="TOC2"/>
            <w:tabs>
              <w:tab w:val="clear" w:pos="9077"/>
              <w:tab w:val="right" w:pos="9359" w:leader="dot"/>
            </w:tabs>
            <w:rPr/>
          </w:pPr>
          <w:hyperlink w:anchor="__RefHeading___Toc2613_617431631">
            <w:r>
              <w:rPr>
                <w:rStyle w:val="IndexLink"/>
              </w:rPr>
              <w:t>10.4 The games on the floor a typical visitor will meet</w:t>
              <w:tab/>
              <w:t>29</w:t>
            </w:r>
          </w:hyperlink>
        </w:p>
        <w:p>
          <w:pPr>
            <w:pStyle w:val="TOC1"/>
            <w:tabs>
              <w:tab w:val="clear" w:pos="9360"/>
              <w:tab w:val="right" w:pos="9359" w:leader="dot"/>
            </w:tabs>
            <w:rPr/>
          </w:pPr>
          <w:hyperlink w:anchor="__RefHeading___Toc2615_617431631">
            <w:r>
              <w:rPr>
                <w:rStyle w:val="IndexLink"/>
              </w:rPr>
              <w:t>11. Advantage Play in Practice: Rule-Shopping, Comps, and Casino Countermeasures</w:t>
              <w:tab/>
              <w:t>31</w:t>
            </w:r>
          </w:hyperlink>
        </w:p>
        <w:p>
          <w:pPr>
            <w:pStyle w:val="TOC2"/>
            <w:tabs>
              <w:tab w:val="clear" w:pos="9077"/>
              <w:tab w:val="right" w:pos="9359" w:leader="dot"/>
            </w:tabs>
            <w:rPr/>
          </w:pPr>
          <w:hyperlink w:anchor="__RefHeading___Toc2617_617431631">
            <w:r>
              <w:rPr>
                <w:rStyle w:val="IndexLink"/>
              </w:rPr>
              <w:t>11.1 Rule-shopping as the highest-leverage skill</w:t>
              <w:tab/>
              <w:t>31</w:t>
            </w:r>
          </w:hyperlink>
        </w:p>
        <w:p>
          <w:pPr>
            <w:pStyle w:val="TOC2"/>
            <w:tabs>
              <w:tab w:val="clear" w:pos="9077"/>
              <w:tab w:val="right" w:pos="9359" w:leader="dot"/>
            </w:tabs>
            <w:rPr/>
          </w:pPr>
          <w:hyperlink w:anchor="__RefHeading___Toc2619_617431631">
            <w:r>
              <w:rPr>
                <w:rStyle w:val="IndexLink"/>
              </w:rPr>
              <w:t>11.2 The economics of comps and loss rebates</w:t>
              <w:tab/>
              <w:t>31</w:t>
            </w:r>
          </w:hyperlink>
        </w:p>
        <w:p>
          <w:pPr>
            <w:pStyle w:val="TOC2"/>
            <w:tabs>
              <w:tab w:val="clear" w:pos="9077"/>
              <w:tab w:val="right" w:pos="9359" w:leader="dot"/>
            </w:tabs>
            <w:rPr/>
          </w:pPr>
          <w:hyperlink w:anchor="__RefHeading___Toc2621_617431631">
            <w:r>
              <w:rPr>
                <w:rStyle w:val="IndexLink"/>
              </w:rPr>
              <w:t>11.3 “Playing too well”: heat, back-offs, and the limits of the law</w:t>
              <w:tab/>
              <w:t>31</w:t>
            </w:r>
          </w:hyperlink>
        </w:p>
        <w:p>
          <w:pPr>
            <w:pStyle w:val="TOC1"/>
            <w:tabs>
              <w:tab w:val="clear" w:pos="9360"/>
              <w:tab w:val="right" w:pos="9359" w:leader="dot"/>
            </w:tabs>
            <w:rPr/>
          </w:pPr>
          <w:hyperlink w:anchor="__RefHeading___Toc2623_617431631">
            <w:r>
              <w:rPr>
                <w:rStyle w:val="IndexLink"/>
              </w:rPr>
              <w:t>12. A Brief History of the Edge: Regulation, Industry, and the Economics of the House</w:t>
              <w:tab/>
              <w:t>33</w:t>
            </w:r>
          </w:hyperlink>
        </w:p>
        <w:p>
          <w:pPr>
            <w:pStyle w:val="TOC2"/>
            <w:tabs>
              <w:tab w:val="clear" w:pos="9077"/>
              <w:tab w:val="right" w:pos="9359" w:leader="dot"/>
            </w:tabs>
            <w:rPr/>
          </w:pPr>
          <w:hyperlink w:anchor="__RefHeading___Toc2625_617431631">
            <w:r>
              <w:rPr>
                <w:rStyle w:val="IndexLink"/>
              </w:rPr>
              <w:t>12.1 From private probability to public industry</w:t>
              <w:tab/>
              <w:t>33</w:t>
            </w:r>
          </w:hyperlink>
        </w:p>
        <w:p>
          <w:pPr>
            <w:pStyle w:val="TOC2"/>
            <w:tabs>
              <w:tab w:val="clear" w:pos="9077"/>
              <w:tab w:val="right" w:pos="9359" w:leader="dot"/>
            </w:tabs>
            <w:rPr/>
          </w:pPr>
          <w:hyperlink w:anchor="__RefHeading___Toc2627_617431631">
            <w:r>
              <w:rPr>
                <w:rStyle w:val="IndexLink"/>
              </w:rPr>
              <w:t>12.2 The two revolutions: Thorp and the microprocessor</w:t>
              <w:tab/>
              <w:t>33</w:t>
            </w:r>
          </w:hyperlink>
        </w:p>
        <w:p>
          <w:pPr>
            <w:pStyle w:val="TOC2"/>
            <w:tabs>
              <w:tab w:val="clear" w:pos="9077"/>
              <w:tab w:val="right" w:pos="9359" w:leader="dot"/>
            </w:tabs>
            <w:rPr/>
          </w:pPr>
          <w:hyperlink w:anchor="__RefHeading___Toc2629_617431631">
            <w:r>
              <w:rPr>
                <w:rStyle w:val="IndexLink"/>
              </w:rPr>
              <w:t>12.3 Regulation and the disclosure asymmetry</w:t>
              <w:tab/>
              <w:t>33</w:t>
            </w:r>
          </w:hyperlink>
        </w:p>
        <w:p>
          <w:pPr>
            <w:pStyle w:val="TOC2"/>
            <w:tabs>
              <w:tab w:val="clear" w:pos="9077"/>
              <w:tab w:val="right" w:pos="9359" w:leader="dot"/>
            </w:tabs>
            <w:rPr/>
          </w:pPr>
          <w:hyperlink w:anchor="__RefHeading___Toc2631_617431631">
            <w:r>
              <w:rPr>
                <w:rStyle w:val="IndexLink"/>
              </w:rPr>
              <w:t>12.4 Why the house reinvests in the player</w:t>
              <w:tab/>
              <w:t>34</w:t>
            </w:r>
          </w:hyperlink>
        </w:p>
        <w:p>
          <w:pPr>
            <w:pStyle w:val="TOC1"/>
            <w:tabs>
              <w:tab w:val="clear" w:pos="9360"/>
              <w:tab w:val="right" w:pos="9359" w:leader="dot"/>
            </w:tabs>
            <w:rPr/>
          </w:pPr>
          <w:hyperlink w:anchor="__RefHeading___Toc2633_617431631">
            <w:r>
              <w:rPr>
                <w:rStyle w:val="IndexLink"/>
              </w:rPr>
              <w:t>13. Conclusion: Casino Games as Priced Instruments</w:t>
              <w:tab/>
              <w:t>35</w:t>
            </w:r>
          </w:hyperlink>
        </w:p>
        <w:p>
          <w:pPr>
            <w:pStyle w:val="TOC1"/>
            <w:tabs>
              <w:tab w:val="clear" w:pos="9360"/>
              <w:tab w:val="right" w:pos="9359" w:leader="dot"/>
            </w:tabs>
            <w:rPr/>
          </w:pPr>
          <w:hyperlink w:anchor="__RefHeading___Toc2635_617431631">
            <w:r>
              <w:rPr>
                <w:rStyle w:val="IndexLink"/>
              </w:rPr>
              <w:t>References</w:t>
              <w:tab/>
              <w:t>36</w:t>
            </w:r>
          </w:hyperlink>
        </w:p>
        <w:p>
          <w:pPr>
            <w:pStyle w:val="TOC1"/>
            <w:tabs>
              <w:tab w:val="clear" w:pos="9360"/>
              <w:tab w:val="right" w:pos="9359" w:leader="dot"/>
            </w:tabs>
            <w:rPr/>
          </w:pPr>
          <w:hyperlink w:anchor="__RefHeading___Toc2637_617431631">
            <w:r>
              <w:rPr>
                <w:rStyle w:val="IndexLink"/>
              </w:rPr>
              <w:t>Appendix: Key Formulas and Quick Reference</w:t>
              <w:tab/>
              <w:t>42</w:t>
            </w:r>
          </w:hyperlink>
        </w:p>
        <w:p>
          <w:pPr>
            <w:pStyle w:val="TOC2"/>
            <w:tabs>
              <w:tab w:val="clear" w:pos="9077"/>
              <w:tab w:val="right" w:pos="9359" w:leader="dot"/>
            </w:tabs>
            <w:rPr/>
          </w:pPr>
          <w:hyperlink w:anchor="__RefHeading___Toc2639_617431631">
            <w:r>
              <w:rPr>
                <w:rStyle w:val="IndexLink"/>
              </w:rPr>
              <w:t>A.1 Core quantities</w:t>
              <w:tab/>
              <w:t>42</w:t>
            </w:r>
          </w:hyperlink>
        </w:p>
        <w:p>
          <w:pPr>
            <w:pStyle w:val="TOC2"/>
            <w:tabs>
              <w:tab w:val="clear" w:pos="9077"/>
              <w:tab w:val="right" w:pos="9359" w:leader="dot"/>
            </w:tabs>
            <w:rPr/>
          </w:pPr>
          <w:hyperlink w:anchor="__RefHeading___Toc2641_617431631">
            <w:r>
              <w:rPr>
                <w:rStyle w:val="IndexLink"/>
              </w:rPr>
              <w:t>A.2 Bankroll and growth</w:t>
              <w:tab/>
              <w:t>42</w:t>
            </w:r>
          </w:hyperlink>
        </w:p>
        <w:p>
          <w:pPr>
            <w:pStyle w:val="TOC2"/>
            <w:tabs>
              <w:tab w:val="clear" w:pos="9077"/>
              <w:tab w:val="right" w:pos="9359" w:leader="dot"/>
            </w:tabs>
            <w:rPr/>
          </w:pPr>
          <w:hyperlink w:anchor="__RefHeading___Toc2643_617431631">
            <w:r>
              <w:rPr>
                <w:rStyle w:val="IndexLink"/>
              </w:rPr>
              <w:t>A.3 Game-specific anchors</w:t>
              <w:tab/>
              <w:t>42</w:t>
            </w:r>
          </w:hyperlink>
        </w:p>
        <w:p>
          <w:pPr>
            <w:pStyle w:val="TOC1"/>
            <w:tabs>
              <w:tab w:val="clear" w:pos="9360"/>
              <w:tab w:val="right" w:pos="9359" w:leader="dot"/>
            </w:tabs>
            <w:rPr/>
          </w:pPr>
          <w:hyperlink w:anchor="__RefHeading___Toc2645_617431631">
            <w:r>
              <w:rPr>
                <w:rStyle w:val="IndexLink"/>
              </w:rPr>
              <w:t>Disclaimer</w:t>
              <w:tab/>
              <w:t>43</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2509_617431631"/>
      <w:bookmarkEnd w:id="0"/>
      <w:r>
        <w:rPr/>
        <w:t>Abstract</w:t>
      </w:r>
    </w:p>
    <w:p>
      <w:pPr>
        <w:pStyle w:val="Normal"/>
        <w:spacing w:lineRule="exact" w:line="276" w:before="0" w:after="130"/>
        <w:rPr/>
      </w:pPr>
      <w:r>
        <w:rPr>
          <w:sz w:val="22"/>
          <w:szCs w:val="22"/>
        </w:rPr>
        <w:t>This monograph synthesizes the quantitative and behavioral literature on casino gambling into a single reference framework. It proceeds from first principles—expected value, variance, and the house edge—to a game-by-game mathematical audit of blackjack, baccarat, craps, roulette, slot machines, keno, and the proprietary table games, and then to the three domains in which a disciplined participant can secure a genuine long-term positive expectation: full-pay video poker, card-counted blackjack, and player-versus-player poker. Throughout, the organizing fact is that the house edge is a fixed property of each wager that no betting pattern, stopping rule, or money-management system can alter on a negatively priced game.</w:t>
      </w:r>
    </w:p>
    <w:p>
      <w:pPr>
        <w:pStyle w:val="Normal"/>
        <w:spacing w:lineRule="exact" w:line="276" w:before="0" w:after="130"/>
        <w:rPr/>
      </w:pPr>
      <w:r>
        <w:rPr>
          <w:sz w:val="22"/>
          <w:szCs w:val="22"/>
        </w:rPr>
        <w:t xml:space="preserve">The work develops two themes frequently confused in popular gambling writing. </w:t>
      </w:r>
      <w:r>
        <w:rPr>
          <w:b/>
          <w:bCs/>
          <w:sz w:val="22"/>
          <w:szCs w:val="22"/>
        </w:rPr>
        <w:t>First</w:t>
      </w:r>
      <w:r>
        <w:rPr>
          <w:sz w:val="22"/>
          <w:szCs w:val="22"/>
        </w:rPr>
        <w:t xml:space="preserve">, it separates an instrument’s expected value—which stopping rules cannot change—from the distribution of session outcomes—which stopping rules demonstrably can shape. </w:t>
      </w:r>
      <w:r>
        <w:rPr>
          <w:b/>
          <w:bCs/>
          <w:sz w:val="22"/>
          <w:szCs w:val="22"/>
        </w:rPr>
        <w:t>Second</w:t>
      </w:r>
      <w:r>
        <w:rPr>
          <w:sz w:val="22"/>
          <w:szCs w:val="22"/>
        </w:rPr>
        <w:t>, it grounds the case for predefined stop-loss and win-goal discipline not in any claim about changing the odds but in the behavioral-economic record on loss aversion, the sunk-cost fallacy, and loss-chasing—the same record that justifies position-sizing and stop orders in disciplined securities and derivatives trading. The trading analogy is treated as exact where it is exact and bounded where it is not.</w:t>
      </w:r>
    </w:p>
    <w:p>
      <w:pPr>
        <w:pStyle w:val="Normal"/>
        <w:spacing w:lineRule="exact" w:line="276" w:before="0" w:after="130"/>
        <w:rPr/>
      </w:pPr>
      <w:r>
        <w:rPr>
          <w:sz w:val="22"/>
          <w:szCs w:val="22"/>
        </w:rPr>
        <w:t>The remaining chapters cover bankroll theory (the Kelly criterion and its fractional variants, risk-of-ruin formulas), the engineering of slot machines for time-on-device, the clinical and epidemiological literature on disordered gambling, and the legal and practical realities of advantage play, including the countermeasures casinos deploy against skilled players. The intended reader is a numerate adult who wishes to understand casino games as priced instruments and to participate, if at all, on the most favorable available terms.</w:t>
      </w:r>
    </w:p>
    <w:p>
      <w:pPr>
        <w:pStyle w:val="Heading2"/>
        <w:spacing w:before="220" w:after="110"/>
        <w:rPr/>
      </w:pPr>
      <w:bookmarkStart w:id="1" w:name="__RefHeading___Toc2511_617431631"/>
      <w:bookmarkEnd w:id="1"/>
      <w:r>
        <w:rPr/>
        <w:t>A note on sources and figures</w:t>
      </w:r>
    </w:p>
    <w:p>
      <w:pPr>
        <w:pStyle w:val="Normal"/>
        <w:spacing w:lineRule="exact" w:line="276" w:before="0" w:after="130"/>
        <w:rPr/>
      </w:pPr>
      <w:r>
        <w:rPr>
          <w:sz w:val="22"/>
          <w:szCs w:val="22"/>
        </w:rPr>
        <w:t xml:space="preserve">House edges for rule-defined games (roulette, baccarat, craps) are exact and agree across all reputable sources. Figures for blackjack vary with table rules and are stated with their rule assumptions. Slot-machine returns are the least reliable class of figure in this entire literature: United States land-based reel machines do </w:t>
      </w:r>
      <w:r>
        <w:rPr>
          <w:b/>
          <w:bCs/>
          <w:sz w:val="22"/>
          <w:szCs w:val="22"/>
        </w:rPr>
        <w:t>not</w:t>
      </w:r>
      <w:r>
        <w:rPr>
          <w:sz w:val="22"/>
          <w:szCs w:val="22"/>
        </w:rPr>
        <w:t xml:space="preserve"> publish per-machine return-to-player (RTP), and operators configure each cabinet within a manufacturer-supplied range. Where a slot RTP appears below, it is drawn from an online adaptation or a review database and is flagged as such; it should not be taken as the return of any specific machine on a casino floor. Volatility labels (“low,” “medium,” “high”) are not standardized and frequently conflict between sources.</w:t>
      </w:r>
      <w:r>
        <w:rPr>
          <w:rStyle w:val="FootnoteReference"/>
        </w:rPr>
        <w:footnoteReference w:id="2"/>
      </w:r>
      <w:r>
        <w:br w:type="page"/>
      </w:r>
    </w:p>
    <w:p>
      <w:pPr>
        <w:pStyle w:val="Heading1"/>
        <w:spacing w:before="240" w:after="160"/>
        <w:rPr/>
      </w:pPr>
      <w:bookmarkStart w:id="2" w:name="__RefHeading___Toc2513_617431631"/>
      <w:bookmarkEnd w:id="2"/>
      <w:r>
        <w:rPr/>
        <w:t>1. Foundations: Expected Value, Variance, and the House Edge</w:t>
      </w:r>
    </w:p>
    <w:p>
      <w:pPr>
        <w:pStyle w:val="Normal"/>
        <w:spacing w:before="40" w:after="30"/>
        <w:ind w:left="680" w:right="680"/>
        <w:rPr/>
      </w:pPr>
      <w:r>
        <w:rPr>
          <w:i/>
          <w:iCs/>
          <w:color w:val="44546A"/>
          <w:sz w:val="20"/>
          <w:szCs w:val="20"/>
        </w:rPr>
        <w:t>It is remarkable that a science which began with the consideration of games of chance should have become the most important object of human knowledge.</w:t>
      </w:r>
    </w:p>
    <w:p>
      <w:pPr>
        <w:pStyle w:val="Normal"/>
        <w:spacing w:before="0" w:after="200"/>
        <w:ind w:left="680" w:right="680"/>
        <w:jc w:val="right"/>
        <w:rPr/>
      </w:pPr>
      <w:r>
        <w:rPr>
          <w:color w:val="44546A"/>
          <w:sz w:val="18"/>
          <w:szCs w:val="18"/>
        </w:rPr>
        <w:t xml:space="preserve">— </w:t>
      </w:r>
      <w:r>
        <w:rPr>
          <w:color w:val="44546A"/>
          <w:sz w:val="18"/>
          <w:szCs w:val="18"/>
        </w:rPr>
        <w:t>Pierre-Simon Laplace</w:t>
      </w:r>
    </w:p>
    <w:p>
      <w:pPr>
        <w:pStyle w:val="Heading2"/>
        <w:keepNext w:val="true"/>
        <w:spacing w:before="220" w:after="110"/>
        <w:rPr/>
      </w:pPr>
      <w:bookmarkStart w:id="3" w:name="__RefHeading___Toc2515_617431631"/>
      <w:bookmarkEnd w:id="3"/>
      <w:r>
        <w:rPr/>
        <w:t>1.1 The casino wager as a priced instrument</w:t>
      </w:r>
    </w:p>
    <w:p>
      <w:pPr>
        <w:pStyle w:val="Normal"/>
        <w:spacing w:lineRule="exact" w:line="276" w:before="0" w:after="130"/>
        <w:rPr/>
      </w:pPr>
      <w:r>
        <w:rPr>
          <w:sz w:val="22"/>
          <w:szCs w:val="22"/>
        </w:rPr>
        <w:t xml:space="preserve">Every bet available on a casino floor is an instrument with a known, computable price. That price is the </w:t>
      </w:r>
      <w:r>
        <w:rPr>
          <w:b/>
          <w:bCs/>
          <w:sz w:val="22"/>
          <w:szCs w:val="22"/>
        </w:rPr>
        <w:t>house edge</w:t>
      </w:r>
      <w:r>
        <w:rPr>
          <w:sz w:val="22"/>
          <w:szCs w:val="22"/>
        </w:rPr>
        <w:t>: the ratio of the player’s average loss to the amount placed at risk. The mathematics fixing this price predates the casino industry—Cardano sketched the logic of equiprobable outcomes in the sixteenth century</w:t>
      </w:r>
      <w:r>
        <w:rPr>
          <w:rStyle w:val="FootnoteReference"/>
        </w:rPr>
        <w:footnoteReference w:id="3"/>
      </w:r>
      <w:r>
        <w:rPr>
          <w:sz w:val="22"/>
          <w:szCs w:val="22"/>
        </w:rPr>
        <w:t xml:space="preserve">, Pascal and Fermat formalized expectation in their 1654 correspondence, and de Moivre’s </w:t>
      </w:r>
      <w:r>
        <w:rPr>
          <w:i/>
          <w:iCs/>
          <w:sz w:val="22"/>
          <w:szCs w:val="22"/>
        </w:rPr>
        <w:t>Doctrine of Chances</w:t>
      </w:r>
      <w:r>
        <w:rPr>
          <w:sz w:val="22"/>
          <w:szCs w:val="22"/>
        </w:rPr>
        <w:t xml:space="preserve"> (1718) gave the subject its first textbook</w:t>
      </w:r>
      <w:r>
        <w:rPr>
          <w:rStyle w:val="FootnoteReference"/>
        </w:rPr>
        <w:footnoteReference w:id="4"/>
      </w:r>
      <w:r>
        <w:rPr>
          <w:sz w:val="22"/>
          <w:szCs w:val="22"/>
        </w:rPr>
        <w:t xml:space="preserve">. The reference figures used throughout derive from that lineage and are tabulated authoritatively by Hannum and Cabot in </w:t>
      </w:r>
      <w:r>
        <w:rPr>
          <w:i/>
          <w:iCs/>
          <w:sz w:val="22"/>
          <w:szCs w:val="22"/>
        </w:rPr>
        <w:t>Practical Casino Math</w:t>
      </w:r>
      <w:r>
        <w:rPr>
          <w:sz w:val="22"/>
          <w:szCs w:val="22"/>
        </w:rPr>
        <w:t xml:space="preserve"> and by Michael Shackleford’s Wizard of Odds analyses</w:t>
      </w:r>
      <w:r>
        <w:rPr>
          <w:rStyle w:val="FootnoteReference"/>
        </w:rPr>
        <w:footnoteReference w:id="5"/>
      </w:r>
      <w:r>
        <w:rPr>
          <w:sz w:val="22"/>
          <w:szCs w:val="22"/>
        </w:rPr>
        <w:t>.</w:t>
      </w:r>
    </w:p>
    <w:p>
      <w:pPr>
        <w:pStyle w:val="Normal"/>
        <w:spacing w:lineRule="exact" w:line="276" w:before="0" w:after="130"/>
        <w:rPr/>
      </w:pPr>
      <w:r>
        <w:rPr>
          <w:sz w:val="22"/>
          <w:szCs w:val="22"/>
        </w:rPr>
        <w:t xml:space="preserve">For a wager with outcomes </w:t>
      </w:r>
      <w:r>
        <w:rPr>
          <w:i/>
          <w:iCs/>
          <w:sz w:val="22"/>
          <w:szCs w:val="22"/>
        </w:rPr>
        <w:t>x</w:t>
      </w:r>
      <w:r>
        <w:rPr>
          <w:sz w:val="22"/>
          <w:szCs w:val="22"/>
          <w:vertAlign w:val="subscript"/>
        </w:rPr>
        <w:t>i</w:t>
      </w:r>
      <w:r>
        <w:rPr>
          <w:sz w:val="22"/>
          <w:szCs w:val="22"/>
        </w:rPr>
        <w:t xml:space="preserve"> occurring with probabilities </w:t>
      </w:r>
      <w:r>
        <w:rPr>
          <w:i/>
          <w:iCs/>
          <w:sz w:val="22"/>
          <w:szCs w:val="22"/>
        </w:rPr>
        <w:t>p</w:t>
      </w:r>
      <w:r>
        <w:rPr>
          <w:sz w:val="22"/>
          <w:szCs w:val="22"/>
          <w:vertAlign w:val="subscript"/>
        </w:rPr>
        <w:t>i</w:t>
      </w:r>
      <w:r>
        <w:rPr>
          <w:sz w:val="22"/>
          <w:szCs w:val="22"/>
        </w:rPr>
        <w:t xml:space="preserve">, the expected value is the probability-weighted sum EV = Σ </w:t>
      </w:r>
      <w:r>
        <w:rPr>
          <w:i/>
          <w:iCs/>
          <w:sz w:val="22"/>
          <w:szCs w:val="22"/>
        </w:rPr>
        <w:t>p</w:t>
      </w:r>
      <w:r>
        <w:rPr>
          <w:sz w:val="22"/>
          <w:szCs w:val="22"/>
          <w:vertAlign w:val="subscript"/>
        </w:rPr>
        <w:t>i</w:t>
      </w:r>
      <w:r>
        <w:rPr>
          <w:i/>
          <w:iCs/>
          <w:sz w:val="22"/>
          <w:szCs w:val="22"/>
        </w:rPr>
        <w:t>x</w:t>
      </w:r>
      <w:r>
        <w:rPr>
          <w:sz w:val="22"/>
          <w:szCs w:val="22"/>
          <w:vertAlign w:val="subscript"/>
        </w:rPr>
        <w:t>i</w:t>
      </w:r>
      <w:r>
        <w:rPr>
          <w:sz w:val="22"/>
          <w:szCs w:val="22"/>
        </w:rPr>
        <w:t>. A unit staked on red at double-zero roulette returns +1 with probability 18/38 and −1 with probability 20/38, giving EV = (18/38)(+1) + (20/38)(−1) = −2/38 = −0.0526. The house edge is the negative of this expectation as a percentage of the stake: 5.26%.</w:t>
      </w:r>
      <w:r>
        <w:rPr>
          <w:rStyle w:val="FootnoteReference"/>
        </w:rPr>
        <w:footnoteReference w:id="6"/>
      </w:r>
      <w:r>
        <w:rPr>
          <w:sz w:val="22"/>
          <w:szCs w:val="22"/>
        </w:rPr>
        <w:t xml:space="preserve"> The law of large numbers guarantees that as independent trials accumulate, the player’s realized average loss converges almost surely to this expectation</w:t>
      </w:r>
      <w:r>
        <w:rPr>
          <w:rStyle w:val="FootnoteReference"/>
        </w:rPr>
        <w:footnoteReference w:id="7"/>
      </w:r>
      <w:r>
        <w:rPr>
          <w:sz w:val="22"/>
          <w:szCs w:val="22"/>
        </w:rPr>
        <w:t>.</w:t>
      </w:r>
    </w:p>
    <w:p>
      <w:pPr>
        <w:pStyle w:val="Heading2"/>
        <w:keepNext w:val="true"/>
        <w:spacing w:before="220" w:after="110"/>
        <w:rPr/>
      </w:pPr>
      <w:bookmarkStart w:id="4" w:name="__RefHeading___Toc2517_617431631"/>
      <w:bookmarkEnd w:id="4"/>
      <w:r>
        <w:rPr/>
        <w:t>1.2 House edge, element of risk, and hold</w:t>
      </w:r>
    </w:p>
    <w:p>
      <w:pPr>
        <w:pStyle w:val="Normal"/>
        <w:spacing w:lineRule="exact" w:line="276" w:before="0" w:after="130"/>
        <w:rPr/>
      </w:pPr>
      <w:r>
        <w:rPr>
          <w:sz w:val="22"/>
          <w:szCs w:val="22"/>
        </w:rPr>
        <w:t xml:space="preserve">Three quantities are routinely conflated and must be separated. The </w:t>
      </w:r>
      <w:r>
        <w:rPr>
          <w:b/>
          <w:bCs/>
          <w:sz w:val="22"/>
          <w:szCs w:val="22"/>
        </w:rPr>
        <w:t>house edge</w:t>
      </w:r>
      <w:r>
        <w:rPr>
          <w:sz w:val="22"/>
          <w:szCs w:val="22"/>
        </w:rPr>
        <w:t xml:space="preserve"> is computed against the player’s initial required wager. The </w:t>
      </w:r>
      <w:r>
        <w:rPr>
          <w:b/>
          <w:bCs/>
          <w:sz w:val="22"/>
          <w:szCs w:val="22"/>
        </w:rPr>
        <w:t>element of risk</w:t>
      </w:r>
      <w:r>
        <w:rPr>
          <w:sz w:val="22"/>
          <w:szCs w:val="22"/>
        </w:rPr>
        <w:t xml:space="preserve"> is computed against total money wagered including conditional bets added after play begins (doubles, splits, raises); it is the more honest cross-game comparator for games such as Ultimate Texas Hold’em or Let It Ride. The </w:t>
      </w:r>
      <w:r>
        <w:rPr>
          <w:b/>
          <w:bCs/>
          <w:sz w:val="22"/>
          <w:szCs w:val="22"/>
        </w:rPr>
        <w:t>hold</w:t>
      </w:r>
      <w:r>
        <w:rPr>
          <w:sz w:val="22"/>
          <w:szCs w:val="22"/>
        </w:rPr>
        <w:t xml:space="preserve"> is operational—the fraction of chips a player buys that the casino keeps over a session—and reflects how long money is recycled, not the per-bet price.</w:t>
      </w:r>
      <w:r>
        <w:rPr>
          <w:rStyle w:val="FootnoteReference"/>
        </w:rPr>
        <w:footnoteReference w:id="8"/>
      </w:r>
      <w:r>
        <w:rPr>
          <w:sz w:val="22"/>
          <w:szCs w:val="22"/>
        </w:rPr>
        <w:t xml:space="preserve"> Confusing hold with house edge produces folklore (“this game only keeps 15%”) that overstates a player’s true cost per decision.</w:t>
      </w:r>
    </w:p>
    <w:p>
      <w:pPr>
        <w:pStyle w:val="Heading2"/>
        <w:keepNext w:val="true"/>
        <w:spacing w:before="220" w:after="110"/>
        <w:rPr/>
      </w:pPr>
      <w:bookmarkStart w:id="5" w:name="__RefHeading___Toc2519_617431631"/>
      <w:bookmarkEnd w:id="5"/>
      <w:r>
        <w:rPr/>
        <w:t>1.3 Variance and why the short run is not the long run</w:t>
      </w:r>
    </w:p>
    <w:p>
      <w:pPr>
        <w:pStyle w:val="Normal"/>
        <w:spacing w:lineRule="exact" w:line="276" w:before="0" w:after="130"/>
        <w:rPr/>
      </w:pPr>
      <w:r>
        <w:rPr>
          <w:sz w:val="22"/>
          <w:szCs w:val="22"/>
        </w:rPr>
        <w:t xml:space="preserve">Expected value describes the center of the outcome distribution; </w:t>
      </w:r>
      <w:r>
        <w:rPr>
          <w:b/>
          <w:bCs/>
          <w:sz w:val="22"/>
          <w:szCs w:val="22"/>
        </w:rPr>
        <w:t>variance</w:t>
      </w:r>
      <w:r>
        <w:rPr>
          <w:sz w:val="22"/>
          <w:szCs w:val="22"/>
        </w:rPr>
        <w:t xml:space="preserve"> describes its spread, and it is variance that a player actually experiences on a single trip. The standard deviation of an </w:t>
      </w:r>
      <w:r>
        <w:rPr>
          <w:i/>
          <w:iCs/>
          <w:sz w:val="22"/>
          <w:szCs w:val="22"/>
        </w:rPr>
        <w:t>n</w:t>
      </w:r>
      <w:r>
        <w:rPr>
          <w:sz w:val="22"/>
          <w:szCs w:val="22"/>
        </w:rPr>
        <w:t>-bet session scales with the square root of the number of bets: σ</w:t>
      </w:r>
      <w:r>
        <w:rPr>
          <w:sz w:val="22"/>
          <w:szCs w:val="22"/>
          <w:vertAlign w:val="subscript"/>
        </w:rPr>
        <w:t>session</w:t>
      </w:r>
      <w:r>
        <w:rPr>
          <w:sz w:val="22"/>
          <w:szCs w:val="22"/>
        </w:rPr>
        <w:t xml:space="preserve"> = σ</w:t>
      </w:r>
      <w:r>
        <w:rPr>
          <w:sz w:val="22"/>
          <w:szCs w:val="22"/>
          <w:vertAlign w:val="subscript"/>
        </w:rPr>
        <w:t>1</w:t>
      </w:r>
      <w:r>
        <w:rPr>
          <w:sz w:val="22"/>
          <w:szCs w:val="22"/>
        </w:rPr>
        <w:t xml:space="preserve">√n. Because expected loss grows linearly in </w:t>
      </w:r>
      <w:r>
        <w:rPr>
          <w:i/>
          <w:iCs/>
          <w:sz w:val="22"/>
          <w:szCs w:val="22"/>
        </w:rPr>
        <w:t>n</w:t>
      </w:r>
      <w:r>
        <w:rPr>
          <w:sz w:val="22"/>
          <w:szCs w:val="22"/>
        </w:rPr>
        <w:t xml:space="preserve"> while standard deviation grows only as √n, the edge eventually dominates the noise—but “eventually” can mean tens of thousands of decisions.</w:t>
      </w:r>
      <w:r>
        <w:rPr>
          <w:rStyle w:val="FootnoteReference"/>
        </w:rPr>
        <w:footnoteReference w:id="9"/>
      </w:r>
      <w:r>
        <w:rPr>
          <w:sz w:val="22"/>
          <w:szCs w:val="22"/>
        </w:rPr>
        <w:t xml:space="preserve"> A blackjack hand has a standard deviation near 1.15 units; a slot spin can exceed 8 units; full-pay Jacks or Better carries per-hand variance near 19.5 because so much of its return sits in the rare royal flush</w:t>
      </w:r>
      <w:r>
        <w:rPr>
          <w:rStyle w:val="FootnoteReference"/>
        </w:rPr>
        <w:footnoteReference w:id="10"/>
      </w:r>
      <w:r>
        <w:rPr>
          <w:sz w:val="22"/>
          <w:szCs w:val="22"/>
        </w:rPr>
        <w:t>.</w:t>
      </w:r>
    </w:p>
    <w:p>
      <w:pPr>
        <w:pStyle w:val="Normal"/>
        <w:spacing w:lineRule="exact" w:line="276" w:before="0" w:after="130"/>
        <w:rPr/>
      </w:pPr>
      <w:r>
        <w:rPr>
          <w:sz w:val="22"/>
          <w:szCs w:val="22"/>
        </w:rPr>
        <w:t>The practical corollary, developed in Chapter 8, is that a single trip is a small-sample event in which variance, not expectation, governs the result. This is simultaneously the industry’s marketing engine—players win often enough to return—and the player’s only short-run hope on a negative-EV game.</w:t>
      </w:r>
    </w:p>
    <w:p>
      <w:pPr>
        <w:pStyle w:val="Heading3"/>
        <w:keepNext w:val="true"/>
        <w:spacing w:before="180" w:after="90"/>
        <w:rPr/>
      </w:pPr>
      <w:bookmarkStart w:id="6" w:name="__RefHeading___Toc2521_617431631"/>
      <w:bookmarkEnd w:id="6"/>
      <w:r>
        <w:rPr/>
        <w:t>A worked example: the normal approximation over a session</w:t>
      </w:r>
    </w:p>
    <w:p>
      <w:pPr>
        <w:pStyle w:val="Normal"/>
        <w:spacing w:lineRule="exact" w:line="276" w:before="0" w:after="130"/>
        <w:rPr/>
      </w:pPr>
      <w:r>
        <w:rPr>
          <w:sz w:val="22"/>
          <w:szCs w:val="22"/>
        </w:rPr>
        <w:t>The interaction of mean and standard deviation is best seen numerically. Consider a player making 1,000 even-money bets of one unit each on a single-zero roulette wheel (edge 2.70%, per-bet standard deviation very close to 1.0). The expected result is a loss of 1,000 × 0.027 = 27 units. The standard deviation of the 1,000-bet total is 1.0 × √1,000 ≈ 31.6 units. Because sums of many independent bounded outcomes are approximately normally distributed—the central limit theorem, anticipated by de Moivre’s normal approximation to the binomial—the player’s result is roughly normal with mean −27 and standard deviation 31.6.</w:t>
      </w:r>
      <w:r>
        <w:rPr>
          <w:rStyle w:val="FootnoteReference"/>
        </w:rPr>
        <w:footnoteReference w:id="11"/>
      </w:r>
    </w:p>
    <w:p>
      <w:pPr>
        <w:pStyle w:val="Normal"/>
        <w:spacing w:lineRule="exact" w:line="276" w:before="0" w:after="130"/>
        <w:rPr/>
      </w:pPr>
      <w:r>
        <w:rPr>
          <w:sz w:val="22"/>
          <w:szCs w:val="22"/>
        </w:rPr>
        <w:t>Two consequences follow that capture the entire tension of casino gambling. First, a one-standard-deviation good trip leaves the player up about +4.6 units (−27 + 31.6) despite the negative edge—so winning sessions are entirely ordinary and prove nothing about the underlying odds. Second, the probability of finishing ahead after 1,000 bets is the normal probability that the result exceeds zero, i.e. that a standard normal exceeds (0 − (−27))/31.6 ≈ 0.85 standard deviations, which is about 20%. The same player after 100,000 bets faces an expected loss of 2,700 units against a standard deviation of only ≈316, and the probability of being ahead collapses toward zero. The edge does not bite harder per bet as volume grows; it simply becomes inescapable as the √n noise shrinks relative to the linear drift. This is the precise mathematical reason the only durable protection on a negative-EV game is to limit the number of bets.</w:t>
      </w:r>
    </w:p>
    <w:p>
      <w:pPr>
        <w:pStyle w:val="Heading2"/>
        <w:keepNext w:val="true"/>
        <w:spacing w:before="220" w:after="110"/>
        <w:rPr/>
      </w:pPr>
      <w:bookmarkStart w:id="7" w:name="__RefHeading___Toc2523_617431631"/>
      <w:bookmarkEnd w:id="7"/>
      <w:r>
        <w:rPr/>
        <w:t>1.4 Independent versus dependent trials</w:t>
      </w:r>
    </w:p>
    <w:p>
      <w:pPr>
        <w:pStyle w:val="Normal"/>
        <w:spacing w:lineRule="exact" w:line="276" w:before="0" w:after="130"/>
        <w:rPr/>
      </w:pPr>
      <w:r>
        <w:rPr>
          <w:sz w:val="22"/>
          <w:szCs w:val="22"/>
        </w:rPr>
        <w:t xml:space="preserve">A recurring distinction concerns whether successive trials are independent. Roulette spins, slot spins, dice rolls, and keno draws are independent: the apparatus has no memory. This is why the </w:t>
      </w:r>
      <w:r>
        <w:rPr>
          <w:b/>
          <w:bCs/>
          <w:sz w:val="22"/>
          <w:szCs w:val="22"/>
        </w:rPr>
        <w:t>gambler’s fallacy</w:t>
      </w:r>
      <w:r>
        <w:rPr>
          <w:sz w:val="22"/>
          <w:szCs w:val="22"/>
        </w:rPr>
        <w:t>—the belief that a run of red “owes” a black—is a fallacy</w:t>
      </w:r>
      <w:r>
        <w:rPr>
          <w:rStyle w:val="FootnoteReference"/>
        </w:rPr>
        <w:footnoteReference w:id="12"/>
      </w:r>
      <w:r>
        <w:rPr>
          <w:sz w:val="22"/>
          <w:szCs w:val="22"/>
        </w:rPr>
        <w:t xml:space="preserve">. Card games dealt from a finite shoe without replacement are the exception: each card removed changes those remaining, so trials are </w:t>
      </w:r>
      <w:r>
        <w:rPr>
          <w:b/>
          <w:bCs/>
          <w:sz w:val="22"/>
          <w:szCs w:val="22"/>
        </w:rPr>
        <w:t>dependent</w:t>
      </w:r>
      <w:r>
        <w:rPr>
          <w:sz w:val="22"/>
          <w:szCs w:val="22"/>
        </w:rPr>
        <w:t>. This single property is the entire basis of card counting and the reason blackjack, almost alone among house-banked games, can be beaten</w:t>
      </w:r>
      <w:r>
        <w:rPr>
          <w:rStyle w:val="FootnoteReference"/>
        </w:rPr>
        <w:footnoteReference w:id="13"/>
      </w:r>
      <w:r>
        <w:rPr>
          <w:sz w:val="22"/>
          <w:szCs w:val="22"/>
        </w:rPr>
        <w:t>.</w:t>
      </w:r>
      <w:r>
        <w:br w:type="page"/>
      </w:r>
    </w:p>
    <w:p>
      <w:pPr>
        <w:pStyle w:val="Heading1"/>
        <w:spacing w:before="240" w:after="160"/>
        <w:rPr/>
      </w:pPr>
      <w:bookmarkStart w:id="8" w:name="__RefHeading___Toc2525_617431631"/>
      <w:bookmarkEnd w:id="8"/>
      <w:r>
        <w:rPr/>
        <w:t>2. A Game-by-Game Mathematical Audit</w:t>
      </w:r>
    </w:p>
    <w:p>
      <w:pPr>
        <w:pStyle w:val="Normal"/>
        <w:spacing w:lineRule="exact" w:line="276" w:before="0" w:after="130"/>
        <w:rPr/>
      </w:pPr>
      <w:r>
        <w:rPr>
          <w:sz w:val="22"/>
          <w:szCs w:val="22"/>
        </w:rPr>
        <w:t>This chapter tabulates the price of admission for every major casino offering. The master comparison appears in Table 2.1; subsequent sections decompose the games whose internal structure rewards closer study. Unless noted, figures follow Shackleford’s house-edge compilation and Hannum and Cabot’s tables.</w:t>
      </w:r>
    </w:p>
    <w:p>
      <w:pPr>
        <w:pStyle w:val="Normal"/>
        <w:keepNext w:val="true"/>
        <w:spacing w:before="160" w:after="70"/>
        <w:rPr/>
      </w:pPr>
      <w:r>
        <w:rPr>
          <w:b/>
          <w:bCs/>
          <w:color w:val="1F3A5F"/>
          <w:sz w:val="18"/>
          <w:szCs w:val="18"/>
        </w:rPr>
        <w:t>Table 2.1 — House edge of major casino games (per initial wager)</w:t>
      </w:r>
    </w:p>
    <w:tbl>
      <w:tblPr>
        <w:tblW w:w="9360" w:type="dxa"/>
        <w:jc w:val="left"/>
        <w:tblInd w:w="0" w:type="dxa"/>
        <w:tblLayout w:type="fixed"/>
        <w:tblCellMar>
          <w:top w:w="60" w:type="dxa"/>
          <w:left w:w="100" w:type="dxa"/>
          <w:bottom w:w="60" w:type="dxa"/>
          <w:right w:w="100" w:type="dxa"/>
        </w:tblCellMar>
      </w:tblPr>
      <w:tblGrid>
        <w:gridCol w:w="3399"/>
        <w:gridCol w:w="1701"/>
        <w:gridCol w:w="4260"/>
      </w:tblGrid>
      <w:tr>
        <w:trPr>
          <w:tblHeader w:val="true"/>
        </w:trPr>
        <w:tc>
          <w:tcPr>
            <w:tcW w:w="3399"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Game / bet</w:t>
            </w:r>
          </w:p>
        </w:tc>
        <w:tc>
          <w:tcPr>
            <w:tcW w:w="1701"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House edge</w:t>
            </w:r>
          </w:p>
        </w:tc>
        <w:tc>
          <w:tcPr>
            <w:tcW w:w="426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Notes</w:t>
            </w:r>
          </w:p>
        </w:tc>
      </w:tr>
      <w:tr>
        <w:trPr/>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Blackjack (liberal Vegas rules)</w:t>
            </w:r>
          </w:p>
        </w:tc>
        <w:tc>
          <w:tcPr>
            <w:tcW w:w="1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0.28%</w:t>
            </w:r>
          </w:p>
        </w:tc>
        <w:tc>
          <w:tcPr>
            <w:tcW w:w="4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S17, double any 2, DAS, RSA, late surrender; perfect basic strategy</w:t>
            </w:r>
          </w:p>
        </w:tc>
      </w:tr>
      <w:tr>
        <w:trPr/>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Blackjack (typical 3:2 game)</w:t>
            </w:r>
          </w:p>
        </w:tc>
        <w:tc>
          <w:tcPr>
            <w:tcW w:w="1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~0.50%</w:t>
            </w:r>
          </w:p>
        </w:tc>
        <w:tc>
          <w:tcPr>
            <w:tcW w:w="4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Common 6-deck rules; basic strategy</w:t>
            </w:r>
          </w:p>
        </w:tc>
      </w:tr>
      <w:tr>
        <w:trPr/>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Blackjack (6:5 payout)</w:t>
            </w:r>
          </w:p>
        </w:tc>
        <w:tc>
          <w:tcPr>
            <w:tcW w:w="1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2.0%+</w:t>
            </w:r>
          </w:p>
        </w:tc>
        <w:tc>
          <w:tcPr>
            <w:tcW w:w="4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6:5 alone adds ~1.39%; avoid</w:t>
            </w:r>
          </w:p>
        </w:tc>
      </w:tr>
      <w:tr>
        <w:trPr/>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Baccarat — Banker</w:t>
            </w:r>
          </w:p>
        </w:tc>
        <w:tc>
          <w:tcPr>
            <w:tcW w:w="1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1.06%</w:t>
            </w:r>
          </w:p>
        </w:tc>
        <w:tc>
          <w:tcPr>
            <w:tcW w:w="4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After 5% commission; best baccarat bet</w:t>
            </w:r>
          </w:p>
        </w:tc>
      </w:tr>
      <w:tr>
        <w:trPr/>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Baccarat — Player</w:t>
            </w:r>
          </w:p>
        </w:tc>
        <w:tc>
          <w:tcPr>
            <w:tcW w:w="1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1.24%</w:t>
            </w:r>
          </w:p>
        </w:tc>
        <w:tc>
          <w:tcPr>
            <w:tcW w:w="4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No commission</w:t>
            </w:r>
          </w:p>
        </w:tc>
      </w:tr>
      <w:tr>
        <w:trPr/>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Baccarat — Tie (8:1)</w:t>
            </w:r>
          </w:p>
        </w:tc>
        <w:tc>
          <w:tcPr>
            <w:tcW w:w="1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14.36%</w:t>
            </w:r>
          </w:p>
        </w:tc>
        <w:tc>
          <w:tcPr>
            <w:tcW w:w="4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~4.93% at 9:1; avoid</w:t>
            </w:r>
          </w:p>
        </w:tc>
      </w:tr>
      <w:tr>
        <w:trPr/>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Craps — Pass / Come</w:t>
            </w:r>
          </w:p>
        </w:tc>
        <w:tc>
          <w:tcPr>
            <w:tcW w:w="1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1.41%</w:t>
            </w:r>
          </w:p>
        </w:tc>
        <w:tc>
          <w:tcPr>
            <w:tcW w:w="4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Flat bet, before odds</w:t>
            </w:r>
          </w:p>
        </w:tc>
      </w:tr>
      <w:tr>
        <w:trPr/>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Craps — Don’t Pass / Don’t Come</w:t>
            </w:r>
          </w:p>
        </w:tc>
        <w:tc>
          <w:tcPr>
            <w:tcW w:w="1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1.36%</w:t>
            </w:r>
          </w:p>
        </w:tc>
        <w:tc>
          <w:tcPr>
            <w:tcW w:w="4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Flat bet, before odds</w:t>
            </w:r>
          </w:p>
        </w:tc>
      </w:tr>
      <w:tr>
        <w:trPr/>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Craps — Free odds</w:t>
            </w:r>
          </w:p>
        </w:tc>
        <w:tc>
          <w:tcPr>
            <w:tcW w:w="1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0.00%</w:t>
            </w:r>
          </w:p>
        </w:tc>
        <w:tc>
          <w:tcPr>
            <w:tcW w:w="4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Paid at true odds; no edge</w:t>
            </w:r>
          </w:p>
        </w:tc>
      </w:tr>
      <w:tr>
        <w:trPr/>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Craps — Place 6 or 8</w:t>
            </w:r>
          </w:p>
        </w:tc>
        <w:tc>
          <w:tcPr>
            <w:tcW w:w="1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1.52%</w:t>
            </w:r>
          </w:p>
        </w:tc>
        <w:tc>
          <w:tcPr>
            <w:tcW w:w="4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Per resolved bet</w:t>
            </w:r>
          </w:p>
        </w:tc>
      </w:tr>
      <w:tr>
        <w:trPr/>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Craps — Place 5 or 9</w:t>
            </w:r>
          </w:p>
        </w:tc>
        <w:tc>
          <w:tcPr>
            <w:tcW w:w="1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4.00%</w:t>
            </w:r>
          </w:p>
        </w:tc>
        <w:tc>
          <w:tcPr>
            <w:tcW w:w="4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r>
          </w:p>
        </w:tc>
      </w:tr>
      <w:tr>
        <w:trPr/>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Craps — Place 4 or 10</w:t>
            </w:r>
          </w:p>
        </w:tc>
        <w:tc>
          <w:tcPr>
            <w:tcW w:w="1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6.67%</w:t>
            </w:r>
          </w:p>
        </w:tc>
        <w:tc>
          <w:tcPr>
            <w:tcW w:w="4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r>
          </w:p>
        </w:tc>
      </w:tr>
      <w:tr>
        <w:trPr/>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Craps — Field</w:t>
            </w:r>
          </w:p>
        </w:tc>
        <w:tc>
          <w:tcPr>
            <w:tcW w:w="1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2.78% / 5.56%</w:t>
            </w:r>
          </w:p>
        </w:tc>
        <w:tc>
          <w:tcPr>
            <w:tcW w:w="4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2.78% if 12 pays 3:1; else 5.56%</w:t>
            </w:r>
          </w:p>
        </w:tc>
      </w:tr>
      <w:tr>
        <w:trPr/>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Craps — Any Seven</w:t>
            </w:r>
          </w:p>
        </w:tc>
        <w:tc>
          <w:tcPr>
            <w:tcW w:w="1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16.67%</w:t>
            </w:r>
          </w:p>
        </w:tc>
        <w:tc>
          <w:tcPr>
            <w:tcW w:w="4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Worst standard craps bet</w:t>
            </w:r>
          </w:p>
        </w:tc>
      </w:tr>
      <w:tr>
        <w:trPr/>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Roulette — single zero (European)</w:t>
            </w:r>
          </w:p>
        </w:tc>
        <w:tc>
          <w:tcPr>
            <w:tcW w:w="1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2.70%</w:t>
            </w:r>
          </w:p>
        </w:tc>
        <w:tc>
          <w:tcPr>
            <w:tcW w:w="4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All bets</w:t>
            </w:r>
          </w:p>
        </w:tc>
      </w:tr>
      <w:tr>
        <w:trPr/>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Roulette — single zero w/ La Partage</w:t>
            </w:r>
          </w:p>
        </w:tc>
        <w:tc>
          <w:tcPr>
            <w:tcW w:w="1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1.35%</w:t>
            </w:r>
          </w:p>
        </w:tc>
        <w:tc>
          <w:tcPr>
            <w:tcW w:w="4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Even-money bets only; best wheel bet</w:t>
            </w:r>
          </w:p>
        </w:tc>
      </w:tr>
      <w:tr>
        <w:trPr/>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Roulette — double zero (American)</w:t>
            </w:r>
          </w:p>
        </w:tc>
        <w:tc>
          <w:tcPr>
            <w:tcW w:w="1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5.26%</w:t>
            </w:r>
          </w:p>
        </w:tc>
        <w:tc>
          <w:tcPr>
            <w:tcW w:w="4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All bets except 0-00-1-2-3</w:t>
            </w:r>
          </w:p>
        </w:tc>
      </w:tr>
      <w:tr>
        <w:trPr/>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Roulette — five-number (American)</w:t>
            </w:r>
          </w:p>
        </w:tc>
        <w:tc>
          <w:tcPr>
            <w:tcW w:w="1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7.89%</w:t>
            </w:r>
          </w:p>
        </w:tc>
        <w:tc>
          <w:tcPr>
            <w:tcW w:w="4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0-00-1-2-3 only</w:t>
            </w:r>
          </w:p>
        </w:tc>
      </w:tr>
      <w:tr>
        <w:trPr/>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Roulette — triple zero</w:t>
            </w:r>
          </w:p>
        </w:tc>
        <w:tc>
          <w:tcPr>
            <w:tcW w:w="1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7.69%</w:t>
            </w:r>
          </w:p>
        </w:tc>
        <w:tc>
          <w:tcPr>
            <w:tcW w:w="4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All bets</w:t>
            </w:r>
          </w:p>
        </w:tc>
      </w:tr>
      <w:tr>
        <w:trPr/>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Video poker — 9/6 Jacks or Better</w:t>
            </w:r>
          </w:p>
        </w:tc>
        <w:tc>
          <w:tcPr>
            <w:tcW w:w="1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0.46%</w:t>
            </w:r>
          </w:p>
        </w:tc>
        <w:tc>
          <w:tcPr>
            <w:tcW w:w="4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Full pay, optimal strategy</w:t>
            </w:r>
          </w:p>
        </w:tc>
      </w:tr>
      <w:tr>
        <w:trPr/>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Video poker — full-pay Deuces Wild</w:t>
            </w:r>
          </w:p>
        </w:tc>
        <w:tc>
          <w:tcPr>
            <w:tcW w:w="1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w:t>
            </w:r>
            <w:r>
              <w:rPr>
                <w:b w:val="false"/>
                <w:bCs w:val="false"/>
                <w:sz w:val="18"/>
                <w:szCs w:val="18"/>
              </w:rPr>
              <w:t>0.76%</w:t>
            </w:r>
          </w:p>
        </w:tc>
        <w:tc>
          <w:tcPr>
            <w:tcW w:w="4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Player edge of 0.76% with perfect play</w:t>
            </w:r>
          </w:p>
        </w:tc>
      </w:tr>
      <w:tr>
        <w:trPr/>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Slots</w:t>
            </w:r>
          </w:p>
        </w:tc>
        <w:tc>
          <w:tcPr>
            <w:tcW w:w="1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2%–15%</w:t>
            </w:r>
          </w:p>
        </w:tc>
        <w:tc>
          <w:tcPr>
            <w:tcW w:w="4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Manufacturer range; not machine-disclosed</w:t>
            </w:r>
          </w:p>
        </w:tc>
      </w:tr>
      <w:tr>
        <w:trPr/>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Three Card Poker — Ante &amp; Play</w:t>
            </w:r>
          </w:p>
        </w:tc>
        <w:tc>
          <w:tcPr>
            <w:tcW w:w="1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3.37%</w:t>
            </w:r>
          </w:p>
        </w:tc>
        <w:tc>
          <w:tcPr>
            <w:tcW w:w="4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Element of risk 2.01%</w:t>
            </w:r>
          </w:p>
        </w:tc>
      </w:tr>
      <w:tr>
        <w:trPr/>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Ultimate Texas Hold’em</w:t>
            </w:r>
          </w:p>
        </w:tc>
        <w:tc>
          <w:tcPr>
            <w:tcW w:w="1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2.19%</w:t>
            </w:r>
          </w:p>
        </w:tc>
        <w:tc>
          <w:tcPr>
            <w:tcW w:w="4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Element of risk 0.53%</w:t>
            </w:r>
          </w:p>
        </w:tc>
      </w:tr>
      <w:tr>
        <w:trPr/>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Caribbean Stud</w:t>
            </w:r>
          </w:p>
        </w:tc>
        <w:tc>
          <w:tcPr>
            <w:tcW w:w="1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5.22%</w:t>
            </w:r>
          </w:p>
        </w:tc>
        <w:tc>
          <w:tcPr>
            <w:tcW w:w="4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Element of risk 2.56%</w:t>
            </w:r>
          </w:p>
        </w:tc>
      </w:tr>
      <w:tr>
        <w:trPr/>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Let It Ride</w:t>
            </w:r>
          </w:p>
        </w:tc>
        <w:tc>
          <w:tcPr>
            <w:tcW w:w="1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3.51%</w:t>
            </w:r>
          </w:p>
        </w:tc>
        <w:tc>
          <w:tcPr>
            <w:tcW w:w="4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Element of risk 2.85%</w:t>
            </w:r>
          </w:p>
        </w:tc>
      </w:tr>
      <w:tr>
        <w:trPr/>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Pai Gow Poker</w:t>
            </w:r>
          </w:p>
        </w:tc>
        <w:tc>
          <w:tcPr>
            <w:tcW w:w="1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1.46%</w:t>
            </w:r>
          </w:p>
        </w:tc>
        <w:tc>
          <w:tcPr>
            <w:tcW w:w="4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Element of risk ~0.75% banking half the time</w:t>
            </w:r>
          </w:p>
        </w:tc>
      </w:tr>
      <w:tr>
        <w:trPr/>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Casino War</w:t>
            </w:r>
          </w:p>
        </w:tc>
        <w:tc>
          <w:tcPr>
            <w:tcW w:w="1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2.88%</w:t>
            </w:r>
          </w:p>
        </w:tc>
        <w:tc>
          <w:tcPr>
            <w:tcW w:w="4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Going to war on ties</w:t>
            </w:r>
          </w:p>
        </w:tc>
      </w:tr>
      <w:tr>
        <w:trPr/>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Big Six / Wheel of Fortune</w:t>
            </w:r>
          </w:p>
        </w:tc>
        <w:tc>
          <w:tcPr>
            <w:tcW w:w="1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11.11%–24.07%</w:t>
            </w:r>
          </w:p>
        </w:tc>
        <w:tc>
          <w:tcPr>
            <w:tcW w:w="4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By wheel segment</w:t>
            </w:r>
          </w:p>
        </w:tc>
      </w:tr>
      <w:tr>
        <w:trPr/>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Keno</w:t>
            </w:r>
          </w:p>
        </w:tc>
        <w:tc>
          <w:tcPr>
            <w:tcW w:w="1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25%–29%</w:t>
            </w:r>
          </w:p>
        </w:tc>
        <w:tc>
          <w:tcPr>
            <w:tcW w:w="4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Worst odds on the floor</w:t>
            </w:r>
          </w:p>
        </w:tc>
      </w:tr>
    </w:tbl>
    <w:p>
      <w:pPr>
        <w:pStyle w:val="Normal"/>
        <w:spacing w:before="50" w:after="190"/>
        <w:rPr/>
      </w:pPr>
      <w:r>
        <w:rPr>
          <w:i/>
          <w:iCs/>
          <w:color w:val="44546A"/>
          <w:sz w:val="15"/>
          <w:szCs w:val="15"/>
        </w:rPr>
        <w:t>Sources: Shackleford, Wizard of Odds house-edge compilation and game appendices; Hannum &amp; Cabot (2005), Practical Casino Math. “Element of risk” denotes average loss as a fraction of total money wagered including conditional bets.</w:t>
      </w:r>
    </w:p>
    <w:p>
      <w:pPr>
        <w:pStyle w:val="Normal"/>
        <w:spacing w:lineRule="exact" w:line="276" w:before="0" w:after="130"/>
        <w:rPr/>
      </w:pPr>
      <w:r>
        <w:rPr>
          <w:sz w:val="22"/>
          <w:szCs w:val="22"/>
        </w:rPr>
        <w:t xml:space="preserve">Two readings of Table 2.1 matter more than any single number. The </w:t>
      </w:r>
      <w:r>
        <w:rPr>
          <w:b/>
          <w:bCs/>
          <w:sz w:val="22"/>
          <w:szCs w:val="22"/>
        </w:rPr>
        <w:t>first</w:t>
      </w:r>
      <w:r>
        <w:rPr>
          <w:sz w:val="22"/>
          <w:szCs w:val="22"/>
        </w:rPr>
        <w:t xml:space="preserve"> is the spread: a numerate player can choose to face a price of roughly half a percent or one of nearly thirty percent within the same building, and the choice of game dominates every other decision. The </w:t>
      </w:r>
      <w:r>
        <w:rPr>
          <w:b/>
          <w:bCs/>
          <w:sz w:val="22"/>
          <w:szCs w:val="22"/>
        </w:rPr>
        <w:t>second</w:t>
      </w:r>
      <w:r>
        <w:rPr>
          <w:sz w:val="22"/>
          <w:szCs w:val="22"/>
        </w:rPr>
        <w:t xml:space="preserve"> is the role of the free-odds bet in craps, the only wager in the house-banked universe carrying a literal zero edge—a structural curiosity discussed in §2.3.</w:t>
      </w:r>
    </w:p>
    <w:p>
      <w:pPr>
        <w:pStyle w:val="Heading2"/>
        <w:keepNext w:val="true"/>
        <w:spacing w:before="220" w:after="110"/>
        <w:rPr/>
      </w:pPr>
      <w:bookmarkStart w:id="9" w:name="__RefHeading___Toc2527_617431631"/>
      <w:bookmarkEnd w:id="9"/>
      <w:r>
        <w:rPr/>
        <w:t>2.1 Baccarat: the fixed-tableau game</w:t>
      </w:r>
    </w:p>
    <w:p>
      <w:pPr>
        <w:pStyle w:val="Normal"/>
        <w:spacing w:lineRule="exact" w:line="276" w:before="0" w:after="130"/>
        <w:rPr/>
      </w:pPr>
      <w:r>
        <w:rPr>
          <w:sz w:val="22"/>
          <w:szCs w:val="22"/>
        </w:rPr>
        <w:t>Baccarat offers the player no decisions; all draws follow a fixed tableau. From an eight-deck shoe the Banker wins 45.86% of coups, the Player 44.62%, and ties occur 9.52% of the time; excluding ties, the Banker wins 50.68%.</w:t>
      </w:r>
      <w:r>
        <w:rPr>
          <w:rStyle w:val="FootnoteReference"/>
        </w:rPr>
        <w:footnoteReference w:id="14"/>
      </w:r>
      <w:r>
        <w:rPr>
          <w:sz w:val="22"/>
          <w:szCs w:val="22"/>
        </w:rPr>
        <w:t xml:space="preserve"> The Banker’s structural advantage—it acts last and can react to the Player’s third card under the tableau—is so reliable that the house levies a 5% commission on Banker wins, which still leaves the lowest baccarat edge at 1.06%. The Player bet costs 1.24%; the Tie costs 14.36% at the usual 8-for-1 payout. Counting is effectively useless: the Player bet does not even reach parity with the Banker until a true count exceeding roughly 17,720, a figure with no practical realization</w:t>
      </w:r>
      <w:r>
        <w:rPr>
          <w:rStyle w:val="FootnoteReference"/>
        </w:rPr>
        <w:footnoteReference w:id="15"/>
      </w:r>
      <w:r>
        <w:rPr>
          <w:sz w:val="22"/>
          <w:szCs w:val="22"/>
        </w:rPr>
        <w:t>.</w:t>
      </w:r>
    </w:p>
    <w:p>
      <w:pPr>
        <w:pStyle w:val="Heading2"/>
        <w:keepNext w:val="true"/>
        <w:spacing w:before="220" w:after="110"/>
        <w:rPr/>
      </w:pPr>
      <w:bookmarkStart w:id="10" w:name="__RefHeading___Toc2529_617431631"/>
      <w:bookmarkEnd w:id="10"/>
      <w:r>
        <w:rPr/>
        <w:t>2.2 Roulette: the partage exception</w:t>
      </w:r>
    </w:p>
    <w:p>
      <w:pPr>
        <w:pStyle w:val="Normal"/>
        <w:spacing w:lineRule="exact" w:line="276" w:before="0" w:after="130"/>
        <w:rPr/>
      </w:pPr>
      <w:r>
        <w:rPr>
          <w:sz w:val="22"/>
          <w:szCs w:val="22"/>
        </w:rPr>
        <w:t xml:space="preserve">Roulette’s edge is set entirely by the green pockets. A single-zero wheel pays as though 36 numbers existed while 37 do, fixing a 2.70% edge on every bet; a double-zero wheel does so against 38 numbers, fixing 5.26%; the rare triple-zero wheel reaches 7.69%. The one materially better wager is the even-money bet on a single-zero wheel governed by the </w:t>
      </w:r>
      <w:r>
        <w:rPr>
          <w:b/>
          <w:bCs/>
          <w:sz w:val="22"/>
          <w:szCs w:val="22"/>
        </w:rPr>
        <w:t>La Partage</w:t>
      </w:r>
      <w:r>
        <w:rPr>
          <w:sz w:val="22"/>
          <w:szCs w:val="22"/>
        </w:rPr>
        <w:t xml:space="preserve"> rule, under which a zero costs the even-money bettor only half the stake rather than the whole. This halves the even-money edge to 1.35%—the best even-money proposition in the standard casino, rivaling a good blackjack game without any strategy burden</w:t>
      </w:r>
      <w:r>
        <w:rPr>
          <w:rStyle w:val="FootnoteReference"/>
        </w:rPr>
        <w:footnoteReference w:id="16"/>
      </w:r>
      <w:r>
        <w:rPr>
          <w:sz w:val="22"/>
          <w:szCs w:val="22"/>
        </w:rPr>
        <w:t>. The corollary is blunt: an American double-zero wheel charges nearly four times the price of a single-zero La Partage wheel for the identical entertainment.</w:t>
      </w:r>
    </w:p>
    <w:p>
      <w:pPr>
        <w:pStyle w:val="Heading2"/>
        <w:keepNext w:val="true"/>
        <w:spacing w:before="220" w:after="110"/>
        <w:rPr/>
      </w:pPr>
      <w:bookmarkStart w:id="11" w:name="__RefHeading___Toc2531_617431631"/>
      <w:bookmarkEnd w:id="11"/>
      <w:r>
        <w:rPr/>
        <w:t>2.3 Craps: the zero-edge odds bet</w:t>
      </w:r>
    </w:p>
    <w:p>
      <w:pPr>
        <w:pStyle w:val="Normal"/>
        <w:spacing w:lineRule="exact" w:line="276" w:before="0" w:after="130"/>
        <w:rPr/>
      </w:pPr>
      <w:r>
        <w:rPr>
          <w:sz w:val="22"/>
          <w:szCs w:val="22"/>
        </w:rPr>
        <w:t>Craps is structurally unusual because its best-known wagers are inexpensive and its flashy proposition bets are ruinous. The pass-line bet costs 1.41%, the don’t-pass bet 1.36%.</w:t>
      </w:r>
      <w:r>
        <w:rPr>
          <w:rStyle w:val="FootnoteReference"/>
        </w:rPr>
        <w:footnoteReference w:id="17"/>
      </w:r>
      <w:r>
        <w:rPr>
          <w:sz w:val="22"/>
          <w:szCs w:val="22"/>
        </w:rPr>
        <w:t xml:space="preserve"> Behind these, the casino permits a </w:t>
      </w:r>
      <w:r>
        <w:rPr>
          <w:b/>
          <w:bCs/>
          <w:sz w:val="22"/>
          <w:szCs w:val="22"/>
        </w:rPr>
        <w:t>free-odds</w:t>
      </w:r>
      <w:r>
        <w:rPr>
          <w:sz w:val="22"/>
          <w:szCs w:val="22"/>
        </w:rPr>
        <w:t xml:space="preserve"> bet paid at true mathematical odds and therefore carrying a 0% edge. The odds bet cannot be made alone; it rides on a prior line bet. Its effect is to dilute the edge on total money wagered: a pass-line bet backed by 3-4-5× odds blends to roughly 0.37%, and a don’t-pass bet with maximum lay odds to about 0.27%. By contrast, place bets on the 4 or 10 cost 6.67%, the field 2.78% or 5.56% depending on the 12’s payout, the hardways 9.09% to 11.11%, and Any Seven 16.67%. The proposition area in the middle of the layout is, in expectation, the most expensive real estate on the floor outside keno and Big Six.</w:t>
      </w:r>
    </w:p>
    <w:p>
      <w:pPr>
        <w:pStyle w:val="Heading2"/>
        <w:keepNext w:val="true"/>
        <w:spacing w:before="220" w:after="110"/>
        <w:rPr/>
      </w:pPr>
      <w:bookmarkStart w:id="12" w:name="__RefHeading___Toc2533_617431631"/>
      <w:bookmarkEnd w:id="12"/>
      <w:r>
        <w:rPr/>
        <w:t>2.4 The proprietary and carnival games</w:t>
      </w:r>
    </w:p>
    <w:p>
      <w:pPr>
        <w:pStyle w:val="Normal"/>
        <w:spacing w:lineRule="exact" w:line="276" w:before="0" w:after="130"/>
        <w:rPr/>
      </w:pPr>
      <w:r>
        <w:rPr>
          <w:sz w:val="22"/>
          <w:szCs w:val="22"/>
        </w:rPr>
        <w:t>The poker-derived table games sold to casinos under license (Three Card Poker, Ultimate Texas Hold’em, Caribbean Stud, Let It Ride, Pai Gow Poker) occupy a middle band. Measured by element of risk—the appropriate comparator because each adds conditional bets—Ultimate Texas Hold’em is strikingly cheap at 0.53%, Pai Gow Poker about 0.75% when banking, and Three Card Poker 2.01% on the Ante and Play; the Pair Plus side bet runs 7.28% on the most common pay table.</w:t>
      </w:r>
      <w:r>
        <w:rPr>
          <w:rStyle w:val="FootnoteReference"/>
        </w:rPr>
        <w:footnoteReference w:id="18"/>
      </w:r>
      <w:r>
        <w:rPr>
          <w:sz w:val="22"/>
          <w:szCs w:val="22"/>
        </w:rPr>
        <w:t xml:space="preserve"> These games trade a higher nominal ante edge for slow pace and large conditional payouts; they are reasonable entertainment but are not beatable.</w:t>
      </w:r>
      <w:r>
        <w:br w:type="page"/>
      </w:r>
    </w:p>
    <w:p>
      <w:pPr>
        <w:pStyle w:val="Heading1"/>
        <w:spacing w:before="240" w:after="160"/>
        <w:rPr/>
      </w:pPr>
      <w:bookmarkStart w:id="13" w:name="__RefHeading___Toc2535_617431631"/>
      <w:bookmarkEnd w:id="13"/>
      <w:r>
        <w:rPr/>
        <w:t>3. The Forgotten Multiplier: Game Speed and Cost per Hour</w:t>
      </w:r>
    </w:p>
    <w:p>
      <w:pPr>
        <w:pStyle w:val="Normal"/>
        <w:spacing w:lineRule="exact" w:line="276" w:before="0" w:after="130"/>
        <w:rPr/>
      </w:pPr>
      <w:r>
        <w:rPr>
          <w:sz w:val="22"/>
          <w:szCs w:val="22"/>
        </w:rPr>
        <w:t>A house edge is a price per dollar wagered; the cost a player actually bears is that price multiplied by the dollars wagered per hour, which in turn depends on the speed of the game and the size of the bet. This multiplier is the single most under-appreciated quantity in casual play, and it can invert the apparent ranking of games.</w:t>
      </w:r>
    </w:p>
    <w:p>
      <w:pPr>
        <w:pStyle w:val="Normal"/>
        <w:spacing w:lineRule="exact" w:line="276" w:before="0" w:after="130"/>
        <w:rPr/>
      </w:pPr>
      <w:r>
        <w:rPr>
          <w:sz w:val="22"/>
          <w:szCs w:val="22"/>
        </w:rPr>
        <w:t>The governing identity is simple: expected loss per hour = (house edge) × (average bet) × (decisions per hour). A European roulette player making one $10 even-money bet per spin at roughly 40 spins per hour faces 0.027 × $10 × 40 = $10.80/hour. A video poker player at the same $10 level on a 0.46% machine, but completing 600 hands per hour, faces 0.0046 × $10 × 600 = $27.60/hour—over twice the hourly cost of the “worse” game, purely because the machine is faster</w:t>
      </w:r>
      <w:r>
        <w:rPr>
          <w:rStyle w:val="FootnoteReference"/>
        </w:rPr>
        <w:footnoteReference w:id="19"/>
      </w:r>
      <w:r>
        <w:rPr>
          <w:sz w:val="22"/>
          <w:szCs w:val="22"/>
        </w:rPr>
        <w:t>.</w:t>
      </w:r>
    </w:p>
    <w:p>
      <w:pPr>
        <w:pStyle w:val="Normal"/>
        <w:keepNext w:val="true"/>
        <w:spacing w:before="160" w:after="70"/>
        <w:rPr/>
      </w:pPr>
      <w:r>
        <w:rPr>
          <w:b/>
          <w:bCs/>
          <w:color w:val="1F3A5F"/>
          <w:sz w:val="18"/>
          <w:szCs w:val="18"/>
        </w:rPr>
        <w:t>Table 3.1 — Illustrative expected loss per hour at a $10 average bet</w:t>
      </w:r>
    </w:p>
    <w:tbl>
      <w:tblPr>
        <w:tblW w:w="9360" w:type="dxa"/>
        <w:jc w:val="left"/>
        <w:tblInd w:w="0" w:type="dxa"/>
        <w:tblLayout w:type="fixed"/>
        <w:tblCellMar>
          <w:top w:w="60" w:type="dxa"/>
          <w:left w:w="100" w:type="dxa"/>
          <w:bottom w:w="60" w:type="dxa"/>
          <w:right w:w="100" w:type="dxa"/>
        </w:tblCellMar>
      </w:tblPr>
      <w:tblGrid>
        <w:gridCol w:w="3700"/>
        <w:gridCol w:w="1599"/>
        <w:gridCol w:w="1800"/>
        <w:gridCol w:w="2260"/>
      </w:tblGrid>
      <w:tr>
        <w:trPr>
          <w:tblHeader w:val="true"/>
        </w:trPr>
        <w:tc>
          <w:tcPr>
            <w:tcW w:w="370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Game</w:t>
            </w:r>
          </w:p>
        </w:tc>
        <w:tc>
          <w:tcPr>
            <w:tcW w:w="1599"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House edge</w:t>
            </w:r>
          </w:p>
        </w:tc>
        <w:tc>
          <w:tcPr>
            <w:tcW w:w="180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Decisions/hr</w:t>
            </w:r>
          </w:p>
        </w:tc>
        <w:tc>
          <w:tcPr>
            <w:tcW w:w="226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Expected loss/hr</w:t>
            </w:r>
          </w:p>
        </w:tc>
      </w:tr>
      <w:tr>
        <w:trPr/>
        <w:tc>
          <w:tcPr>
            <w:tcW w:w="37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European roulette (even money)</w:t>
            </w:r>
          </w:p>
        </w:tc>
        <w:tc>
          <w:tcPr>
            <w:tcW w:w="15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2.70%</w:t>
            </w:r>
          </w:p>
        </w:tc>
        <w:tc>
          <w:tcPr>
            <w:tcW w:w="18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40</w:t>
            </w:r>
          </w:p>
        </w:tc>
        <w:tc>
          <w:tcPr>
            <w:tcW w:w="2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$10.80</w:t>
            </w:r>
          </w:p>
        </w:tc>
      </w:tr>
      <w:tr>
        <w:trPr/>
        <w:tc>
          <w:tcPr>
            <w:tcW w:w="37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Blackjack, basic strategy (full table)</w:t>
            </w:r>
          </w:p>
        </w:tc>
        <w:tc>
          <w:tcPr>
            <w:tcW w:w="15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0.50%</w:t>
            </w:r>
          </w:p>
        </w:tc>
        <w:tc>
          <w:tcPr>
            <w:tcW w:w="18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60</w:t>
            </w:r>
          </w:p>
        </w:tc>
        <w:tc>
          <w:tcPr>
            <w:tcW w:w="2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$3.00</w:t>
            </w:r>
          </w:p>
        </w:tc>
      </w:tr>
      <w:tr>
        <w:trPr/>
        <w:tc>
          <w:tcPr>
            <w:tcW w:w="37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Blackjack, basic strategy (heads-up)</w:t>
            </w:r>
          </w:p>
        </w:tc>
        <w:tc>
          <w:tcPr>
            <w:tcW w:w="15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0.50%</w:t>
            </w:r>
          </w:p>
        </w:tc>
        <w:tc>
          <w:tcPr>
            <w:tcW w:w="18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200</w:t>
            </w:r>
          </w:p>
        </w:tc>
        <w:tc>
          <w:tcPr>
            <w:tcW w:w="2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$10.00</w:t>
            </w:r>
          </w:p>
        </w:tc>
      </w:tr>
      <w:tr>
        <w:trPr/>
        <w:tc>
          <w:tcPr>
            <w:tcW w:w="37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Baccarat (Banker)</w:t>
            </w:r>
          </w:p>
        </w:tc>
        <w:tc>
          <w:tcPr>
            <w:tcW w:w="15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1.06%</w:t>
            </w:r>
          </w:p>
        </w:tc>
        <w:tc>
          <w:tcPr>
            <w:tcW w:w="18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70</w:t>
            </w:r>
          </w:p>
        </w:tc>
        <w:tc>
          <w:tcPr>
            <w:tcW w:w="2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$7.42</w:t>
            </w:r>
          </w:p>
        </w:tc>
      </w:tr>
      <w:tr>
        <w:trPr/>
        <w:tc>
          <w:tcPr>
            <w:tcW w:w="37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Craps (pass + 3-4-5× odds, on flat bet)</w:t>
            </w:r>
          </w:p>
        </w:tc>
        <w:tc>
          <w:tcPr>
            <w:tcW w:w="15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1.41%</w:t>
            </w:r>
          </w:p>
        </w:tc>
        <w:tc>
          <w:tcPr>
            <w:tcW w:w="18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30</w:t>
            </w:r>
          </w:p>
        </w:tc>
        <w:tc>
          <w:tcPr>
            <w:tcW w:w="2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$4.23</w:t>
            </w:r>
          </w:p>
        </w:tc>
      </w:tr>
      <w:tr>
        <w:trPr/>
        <w:tc>
          <w:tcPr>
            <w:tcW w:w="37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9/6 Jacks or Better video poker</w:t>
            </w:r>
          </w:p>
        </w:tc>
        <w:tc>
          <w:tcPr>
            <w:tcW w:w="15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0.46%</w:t>
            </w:r>
          </w:p>
        </w:tc>
        <w:tc>
          <w:tcPr>
            <w:tcW w:w="18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600</w:t>
            </w:r>
          </w:p>
        </w:tc>
        <w:tc>
          <w:tcPr>
            <w:tcW w:w="22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$27.60</w:t>
            </w:r>
          </w:p>
        </w:tc>
      </w:tr>
      <w:tr>
        <w:trPr/>
        <w:tc>
          <w:tcPr>
            <w:tcW w:w="37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Penny slot (assume 8% hold)</w:t>
            </w:r>
          </w:p>
        </w:tc>
        <w:tc>
          <w:tcPr>
            <w:tcW w:w="15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8.00%</w:t>
            </w:r>
          </w:p>
        </w:tc>
        <w:tc>
          <w:tcPr>
            <w:tcW w:w="18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700</w:t>
            </w:r>
          </w:p>
        </w:tc>
        <w:tc>
          <w:tcPr>
            <w:tcW w:w="22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$560.00*</w:t>
            </w:r>
          </w:p>
        </w:tc>
      </w:tr>
    </w:tbl>
    <w:p>
      <w:pPr>
        <w:pStyle w:val="Normal"/>
        <w:spacing w:before="50" w:after="190"/>
        <w:rPr/>
      </w:pPr>
      <w:r>
        <w:rPr>
          <w:i/>
          <w:iCs/>
          <w:color w:val="44546A"/>
          <w:sz w:val="15"/>
          <w:szCs w:val="15"/>
        </w:rPr>
        <w:t>*The slot row assumes $10 in total coin-in per spin (e.g., max-bet multi-line play), not a one-cent wager; it illustrates how line/credit structure, not the “penny” denomination, sets exposure. Decision rates are mid-range estimates and vary widely by player and table conditions.</w:t>
      </w:r>
    </w:p>
    <w:p>
      <w:pPr>
        <w:pStyle w:val="Normal"/>
        <w:spacing w:lineRule="exact" w:line="276" w:before="0" w:after="130"/>
        <w:rPr/>
      </w:pPr>
      <w:r>
        <w:rPr>
          <w:sz w:val="22"/>
          <w:szCs w:val="22"/>
        </w:rPr>
        <w:t>The lesson is not that video poker is a bad game—at full pay it is one of the best—but that speed converts a low edge into real money quickly. A disciplined participant controls hourly cost through three levers: choosing a low-edge game, sizing bets sensibly, and—counter-intuitively—preferring slower tables when the edge is unavoidable. A crowded blackjack table is cheaper per hour than an empty one for exactly this reason.</w:t>
      </w:r>
      <w:r>
        <w:br w:type="page"/>
      </w:r>
    </w:p>
    <w:p>
      <w:pPr>
        <w:pStyle w:val="Heading1"/>
        <w:spacing w:before="240" w:after="160"/>
        <w:rPr/>
      </w:pPr>
      <w:bookmarkStart w:id="14" w:name="__RefHeading___Toc2537_617431631"/>
      <w:bookmarkEnd w:id="14"/>
      <w:r>
        <w:rPr/>
        <w:t>4. Blackjack I: Basic Strategy and the Compression of the Edge</w:t>
      </w:r>
    </w:p>
    <w:p>
      <w:pPr>
        <w:pStyle w:val="Normal"/>
        <w:spacing w:before="40" w:after="30"/>
        <w:ind w:left="680" w:right="680"/>
        <w:rPr/>
      </w:pPr>
      <w:r>
        <w:rPr>
          <w:i/>
          <w:iCs/>
          <w:color w:val="44546A"/>
          <w:sz w:val="20"/>
          <w:szCs w:val="20"/>
        </w:rPr>
        <w:t>The house has no built-in percentage against a player who knows the right play and has the discipline to make it.</w:t>
      </w:r>
    </w:p>
    <w:p>
      <w:pPr>
        <w:pStyle w:val="Normal"/>
        <w:spacing w:before="0" w:after="200"/>
        <w:ind w:left="680" w:right="680"/>
        <w:jc w:val="right"/>
        <w:rPr/>
      </w:pPr>
      <w:r>
        <w:rPr>
          <w:color w:val="44546A"/>
          <w:sz w:val="18"/>
          <w:szCs w:val="18"/>
        </w:rPr>
        <w:t xml:space="preserve">— </w:t>
      </w:r>
      <w:r>
        <w:rPr>
          <w:color w:val="44546A"/>
          <w:sz w:val="18"/>
          <w:szCs w:val="18"/>
        </w:rPr>
        <w:t>Edward O. Thorp, Beat the Dealer</w:t>
      </w:r>
    </w:p>
    <w:p>
      <w:pPr>
        <w:pStyle w:val="Heading2"/>
        <w:keepNext w:val="true"/>
        <w:spacing w:before="220" w:after="110"/>
        <w:rPr/>
      </w:pPr>
      <w:bookmarkStart w:id="15" w:name="__RefHeading___Toc2539_617431631"/>
      <w:bookmarkEnd w:id="15"/>
      <w:r>
        <w:rPr/>
        <w:t>4.1 Why blackjack is special</w:t>
      </w:r>
    </w:p>
    <w:p>
      <w:pPr>
        <w:pStyle w:val="Normal"/>
        <w:spacing w:lineRule="exact" w:line="276" w:before="0" w:after="130"/>
        <w:rPr/>
      </w:pPr>
      <w:r>
        <w:rPr>
          <w:sz w:val="22"/>
          <w:szCs w:val="22"/>
        </w:rPr>
        <w:t xml:space="preserve">Blackjack is the only widely available house-banked game in which the player makes decisions that change the expectation and in which the trials are dependent. Both properties matter. Decision-making allows </w:t>
      </w:r>
      <w:r>
        <w:rPr>
          <w:b/>
          <w:bCs/>
          <w:sz w:val="22"/>
          <w:szCs w:val="22"/>
        </w:rPr>
        <w:t>basic strategy</w:t>
      </w:r>
      <w:r>
        <w:rPr>
          <w:sz w:val="22"/>
          <w:szCs w:val="22"/>
        </w:rPr>
        <w:t xml:space="preserve">—the expectation-maximizing action for every combination of player hand and dealer up-card—to compress the house edge to roughly half a percent. Dependence allows </w:t>
      </w:r>
      <w:r>
        <w:rPr>
          <w:b/>
          <w:bCs/>
          <w:sz w:val="22"/>
          <w:szCs w:val="22"/>
        </w:rPr>
        <w:t>card counting</w:t>
      </w:r>
      <w:r>
        <w:rPr>
          <w:sz w:val="22"/>
          <w:szCs w:val="22"/>
        </w:rPr>
        <w:t xml:space="preserve"> (Chapter 5) to push the edge across zero into the player’s favor. The two are layered: basic strategy is the foundation on which any advantage method is built, and a counter who departs from basic strategy without cause simply gives back edge.</w:t>
      </w:r>
    </w:p>
    <w:p>
      <w:pPr>
        <w:pStyle w:val="Normal"/>
        <w:spacing w:lineRule="exact" w:line="276" w:before="0" w:after="130"/>
        <w:rPr/>
      </w:pPr>
      <w:r>
        <w:rPr>
          <w:sz w:val="22"/>
          <w:szCs w:val="22"/>
        </w:rPr>
        <w:t xml:space="preserve">Basic strategy was first derived by hand by four U.S. Army mathematicians—Baldwin, Cantey, Maisel, and McDermott—in a 1956 paper in the </w:t>
      </w:r>
      <w:r>
        <w:rPr>
          <w:i/>
          <w:iCs/>
          <w:sz w:val="22"/>
          <w:szCs w:val="22"/>
        </w:rPr>
        <w:t>Journal of the American Statistical Association</w:t>
      </w:r>
      <w:r>
        <w:rPr>
          <w:rStyle w:val="FootnoteReference"/>
        </w:rPr>
        <w:footnoteReference w:id="20"/>
      </w:r>
      <w:r>
        <w:rPr>
          <w:sz w:val="22"/>
          <w:szCs w:val="22"/>
        </w:rPr>
        <w:t>, and was refined and made famous by Thorp, who added the counting insight, and by Julian Braun’s subsequent computer simulations at IBM. Modern charts differ trivially from the 1956 result.</w:t>
      </w:r>
    </w:p>
    <w:p>
      <w:pPr>
        <w:pStyle w:val="Heading2"/>
        <w:keepNext w:val="true"/>
        <w:spacing w:before="220" w:after="110"/>
        <w:rPr/>
      </w:pPr>
      <w:bookmarkStart w:id="16" w:name="__RefHeading___Toc2541_617431631"/>
      <w:bookmarkEnd w:id="16"/>
      <w:r>
        <w:rPr/>
        <w:t>4.2 The structure of basic strategy</w:t>
      </w:r>
    </w:p>
    <w:p>
      <w:pPr>
        <w:pStyle w:val="Normal"/>
        <w:spacing w:lineRule="exact" w:line="276" w:before="0" w:after="130"/>
        <w:rPr/>
      </w:pPr>
      <w:r>
        <w:rPr>
          <w:sz w:val="22"/>
          <w:szCs w:val="22"/>
        </w:rPr>
        <w:t>Basic strategy partitions every decision into four families: whether to hit or stand on a hard total, how to play soft totals (those containing an ace counted as eleven), when to double down, and when to split pairs. The logic in every cell is identical: choose the action with the higher expected value given the two cards in the player’s hand and the single dealer up-card, integrated over all possible dealer outcomes. The charts are not heuristics; they are the exact optimum for the stated rules.</w:t>
      </w:r>
    </w:p>
    <w:p>
      <w:pPr>
        <w:pStyle w:val="Normal"/>
        <w:keepNext w:val="true"/>
        <w:spacing w:before="160" w:after="70"/>
        <w:rPr/>
      </w:pPr>
      <w:r>
        <w:rPr>
          <w:b/>
          <w:bCs/>
          <w:color w:val="1F3A5F"/>
          <w:sz w:val="18"/>
          <w:szCs w:val="18"/>
        </w:rPr>
        <w:t>Table 4.1 — Representative basic-strategy decisions (6-deck, S17, DAS)</w:t>
      </w:r>
    </w:p>
    <w:tbl>
      <w:tblPr>
        <w:tblW w:w="9360" w:type="dxa"/>
        <w:jc w:val="left"/>
        <w:tblInd w:w="0" w:type="dxa"/>
        <w:tblLayout w:type="fixed"/>
        <w:tblCellMar>
          <w:top w:w="60" w:type="dxa"/>
          <w:left w:w="100" w:type="dxa"/>
          <w:bottom w:w="60" w:type="dxa"/>
          <w:right w:w="100" w:type="dxa"/>
        </w:tblCellMar>
      </w:tblPr>
      <w:tblGrid>
        <w:gridCol w:w="2399"/>
        <w:gridCol w:w="1800"/>
        <w:gridCol w:w="2701"/>
        <w:gridCol w:w="2459"/>
      </w:tblGrid>
      <w:tr>
        <w:trPr>
          <w:tblHeader w:val="true"/>
        </w:trPr>
        <w:tc>
          <w:tcPr>
            <w:tcW w:w="2399"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Player hand</w:t>
            </w:r>
          </w:p>
        </w:tc>
        <w:tc>
          <w:tcPr>
            <w:tcW w:w="180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Dealer up-card</w:t>
            </w:r>
          </w:p>
        </w:tc>
        <w:tc>
          <w:tcPr>
            <w:tcW w:w="2701"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Correct play</w:t>
            </w:r>
          </w:p>
        </w:tc>
        <w:tc>
          <w:tcPr>
            <w:tcW w:w="2459"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Rationale</w:t>
            </w:r>
          </w:p>
        </w:tc>
      </w:tr>
      <w:tr>
        <w:trPr/>
        <w:tc>
          <w:tcPr>
            <w:tcW w:w="2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Hard 16</w:t>
            </w:r>
          </w:p>
        </w:tc>
        <w:tc>
          <w:tcPr>
            <w:tcW w:w="18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10</w:t>
            </w:r>
          </w:p>
        </w:tc>
        <w:tc>
          <w:tcPr>
            <w:tcW w:w="2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Stand (or surrender if allowed)</w:t>
            </w:r>
          </w:p>
        </w:tc>
        <w:tc>
          <w:tcPr>
            <w:tcW w:w="245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Dealer 10 is strong, but hitting 16 busts too often</w:t>
            </w:r>
          </w:p>
        </w:tc>
      </w:tr>
      <w:tr>
        <w:trPr/>
        <w:tc>
          <w:tcPr>
            <w:tcW w:w="2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Hard 12</w:t>
            </w:r>
          </w:p>
        </w:tc>
        <w:tc>
          <w:tcPr>
            <w:tcW w:w="18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2 or 3</w:t>
            </w:r>
          </w:p>
        </w:tc>
        <w:tc>
          <w:tcPr>
            <w:tcW w:w="2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Hit</w:t>
            </w:r>
          </w:p>
        </w:tc>
        <w:tc>
          <w:tcPr>
            <w:tcW w:w="245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Dealer can still bust, but 12 busts less than the dealer recovers</w:t>
            </w:r>
          </w:p>
        </w:tc>
      </w:tr>
      <w:tr>
        <w:trPr/>
        <w:tc>
          <w:tcPr>
            <w:tcW w:w="2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Hard 11</w:t>
            </w:r>
          </w:p>
        </w:tc>
        <w:tc>
          <w:tcPr>
            <w:tcW w:w="18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Any</w:t>
            </w:r>
          </w:p>
        </w:tc>
        <w:tc>
          <w:tcPr>
            <w:tcW w:w="2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Double</w:t>
            </w:r>
          </w:p>
        </w:tc>
        <w:tc>
          <w:tcPr>
            <w:tcW w:w="245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Strongest doubling hand; player is favorite</w:t>
            </w:r>
          </w:p>
        </w:tc>
      </w:tr>
      <w:tr>
        <w:trPr/>
        <w:tc>
          <w:tcPr>
            <w:tcW w:w="2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Soft 18 (A,7)</w:t>
            </w:r>
          </w:p>
        </w:tc>
        <w:tc>
          <w:tcPr>
            <w:tcW w:w="18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9, 10, A</w:t>
            </w:r>
          </w:p>
        </w:tc>
        <w:tc>
          <w:tcPr>
            <w:tcW w:w="2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Hit</w:t>
            </w:r>
          </w:p>
        </w:tc>
        <w:tc>
          <w:tcPr>
            <w:tcW w:w="245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18 is not enough against high up-cards</w:t>
            </w:r>
          </w:p>
        </w:tc>
      </w:tr>
      <w:tr>
        <w:trPr/>
        <w:tc>
          <w:tcPr>
            <w:tcW w:w="2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Pair of 8s</w:t>
            </w:r>
          </w:p>
        </w:tc>
        <w:tc>
          <w:tcPr>
            <w:tcW w:w="18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Any</w:t>
            </w:r>
          </w:p>
        </w:tc>
        <w:tc>
          <w:tcPr>
            <w:tcW w:w="2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Split</w:t>
            </w:r>
          </w:p>
        </w:tc>
        <w:tc>
          <w:tcPr>
            <w:tcW w:w="245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16 is the worst hand; two 8s start better</w:t>
            </w:r>
          </w:p>
        </w:tc>
      </w:tr>
      <w:tr>
        <w:trPr/>
        <w:tc>
          <w:tcPr>
            <w:tcW w:w="2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Pair of 5s</w:t>
            </w:r>
          </w:p>
        </w:tc>
        <w:tc>
          <w:tcPr>
            <w:tcW w:w="18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Any</w:t>
            </w:r>
          </w:p>
        </w:tc>
        <w:tc>
          <w:tcPr>
            <w:tcW w:w="2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Never split; treat as 10 and double vs 2–9</w:t>
            </w:r>
          </w:p>
        </w:tc>
        <w:tc>
          <w:tcPr>
            <w:tcW w:w="245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A pair of 5s is a strong 10, not a splitting hand</w:t>
            </w:r>
          </w:p>
        </w:tc>
      </w:tr>
      <w:tr>
        <w:trPr/>
        <w:tc>
          <w:tcPr>
            <w:tcW w:w="2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Pair of aces</w:t>
            </w:r>
          </w:p>
        </w:tc>
        <w:tc>
          <w:tcPr>
            <w:tcW w:w="18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Any</w:t>
            </w:r>
          </w:p>
        </w:tc>
        <w:tc>
          <w:tcPr>
            <w:tcW w:w="27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Always split</w:t>
            </w:r>
          </w:p>
        </w:tc>
        <w:tc>
          <w:tcPr>
            <w:tcW w:w="245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Two chances at 21; the single best split</w:t>
            </w:r>
          </w:p>
        </w:tc>
      </w:tr>
      <w:tr>
        <w:trPr/>
        <w:tc>
          <w:tcPr>
            <w:tcW w:w="2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Pair of 10s</w:t>
            </w:r>
          </w:p>
        </w:tc>
        <w:tc>
          <w:tcPr>
            <w:tcW w:w="18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Any</w:t>
            </w:r>
          </w:p>
        </w:tc>
        <w:tc>
          <w:tcPr>
            <w:tcW w:w="27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Never split</w:t>
            </w:r>
          </w:p>
        </w:tc>
        <w:tc>
          <w:tcPr>
            <w:tcW w:w="245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20 is already a near-certain winner</w:t>
            </w:r>
          </w:p>
        </w:tc>
      </w:tr>
    </w:tbl>
    <w:p>
      <w:pPr>
        <w:pStyle w:val="Normal"/>
        <w:spacing w:before="50" w:after="190"/>
        <w:rPr/>
      </w:pPr>
      <w:r>
        <w:rPr>
          <w:i/>
          <w:iCs/>
          <w:color w:val="44546A"/>
          <w:sz w:val="15"/>
          <w:szCs w:val="15"/>
        </w:rPr>
        <w:t>Illustrative cells only; a complete chart covers all hard totals 5–21, soft totals A2–A10, and all pairs against dealer up-cards 2 through ace. Decisions shift slightly under H17 and single-deck rules.</w:t>
      </w:r>
    </w:p>
    <w:p>
      <w:pPr>
        <w:pStyle w:val="Heading2"/>
        <w:keepNext w:val="true"/>
        <w:spacing w:before="220" w:after="110"/>
        <w:rPr/>
      </w:pPr>
      <w:bookmarkStart w:id="17" w:name="__RefHeading___Toc2543_617431631"/>
      <w:bookmarkEnd w:id="17"/>
      <w:r>
        <w:rPr/>
        <w:t>4.3 The cost of the rules</w:t>
      </w:r>
    </w:p>
    <w:p>
      <w:pPr>
        <w:pStyle w:val="Normal"/>
        <w:spacing w:lineRule="exact" w:line="276" w:before="0" w:after="130"/>
        <w:rPr/>
      </w:pPr>
      <w:r>
        <w:rPr>
          <w:sz w:val="22"/>
          <w:szCs w:val="22"/>
        </w:rPr>
        <w:t xml:space="preserve">Under liberal Strip rules—six decks, dealer stands on soft 17 (S17), double on any two cards, double after split (DAS), resplit aces, late surrender—perfect basic strategy faces a house edge near 0.28%. Each rule carries a measurable price. The dealer hitting soft 17 (H17) costs the player about 0.20%. Double-after-split is worth roughly +0.14% to the player; late surrender about +0.08%; resplitting aces about +0.08%. Fewer decks help. The single largest rule swing on any blackjack table, however, is the payout for a natural: replacing the standard 3:2 with </w:t>
      </w:r>
      <w:r>
        <w:rPr>
          <w:b/>
          <w:bCs/>
          <w:sz w:val="22"/>
          <w:szCs w:val="22"/>
        </w:rPr>
        <w:t>6:5</w:t>
      </w:r>
      <w:r>
        <w:rPr>
          <w:sz w:val="22"/>
          <w:szCs w:val="22"/>
        </w:rPr>
        <w:t xml:space="preserve"> adds approximately 1.39% to the house edge in one stroke, nearly tripling the cost of an otherwise good game.</w:t>
      </w:r>
      <w:r>
        <w:rPr>
          <w:rStyle w:val="FootnoteReference"/>
        </w:rPr>
        <w:footnoteReference w:id="21"/>
      </w:r>
    </w:p>
    <w:p>
      <w:pPr>
        <w:pStyle w:val="Normal"/>
        <w:spacing w:lineRule="exact" w:line="276" w:before="0" w:after="130"/>
        <w:rPr/>
      </w:pPr>
      <w:r>
        <w:rPr>
          <w:sz w:val="22"/>
          <w:szCs w:val="22"/>
        </w:rPr>
        <w:t xml:space="preserve">The disciplined consequence is a single non-negotiable rule, defended at length in the companion strategy guide: </w:t>
      </w:r>
      <w:r>
        <w:rPr>
          <w:b/>
          <w:bCs/>
          <w:sz w:val="22"/>
          <w:szCs w:val="22"/>
        </w:rPr>
        <w:t>never sit at a 6:5 table</w:t>
      </w:r>
      <w:r>
        <w:rPr>
          <w:sz w:val="22"/>
          <w:szCs w:val="22"/>
        </w:rPr>
        <w:t>. A 6:5 game with otherwise perfect rules is worse than a 3:2 game with poor ones. The standard deviation per hand of about 1.15 units</w:t>
      </w:r>
      <w:r>
        <w:rPr>
          <w:rStyle w:val="FootnoteReference"/>
        </w:rPr>
        <w:footnoteReference w:id="22"/>
      </w:r>
      <w:r>
        <w:rPr>
          <w:sz w:val="22"/>
          <w:szCs w:val="22"/>
        </w:rPr>
        <w:t xml:space="preserve"> means even a player with a positive expectation will endure long losing stretches, a point that becomes central once real money and counting enter in the next chapter.</w:t>
      </w:r>
    </w:p>
    <w:p>
      <w:pPr>
        <w:pStyle w:val="Heading2"/>
        <w:keepNext w:val="true"/>
        <w:spacing w:before="220" w:after="110"/>
        <w:rPr/>
      </w:pPr>
      <w:bookmarkStart w:id="18" w:name="__RefHeading___Toc2545_617431631"/>
      <w:bookmarkEnd w:id="18"/>
      <w:r>
        <w:rPr/>
        <w:t>4.4 The four most expensive mistakes</w:t>
      </w:r>
    </w:p>
    <w:p>
      <w:pPr>
        <w:pStyle w:val="Normal"/>
        <w:spacing w:lineRule="exact" w:line="276" w:before="0" w:after="130"/>
        <w:rPr/>
      </w:pPr>
      <w:r>
        <w:rPr>
          <w:sz w:val="22"/>
          <w:szCs w:val="22"/>
        </w:rPr>
        <w:t>Because basic strategy is the exact optimum, every departure from it has a quantifiable cost, and a small number of common errors account for most of the edge that recreational players surrender beyond the table’s built-in advantage. Naming them is the cheapest possible improvement to a player’s results.</w:t>
      </w:r>
    </w:p>
    <w:p>
      <w:pPr>
        <w:pStyle w:val="ListParagraph"/>
        <w:numPr>
          <w:ilvl w:val="0"/>
          <w:numId w:val="4"/>
        </w:numPr>
        <w:spacing w:lineRule="exact" w:line="272" w:before="0" w:after="90"/>
        <w:rPr/>
      </w:pPr>
      <w:r>
        <w:rPr>
          <w:b/>
          <w:bCs/>
          <w:sz w:val="22"/>
          <w:szCs w:val="22"/>
        </w:rPr>
        <w:t xml:space="preserve">Taking insurance. </w:t>
      </w:r>
      <w:r>
        <w:rPr>
          <w:sz w:val="22"/>
          <w:szCs w:val="22"/>
        </w:rPr>
        <w:t>Insurance is a side bet that the dealer has a ten in the hole, paying 2:1. With sixteen tens among the fifty-one unseen cards in a single deck, the true odds are about 2.18:1 against, so the bet carries a house edge near 7% for the basic-strategy player and should never be taken (a card counter takes it only at a sufficiently high count). “Even money” on a player blackjack is the identical bet in disguise and is equally rejected.</w:t>
      </w:r>
    </w:p>
    <w:p>
      <w:pPr>
        <w:pStyle w:val="ListParagraph"/>
        <w:numPr>
          <w:ilvl w:val="0"/>
          <w:numId w:val="1"/>
        </w:numPr>
        <w:spacing w:lineRule="exact" w:line="272" w:before="0" w:after="90"/>
        <w:rPr/>
      </w:pPr>
      <w:r>
        <w:rPr>
          <w:b/>
          <w:bCs/>
          <w:sz w:val="22"/>
          <w:szCs w:val="22"/>
        </w:rPr>
        <w:t xml:space="preserve">Standing on soft hands. </w:t>
      </w:r>
      <w:r>
        <w:rPr>
          <w:sz w:val="22"/>
          <w:szCs w:val="22"/>
        </w:rPr>
        <w:t>Players routinely stand on soft 17 or soft 18 against strong dealer up-cards, fearing the bust that a soft hand cannot suffer on one card. Hitting or doubling these hands is correct precisely because there is no bust risk; standing forfeits free expectation.</w:t>
      </w:r>
    </w:p>
    <w:p>
      <w:pPr>
        <w:pStyle w:val="ListParagraph"/>
        <w:numPr>
          <w:ilvl w:val="0"/>
          <w:numId w:val="1"/>
        </w:numPr>
        <w:spacing w:lineRule="exact" w:line="272" w:before="0" w:after="90"/>
        <w:rPr/>
      </w:pPr>
      <w:r>
        <w:rPr>
          <w:b/>
          <w:bCs/>
          <w:sz w:val="22"/>
          <w:szCs w:val="22"/>
        </w:rPr>
        <w:t xml:space="preserve">Mimicking the dealer. </w:t>
      </w:r>
      <w:r>
        <w:rPr>
          <w:sz w:val="22"/>
          <w:szCs w:val="22"/>
        </w:rPr>
        <w:t>Always hitting to 17 and standing thereafter, regardless of the up-card, ignores the information in the dealer’s card and costs several percent. The dealer’s fixed rules are not a strategy to copy; they exist because the dealer acts last and needs no discretion.</w:t>
      </w:r>
    </w:p>
    <w:p>
      <w:pPr>
        <w:pStyle w:val="ListParagraph"/>
        <w:numPr>
          <w:ilvl w:val="0"/>
          <w:numId w:val="1"/>
        </w:numPr>
        <w:spacing w:lineRule="exact" w:line="272" w:before="0" w:after="90"/>
        <w:rPr/>
      </w:pPr>
      <w:r>
        <w:rPr>
          <w:b/>
          <w:bCs/>
          <w:sz w:val="22"/>
          <w:szCs w:val="22"/>
        </w:rPr>
        <w:t xml:space="preserve">Splitting and doubling incorrectly. </w:t>
      </w:r>
      <w:r>
        <w:rPr>
          <w:sz w:val="22"/>
          <w:szCs w:val="22"/>
        </w:rPr>
        <w:t>Failing to split aces and eights, splitting tens or fives, and skipping the strong doubles (notably eleven against almost anything, ten against a weak up-card) each leak expectation. The pair of fives is the canonical trap: it is a strong starting ten, not a splitting hand.</w:t>
      </w:r>
    </w:p>
    <w:p>
      <w:pPr>
        <w:pStyle w:val="Normal"/>
        <w:spacing w:lineRule="exact" w:line="276" w:before="0" w:after="130"/>
        <w:rPr/>
      </w:pPr>
      <w:r>
        <w:rPr>
          <w:sz w:val="22"/>
          <w:szCs w:val="22"/>
        </w:rPr>
        <w:t>The aggregate cost of casual play is substantial. A player using a vague “never bust” or dealer-mimicking approach can convert a 0.5% game into a 2–3% one—multiplying the true cost of play several-fold without ever sitting at a bad table.</w:t>
      </w:r>
      <w:r>
        <w:rPr>
          <w:rStyle w:val="FootnoteReference"/>
        </w:rPr>
        <w:footnoteReference w:id="23"/>
      </w:r>
    </w:p>
    <w:p>
      <w:pPr>
        <w:pStyle w:val="Heading2"/>
        <w:keepNext w:val="true"/>
        <w:spacing w:before="220" w:after="110"/>
        <w:rPr/>
      </w:pPr>
      <w:bookmarkStart w:id="19" w:name="__RefHeading___Toc2547_617431631"/>
      <w:bookmarkEnd w:id="19"/>
      <w:r>
        <w:rPr/>
        <w:t>4.5 Rules variation and the S17/H17 fault line</w:t>
      </w:r>
    </w:p>
    <w:p>
      <w:pPr>
        <w:pStyle w:val="Normal"/>
        <w:spacing w:lineRule="exact" w:line="276" w:before="0" w:after="130"/>
        <w:rPr/>
      </w:pPr>
      <w:r>
        <w:rPr>
          <w:sz w:val="22"/>
          <w:szCs w:val="22"/>
        </w:rPr>
        <w:t>Basic strategy is rule-specific, and the most consequential single rule for chart purposes is whether the dealer stands or hits on soft 17. Under H17, a handful of cells shift toward more aggressive player action—most memorably, doubling on eleven against an ace and on soft hands against more up-cards, and surrendering a few additional stiffs—because the dealer’s ability to improve a soft 17 raises the value of the dealer’s hand and pushes the player toward maximizing on strong holdings. A player who memorizes only one chart should memorize the one matching the games actually available locally, then learn the roughly half-dozen H17 deviations as a supplement.</w:t>
      </w:r>
      <w:r>
        <w:rPr>
          <w:rStyle w:val="FootnoteReference"/>
        </w:rPr>
        <w:footnoteReference w:id="24"/>
      </w:r>
      <w:r>
        <w:rPr>
          <w:sz w:val="22"/>
          <w:szCs w:val="22"/>
        </w:rPr>
        <w:t xml:space="preserve"> The deeper point for this monograph is methodological: there is no single “blackjack strategy,” only an optimum conditional on a precisely specified rule set, and the disciplined player’s first act at any table is to read the felt—decks, soft-17 rule, doubling and splitting permissions, surrender, and above all the 3:2-versus-6:5 payout—before committing a chip.</w:t>
      </w:r>
      <w:r>
        <w:br w:type="page"/>
      </w:r>
    </w:p>
    <w:p>
      <w:pPr>
        <w:pStyle w:val="Heading1"/>
        <w:spacing w:before="240" w:after="160"/>
        <w:rPr/>
      </w:pPr>
      <w:bookmarkStart w:id="20" w:name="__RefHeading___Toc2549_617431631"/>
      <w:bookmarkEnd w:id="20"/>
      <w:r>
        <w:rPr/>
        <w:t>5. Blackjack II: Card Counting and the Player’s Edge</w:t>
      </w:r>
    </w:p>
    <w:p>
      <w:pPr>
        <w:pStyle w:val="Heading2"/>
        <w:keepNext w:val="true"/>
        <w:spacing w:before="220" w:after="110"/>
        <w:rPr/>
      </w:pPr>
      <w:bookmarkStart w:id="21" w:name="__RefHeading___Toc2551_617431631"/>
      <w:bookmarkEnd w:id="21"/>
      <w:r>
        <w:rPr/>
        <w:t>5.1 The principle</w:t>
      </w:r>
    </w:p>
    <w:p>
      <w:pPr>
        <w:pStyle w:val="Normal"/>
        <w:spacing w:lineRule="exact" w:line="276" w:before="0" w:after="130"/>
        <w:rPr/>
      </w:pPr>
      <w:r>
        <w:rPr>
          <w:sz w:val="22"/>
          <w:szCs w:val="22"/>
        </w:rPr>
        <w:t>High cards (tens and aces) favor the player; low cards (2–6) favor the dealer. The reasons are concrete: a deck rich in high cards produces more naturals—which pay the player 3:2 but the dealer only 1:1—improves the value of doubling, and busts the dealer more often when the dealer is forced to hit stiff hands. A counting system assigns a tag to each rank so that the running sum tracks the proportion of high to low cards remaining.</w:t>
      </w:r>
      <w:r>
        <w:rPr>
          <w:rStyle w:val="FootnoteReference"/>
        </w:rPr>
        <w:footnoteReference w:id="25"/>
      </w:r>
    </w:p>
    <w:p>
      <w:pPr>
        <w:pStyle w:val="Heading2"/>
        <w:keepNext w:val="true"/>
        <w:spacing w:before="220" w:after="110"/>
        <w:rPr/>
      </w:pPr>
      <w:bookmarkStart w:id="22" w:name="__RefHeading___Toc2553_617431631"/>
      <w:bookmarkEnd w:id="22"/>
      <w:r>
        <w:rPr/>
        <w:t>5.2 The Hi-Lo system</w:t>
      </w:r>
    </w:p>
    <w:p>
      <w:pPr>
        <w:pStyle w:val="Normal"/>
        <w:spacing w:lineRule="exact" w:line="276" w:before="0" w:after="130"/>
        <w:rPr/>
      </w:pPr>
      <w:r>
        <w:rPr>
          <w:sz w:val="22"/>
          <w:szCs w:val="22"/>
        </w:rPr>
        <w:t>The most widely used system, Hi-Lo, assigns +1 to each of 2, 3, 4, 5, 6; 0 to 7, 8, 9; and −1 to each 10, J, Q, K, and ace. The point-count scheme is attributed to Harvey Dubner, who presented it at a 1963 computing conference</w:t>
      </w:r>
      <w:r>
        <w:rPr>
          <w:rStyle w:val="FootnoteReference"/>
        </w:rPr>
        <w:footnoteReference w:id="26"/>
      </w:r>
      <w:r>
        <w:rPr>
          <w:sz w:val="22"/>
          <w:szCs w:val="22"/>
        </w:rPr>
        <w:t xml:space="preserve">. A balanced count sums to zero across a full deck; this is what allows conversion to a </w:t>
      </w:r>
      <w:r>
        <w:rPr>
          <w:b/>
          <w:bCs/>
          <w:sz w:val="22"/>
          <w:szCs w:val="22"/>
        </w:rPr>
        <w:t>true count</w:t>
      </w:r>
      <w:r>
        <w:rPr>
          <w:sz w:val="22"/>
          <w:szCs w:val="22"/>
        </w:rPr>
        <w:t xml:space="preserve">. The </w:t>
      </w:r>
      <w:r>
        <w:rPr>
          <w:b/>
          <w:bCs/>
          <w:sz w:val="22"/>
          <w:szCs w:val="22"/>
        </w:rPr>
        <w:t>running count</w:t>
      </w:r>
      <w:r>
        <w:rPr>
          <w:sz w:val="22"/>
          <w:szCs w:val="22"/>
        </w:rPr>
        <w:t xml:space="preserve"> is the cumulative tag total; dividing it by the number of decks remaining yields the true count, which normalizes the running count for the depth of the shoe and is the quantity on which betting and playing decisions actually turn.</w:t>
      </w:r>
    </w:p>
    <w:p>
      <w:pPr>
        <w:pStyle w:val="Normal"/>
        <w:spacing w:lineRule="exact" w:line="276" w:before="0" w:after="130"/>
        <w:rPr/>
      </w:pPr>
      <w:r>
        <w:rPr>
          <w:sz w:val="22"/>
          <w:szCs w:val="22"/>
        </w:rPr>
        <w:t xml:space="preserve">Two metrics characterize a counting system. </w:t>
      </w:r>
      <w:r>
        <w:rPr>
          <w:b/>
          <w:bCs/>
          <w:sz w:val="22"/>
          <w:szCs w:val="22"/>
        </w:rPr>
        <w:t>Betting correlation</w:t>
      </w:r>
      <w:r>
        <w:rPr>
          <w:sz w:val="22"/>
          <w:szCs w:val="22"/>
        </w:rPr>
        <w:t xml:space="preserve"> measures how well the count predicts the change in player advantage and governs how much extra money the system wins when bet sizes are varied; Hi-Lo’s is about 0.97. </w:t>
      </w:r>
      <w:r>
        <w:rPr>
          <w:b/>
          <w:bCs/>
          <w:sz w:val="22"/>
          <w:szCs w:val="22"/>
        </w:rPr>
        <w:t>Playing efficiency</w:t>
      </w:r>
      <w:r>
        <w:rPr>
          <w:sz w:val="22"/>
          <w:szCs w:val="22"/>
        </w:rPr>
        <w:t xml:space="preserve"> measures how well the count predicts profitable departures from basic strategy and is about 0.51 for Hi-Lo</w:t>
      </w:r>
      <w:r>
        <w:rPr>
          <w:rStyle w:val="FootnoteReference"/>
        </w:rPr>
        <w:footnoteReference w:id="27"/>
      </w:r>
      <w:r>
        <w:rPr>
          <w:sz w:val="22"/>
          <w:szCs w:val="22"/>
        </w:rPr>
        <w:t>. Higher-level systems (e.g., Hi-Opt II, Zen) raise playing efficiency at the cost of mental load; for most players Hi-Lo’s combination of simplicity and a 0.97 betting correlation is optimal.</w:t>
      </w:r>
    </w:p>
    <w:p>
      <w:pPr>
        <w:pStyle w:val="Heading2"/>
        <w:keepNext w:val="true"/>
        <w:spacing w:before="220" w:after="110"/>
        <w:rPr/>
      </w:pPr>
      <w:bookmarkStart w:id="23" w:name="__RefHeading___Toc2555_617431631"/>
      <w:bookmarkEnd w:id="23"/>
      <w:r>
        <w:rPr/>
        <w:t>5.3 How large is the edge?</w:t>
      </w:r>
    </w:p>
    <w:p>
      <w:pPr>
        <w:pStyle w:val="Normal"/>
        <w:spacing w:lineRule="exact" w:line="276" w:before="0" w:after="130"/>
        <w:rPr/>
      </w:pPr>
      <w:r>
        <w:rPr>
          <w:sz w:val="22"/>
          <w:szCs w:val="22"/>
        </w:rPr>
        <w:t>Each unit of positive true count is worth roughly +0.5% to the player. Starting from a basic-strategy disadvantage of about 0.5% off the top, the player crosses into positive expectation at a true count of about +1 to +2, reaches roughly +1.0% advantage near a true count of +3, and about +1.5% near +4.</w:t>
      </w:r>
      <w:r>
        <w:rPr>
          <w:rStyle w:val="FootnoteReference"/>
        </w:rPr>
        <w:footnoteReference w:id="28"/>
      </w:r>
      <w:r>
        <w:rPr>
          <w:sz w:val="22"/>
          <w:szCs w:val="22"/>
        </w:rPr>
        <w:t xml:space="preserve"> These are small edges. The counter does not win most hands or most shoes; the counter wins by betting more dollars when the edge is positive and fewer—or sitting out—when it is negative. The realized advantage of a skilled counter under good conditions is generally in the 0.5%–1.5% band, which is why bankroll size and bet spread, not card-tracking skill alone, determine survival.</w:t>
      </w:r>
    </w:p>
    <w:p>
      <w:pPr>
        <w:pStyle w:val="Normal"/>
        <w:spacing w:lineRule="exact" w:line="276" w:before="0" w:after="130"/>
        <w:rPr/>
      </w:pPr>
      <w:r>
        <w:rPr>
          <w:sz w:val="22"/>
          <w:szCs w:val="22"/>
        </w:rPr>
        <w:t xml:space="preserve">Two operational variables amplify or destroy the edge. </w:t>
      </w:r>
      <w:r>
        <w:rPr>
          <w:b/>
          <w:bCs/>
          <w:sz w:val="22"/>
          <w:szCs w:val="22"/>
        </w:rPr>
        <w:t>Penetration</w:t>
      </w:r>
      <w:r>
        <w:rPr>
          <w:sz w:val="22"/>
          <w:szCs w:val="22"/>
        </w:rPr>
        <w:t xml:space="preserve">—how deep into the shoe the dealer deals before shuffling—directly scales the counter’s opportunity; a shoe shuffled with two decks left behind is far less exploitable than one dealt to the last half-deck. </w:t>
      </w:r>
      <w:r>
        <w:rPr>
          <w:b/>
          <w:bCs/>
          <w:sz w:val="22"/>
          <w:szCs w:val="22"/>
        </w:rPr>
        <w:t>Bet spread</w:t>
      </w:r>
      <w:r>
        <w:rPr>
          <w:sz w:val="22"/>
          <w:szCs w:val="22"/>
        </w:rPr>
        <w:t>—the ratio of the largest to smallest bet—determines how much the player can capitalize on high counts, but a large spread is also the clearest signal to casino surveillance that a player is counting.</w:t>
      </w:r>
    </w:p>
    <w:p>
      <w:pPr>
        <w:pStyle w:val="Heading2"/>
        <w:keepNext w:val="true"/>
        <w:spacing w:before="220" w:after="110"/>
        <w:rPr/>
      </w:pPr>
      <w:bookmarkStart w:id="24" w:name="__RefHeading___Toc2557_617431631"/>
      <w:bookmarkEnd w:id="24"/>
      <w:r>
        <w:rPr/>
        <w:t>5.4 History: from Thorp to the MIT teams</w:t>
      </w:r>
    </w:p>
    <w:p>
      <w:pPr>
        <w:pStyle w:val="Normal"/>
        <w:spacing w:lineRule="exact" w:line="276" w:before="0" w:after="130"/>
        <w:rPr/>
      </w:pPr>
      <w:r>
        <w:rPr>
          <w:sz w:val="22"/>
          <w:szCs w:val="22"/>
        </w:rPr>
        <w:t xml:space="preserve">Thorp’s </w:t>
      </w:r>
      <w:r>
        <w:rPr>
          <w:i/>
          <w:iCs/>
          <w:sz w:val="22"/>
          <w:szCs w:val="22"/>
        </w:rPr>
        <w:t>Beat the Dealer</w:t>
      </w:r>
      <w:r>
        <w:rPr>
          <w:sz w:val="22"/>
          <w:szCs w:val="22"/>
        </w:rPr>
        <w:t xml:space="preserve"> (1962) launched modern advantage play. Al Francesco developed team play to disguise the large bets of a counter behind a “big player” who joins a table only when a confederate signals a high count; Ken Uston popularized the method in </w:t>
      </w:r>
      <w:r>
        <w:rPr>
          <w:i/>
          <w:iCs/>
          <w:sz w:val="22"/>
          <w:szCs w:val="22"/>
        </w:rPr>
        <w:t>The Big Player</w:t>
      </w:r>
      <w:r>
        <w:rPr>
          <w:sz w:val="22"/>
          <w:szCs w:val="22"/>
        </w:rPr>
        <w:t xml:space="preserve"> (1977) and </w:t>
      </w:r>
      <w:r>
        <w:rPr>
          <w:i/>
          <w:iCs/>
          <w:sz w:val="22"/>
          <w:szCs w:val="22"/>
        </w:rPr>
        <w:t>Million Dollar Blackjack</w:t>
      </w:r>
      <w:r>
        <w:rPr>
          <w:sz w:val="22"/>
          <w:szCs w:val="22"/>
        </w:rPr>
        <w:t xml:space="preserve"> (1981)</w:t>
      </w:r>
      <w:r>
        <w:rPr>
          <w:rStyle w:val="FootnoteReference"/>
        </w:rPr>
        <w:footnoteReference w:id="29"/>
      </w:r>
      <w:r>
        <w:rPr>
          <w:sz w:val="22"/>
          <w:szCs w:val="22"/>
        </w:rPr>
        <w:t>. The best-documented operation, the MIT Blackjack Team, was run as a formal business by Bill Kaplan and J. P. Massar beginning on 1 August 1980 with an initial bank of about $89,000; at its peak the enterprise fielded roughly thirty-five players and managed capital on the order of $350,000</w:t>
      </w:r>
      <w:r>
        <w:rPr>
          <w:rStyle w:val="FootnoteReference"/>
        </w:rPr>
        <w:footnoteReference w:id="30"/>
      </w:r>
      <w:r>
        <w:rPr>
          <w:sz w:val="22"/>
          <w:szCs w:val="22"/>
        </w:rPr>
        <w:t>. The teams are the clearest empirical proof that blackjack is beatable—and, in the countermeasures they provoked, the clearest proof that casinos will act to stop it.</w:t>
      </w:r>
    </w:p>
    <w:p>
      <w:pPr>
        <w:pStyle w:val="Heading2"/>
        <w:keepNext w:val="true"/>
        <w:spacing w:before="220" w:after="110"/>
        <w:rPr/>
      </w:pPr>
      <w:bookmarkStart w:id="25" w:name="__RefHeading___Toc2559_617431631"/>
      <w:bookmarkEnd w:id="25"/>
      <w:r>
        <w:rPr/>
        <w:t>5.5 Countermeasures and the law</w:t>
      </w:r>
    </w:p>
    <w:p>
      <w:pPr>
        <w:pStyle w:val="Normal"/>
        <w:spacing w:lineRule="exact" w:line="276" w:before="0" w:after="130"/>
        <w:rPr/>
      </w:pPr>
      <w:r>
        <w:rPr>
          <w:sz w:val="22"/>
          <w:szCs w:val="22"/>
        </w:rPr>
        <w:t>Card counting is legal everywhere in the United States; it is unaided mental computation. But casinos are private property and, outside New Jersey, may refuse service to or exclude (“back off”) a player they suspect of counting</w:t>
      </w:r>
      <w:r>
        <w:rPr>
          <w:rStyle w:val="FootnoteReference"/>
        </w:rPr>
        <w:footnoteReference w:id="31"/>
      </w:r>
      <w:r>
        <w:rPr>
          <w:sz w:val="22"/>
          <w:szCs w:val="22"/>
        </w:rPr>
        <w:t>. The legal line is sharp and worth stating precisely. Counting in one’s head is lawful. Using or possessing a device to assist counting is a felony in Nevada under NRS 465.075</w:t>
      </w:r>
      <w:r>
        <w:rPr>
          <w:rStyle w:val="FootnoteReference"/>
        </w:rPr>
        <w:footnoteReference w:id="32"/>
      </w:r>
      <w:r>
        <w:rPr>
          <w:sz w:val="22"/>
          <w:szCs w:val="22"/>
        </w:rPr>
        <w:t>. Returning to a property after being served a trespass notice converts a non-crime into criminal trespass.</w:t>
      </w:r>
    </w:p>
    <w:p>
      <w:pPr>
        <w:pStyle w:val="Normal"/>
        <w:spacing w:lineRule="exact" w:line="276" w:before="0" w:after="130"/>
        <w:rPr/>
      </w:pPr>
      <w:r>
        <w:rPr>
          <w:sz w:val="22"/>
          <w:szCs w:val="22"/>
        </w:rPr>
        <w:t>Operational countermeasures lower the counter’s edge without any legal process: continuous shuffling machines (CSMs) that eliminate depth, shallow penetration, preferential shuffling when the count rises, more decks, flat-betting requirements on suspected players, and surveillance. The industry historically shared identifications through Griffin Investigations, whose “mug book” circulated among casinos until advantage player James Grosjean’s successful litigation contributed to the firm’s bankruptcy</w:t>
      </w:r>
      <w:r>
        <w:rPr>
          <w:rStyle w:val="FootnoteReference"/>
        </w:rPr>
        <w:footnoteReference w:id="33"/>
      </w:r>
      <w:r>
        <w:rPr>
          <w:sz w:val="22"/>
          <w:szCs w:val="22"/>
        </w:rPr>
        <w:t>. The disciplined corollary, again developed in the strategy guide, is that staying beneath the casino’s attention threshold—modest spreads, short sessions, varied properties—is itself a skill, and that “playing too well” is the fastest route to being barred.</w:t>
      </w:r>
      <w:r>
        <w:br w:type="page"/>
      </w:r>
    </w:p>
    <w:p>
      <w:pPr>
        <w:pStyle w:val="Heading1"/>
        <w:spacing w:before="240" w:after="160"/>
        <w:rPr/>
      </w:pPr>
      <w:bookmarkStart w:id="26" w:name="__RefHeading___Toc2561_617431631"/>
      <w:bookmarkEnd w:id="26"/>
      <w:r>
        <w:rPr/>
        <w:t>6. Video Poker: Where Positive Expectation Is Printed on the Glass</w:t>
      </w:r>
    </w:p>
    <w:p>
      <w:pPr>
        <w:pStyle w:val="Normal"/>
        <w:spacing w:before="40" w:after="30"/>
        <w:ind w:left="680" w:right="680"/>
        <w:rPr/>
      </w:pPr>
      <w:r>
        <w:rPr>
          <w:i/>
          <w:iCs/>
          <w:color w:val="44546A"/>
          <w:sz w:val="20"/>
          <w:szCs w:val="20"/>
        </w:rPr>
        <w:t>The pay schedule is the game. Two machines that look identical can differ by three percent in return, and the difference is posted in plain sight.</w:t>
      </w:r>
    </w:p>
    <w:p>
      <w:pPr>
        <w:pStyle w:val="Normal"/>
        <w:spacing w:before="0" w:after="200"/>
        <w:ind w:left="680" w:right="680"/>
        <w:jc w:val="right"/>
        <w:rPr/>
      </w:pPr>
      <w:r>
        <w:rPr>
          <w:color w:val="44546A"/>
          <w:sz w:val="18"/>
          <w:szCs w:val="18"/>
        </w:rPr>
        <w:t xml:space="preserve">— </w:t>
      </w:r>
      <w:r>
        <w:rPr>
          <w:color w:val="44546A"/>
          <w:sz w:val="18"/>
          <w:szCs w:val="18"/>
        </w:rPr>
        <w:t>paraphrasing the central lesson of the video-poker literature</w:t>
      </w:r>
    </w:p>
    <w:p>
      <w:pPr>
        <w:pStyle w:val="Heading2"/>
        <w:keepNext w:val="true"/>
        <w:spacing w:before="220" w:after="110"/>
        <w:rPr/>
      </w:pPr>
      <w:bookmarkStart w:id="27" w:name="__RefHeading___Toc2563_617431631"/>
      <w:bookmarkEnd w:id="27"/>
      <w:r>
        <w:rPr/>
        <w:t>6.1 Why video poker can be beaten</w:t>
      </w:r>
    </w:p>
    <w:p>
      <w:pPr>
        <w:pStyle w:val="Normal"/>
        <w:spacing w:lineRule="exact" w:line="276" w:before="0" w:after="130"/>
        <w:rPr/>
      </w:pPr>
      <w:r>
        <w:rPr>
          <w:sz w:val="22"/>
          <w:szCs w:val="22"/>
        </w:rPr>
        <w:t xml:space="preserve">Video poker is the rare machine game whose mathematics are fully transparent: the deck is a known 52 cards, the dealing is uniform, and the entire return is determined by the </w:t>
      </w:r>
      <w:r>
        <w:rPr>
          <w:b/>
          <w:bCs/>
          <w:sz w:val="22"/>
          <w:szCs w:val="22"/>
        </w:rPr>
        <w:t>pay table</w:t>
      </w:r>
      <w:r>
        <w:rPr>
          <w:sz w:val="22"/>
          <w:szCs w:val="22"/>
        </w:rPr>
        <w:t xml:space="preserve"> printed on the machine combined with the player’s drawing decisions. Because the probabilities of every five-card draw can be computed exactly, the optimal strategy and the resulting return are exactly known for any pay table. A handful of pay tables return more than 100% to a perfect player, making video poker the only machine on the floor that can carry a player edge.</w:t>
      </w:r>
      <w:r>
        <w:rPr>
          <w:rStyle w:val="FootnoteReference"/>
        </w:rPr>
        <w:footnoteReference w:id="34"/>
      </w:r>
    </w:p>
    <w:p>
      <w:pPr>
        <w:pStyle w:val="Heading2"/>
        <w:keepNext w:val="true"/>
        <w:spacing w:before="220" w:after="110"/>
        <w:rPr/>
      </w:pPr>
      <w:bookmarkStart w:id="28" w:name="__RefHeading___Toc2565_617431631"/>
      <w:bookmarkEnd w:id="28"/>
      <w:r>
        <w:rPr/>
        <w:t>6.2 Reading a pay table</w:t>
      </w:r>
    </w:p>
    <w:p>
      <w:pPr>
        <w:pStyle w:val="Normal"/>
        <w:spacing w:lineRule="exact" w:line="276" w:before="0" w:after="130"/>
        <w:rPr/>
      </w:pPr>
      <w:r>
        <w:rPr>
          <w:sz w:val="22"/>
          <w:szCs w:val="22"/>
        </w:rPr>
        <w:t>Video poker pay tables are named by the coins-per-coin returned on the key middling hands. In Jacks or Better, the “9/6” table pays 9 for a full house and 6 for a flush (per coin bet); it returns 99.54% to optimal play—a 0.46% house edge. Degrading those two lines steps the return down sharply: 9/5 returns about 98.4%, 8/5 about 97.3%, and 6/5 about 95.0%.</w:t>
      </w:r>
      <w:r>
        <w:rPr>
          <w:rStyle w:val="FootnoteReference"/>
        </w:rPr>
        <w:footnoteReference w:id="35"/>
      </w:r>
      <w:r>
        <w:rPr>
          <w:sz w:val="22"/>
          <w:szCs w:val="22"/>
        </w:rPr>
        <w:t xml:space="preserve"> The single most valuable habit a video-poker player can form is to read the full-house and flush lines before sitting down and to walk away from any short-pay table.</w:t>
      </w:r>
    </w:p>
    <w:p>
      <w:pPr>
        <w:pStyle w:val="Normal"/>
        <w:keepNext w:val="true"/>
        <w:spacing w:before="160" w:after="70"/>
        <w:rPr/>
      </w:pPr>
      <w:r>
        <w:rPr>
          <w:b/>
          <w:bCs/>
          <w:color w:val="1F3A5F"/>
          <w:sz w:val="18"/>
          <w:szCs w:val="18"/>
        </w:rPr>
        <w:t>Table 6.1 — Optimal return of common video-poker pay tables</w:t>
      </w:r>
    </w:p>
    <w:tbl>
      <w:tblPr>
        <w:tblW w:w="9360" w:type="dxa"/>
        <w:jc w:val="left"/>
        <w:tblInd w:w="0" w:type="dxa"/>
        <w:tblLayout w:type="fixed"/>
        <w:tblCellMar>
          <w:top w:w="60" w:type="dxa"/>
          <w:left w:w="100" w:type="dxa"/>
          <w:bottom w:w="60" w:type="dxa"/>
          <w:right w:w="100" w:type="dxa"/>
        </w:tblCellMar>
      </w:tblPr>
      <w:tblGrid>
        <w:gridCol w:w="4400"/>
        <w:gridCol w:w="2600"/>
        <w:gridCol w:w="2360"/>
      </w:tblGrid>
      <w:tr>
        <w:trPr>
          <w:tblHeader w:val="true"/>
        </w:trPr>
        <w:tc>
          <w:tcPr>
            <w:tcW w:w="440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Game / pay table</w:t>
            </w:r>
          </w:p>
        </w:tc>
        <w:tc>
          <w:tcPr>
            <w:tcW w:w="260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Return to optimal play</w:t>
            </w:r>
          </w:p>
        </w:tc>
        <w:tc>
          <w:tcPr>
            <w:tcW w:w="236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House edge</w:t>
            </w:r>
          </w:p>
        </w:tc>
      </w:tr>
      <w:tr>
        <w:trPr/>
        <w:tc>
          <w:tcPr>
            <w:tcW w:w="44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Full-pay Deuces Wild (“full pay”)</w:t>
            </w:r>
          </w:p>
        </w:tc>
        <w:tc>
          <w:tcPr>
            <w:tcW w:w="26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100.76%</w:t>
            </w:r>
          </w:p>
        </w:tc>
        <w:tc>
          <w:tcPr>
            <w:tcW w:w="23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w:t>
            </w:r>
            <w:r>
              <w:rPr>
                <w:b w:val="false"/>
                <w:bCs w:val="false"/>
                <w:sz w:val="18"/>
                <w:szCs w:val="18"/>
              </w:rPr>
              <w:t>0.76% (player edge)</w:t>
            </w:r>
          </w:p>
        </w:tc>
      </w:tr>
      <w:tr>
        <w:trPr/>
        <w:tc>
          <w:tcPr>
            <w:tcW w:w="44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Double Bonus (full pay, 10/7)</w:t>
            </w:r>
          </w:p>
        </w:tc>
        <w:tc>
          <w:tcPr>
            <w:tcW w:w="26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~100.17%</w:t>
            </w:r>
          </w:p>
        </w:tc>
        <w:tc>
          <w:tcPr>
            <w:tcW w:w="23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w:t>
            </w:r>
            <w:r>
              <w:rPr>
                <w:b w:val="false"/>
                <w:bCs w:val="false"/>
                <w:sz w:val="18"/>
                <w:szCs w:val="18"/>
              </w:rPr>
              <w:t>0.17% (player edge)</w:t>
            </w:r>
          </w:p>
        </w:tc>
      </w:tr>
      <w:tr>
        <w:trPr/>
        <w:tc>
          <w:tcPr>
            <w:tcW w:w="44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Not So Ugly Deuces (NSUD)</w:t>
            </w:r>
          </w:p>
        </w:tc>
        <w:tc>
          <w:tcPr>
            <w:tcW w:w="26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99.73%</w:t>
            </w:r>
          </w:p>
        </w:tc>
        <w:tc>
          <w:tcPr>
            <w:tcW w:w="23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0.27%</w:t>
            </w:r>
          </w:p>
        </w:tc>
      </w:tr>
      <w:tr>
        <w:trPr/>
        <w:tc>
          <w:tcPr>
            <w:tcW w:w="44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Bonus Poker Deluxe (full pay)</w:t>
            </w:r>
          </w:p>
        </w:tc>
        <w:tc>
          <w:tcPr>
            <w:tcW w:w="26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99.64%</w:t>
            </w:r>
          </w:p>
        </w:tc>
        <w:tc>
          <w:tcPr>
            <w:tcW w:w="23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0.36%</w:t>
            </w:r>
          </w:p>
        </w:tc>
      </w:tr>
      <w:tr>
        <w:trPr/>
        <w:tc>
          <w:tcPr>
            <w:tcW w:w="44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9/6 Jacks or Better</w:t>
            </w:r>
          </w:p>
        </w:tc>
        <w:tc>
          <w:tcPr>
            <w:tcW w:w="26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99.54%</w:t>
            </w:r>
          </w:p>
        </w:tc>
        <w:tc>
          <w:tcPr>
            <w:tcW w:w="23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0.46%</w:t>
            </w:r>
          </w:p>
        </w:tc>
      </w:tr>
      <w:tr>
        <w:trPr/>
        <w:tc>
          <w:tcPr>
            <w:tcW w:w="44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Bonus Poker (full pay)</w:t>
            </w:r>
          </w:p>
        </w:tc>
        <w:tc>
          <w:tcPr>
            <w:tcW w:w="26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99.17%</w:t>
            </w:r>
          </w:p>
        </w:tc>
        <w:tc>
          <w:tcPr>
            <w:tcW w:w="23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0.83%</w:t>
            </w:r>
          </w:p>
        </w:tc>
      </w:tr>
      <w:tr>
        <w:trPr/>
        <w:tc>
          <w:tcPr>
            <w:tcW w:w="44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9/6 Double Double Bonus</w:t>
            </w:r>
          </w:p>
        </w:tc>
        <w:tc>
          <w:tcPr>
            <w:tcW w:w="26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98.98%</w:t>
            </w:r>
          </w:p>
        </w:tc>
        <w:tc>
          <w:tcPr>
            <w:tcW w:w="23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1.02%</w:t>
            </w:r>
          </w:p>
        </w:tc>
      </w:tr>
      <w:tr>
        <w:trPr/>
        <w:tc>
          <w:tcPr>
            <w:tcW w:w="44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9/5 Jacks or Better</w:t>
            </w:r>
          </w:p>
        </w:tc>
        <w:tc>
          <w:tcPr>
            <w:tcW w:w="26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98.45%</w:t>
            </w:r>
          </w:p>
        </w:tc>
        <w:tc>
          <w:tcPr>
            <w:tcW w:w="23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1.55%</w:t>
            </w:r>
          </w:p>
        </w:tc>
      </w:tr>
      <w:tr>
        <w:trPr/>
        <w:tc>
          <w:tcPr>
            <w:tcW w:w="44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8/5 Jacks or Better</w:t>
            </w:r>
          </w:p>
        </w:tc>
        <w:tc>
          <w:tcPr>
            <w:tcW w:w="26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97.30%</w:t>
            </w:r>
          </w:p>
        </w:tc>
        <w:tc>
          <w:tcPr>
            <w:tcW w:w="23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2.70%</w:t>
            </w:r>
          </w:p>
        </w:tc>
      </w:tr>
      <w:tr>
        <w:trPr/>
        <w:tc>
          <w:tcPr>
            <w:tcW w:w="44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6/5 Jacks or Better</w:t>
            </w:r>
          </w:p>
        </w:tc>
        <w:tc>
          <w:tcPr>
            <w:tcW w:w="26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~95.00%</w:t>
            </w:r>
          </w:p>
        </w:tc>
        <w:tc>
          <w:tcPr>
            <w:tcW w:w="23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~5.00%</w:t>
            </w:r>
          </w:p>
        </w:tc>
      </w:tr>
    </w:tbl>
    <w:p>
      <w:pPr>
        <w:pStyle w:val="Normal"/>
        <w:spacing w:before="50" w:after="190"/>
        <w:rPr/>
      </w:pPr>
      <w:r>
        <w:rPr>
          <w:i/>
          <w:iCs/>
          <w:color w:val="44546A"/>
          <w:sz w:val="15"/>
          <w:szCs w:val="15"/>
        </w:rPr>
        <w:t>Sources: Wizard of Odds video-poker tables; Hundred Percent Gambling; vpFree2. Returns assume mathematically optimal play and five-coin (max) bets; sub-optimal play and short-coin betting reduce them.</w:t>
      </w:r>
    </w:p>
    <w:p>
      <w:pPr>
        <w:pStyle w:val="Heading2"/>
        <w:keepNext w:val="true"/>
        <w:spacing w:before="220" w:after="110"/>
        <w:rPr/>
      </w:pPr>
      <w:bookmarkStart w:id="29" w:name="__RefHeading___Toc2567_617431631"/>
      <w:bookmarkEnd w:id="29"/>
      <w:r>
        <w:rPr/>
        <w:t>6.3 Strategy, error cost, and the max-coin rule</w:t>
      </w:r>
    </w:p>
    <w:p>
      <w:pPr>
        <w:pStyle w:val="Normal"/>
        <w:spacing w:lineRule="exact" w:line="276" w:before="0" w:after="130"/>
        <w:rPr/>
      </w:pPr>
      <w:r>
        <w:rPr>
          <w:sz w:val="22"/>
          <w:szCs w:val="22"/>
        </w:rPr>
        <w:t>Achieving a pay table’s stated return requires near-optimal drawing decisions, ranked by the expected value of holding each possible subset of the dealt five cards. The Wizard’s simplified Jacks-or-Better strategy returns 99.46%, costing only 0.08% relative to perfection—about one extra bet lost per 1,178 hands</w:t>
      </w:r>
      <w:r>
        <w:rPr>
          <w:rStyle w:val="FootnoteReference"/>
        </w:rPr>
        <w:footnoteReference w:id="36"/>
      </w:r>
      <w:r>
        <w:rPr>
          <w:sz w:val="22"/>
          <w:szCs w:val="22"/>
        </w:rPr>
        <w:t xml:space="preserve">. One rule, however, is absolute: </w:t>
      </w:r>
      <w:r>
        <w:rPr>
          <w:b/>
          <w:bCs/>
          <w:sz w:val="22"/>
          <w:szCs w:val="22"/>
        </w:rPr>
        <w:t>always bet maximum coins</w:t>
      </w:r>
      <w:r>
        <w:rPr>
          <w:sz w:val="22"/>
          <w:szCs w:val="22"/>
        </w:rPr>
        <w:t>. The royal flush pays 250-for-1 on one through four coins but jumps to 800-for-1 on the fifth, and that jump is built into the 99.54% figure. A player betting fewer than five coins is playing a materially worse pay table than the glass advertises.</w:t>
      </w:r>
    </w:p>
    <w:p>
      <w:pPr>
        <w:pStyle w:val="Heading2"/>
        <w:keepNext w:val="true"/>
        <w:spacing w:before="220" w:after="110"/>
        <w:rPr/>
      </w:pPr>
      <w:bookmarkStart w:id="30" w:name="__RefHeading___Toc2569_617431631"/>
      <w:bookmarkEnd w:id="30"/>
      <w:r>
        <w:rPr/>
        <w:t>6.4 Variance and the long road to the edge</w:t>
      </w:r>
    </w:p>
    <w:p>
      <w:pPr>
        <w:pStyle w:val="Normal"/>
        <w:spacing w:lineRule="exact" w:line="276" w:before="0" w:after="130"/>
        <w:rPr/>
      </w:pPr>
      <w:r>
        <w:rPr>
          <w:sz w:val="22"/>
          <w:szCs w:val="22"/>
        </w:rPr>
        <w:t>Video poker’s positive expectation is real but slow to arrive, because so much of the return is concentrated in rare hands. In full-pay Deuces Wild, the four-deuces hand and the royal flush together account for roughly 5% of total return; the 100.76% figure materializes only over tens of thousands of hands, and a player can lose for very long stretches en route.</w:t>
      </w:r>
      <w:r>
        <w:rPr>
          <w:rStyle w:val="FootnoteReference"/>
        </w:rPr>
        <w:footnoteReference w:id="37"/>
      </w:r>
      <w:r>
        <w:rPr>
          <w:sz w:val="22"/>
          <w:szCs w:val="22"/>
        </w:rPr>
        <w:t xml:space="preserve"> The load-bearing payout in full-pay Deuces is the 5-for-1 on four-of-a-kind; casinos commonly cut it to 4-for-1, which collapses the return from 100.76% to about 94.34%. As with Jacks or Better, the entire advantage lives in one or two lines of the schedule.</w:t>
      </w:r>
    </w:p>
    <w:p>
      <w:pPr>
        <w:pStyle w:val="Heading2"/>
        <w:keepNext w:val="true"/>
        <w:spacing w:before="220" w:after="110"/>
        <w:rPr/>
      </w:pPr>
      <w:bookmarkStart w:id="31" w:name="__RefHeading___Toc2571_617431631"/>
      <w:bookmarkEnd w:id="31"/>
      <w:r>
        <w:rPr/>
        <w:t>6.5 Progressives and comps: crossing 100%</w:t>
      </w:r>
    </w:p>
    <w:p>
      <w:pPr>
        <w:pStyle w:val="Normal"/>
        <w:spacing w:lineRule="exact" w:line="276" w:before="0" w:after="130"/>
        <w:rPr/>
      </w:pPr>
      <w:r>
        <w:rPr>
          <w:sz w:val="22"/>
          <w:szCs w:val="22"/>
        </w:rPr>
        <w:t xml:space="preserve">Two mechanisms push otherwise break-even or sub-100% machines into positive territory. A </w:t>
      </w:r>
      <w:r>
        <w:rPr>
          <w:b/>
          <w:bCs/>
          <w:sz w:val="22"/>
          <w:szCs w:val="22"/>
        </w:rPr>
        <w:t>progressive royal-flush meter</w:t>
      </w:r>
      <w:r>
        <w:rPr>
          <w:sz w:val="22"/>
          <w:szCs w:val="22"/>
        </w:rPr>
        <w:t xml:space="preserve"> rises until, above a computable threshold, the game’s expectation turns positive—the Wizard computes the break-even meter for a dollar 9/6 Jacks or Better progressive at about $4,886 on the royal</w:t>
      </w:r>
      <w:r>
        <w:rPr>
          <w:rStyle w:val="FootnoteReference"/>
        </w:rPr>
        <w:footnoteReference w:id="38"/>
      </w:r>
      <w:r>
        <w:rPr>
          <w:sz w:val="22"/>
          <w:szCs w:val="22"/>
        </w:rPr>
        <w:t xml:space="preserve">. Separately, </w:t>
      </w:r>
      <w:r>
        <w:rPr>
          <w:b/>
          <w:bCs/>
          <w:sz w:val="22"/>
          <w:szCs w:val="22"/>
        </w:rPr>
        <w:t>slot-club cash-back and comps</w:t>
      </w:r>
      <w:r>
        <w:rPr>
          <w:sz w:val="22"/>
          <w:szCs w:val="22"/>
        </w:rPr>
        <w:t xml:space="preserve"> add directly to effective return: a 0.2%–0.5% cash-back rate layered on a 99.5% machine narrows or erases the gap, and on a full-pay machine pushes the effective return above 100%. This is the world mapped by Bob Dancer and by Jean Scott’s </w:t>
      </w:r>
      <w:r>
        <w:rPr>
          <w:i/>
          <w:iCs/>
          <w:sz w:val="22"/>
          <w:szCs w:val="22"/>
        </w:rPr>
        <w:t>Frugal Gambler</w:t>
      </w:r>
      <w:r>
        <w:rPr>
          <w:sz w:val="22"/>
          <w:szCs w:val="22"/>
        </w:rPr>
        <w:t xml:space="preserve"> books</w:t>
      </w:r>
      <w:r>
        <w:rPr>
          <w:rStyle w:val="FootnoteReference"/>
        </w:rPr>
        <w:footnoteReference w:id="39"/>
      </w:r>
      <w:r>
        <w:rPr>
          <w:sz w:val="22"/>
          <w:szCs w:val="22"/>
        </w:rPr>
        <w:t>: hunt full-pay machines (more common in Las Vegas locals casinos than on the Strip), play accurately, and treat the comp stream as part of the return rather than a bonus.</w:t>
      </w:r>
      <w:r>
        <w:br w:type="page"/>
      </w:r>
    </w:p>
    <w:p>
      <w:pPr>
        <w:pStyle w:val="Heading1"/>
        <w:spacing w:before="240" w:after="160"/>
        <w:rPr/>
      </w:pPr>
      <w:bookmarkStart w:id="32" w:name="__RefHeading___Toc2573_617431631"/>
      <w:bookmarkEnd w:id="32"/>
      <w:r>
        <w:rPr/>
        <w:t>7. Poker: Beating Players, Not the House</w:t>
      </w:r>
    </w:p>
    <w:p>
      <w:pPr>
        <w:pStyle w:val="Heading2"/>
        <w:keepNext w:val="true"/>
        <w:spacing w:before="220" w:after="110"/>
        <w:rPr/>
      </w:pPr>
      <w:bookmarkStart w:id="33" w:name="__RefHeading___Toc2575_617431631"/>
      <w:bookmarkEnd w:id="33"/>
      <w:r>
        <w:rPr/>
        <w:t>7.1 A categorically different game</w:t>
      </w:r>
    </w:p>
    <w:p>
      <w:pPr>
        <w:pStyle w:val="Normal"/>
        <w:spacing w:lineRule="exact" w:line="276" w:before="0" w:after="130"/>
        <w:rPr/>
      </w:pPr>
      <w:r>
        <w:rPr>
          <w:sz w:val="22"/>
          <w:szCs w:val="22"/>
        </w:rPr>
        <w:t xml:space="preserve">Poker differs from every other game in this monograph in one decisive respect: the player’s opponents are other players, not the house. The casino does not bank the bets; it takes a </w:t>
      </w:r>
      <w:r>
        <w:rPr>
          <w:b/>
          <w:bCs/>
          <w:sz w:val="22"/>
          <w:szCs w:val="22"/>
        </w:rPr>
        <w:t>rake</w:t>
      </w:r>
      <w:r>
        <w:rPr>
          <w:sz w:val="22"/>
          <w:szCs w:val="22"/>
        </w:rPr>
        <w:t>—a percentage of each pot, capped, or an hourly time charge. The consequence is that poker has no fixed house edge against the table as a whole; it is a negative-sum game among the players (the rake is the leak), and a sufficiently skilled player can extract more from weaker opponents than the rake extracts from them</w:t>
      </w:r>
      <w:r>
        <w:rPr>
          <w:rStyle w:val="FootnoteReference"/>
        </w:rPr>
        <w:footnoteReference w:id="40"/>
      </w:r>
      <w:r>
        <w:rPr>
          <w:sz w:val="22"/>
          <w:szCs w:val="22"/>
        </w:rPr>
        <w:t>. This is why poker, alone among casino offerings, supports a class of full-time professionals whose income derives from skill differentials rather than from any structural edge.</w:t>
      </w:r>
    </w:p>
    <w:p>
      <w:pPr>
        <w:pStyle w:val="Heading2"/>
        <w:keepNext w:val="true"/>
        <w:spacing w:before="220" w:after="110"/>
        <w:rPr/>
      </w:pPr>
      <w:bookmarkStart w:id="34" w:name="__RefHeading___Toc2577_617431631"/>
      <w:bookmarkEnd w:id="34"/>
      <w:r>
        <w:rPr/>
        <w:t>7.2 Equity, pot odds, and the arithmetic of a call</w:t>
      </w:r>
    </w:p>
    <w:p>
      <w:pPr>
        <w:pStyle w:val="Normal"/>
        <w:spacing w:lineRule="exact" w:line="276" w:before="0" w:after="130"/>
        <w:rPr/>
      </w:pPr>
      <w:r>
        <w:rPr>
          <w:sz w:val="22"/>
          <w:szCs w:val="22"/>
        </w:rPr>
        <w:t xml:space="preserve">The foundational poker computation is the comparison of </w:t>
      </w:r>
      <w:r>
        <w:rPr>
          <w:b/>
          <w:bCs/>
          <w:sz w:val="22"/>
          <w:szCs w:val="22"/>
        </w:rPr>
        <w:t>pot odds</w:t>
      </w:r>
      <w:r>
        <w:rPr>
          <w:sz w:val="22"/>
          <w:szCs w:val="22"/>
        </w:rPr>
        <w:t xml:space="preserve"> to </w:t>
      </w:r>
      <w:r>
        <w:rPr>
          <w:b/>
          <w:bCs/>
          <w:sz w:val="22"/>
          <w:szCs w:val="22"/>
        </w:rPr>
        <w:t>equity</w:t>
      </w:r>
      <w:r>
        <w:rPr>
          <w:sz w:val="22"/>
          <w:szCs w:val="22"/>
        </w:rPr>
        <w:t xml:space="preserve">. Pot odds express the price of a call: facing a bet of B into a pot that will total P after the call, the required winning probability is B / (P + B). If a player must call $50 into a final pot of $250, the break-even equity is 50/250 = 20%; any hand with more than 20% chance to win is a profitable call in isolation. Equity is the hand’s probability of winning against the opponent’s plausible range of holdings. The disciplined player calls when equity exceeds the pot-odds threshold and folds otherwise, adjusting for </w:t>
      </w:r>
      <w:r>
        <w:rPr>
          <w:b/>
          <w:bCs/>
          <w:sz w:val="22"/>
          <w:szCs w:val="22"/>
        </w:rPr>
        <w:t>implied odds</w:t>
      </w:r>
      <w:r>
        <w:rPr>
          <w:sz w:val="22"/>
          <w:szCs w:val="22"/>
        </w:rPr>
        <w:t xml:space="preserve"> (money that can be won on later streets) and </w:t>
      </w:r>
      <w:r>
        <w:rPr>
          <w:b/>
          <w:bCs/>
          <w:sz w:val="22"/>
          <w:szCs w:val="22"/>
        </w:rPr>
        <w:t>reverse implied odds</w:t>
      </w:r>
      <w:r>
        <w:rPr>
          <w:sz w:val="22"/>
          <w:szCs w:val="22"/>
        </w:rPr>
        <w:t xml:space="preserve"> (money that can be lost).</w:t>
      </w:r>
      <w:r>
        <w:rPr>
          <w:rStyle w:val="FootnoteReference"/>
        </w:rPr>
        <w:footnoteReference w:id="41"/>
      </w:r>
    </w:p>
    <w:p>
      <w:pPr>
        <w:pStyle w:val="Heading2"/>
        <w:keepNext w:val="true"/>
        <w:spacing w:before="220" w:after="110"/>
        <w:rPr/>
      </w:pPr>
      <w:bookmarkStart w:id="35" w:name="__RefHeading___Toc2579_617431631"/>
      <w:bookmarkEnd w:id="35"/>
      <w:r>
        <w:rPr/>
        <w:t>7.3 Ranges, polarization, and game-theory-optimal play</w:t>
      </w:r>
    </w:p>
    <w:p>
      <w:pPr>
        <w:pStyle w:val="Normal"/>
        <w:spacing w:lineRule="exact" w:line="276" w:before="0" w:after="130"/>
        <w:rPr/>
      </w:pPr>
      <w:r>
        <w:rPr>
          <w:sz w:val="22"/>
          <w:szCs w:val="22"/>
        </w:rPr>
        <w:t xml:space="preserve">Modern poker theory reasons about </w:t>
      </w:r>
      <w:r>
        <w:rPr>
          <w:b/>
          <w:bCs/>
          <w:sz w:val="22"/>
          <w:szCs w:val="22"/>
        </w:rPr>
        <w:t>ranges</w:t>
      </w:r>
      <w:r>
        <w:rPr>
          <w:sz w:val="22"/>
          <w:szCs w:val="22"/>
        </w:rPr>
        <w:t xml:space="preserve">—the full set of hands a player could hold in a situation—rather than single hands. Ranges are described as </w:t>
      </w:r>
      <w:r>
        <w:rPr>
          <w:i/>
          <w:iCs/>
          <w:sz w:val="22"/>
          <w:szCs w:val="22"/>
        </w:rPr>
        <w:t>linear</w:t>
      </w:r>
      <w:r>
        <w:rPr>
          <w:sz w:val="22"/>
          <w:szCs w:val="22"/>
        </w:rPr>
        <w:t xml:space="preserve"> (the strongest hands, betting for value), </w:t>
      </w:r>
      <w:r>
        <w:rPr>
          <w:i/>
          <w:iCs/>
          <w:sz w:val="22"/>
          <w:szCs w:val="22"/>
        </w:rPr>
        <w:t>condensed</w:t>
      </w:r>
      <w:r>
        <w:rPr>
          <w:sz w:val="22"/>
          <w:szCs w:val="22"/>
        </w:rPr>
        <w:t xml:space="preserve"> (medium-strength hands that prefer to call), or </w:t>
      </w:r>
      <w:r>
        <w:rPr>
          <w:i/>
          <w:iCs/>
          <w:sz w:val="22"/>
          <w:szCs w:val="22"/>
        </w:rPr>
        <w:t>polarized</w:t>
      </w:r>
      <w:r>
        <w:rPr>
          <w:sz w:val="22"/>
          <w:szCs w:val="22"/>
        </w:rPr>
        <w:t xml:space="preserve"> (strong value hands plus bluffs, with the medium hands removed). Matthew Janda’s </w:t>
      </w:r>
      <w:r>
        <w:rPr>
          <w:i/>
          <w:iCs/>
          <w:sz w:val="22"/>
          <w:szCs w:val="22"/>
        </w:rPr>
        <w:t>Applications of No-Limit Hold’em</w:t>
      </w:r>
      <w:r>
        <w:rPr>
          <w:sz w:val="22"/>
          <w:szCs w:val="22"/>
        </w:rPr>
        <w:t xml:space="preserve"> builds a complete game-theory-optimal (GTO) framework from these primitives: balanced betting ranges that mix value and bluffs in ratios that leave the opponent indifferent, mathematically justified bet sizes, overbets, and check-raises by the preflop aggressor</w:t>
      </w:r>
      <w:r>
        <w:rPr>
          <w:rStyle w:val="FootnoteReference"/>
        </w:rPr>
        <w:footnoteReference w:id="42"/>
      </w:r>
      <w:r>
        <w:rPr>
          <w:sz w:val="22"/>
          <w:szCs w:val="22"/>
        </w:rPr>
        <w:t>. A polarized range is bet large precisely because it maximizes both fold equity against medium hands and value extraction when called; the correct ratio of bluffs to value grows as stacks deepen.</w:t>
      </w:r>
    </w:p>
    <w:p>
      <w:pPr>
        <w:pStyle w:val="Normal"/>
        <w:spacing w:lineRule="exact" w:line="276" w:before="0" w:after="130"/>
        <w:rPr/>
      </w:pPr>
      <w:r>
        <w:rPr>
          <w:sz w:val="22"/>
          <w:szCs w:val="22"/>
        </w:rPr>
        <w:t xml:space="preserve">GTO play provides an </w:t>
      </w:r>
      <w:r>
        <w:rPr>
          <w:b/>
          <w:bCs/>
          <w:sz w:val="22"/>
          <w:szCs w:val="22"/>
        </w:rPr>
        <w:t>unexploitable</w:t>
      </w:r>
      <w:r>
        <w:rPr>
          <w:sz w:val="22"/>
          <w:szCs w:val="22"/>
        </w:rPr>
        <w:t xml:space="preserve"> baseline—a strategy that cannot be beaten in the long run regardless of how the opponent plays. </w:t>
      </w:r>
      <w:r>
        <w:rPr>
          <w:b/>
          <w:bCs/>
          <w:sz w:val="22"/>
          <w:szCs w:val="22"/>
        </w:rPr>
        <w:t>Exploitative</w:t>
      </w:r>
      <w:r>
        <w:rPr>
          <w:sz w:val="22"/>
          <w:szCs w:val="22"/>
        </w:rPr>
        <w:t xml:space="preserve"> play deliberately deviates from GTO to punish a specific opponent’s mistakes (calling too much, folding too much, bluffing too rarely), trading theoretical safety for higher expected value against a known leak. The strongest players move fluidly between the two: GTO as a default against the unknown, exploitation against the readable. The game has even been partially solved by computers—heads-up limit hold’em was essentially solved in 2015, and no-limit bots have since defeated elite professionals</w:t>
      </w:r>
      <w:r>
        <w:rPr>
          <w:rStyle w:val="FootnoteReference"/>
        </w:rPr>
        <w:footnoteReference w:id="43"/>
      </w:r>
      <w:r>
        <w:rPr>
          <w:sz w:val="22"/>
          <w:szCs w:val="22"/>
        </w:rPr>
        <w:t>.</w:t>
      </w:r>
    </w:p>
    <w:p>
      <w:pPr>
        <w:pStyle w:val="Heading2"/>
        <w:keepNext w:val="true"/>
        <w:spacing w:before="220" w:after="110"/>
        <w:rPr/>
      </w:pPr>
      <w:bookmarkStart w:id="36" w:name="__RefHeading___Toc2581_617431631"/>
      <w:bookmarkEnd w:id="36"/>
      <w:r>
        <w:rPr/>
        <w:t>7.4 Variance, bankroll, and the rake</w:t>
      </w:r>
    </w:p>
    <w:p>
      <w:pPr>
        <w:pStyle w:val="Normal"/>
        <w:spacing w:lineRule="exact" w:line="276" w:before="0" w:after="130"/>
        <w:rPr/>
      </w:pPr>
      <w:r>
        <w:rPr>
          <w:sz w:val="22"/>
          <w:szCs w:val="22"/>
        </w:rPr>
        <w:t>Poker’s edge is thin and its variance enormous; even strong winning players endure losing months. Professional practice therefore demands a bankroll measured in hundreds of buy-ins for the stake played, and ruthless game selection—seeking tables with weaker opponents and lower rake, because the rake is a structural drag that the player must out-earn before showing any profit</w:t>
      </w:r>
      <w:r>
        <w:rPr>
          <w:rStyle w:val="FootnoteReference"/>
        </w:rPr>
        <w:footnoteReference w:id="44"/>
      </w:r>
      <w:r>
        <w:rPr>
          <w:sz w:val="22"/>
          <w:szCs w:val="22"/>
        </w:rPr>
        <w:t>. The disciplined poker player and the disciplined trader converge on the same practices: defined bankroll, position sizing relative to edge, detailed record-keeping, and emotional control under variance—the subject of Chapters 8 and 9.</w:t>
      </w:r>
      <w:r>
        <w:br w:type="page"/>
      </w:r>
    </w:p>
    <w:p>
      <w:pPr>
        <w:pStyle w:val="Heading1"/>
        <w:spacing w:before="240" w:after="160"/>
        <w:rPr/>
      </w:pPr>
      <w:bookmarkStart w:id="37" w:name="__RefHeading___Toc2583_617431631"/>
      <w:bookmarkEnd w:id="37"/>
      <w:r>
        <w:rPr/>
        <w:t>8. Bankroll Theory, the Kelly Criterion, and the Trading Parallel</w:t>
      </w:r>
    </w:p>
    <w:p>
      <w:pPr>
        <w:pStyle w:val="Normal"/>
        <w:spacing w:before="40" w:after="30"/>
        <w:ind w:left="680" w:right="680"/>
        <w:rPr/>
      </w:pPr>
      <w:r>
        <w:rPr>
          <w:i/>
          <w:iCs/>
          <w:color w:val="44546A"/>
          <w:sz w:val="20"/>
          <w:szCs w:val="20"/>
        </w:rPr>
        <w:t>The Kelly bettor maximizes the expected value of the logarithm of wealth, causing money to grow exponentially — and, crucially, never risking ruin.</w:t>
      </w:r>
    </w:p>
    <w:p>
      <w:pPr>
        <w:pStyle w:val="Normal"/>
        <w:spacing w:before="0" w:after="200"/>
        <w:ind w:left="680" w:right="680"/>
        <w:jc w:val="right"/>
        <w:rPr/>
      </w:pPr>
      <w:r>
        <w:rPr>
          <w:color w:val="44546A"/>
          <w:sz w:val="18"/>
          <w:szCs w:val="18"/>
        </w:rPr>
        <w:t xml:space="preserve">— </w:t>
      </w:r>
      <w:r>
        <w:rPr>
          <w:color w:val="44546A"/>
          <w:sz w:val="18"/>
          <w:szCs w:val="18"/>
        </w:rPr>
        <w:t>after J. L. Kelly, Jr. (1956)</w:t>
      </w:r>
    </w:p>
    <w:p>
      <w:pPr>
        <w:pStyle w:val="Heading2"/>
        <w:keepNext w:val="true"/>
        <w:spacing w:before="220" w:after="110"/>
        <w:rPr/>
      </w:pPr>
      <w:bookmarkStart w:id="38" w:name="__RefHeading___Toc2585_617431631"/>
      <w:bookmarkEnd w:id="38"/>
      <w:r>
        <w:rPr/>
        <w:t>8.1 The Kelly criterion</w:t>
      </w:r>
    </w:p>
    <w:p>
      <w:pPr>
        <w:pStyle w:val="Normal"/>
        <w:spacing w:lineRule="exact" w:line="276" w:before="0" w:after="130"/>
        <w:rPr/>
      </w:pPr>
      <w:r>
        <w:rPr>
          <w:sz w:val="22"/>
          <w:szCs w:val="22"/>
        </w:rPr>
        <w:t>In 1956 John L. Kelly, Jr., a Bell Labs physicist, answered a question that gamblers had posed informally for centuries: given a favorable bet, what fraction of one’s bankroll should one stake? Kelly showed that the fraction maximizing the long-run exponential growth rate of capital is f* = (bp − q)/b, where p is the win probability, q = 1 − p, and b the net odds received</w:t>
      </w:r>
      <w:r>
        <w:rPr>
          <w:rStyle w:val="FootnoteReference"/>
        </w:rPr>
        <w:footnoteReference w:id="45"/>
      </w:r>
      <w:r>
        <w:rPr>
          <w:sz w:val="22"/>
          <w:szCs w:val="22"/>
        </w:rPr>
        <w:t>. The criterion has a decisive property: it maximizes geometric growth while guaranteeing the bettor never stakes the entire bankroll, so the probability of literal ruin is zero. Edward Thorp carried Kelly’s formula from the blackjack table to the securities markets, making it the connective tissue between advantage gambling and quantitative investing</w:t>
      </w:r>
      <w:r>
        <w:rPr>
          <w:rStyle w:val="FootnoteReference"/>
        </w:rPr>
        <w:footnoteReference w:id="46"/>
      </w:r>
      <w:r>
        <w:rPr>
          <w:sz w:val="22"/>
          <w:szCs w:val="22"/>
        </w:rPr>
        <w:t>.</w:t>
      </w:r>
    </w:p>
    <w:p>
      <w:pPr>
        <w:pStyle w:val="Heading2"/>
        <w:keepNext w:val="true"/>
        <w:spacing w:before="220" w:after="110"/>
        <w:rPr/>
      </w:pPr>
      <w:bookmarkStart w:id="39" w:name="__RefHeading___Toc2587_617431631"/>
      <w:bookmarkEnd w:id="39"/>
      <w:r>
        <w:rPr/>
        <w:t>8.2 Why professionals bet fractional Kelly</w:t>
      </w:r>
    </w:p>
    <w:p>
      <w:pPr>
        <w:pStyle w:val="Normal"/>
        <w:spacing w:lineRule="exact" w:line="276" w:before="0" w:after="130"/>
        <w:rPr/>
      </w:pPr>
      <w:r>
        <w:rPr>
          <w:sz w:val="22"/>
          <w:szCs w:val="22"/>
        </w:rPr>
        <w:t>Full Kelly is growth-optimal but violent. A full-Kelly bettor has roughly a one-in-three chance of seeing the bankroll cut in half at some point before it doubles, a drawdown few humans tolerate</w:t>
      </w:r>
      <w:r>
        <w:rPr>
          <w:rStyle w:val="FootnoteReference"/>
        </w:rPr>
        <w:footnoteReference w:id="47"/>
      </w:r>
      <w:r>
        <w:rPr>
          <w:sz w:val="22"/>
          <w:szCs w:val="22"/>
        </w:rPr>
        <w:t xml:space="preserve">. The standard remedy is </w:t>
      </w:r>
      <w:r>
        <w:rPr>
          <w:b/>
          <w:bCs/>
          <w:sz w:val="22"/>
          <w:szCs w:val="22"/>
        </w:rPr>
        <w:t>fractional Kelly</w:t>
      </w:r>
      <w:r>
        <w:rPr>
          <w:sz w:val="22"/>
          <w:szCs w:val="22"/>
        </w:rPr>
        <w:t>: betting one-half or one-quarter of the Kelly fraction. Half-Kelly captures about three-quarters of the full growth rate while roughly halving the variance, and reduces the chance of halving the bankroll before doubling it to about one in nine</w:t>
      </w:r>
      <w:r>
        <w:rPr>
          <w:rStyle w:val="FootnoteReference"/>
        </w:rPr>
        <w:footnoteReference w:id="48"/>
      </w:r>
      <w:r>
        <w:rPr>
          <w:sz w:val="22"/>
          <w:szCs w:val="22"/>
        </w:rPr>
        <w:t>. The same logic that leads a professional gambler to fractional Kelly leads a disciplined trader to position sizes well below the theoretical optimum: both are buying drawdown insurance with a small sacrifice of expected growth.</w:t>
      </w:r>
    </w:p>
    <w:p>
      <w:pPr>
        <w:pStyle w:val="Normal"/>
        <w:spacing w:lineRule="exact" w:line="276" w:before="0" w:after="130"/>
        <w:rPr/>
      </w:pPr>
      <w:r>
        <w:rPr>
          <w:sz w:val="22"/>
          <w:szCs w:val="22"/>
        </w:rPr>
        <w:t xml:space="preserve">The most important property of Kelly for this monograph is its behavior when there is </w:t>
      </w:r>
      <w:r>
        <w:rPr>
          <w:b/>
          <w:bCs/>
          <w:sz w:val="22"/>
          <w:szCs w:val="22"/>
        </w:rPr>
        <w:t>no edge</w:t>
      </w:r>
      <w:r>
        <w:rPr>
          <w:sz w:val="22"/>
          <w:szCs w:val="22"/>
        </w:rPr>
        <w:t xml:space="preserve">. When the expected value of a bet is zero or negative, the Kelly fraction is zero or negative—the formula instructs the bettor to wager nothing, or to take the other side. This is the mathematical statement of a rule the strategy guide will repeat: </w:t>
      </w:r>
      <w:r>
        <w:rPr>
          <w:b/>
          <w:bCs/>
          <w:sz w:val="22"/>
          <w:szCs w:val="22"/>
        </w:rPr>
        <w:t>never increase bet size on a negative-expectation game</w:t>
      </w:r>
      <w:r>
        <w:rPr>
          <w:sz w:val="22"/>
          <w:szCs w:val="22"/>
        </w:rPr>
        <w:t>. There is no Kelly-justified bet on roulette, slots, or baccarat, because the optimal growth-maximizing stake on a losing proposition is zero.</w:t>
      </w:r>
    </w:p>
    <w:p>
      <w:pPr>
        <w:pStyle w:val="Heading2"/>
        <w:keepNext w:val="true"/>
        <w:spacing w:before="220" w:after="110"/>
        <w:rPr/>
      </w:pPr>
      <w:bookmarkStart w:id="40" w:name="__RefHeading___Toc2589_617431631"/>
      <w:bookmarkEnd w:id="40"/>
      <w:r>
        <w:rPr/>
        <w:t>8.3 Risk of ruin</w:t>
      </w:r>
    </w:p>
    <w:p>
      <w:pPr>
        <w:pStyle w:val="Normal"/>
        <w:spacing w:lineRule="exact" w:line="276" w:before="0" w:after="130"/>
        <w:rPr/>
      </w:pPr>
      <w:r>
        <w:rPr>
          <w:sz w:val="22"/>
          <w:szCs w:val="22"/>
        </w:rPr>
        <w:t>For a player with a positive edge, the probability of ruin—exhausting the bankroll before reaching a goal—declines exponentially with bankroll size relative to bet size. The classical approximation for an even-money advantage situation gives a risk of ruin of roughly ((1 − e)/(1 + e))^(B/w), where e is the per-bet edge, B the bankroll, and w the bet size</w:t>
      </w:r>
      <w:r>
        <w:rPr>
          <w:rStyle w:val="FootnoteReference"/>
        </w:rPr>
        <w:footnoteReference w:id="49"/>
      </w:r>
      <w:r>
        <w:rPr>
          <w:sz w:val="22"/>
          <w:szCs w:val="22"/>
        </w:rPr>
        <w:t>. The lesson generalizes: even a genuine edge is destroyed by under-capitalization, because variance can exhaust a small bankroll before the edge expresses itself. This is the quantitative core of why the beatable games (counted blackjack, full-pay video poker, poker) demand bankrolls of hundreds of betting units, and why a player who cannot fund that bankroll is, in expectation, not actually playing a winning game.</w:t>
      </w:r>
    </w:p>
    <w:p>
      <w:pPr>
        <w:pStyle w:val="Heading2"/>
        <w:keepNext w:val="true"/>
        <w:spacing w:before="220" w:after="110"/>
        <w:rPr/>
      </w:pPr>
      <w:bookmarkStart w:id="41" w:name="__RefHeading___Toc2591_617431631"/>
      <w:bookmarkEnd w:id="41"/>
      <w:r>
        <w:rPr/>
        <w:t>8.4 What stopping rules can and cannot do</w:t>
      </w:r>
    </w:p>
    <w:p>
      <w:pPr>
        <w:pStyle w:val="Normal"/>
        <w:spacing w:lineRule="exact" w:line="276" w:before="0" w:after="130"/>
        <w:rPr/>
      </w:pPr>
      <w:r>
        <w:rPr>
          <w:sz w:val="22"/>
          <w:szCs w:val="22"/>
        </w:rPr>
        <w:t xml:space="preserve">Here lies the central conceptual claim of this monograph, and the point on which popular gambling writing most often errs. Consider a stop-loss (“quit if down $X”) or a win-goal (“quit if up $Y”) applied to a negative-expectation game. By the optional-stopping theorem and the linearity of expectation, </w:t>
      </w:r>
      <w:r>
        <w:rPr>
          <w:b/>
          <w:bCs/>
          <w:sz w:val="22"/>
          <w:szCs w:val="22"/>
        </w:rPr>
        <w:t>no such rule changes the expected value of the session</w:t>
      </w:r>
      <w:r>
        <w:rPr>
          <w:sz w:val="22"/>
          <w:szCs w:val="22"/>
        </w:rPr>
        <w:t>: the sum of negative-expectation bets has negative expectation regardless of when the sequence is halted, because each individual bet retains its negative expectation no matter what has come before</w:t>
      </w:r>
      <w:r>
        <w:rPr>
          <w:rStyle w:val="FootnoteReference"/>
        </w:rPr>
        <w:footnoteReference w:id="50"/>
      </w:r>
      <w:r>
        <w:rPr>
          <w:sz w:val="22"/>
          <w:szCs w:val="22"/>
        </w:rPr>
        <w:t>. A player who believes a clever quitting rule defeats the house edge has made a mathematical error.</w:t>
      </w:r>
    </w:p>
    <w:p>
      <w:pPr>
        <w:pStyle w:val="Normal"/>
        <w:spacing w:lineRule="exact" w:line="276" w:before="0" w:after="130"/>
        <w:rPr/>
      </w:pPr>
      <w:r>
        <w:rPr>
          <w:sz w:val="22"/>
          <w:szCs w:val="22"/>
        </w:rPr>
        <w:t xml:space="preserve">And yet stopping rules are not pointless—far from it. What they cannot change is the </w:t>
      </w:r>
      <w:r>
        <w:rPr>
          <w:i/>
          <w:iCs/>
          <w:sz w:val="22"/>
          <w:szCs w:val="22"/>
        </w:rPr>
        <w:t>mean</w:t>
      </w:r>
      <w:r>
        <w:rPr>
          <w:sz w:val="22"/>
          <w:szCs w:val="22"/>
        </w:rPr>
        <w:t xml:space="preserve"> of the outcome distribution; what they </w:t>
      </w:r>
      <w:r>
        <w:rPr>
          <w:i/>
          <w:iCs/>
          <w:sz w:val="22"/>
          <w:szCs w:val="22"/>
        </w:rPr>
        <w:t>demonstrably</w:t>
      </w:r>
      <w:r>
        <w:rPr>
          <w:sz w:val="22"/>
          <w:szCs w:val="22"/>
        </w:rPr>
        <w:t xml:space="preserve"> change is its </w:t>
      </w:r>
      <w:r>
        <w:rPr>
          <w:b/>
          <w:bCs/>
          <w:sz w:val="22"/>
          <w:szCs w:val="22"/>
        </w:rPr>
        <w:t>shape</w:t>
      </w:r>
      <w:r>
        <w:rPr>
          <w:sz w:val="22"/>
          <w:szCs w:val="22"/>
        </w:rPr>
        <w:t>. Three effects are real and quantifiable:</w:t>
      </w:r>
    </w:p>
    <w:p>
      <w:pPr>
        <w:pStyle w:val="ListParagraph"/>
        <w:numPr>
          <w:ilvl w:val="0"/>
          <w:numId w:val="1"/>
        </w:numPr>
        <w:spacing w:lineRule="exact" w:line="272" w:before="0" w:after="90"/>
        <w:rPr/>
      </w:pPr>
      <w:r>
        <w:rPr>
          <w:b/>
          <w:bCs/>
          <w:sz w:val="22"/>
          <w:szCs w:val="22"/>
        </w:rPr>
        <w:t xml:space="preserve">They cap the left tail. </w:t>
      </w:r>
      <w:r>
        <w:rPr>
          <w:sz w:val="22"/>
          <w:szCs w:val="22"/>
        </w:rPr>
        <w:t>A stop-loss bounds the worst-case session loss, converting an open-ended downside into a known, survivable one. The expected loss is unchanged, but the catastrophic-loss probability is truncated.</w:t>
      </w:r>
    </w:p>
    <w:p>
      <w:pPr>
        <w:pStyle w:val="ListParagraph"/>
        <w:numPr>
          <w:ilvl w:val="0"/>
          <w:numId w:val="1"/>
        </w:numPr>
        <w:spacing w:lineRule="exact" w:line="272" w:before="0" w:after="90"/>
        <w:rPr/>
      </w:pPr>
      <w:r>
        <w:rPr>
          <w:b/>
          <w:bCs/>
          <w:sz w:val="22"/>
          <w:szCs w:val="22"/>
        </w:rPr>
        <w:t xml:space="preserve">They bank gains before variance reclaims them. </w:t>
      </w:r>
      <w:r>
        <w:rPr>
          <w:sz w:val="22"/>
          <w:szCs w:val="22"/>
        </w:rPr>
        <w:t>A win-goal converts an unrealized paper gain into a realized one, removing it from exposure to further negative-EV bets. Again the mean is unchanged across many trips, but on the specific trips where a player is ahead, walking locks the result.</w:t>
      </w:r>
    </w:p>
    <w:p>
      <w:pPr>
        <w:pStyle w:val="ListParagraph"/>
        <w:numPr>
          <w:ilvl w:val="0"/>
          <w:numId w:val="1"/>
        </w:numPr>
        <w:spacing w:lineRule="exact" w:line="272" w:before="0" w:after="90"/>
        <w:rPr/>
      </w:pPr>
      <w:r>
        <w:rPr>
          <w:b/>
          <w:bCs/>
          <w:sz w:val="22"/>
          <w:szCs w:val="22"/>
        </w:rPr>
        <w:t xml:space="preserve">They reduce total action. </w:t>
      </w:r>
      <w:r>
        <w:rPr>
          <w:sz w:val="22"/>
          <w:szCs w:val="22"/>
        </w:rPr>
        <w:t>Every bet not made is a negative-EV bet avoided. A rule that ends a session earlier reduces the number of priced bets, which reduces total expected loss simply by reducing volume—the one wholly legitimate way a stopping rule lowers expected cost.</w:t>
      </w:r>
    </w:p>
    <w:p>
      <w:pPr>
        <w:pStyle w:val="Normal"/>
        <w:spacing w:lineRule="exact" w:line="276" w:before="0" w:after="130"/>
        <w:rPr/>
      </w:pPr>
      <w:r>
        <w:rPr>
          <w:sz w:val="22"/>
          <w:szCs w:val="22"/>
        </w:rPr>
        <w:t xml:space="preserve">The precise way to state it: on a negative-EV game, stopping rules are </w:t>
      </w:r>
      <w:r>
        <w:rPr>
          <w:b/>
          <w:bCs/>
          <w:sz w:val="22"/>
          <w:szCs w:val="22"/>
        </w:rPr>
        <w:t>variance- and exposure-management tools, not edge tools</w:t>
      </w:r>
      <w:r>
        <w:rPr>
          <w:sz w:val="22"/>
          <w:szCs w:val="22"/>
        </w:rPr>
        <w:t>. They make the distribution of what you take home narrower and more survivable, and by curtailing volume they reduce total expected loss; they do not make a losing game into a winning one. On a positive-EV game, by contrast, an arbitrary win-goal that stops profitable play is affirmatively costly—it forfeits expected gain—which is why the strategy guide applies stop-losses universally but applies win-goals as discipline aids on negative-EV play and as anti-tilt circuit-breakers, not as caps on advantage play.</w:t>
      </w:r>
    </w:p>
    <w:p>
      <w:pPr>
        <w:pStyle w:val="Heading2"/>
        <w:keepNext w:val="true"/>
        <w:spacing w:before="220" w:after="110"/>
        <w:rPr/>
      </w:pPr>
      <w:bookmarkStart w:id="42" w:name="__RefHeading___Toc2593_617431631"/>
      <w:bookmarkEnd w:id="42"/>
      <w:r>
        <w:rPr/>
        <w:t>8.5 The trading parallel, stated exactly</w:t>
      </w:r>
    </w:p>
    <w:p>
      <w:pPr>
        <w:pStyle w:val="Normal"/>
        <w:spacing w:lineRule="exact" w:line="276" w:before="0" w:after="130"/>
        <w:rPr/>
      </w:pPr>
      <w:r>
        <w:rPr>
          <w:sz w:val="22"/>
          <w:szCs w:val="22"/>
        </w:rPr>
        <w:t xml:space="preserve">The analogy that motivates this entire framework—that disciplined casino play resembles disciplined options or futures trading—is exact in one dimension and must be bounded in another. It is </w:t>
      </w:r>
      <w:r>
        <w:rPr>
          <w:b/>
          <w:bCs/>
          <w:sz w:val="22"/>
          <w:szCs w:val="22"/>
        </w:rPr>
        <w:t>exact</w:t>
      </w:r>
      <w:r>
        <w:rPr>
          <w:sz w:val="22"/>
          <w:szCs w:val="22"/>
        </w:rPr>
        <w:t xml:space="preserve"> in the domain of psychology and risk control. A trader who enters without a predefined stop and profit target is prey to the same forces as a gambler without quitting rules: the disposition effect (riding losers, cutting winners short), loss-chasing, and the sunk-cost fallacy. Predefined exits in both arenas convert in-the-moment, emotion-loaded decisions into pre-committed ones, which is their entire value</w:t>
      </w:r>
      <w:r>
        <w:rPr>
          <w:rStyle w:val="FootnoteReference"/>
        </w:rPr>
        <w:footnoteReference w:id="51"/>
      </w:r>
      <w:r>
        <w:rPr>
          <w:sz w:val="22"/>
          <w:szCs w:val="22"/>
        </w:rPr>
        <w:t>.</w:t>
      </w:r>
    </w:p>
    <w:p>
      <w:pPr>
        <w:pStyle w:val="Normal"/>
        <w:spacing w:lineRule="exact" w:line="276" w:before="0" w:after="130"/>
        <w:rPr/>
      </w:pPr>
      <w:r>
        <w:rPr>
          <w:sz w:val="22"/>
          <w:szCs w:val="22"/>
        </w:rPr>
        <w:t xml:space="preserve">The analogy must be </w:t>
      </w:r>
      <w:r>
        <w:rPr>
          <w:b/>
          <w:bCs/>
          <w:sz w:val="22"/>
          <w:szCs w:val="22"/>
        </w:rPr>
        <w:t>bounded</w:t>
      </w:r>
      <w:r>
        <w:rPr>
          <w:sz w:val="22"/>
          <w:szCs w:val="22"/>
        </w:rPr>
        <w:t xml:space="preserve">, however, at the level of expectation. A well-chosen trade can carry a genuine positive expected return; the trader’s edge can be real and repeatable. A roulette spin cannot. Risk management in trading protects and compounds a positive (or at least defensible) edge; risk management on a negative-EV casino game only shapes the distribution of an unavoidable expected loss. The disciplined gambler should therefore import the trader’s </w:t>
      </w:r>
      <w:r>
        <w:rPr>
          <w:i/>
          <w:iCs/>
          <w:sz w:val="22"/>
          <w:szCs w:val="22"/>
        </w:rPr>
        <w:t>behavioral</w:t>
      </w:r>
      <w:r>
        <w:rPr>
          <w:sz w:val="22"/>
          <w:szCs w:val="22"/>
        </w:rPr>
        <w:t xml:space="preserve"> apparatus—position sizing, predefined exits, journaling, emotional neutrality—while never importing the trader’s </w:t>
      </w:r>
      <w:r>
        <w:rPr>
          <w:i/>
          <w:iCs/>
          <w:sz w:val="22"/>
          <w:szCs w:val="22"/>
        </w:rPr>
        <w:t>premise</w:t>
      </w:r>
      <w:r>
        <w:rPr>
          <w:sz w:val="22"/>
          <w:szCs w:val="22"/>
        </w:rPr>
        <w:t xml:space="preserve"> that the underlying instrument can be expected to pay. The instrument pays only where this monograph has identified that it can: counted blackjack, full-pay video poker, and poker. Everywhere else, the discipline buys survival and enjoyment, not profit.</w:t>
      </w:r>
      <w:r>
        <w:br w:type="page"/>
      </w:r>
    </w:p>
    <w:p>
      <w:pPr>
        <w:pStyle w:val="Heading1"/>
        <w:spacing w:before="240" w:after="160"/>
        <w:rPr/>
      </w:pPr>
      <w:bookmarkStart w:id="43" w:name="__RefHeading___Toc2595_617431631"/>
      <w:bookmarkEnd w:id="43"/>
      <w:r>
        <w:rPr/>
        <w:t>9. Behavioral Foundations: Loss Aversion, Cognitive Bias, and the Engineered “Zone”</w:t>
      </w:r>
    </w:p>
    <w:p>
      <w:pPr>
        <w:pStyle w:val="Heading2"/>
        <w:keepNext w:val="true"/>
        <w:spacing w:before="220" w:after="110"/>
        <w:rPr/>
      </w:pPr>
      <w:bookmarkStart w:id="44" w:name="__RefHeading___Toc2597_617431631"/>
      <w:bookmarkEnd w:id="44"/>
      <w:r>
        <w:rPr/>
        <w:t>9.1 Prospect theory and loss aversion</w:t>
      </w:r>
    </w:p>
    <w:p>
      <w:pPr>
        <w:pStyle w:val="Normal"/>
        <w:spacing w:lineRule="exact" w:line="276" w:before="0" w:after="130"/>
        <w:rPr/>
      </w:pPr>
      <w:r>
        <w:rPr>
          <w:sz w:val="22"/>
          <w:szCs w:val="22"/>
        </w:rPr>
        <w:t>The behavioral case for discipline rests on the most influential result in the psychology of decision-making: Kahneman and Tversky’s prospect theory. Their 1979 paper showed that people evaluate outcomes as gains and losses relative to a reference point, and that the value function is steeper for losses than for gains—losses “loom larger” than equivalent gains</w:t>
      </w:r>
      <w:r>
        <w:rPr>
          <w:rStyle w:val="FootnoteReference"/>
        </w:rPr>
        <w:footnoteReference w:id="52"/>
      </w:r>
      <w:r>
        <w:rPr>
          <w:sz w:val="22"/>
          <w:szCs w:val="22"/>
        </w:rPr>
        <w:t>. The 1992 cumulative-prospect-theory follow-up estimated the loss-aversion coefficient at λ ≈ 2.25: a loss is felt about 2.25 times as intensely as a gain of the same size</w:t>
      </w:r>
      <w:r>
        <w:rPr>
          <w:rStyle w:val="FootnoteReference"/>
        </w:rPr>
        <w:footnoteReference w:id="53"/>
      </w:r>
      <w:r>
        <w:rPr>
          <w:sz w:val="22"/>
          <w:szCs w:val="22"/>
        </w:rPr>
        <w:t>.</w:t>
      </w:r>
    </w:p>
    <w:p>
      <w:pPr>
        <w:pStyle w:val="Normal"/>
        <w:spacing w:lineRule="exact" w:line="276" w:before="0" w:after="130"/>
        <w:rPr/>
      </w:pPr>
      <w:r>
        <w:rPr>
          <w:sz w:val="22"/>
          <w:szCs w:val="22"/>
        </w:rPr>
        <w:t>This asymmetry is the engine of self-destructive gambling behavior. Because a loss hurts more than twice as much as the equivalent gain pleases, a player who is down experiences intense pressure to “get back to even”—and prospect theory’s risk-seeking-in-losses prediction means that player will accept worse bets to do so. Thaler and Johnson documented the complementary “break-even effect” and “house-money effect”: prior losses increase risk-taking aimed at recovery, while prior gains can increase risk-taking with “the house’s money”</w:t>
      </w:r>
      <w:r>
        <w:rPr>
          <w:rStyle w:val="FootnoteReference"/>
        </w:rPr>
        <w:footnoteReference w:id="54"/>
      </w:r>
      <w:r>
        <w:rPr>
          <w:sz w:val="22"/>
          <w:szCs w:val="22"/>
        </w:rPr>
        <w:t>. A predefined stop-loss is, in this light, a pre-commitment device that disarms the break-even effect before it can operate; a win-goal disarms the house-money effect. Neither changes the odds; both interrupt the documented behavioral pathway from a normal session to a ruinous one.</w:t>
      </w:r>
    </w:p>
    <w:p>
      <w:pPr>
        <w:pStyle w:val="Heading2"/>
        <w:keepNext w:val="true"/>
        <w:spacing w:before="220" w:after="110"/>
        <w:rPr/>
      </w:pPr>
      <w:bookmarkStart w:id="45" w:name="__RefHeading___Toc2599_617431631"/>
      <w:bookmarkEnd w:id="45"/>
      <w:r>
        <w:rPr/>
        <w:t>9.2 The cognitive-bias catalogue</w:t>
      </w:r>
    </w:p>
    <w:p>
      <w:pPr>
        <w:pStyle w:val="Normal"/>
        <w:spacing w:lineRule="exact" w:line="276" w:before="0" w:after="130"/>
        <w:rPr/>
      </w:pPr>
      <w:r>
        <w:rPr>
          <w:sz w:val="22"/>
          <w:szCs w:val="22"/>
        </w:rPr>
        <w:t>Beyond loss aversion, a cluster of well-documented cognitive biases inflates gambling losses. They are catalogued here because recognizing them is itself a defense.</w:t>
      </w:r>
    </w:p>
    <w:p>
      <w:pPr>
        <w:pStyle w:val="ListParagraph"/>
        <w:numPr>
          <w:ilvl w:val="0"/>
          <w:numId w:val="1"/>
        </w:numPr>
        <w:spacing w:lineRule="exact" w:line="272" w:before="0" w:after="90"/>
        <w:rPr/>
      </w:pPr>
      <w:r>
        <w:rPr>
          <w:b/>
          <w:bCs/>
          <w:sz w:val="22"/>
          <w:szCs w:val="22"/>
        </w:rPr>
        <w:t xml:space="preserve">Gambler’s fallacy. </w:t>
      </w:r>
      <w:r>
        <w:rPr>
          <w:sz w:val="22"/>
          <w:szCs w:val="22"/>
        </w:rPr>
        <w:t>The belief that independent trials self-correct (“red is due”). Croson and Sundali observed it directly in casino roulette data; Clotfelter and Cook found it in lottery-number selection.</w:t>
      </w:r>
      <w:r>
        <w:rPr>
          <w:rStyle w:val="FootnoteReference"/>
        </w:rPr>
        <w:footnoteReference w:id="55"/>
      </w:r>
    </w:p>
    <w:p>
      <w:pPr>
        <w:pStyle w:val="ListParagraph"/>
        <w:numPr>
          <w:ilvl w:val="0"/>
          <w:numId w:val="1"/>
        </w:numPr>
        <w:spacing w:lineRule="exact" w:line="272" w:before="0" w:after="90"/>
        <w:rPr/>
      </w:pPr>
      <w:r>
        <w:rPr>
          <w:b/>
          <w:bCs/>
          <w:sz w:val="22"/>
          <w:szCs w:val="22"/>
        </w:rPr>
        <w:t xml:space="preserve">Hot-hand fallacy. </w:t>
      </w:r>
      <w:r>
        <w:rPr>
          <w:sz w:val="22"/>
          <w:szCs w:val="22"/>
        </w:rPr>
        <w:t>The mirror-image belief that a streak will continue. Gilovich, Vallone, and Tversky’s basketball study showed that perceived shooting streaks were statistically indistinguishable from chance.</w:t>
      </w:r>
      <w:r>
        <w:rPr>
          <w:rStyle w:val="FootnoteReference"/>
        </w:rPr>
        <w:footnoteReference w:id="56"/>
      </w:r>
    </w:p>
    <w:p>
      <w:pPr>
        <w:pStyle w:val="ListParagraph"/>
        <w:numPr>
          <w:ilvl w:val="0"/>
          <w:numId w:val="1"/>
        </w:numPr>
        <w:spacing w:lineRule="exact" w:line="272" w:before="0" w:after="90"/>
        <w:rPr/>
      </w:pPr>
      <w:r>
        <w:rPr>
          <w:b/>
          <w:bCs/>
          <w:sz w:val="22"/>
          <w:szCs w:val="22"/>
        </w:rPr>
        <w:t xml:space="preserve">Illusion of control. </w:t>
      </w:r>
      <w:r>
        <w:rPr>
          <w:sz w:val="22"/>
          <w:szCs w:val="22"/>
        </w:rPr>
        <w:t>Langer demonstrated that people behave as if they can influence purely chance outcomes—blowing on dice, choosing their own lottery numbers—and value such bets more highly.</w:t>
      </w:r>
      <w:r>
        <w:rPr>
          <w:rStyle w:val="FootnoteReference"/>
        </w:rPr>
        <w:footnoteReference w:id="57"/>
      </w:r>
    </w:p>
    <w:p>
      <w:pPr>
        <w:pStyle w:val="ListParagraph"/>
        <w:numPr>
          <w:ilvl w:val="0"/>
          <w:numId w:val="1"/>
        </w:numPr>
        <w:spacing w:lineRule="exact" w:line="272" w:before="0" w:after="90"/>
        <w:rPr/>
      </w:pPr>
      <w:r>
        <w:rPr>
          <w:b/>
          <w:bCs/>
          <w:sz w:val="22"/>
          <w:szCs w:val="22"/>
        </w:rPr>
        <w:t xml:space="preserve">Sunk-cost fallacy. </w:t>
      </w:r>
      <w:r>
        <w:rPr>
          <w:sz w:val="22"/>
          <w:szCs w:val="22"/>
        </w:rPr>
        <w:t>Arkes and Blumer showed people continue a losing course because of past investment—“I’ve put too much in to quit now”—the cognitive cousin of loss-chasing.</w:t>
      </w:r>
      <w:r>
        <w:rPr>
          <w:rStyle w:val="FootnoteReference"/>
        </w:rPr>
        <w:footnoteReference w:id="58"/>
      </w:r>
    </w:p>
    <w:p>
      <w:pPr>
        <w:pStyle w:val="Heading2"/>
        <w:keepNext w:val="true"/>
        <w:spacing w:before="220" w:after="110"/>
        <w:rPr/>
      </w:pPr>
      <w:bookmarkStart w:id="46" w:name="__RefHeading___Toc2601_617431631"/>
      <w:bookmarkEnd w:id="46"/>
      <w:r>
        <w:rPr/>
        <w:t>9.3 Addiction by design: the engineered “zone”</w:t>
      </w:r>
    </w:p>
    <w:p>
      <w:pPr>
        <w:pStyle w:val="Normal"/>
        <w:spacing w:lineRule="exact" w:line="276" w:before="0" w:after="130"/>
        <w:rPr/>
      </w:pPr>
      <w:r>
        <w:rPr>
          <w:sz w:val="22"/>
          <w:szCs w:val="22"/>
        </w:rPr>
        <w:t xml:space="preserve">Slot machines—and their electronic kin—are not neutral apparatus that players happen to overuse; they are engineered to maximize </w:t>
      </w:r>
      <w:r>
        <w:rPr>
          <w:b/>
          <w:bCs/>
          <w:sz w:val="22"/>
          <w:szCs w:val="22"/>
        </w:rPr>
        <w:t>time on device</w:t>
      </w:r>
      <w:r>
        <w:rPr>
          <w:sz w:val="22"/>
          <w:szCs w:val="22"/>
        </w:rPr>
        <w:t xml:space="preserve">. The definitive ethnography is Natasha Dow Schüll’s </w:t>
      </w:r>
      <w:r>
        <w:rPr>
          <w:i/>
          <w:iCs/>
          <w:sz w:val="22"/>
          <w:szCs w:val="22"/>
        </w:rPr>
        <w:t>Addiction by Design</w:t>
      </w:r>
      <w:r>
        <w:rPr>
          <w:sz w:val="22"/>
          <w:szCs w:val="22"/>
        </w:rPr>
        <w:t>, which documents how machine design, casino architecture, and player psychology converge to produce a dissociative state players call “the zone.” As Schüll writes, “Once in the zone, gambling addicts play not to win but simply to keep playing, for as long as possible—even at the cost of physical and economic exhaustion”</w:t>
      </w:r>
      <w:r>
        <w:rPr>
          <w:rStyle w:val="FootnoteReference"/>
        </w:rPr>
        <w:footnoteReference w:id="59"/>
      </w:r>
      <w:r>
        <w:rPr>
          <w:sz w:val="22"/>
          <w:szCs w:val="22"/>
        </w:rPr>
        <w:t>.</w:t>
      </w:r>
    </w:p>
    <w:p>
      <w:pPr>
        <w:pStyle w:val="Normal"/>
        <w:spacing w:lineRule="exact" w:line="276" w:before="0" w:after="130"/>
        <w:rPr/>
      </w:pPr>
      <w:r>
        <w:rPr>
          <w:sz w:val="22"/>
          <w:szCs w:val="22"/>
        </w:rPr>
        <w:t>Three design mechanisms deserve specific mention, because each is invisible to a player who does not know to look:</w:t>
      </w:r>
    </w:p>
    <w:p>
      <w:pPr>
        <w:pStyle w:val="ListParagraph"/>
        <w:numPr>
          <w:ilvl w:val="0"/>
          <w:numId w:val="1"/>
        </w:numPr>
        <w:spacing w:lineRule="exact" w:line="272" w:before="0" w:after="90"/>
        <w:rPr/>
      </w:pPr>
      <w:r>
        <w:rPr>
          <w:b/>
          <w:bCs/>
          <w:sz w:val="22"/>
          <w:szCs w:val="22"/>
        </w:rPr>
        <w:t xml:space="preserve">Near-misses. </w:t>
      </w:r>
      <w:r>
        <w:rPr>
          <w:sz w:val="22"/>
          <w:szCs w:val="22"/>
        </w:rPr>
        <w:t>Virtual-reel mapping places losing combinations adjacent to jackpot symbols so that winning symbols appear just above or below the payline far more often than true odds would produce. Reid first theorized the motivational pull of the near miss; Clark and colleagues showed with fMRI that near-misses recruit the same reward circuitry as actual wins despite being losses.</w:t>
      </w:r>
      <w:r>
        <w:rPr>
          <w:rStyle w:val="FootnoteReference"/>
        </w:rPr>
        <w:footnoteReference w:id="60"/>
      </w:r>
    </w:p>
    <w:p>
      <w:pPr>
        <w:pStyle w:val="ListParagraph"/>
        <w:numPr>
          <w:ilvl w:val="0"/>
          <w:numId w:val="1"/>
        </w:numPr>
        <w:spacing w:lineRule="exact" w:line="272" w:before="0" w:after="90"/>
        <w:rPr/>
      </w:pPr>
      <w:r>
        <w:rPr>
          <w:b/>
          <w:bCs/>
          <w:sz w:val="22"/>
          <w:szCs w:val="22"/>
        </w:rPr>
        <w:t xml:space="preserve">Losses disguised as wins (LDWs). </w:t>
      </w:r>
      <w:r>
        <w:rPr>
          <w:sz w:val="22"/>
          <w:szCs w:val="22"/>
        </w:rPr>
        <w:t>On multi-line machines, a spin that returns less than the amount wagered is nonetheless accompanied by celebratory lights and sounds. Dixon and colleagues showed players physiologically register these net losses as wins, sustaining play.</w:t>
      </w:r>
      <w:r>
        <w:rPr>
          <w:rStyle w:val="FootnoteReference"/>
        </w:rPr>
        <w:footnoteReference w:id="61"/>
      </w:r>
    </w:p>
    <w:p>
      <w:pPr>
        <w:pStyle w:val="ListParagraph"/>
        <w:numPr>
          <w:ilvl w:val="0"/>
          <w:numId w:val="1"/>
        </w:numPr>
        <w:spacing w:lineRule="exact" w:line="272" w:before="0" w:after="90"/>
        <w:rPr/>
      </w:pPr>
      <w:r>
        <w:rPr>
          <w:b/>
          <w:bCs/>
          <w:sz w:val="22"/>
          <w:szCs w:val="22"/>
        </w:rPr>
        <w:t xml:space="preserve">Variable-ratio reinforcement. </w:t>
      </w:r>
      <w:r>
        <w:rPr>
          <w:sz w:val="22"/>
          <w:szCs w:val="22"/>
        </w:rPr>
        <w:t>Rewards delivered on an unpredictable schedule produce the highest and most persistent response rates—the Skinnerian principle on which the entire reinforcement structure of the slot machine is built.</w:t>
      </w:r>
      <w:r>
        <w:rPr>
          <w:rStyle w:val="FootnoteReference"/>
        </w:rPr>
        <w:footnoteReference w:id="62"/>
      </w:r>
    </w:p>
    <w:p>
      <w:pPr>
        <w:pStyle w:val="Normal"/>
        <w:spacing w:lineRule="exact" w:line="276" w:before="0" w:after="130"/>
        <w:rPr/>
      </w:pPr>
      <w:r>
        <w:rPr>
          <w:sz w:val="22"/>
          <w:szCs w:val="22"/>
        </w:rPr>
        <w:t xml:space="preserve">The structural characteristics that govern these effects—hit frequency, volatility, and the weighting of each virtual reel—are specified in the manufacturer’s </w:t>
      </w:r>
      <w:r>
        <w:rPr>
          <w:b/>
          <w:bCs/>
          <w:sz w:val="22"/>
          <w:szCs w:val="22"/>
        </w:rPr>
        <w:t>PAR sheet</w:t>
      </w:r>
      <w:r>
        <w:rPr>
          <w:sz w:val="22"/>
          <w:szCs w:val="22"/>
        </w:rPr>
        <w:t xml:space="preserve"> (Probability Accounting Report), an internal document not shown to players. Harrigan and Dixon’s analysis of PAR sheets demonstrated how identical-looking machines can differ enormously in hit frequency and payback, and how the design systematically distorts players’ perception of their true odds</w:t>
      </w:r>
      <w:r>
        <w:rPr>
          <w:rStyle w:val="FootnoteReference"/>
        </w:rPr>
        <w:footnoteReference w:id="63"/>
      </w:r>
      <w:r>
        <w:rPr>
          <w:sz w:val="22"/>
          <w:szCs w:val="22"/>
        </w:rPr>
        <w:t>.</w:t>
      </w:r>
    </w:p>
    <w:p>
      <w:pPr>
        <w:pStyle w:val="Heading2"/>
        <w:keepNext w:val="true"/>
        <w:spacing w:before="220" w:after="110"/>
        <w:rPr/>
      </w:pPr>
      <w:bookmarkStart w:id="47" w:name="__RefHeading___Toc2603_617431631"/>
      <w:bookmarkEnd w:id="47"/>
      <w:r>
        <w:rPr/>
        <w:t>9.4 The scale of harm</w:t>
      </w:r>
    </w:p>
    <w:p>
      <w:pPr>
        <w:pStyle w:val="Normal"/>
        <w:spacing w:lineRule="exact" w:line="276" w:before="0" w:after="130"/>
        <w:rPr/>
      </w:pPr>
      <w:r>
        <w:rPr>
          <w:sz w:val="22"/>
          <w:szCs w:val="22"/>
        </w:rPr>
        <w:t>These mechanisms are not harmless. The Problem Gambling Severity Index (PGSI), the standard population screen, classifies risk from a nine-item questionnaire with good internal consistency</w:t>
      </w:r>
      <w:r>
        <w:rPr>
          <w:rStyle w:val="FootnoteReference"/>
        </w:rPr>
        <w:footnoteReference w:id="64"/>
      </w:r>
      <w:r>
        <w:rPr>
          <w:sz w:val="22"/>
          <w:szCs w:val="22"/>
        </w:rPr>
        <w:t>. Population prevalence of clinically significant problem gambling (PGSI &gt; 7) is generally estimated at roughly 0.4%–1.4% of adults, but self-reported problematic behavior is far more widespread. The National Council on Problem Gambling’s 2024 NGAGE survey found that about 8% of American adults—nearly twenty million people—reported experiencing at least one indicator of problematic gambling behavior “many times” in the past year, with roughly 2.5 million likely meeting criteria for gambling disorder</w:t>
      </w:r>
      <w:r>
        <w:rPr>
          <w:rStyle w:val="FootnoteReference"/>
        </w:rPr>
        <w:footnoteReference w:id="65"/>
      </w:r>
      <w:r>
        <w:rPr>
          <w:sz w:val="22"/>
          <w:szCs w:val="22"/>
        </w:rPr>
        <w:t>. Gambling disorder is recognized in the DSM-5 as a behavioral addiction, grouped with substance-use disorders precisely because it engages overlapping reward circuitry</w:t>
      </w:r>
      <w:r>
        <w:rPr>
          <w:rStyle w:val="FootnoteReference"/>
        </w:rPr>
        <w:footnoteReference w:id="66"/>
      </w:r>
      <w:r>
        <w:rPr>
          <w:sz w:val="22"/>
          <w:szCs w:val="22"/>
        </w:rPr>
        <w:t>. No discipline framework removes this risk; the only complete protection is to treat gambling as priced entertainment with hard limits and to recognize the warning signs early.</w:t>
      </w:r>
      <w:r>
        <w:br w:type="page"/>
      </w:r>
    </w:p>
    <w:p>
      <w:pPr>
        <w:pStyle w:val="Heading1"/>
        <w:spacing w:before="240" w:after="160"/>
        <w:rPr/>
      </w:pPr>
      <w:bookmarkStart w:id="48" w:name="__RefHeading___Toc2605_617431631"/>
      <w:bookmarkEnd w:id="48"/>
      <w:r>
        <w:rPr/>
        <w:t>10. Slot Machines and Progressive Jackpots: The Mathematics of the Unbeatable Game</w:t>
      </w:r>
    </w:p>
    <w:p>
      <w:pPr>
        <w:pStyle w:val="Heading2"/>
        <w:keepNext w:val="true"/>
        <w:spacing w:before="220" w:after="110"/>
        <w:rPr/>
      </w:pPr>
      <w:bookmarkStart w:id="49" w:name="__RefHeading___Toc2607_617431631"/>
      <w:bookmarkEnd w:id="49"/>
      <w:r>
        <w:rPr/>
        <w:t>10.1 How a reel machine prices itself</w:t>
      </w:r>
    </w:p>
    <w:p>
      <w:pPr>
        <w:pStyle w:val="Normal"/>
        <w:spacing w:lineRule="exact" w:line="276" w:before="0" w:after="130"/>
        <w:rPr/>
      </w:pPr>
      <w:r>
        <w:rPr>
          <w:sz w:val="22"/>
          <w:szCs w:val="22"/>
        </w:rPr>
        <w:t xml:space="preserve">A modern slot machine is a computer that maps a random number to a position on each </w:t>
      </w:r>
      <w:r>
        <w:rPr>
          <w:b/>
          <w:bCs/>
          <w:sz w:val="22"/>
          <w:szCs w:val="22"/>
        </w:rPr>
        <w:t>virtual reel</w:t>
      </w:r>
      <w:r>
        <w:rPr>
          <w:sz w:val="22"/>
          <w:szCs w:val="22"/>
        </w:rPr>
        <w:t xml:space="preserve">—a list far longer than the physical reel, with symbols weighted unequally. A jackpot symbol might occupy one stop on a 64- or 256-position virtual reel even though the physical reel shows it once among twenty-two visible symbols. The return-to-player is set by these weightings, which the operator selects from a manufacturer-supplied menu of configurations. The result is twofold: the machine’s true odds bear no necessary relation to what the physical reels suggest, and </w:t>
      </w:r>
      <w:r>
        <w:rPr>
          <w:b/>
          <w:bCs/>
          <w:sz w:val="22"/>
          <w:szCs w:val="22"/>
        </w:rPr>
        <w:t>the player cannot compute or even observe the installed return</w:t>
      </w:r>
      <w:r>
        <w:rPr>
          <w:sz w:val="22"/>
          <w:szCs w:val="22"/>
        </w:rPr>
        <w:t>—the defining contrast with video poker.</w:t>
      </w:r>
      <w:r>
        <w:rPr>
          <w:rStyle w:val="FootnoteReference"/>
        </w:rPr>
        <w:footnoteReference w:id="67"/>
      </w:r>
    </w:p>
    <w:p>
      <w:pPr>
        <w:pStyle w:val="Normal"/>
        <w:spacing w:lineRule="exact" w:line="276" w:before="0" w:after="130"/>
        <w:rPr/>
      </w:pPr>
      <w:r>
        <w:rPr>
          <w:sz w:val="22"/>
          <w:szCs w:val="22"/>
        </w:rPr>
        <w:t>Published ranges put United States slot house edges between roughly 2% and 15%, with higher holds typical on lower-denomination machines</w:t>
      </w:r>
      <w:r>
        <w:rPr>
          <w:rStyle w:val="FootnoteReference"/>
        </w:rPr>
        <w:footnoteReference w:id="68"/>
      </w:r>
      <w:r>
        <w:rPr>
          <w:sz w:val="22"/>
          <w:szCs w:val="22"/>
        </w:rPr>
        <w:t>. Crucially, these are ranges, not disclosures: regulators in most U.S. jurisdictions require only that the machine pay above a floor (often 75%–86%) and that it perform as configured. A player on a casino floor faces an unknown point within the range.</w:t>
      </w:r>
    </w:p>
    <w:p>
      <w:pPr>
        <w:pStyle w:val="Heading2"/>
        <w:keepNext w:val="true"/>
        <w:spacing w:before="220" w:after="110"/>
        <w:rPr/>
      </w:pPr>
      <w:bookmarkStart w:id="50" w:name="__RefHeading___Toc2609_617431631"/>
      <w:bookmarkEnd w:id="50"/>
      <w:r>
        <w:rPr/>
        <w:t>10.2 The volatility–hit-frequency trade-off</w:t>
      </w:r>
    </w:p>
    <w:p>
      <w:pPr>
        <w:pStyle w:val="Normal"/>
        <w:spacing w:lineRule="exact" w:line="276" w:before="0" w:after="130"/>
        <w:rPr/>
      </w:pPr>
      <w:r>
        <w:rPr>
          <w:sz w:val="22"/>
          <w:szCs w:val="22"/>
        </w:rPr>
        <w:t>Two machines with identical return can feel completely different because of volatility. A low-volatility machine pays small amounts frequently (high hit frequency); a high-volatility machine pays rarely but larger. Volatility does not change expected loss, but it changes the distribution of sessions—and therefore the bankroll required to survive a given number of spins and the texture of the experience. The same distinction matters to the player as variance does to the trader: it governs survival probability over a finite horizon, not the mean.</w:t>
      </w:r>
    </w:p>
    <w:p>
      <w:pPr>
        <w:pStyle w:val="Heading2"/>
        <w:keepNext w:val="true"/>
        <w:spacing w:before="220" w:after="110"/>
        <w:rPr/>
      </w:pPr>
      <w:bookmarkStart w:id="51" w:name="__RefHeading___Toc2611_617431631"/>
      <w:bookmarkEnd w:id="51"/>
      <w:r>
        <w:rPr/>
        <w:t>10.3 Progressive jackpots: when, if ever, a slot turns positive</w:t>
      </w:r>
    </w:p>
    <w:p>
      <w:pPr>
        <w:pStyle w:val="Normal"/>
        <w:spacing w:lineRule="exact" w:line="276" w:before="0" w:after="130"/>
        <w:rPr/>
      </w:pPr>
      <w:r>
        <w:rPr>
          <w:sz w:val="22"/>
          <w:szCs w:val="22"/>
        </w:rPr>
        <w:t xml:space="preserve">A progressive machine diverts a small fraction of each bet into a growing jackpot meter, which lowers the base return but creates the theoretical possibility of a positive expectation once the meter is large enough. In principle, a progressive is +EV when the jackpot exceeds a computable break-even point; in practice that point is almost never reached, the base return is poor, and the top tier usually requires a maximum-credit bet to qualify. The canonical analysis is Shackleford’s study of </w:t>
      </w:r>
      <w:r>
        <w:rPr>
          <w:b/>
          <w:bCs/>
          <w:sz w:val="22"/>
          <w:szCs w:val="22"/>
        </w:rPr>
        <w:t>Megabucks</w:t>
      </w:r>
      <w:r>
        <w:rPr>
          <w:sz w:val="22"/>
          <w:szCs w:val="22"/>
        </w:rPr>
        <w:t>, the linked Nevada progressive, which estimates the jackpot probability at 1 in 49,836,032—(1/368)³—an average hit near $15.2 million, and a break-even meter around $32.2 million before annuity and tax adjustments (the jackpot pays as a 25-year annuity worth roughly 61% of its face value)</w:t>
      </w:r>
      <w:r>
        <w:rPr>
          <w:rStyle w:val="FootnoteReference"/>
        </w:rPr>
        <w:footnoteReference w:id="69"/>
      </w:r>
      <w:r>
        <w:rPr>
          <w:sz w:val="22"/>
          <w:szCs w:val="22"/>
        </w:rPr>
        <w:t>.</w:t>
      </w:r>
    </w:p>
    <w:p>
      <w:pPr>
        <w:pStyle w:val="Normal"/>
        <w:keepNext w:val="true"/>
        <w:spacing w:before="160" w:after="70"/>
        <w:rPr/>
      </w:pPr>
      <w:r>
        <w:rPr>
          <w:b/>
          <w:bCs/>
          <w:color w:val="1F3A5F"/>
          <w:sz w:val="18"/>
          <w:szCs w:val="18"/>
        </w:rPr>
        <w:t>Table 10.1 — Representative progressive and brand jackpot facts</w:t>
      </w:r>
    </w:p>
    <w:tbl>
      <w:tblPr>
        <w:tblW w:w="9360" w:type="dxa"/>
        <w:jc w:val="left"/>
        <w:tblInd w:w="0" w:type="dxa"/>
        <w:tblLayout w:type="fixed"/>
        <w:tblCellMar>
          <w:top w:w="60" w:type="dxa"/>
          <w:left w:w="100" w:type="dxa"/>
          <w:bottom w:w="60" w:type="dxa"/>
          <w:right w:w="100" w:type="dxa"/>
        </w:tblCellMar>
      </w:tblPr>
      <w:tblGrid>
        <w:gridCol w:w="2999"/>
        <w:gridCol w:w="4360"/>
        <w:gridCol w:w="2001"/>
      </w:tblGrid>
      <w:tr>
        <w:trPr>
          <w:tblHeader w:val="true"/>
        </w:trPr>
        <w:tc>
          <w:tcPr>
            <w:tcW w:w="2999"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Machine / network</w:t>
            </w:r>
          </w:p>
        </w:tc>
        <w:tc>
          <w:tcPr>
            <w:tcW w:w="436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Reported figure</w:t>
            </w:r>
          </w:p>
        </w:tc>
        <w:tc>
          <w:tcPr>
            <w:tcW w:w="2001"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Source class</w:t>
            </w:r>
          </w:p>
        </w:tc>
      </w:tr>
      <w:tr>
        <w:trPr/>
        <w:tc>
          <w:tcPr>
            <w:tcW w:w="29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Megabucks (Nevada linked)</w:t>
            </w:r>
          </w:p>
        </w:tc>
        <w:tc>
          <w:tcPr>
            <w:tcW w:w="43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Jackpot odds ≈ 1 in 49.8 million; break-even meter ≈ $32.2M</w:t>
            </w:r>
          </w:p>
        </w:tc>
        <w:tc>
          <w:tcPr>
            <w:tcW w:w="20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Wizard of Odds analysis</w:t>
            </w:r>
          </w:p>
        </w:tc>
      </w:tr>
      <w:tr>
        <w:trPr/>
        <w:tc>
          <w:tcPr>
            <w:tcW w:w="29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Mega Moolah</w:t>
            </w:r>
          </w:p>
        </w:tc>
        <w:tc>
          <w:tcPr>
            <w:tcW w:w="43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Base RTP 88.12% (≈93.4% incl. jackpot); Mega odds ≈ 1 in 50M</w:t>
            </w:r>
          </w:p>
        </w:tc>
        <w:tc>
          <w:tcPr>
            <w:tcW w:w="20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Operator / review databases</w:t>
            </w:r>
          </w:p>
        </w:tc>
      </w:tr>
      <w:tr>
        <w:trPr/>
        <w:tc>
          <w:tcPr>
            <w:tcW w:w="29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Mega Moolah record win</w:t>
            </w:r>
          </w:p>
        </w:tc>
        <w:tc>
          <w:tcPr>
            <w:tcW w:w="43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w:t>
            </w:r>
            <w:r>
              <w:rPr>
                <w:b w:val="false"/>
                <w:bCs w:val="false"/>
                <w:sz w:val="18"/>
                <w:szCs w:val="18"/>
              </w:rPr>
              <w:t>19,430,723.60 (Absolootly Mad, 27 Apr 2021, €15 stake)</w:t>
            </w:r>
          </w:p>
        </w:tc>
        <w:tc>
          <w:tcPr>
            <w:tcW w:w="20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Guinness World Records</w:t>
            </w:r>
          </w:p>
        </w:tc>
      </w:tr>
      <w:tr>
        <w:trPr/>
        <w:tc>
          <w:tcPr>
            <w:tcW w:w="29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Mega Fortune</w:t>
            </w:r>
          </w:p>
        </w:tc>
        <w:tc>
          <w:tcPr>
            <w:tcW w:w="43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Total RTP 96.6% per NetEnt (base ≈ 89%); 3-tier progressive</w:t>
            </w:r>
          </w:p>
        </w:tc>
        <w:tc>
          <w:tcPr>
            <w:tcW w:w="20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NetEnt documentation</w:t>
            </w:r>
          </w:p>
        </w:tc>
      </w:tr>
      <w:tr>
        <w:trPr/>
        <w:tc>
          <w:tcPr>
            <w:tcW w:w="29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Mega Fortune record win</w:t>
            </w:r>
          </w:p>
        </w:tc>
        <w:tc>
          <w:tcPr>
            <w:tcW w:w="43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w:t>
            </w:r>
            <w:r>
              <w:rPr>
                <w:b w:val="false"/>
                <w:bCs w:val="false"/>
                <w:sz w:val="18"/>
                <w:szCs w:val="18"/>
              </w:rPr>
              <w:t>17,861,800 (Jan 2013, €0.25 spin)</w:t>
            </w:r>
          </w:p>
        </w:tc>
        <w:tc>
          <w:tcPr>
            <w:tcW w:w="200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Guinness World Records</w:t>
            </w:r>
          </w:p>
        </w:tc>
      </w:tr>
      <w:tr>
        <w:trPr/>
        <w:tc>
          <w:tcPr>
            <w:tcW w:w="29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Wheel of Fortune (IGT brand)</w:t>
            </w:r>
          </w:p>
        </w:tc>
        <w:tc>
          <w:tcPr>
            <w:tcW w:w="43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1,200+ millionaires; $3.6B+ in jackpots since 1996</w:t>
            </w:r>
          </w:p>
        </w:tc>
        <w:tc>
          <w:tcPr>
            <w:tcW w:w="200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IGT brand materials</w:t>
            </w:r>
          </w:p>
        </w:tc>
      </w:tr>
    </w:tbl>
    <w:p>
      <w:pPr>
        <w:pStyle w:val="Normal"/>
        <w:spacing w:before="50" w:after="190"/>
        <w:rPr/>
      </w:pPr>
      <w:r>
        <w:rPr>
          <w:i/>
          <w:iCs/>
          <w:color w:val="44546A"/>
          <w:sz w:val="15"/>
          <w:szCs w:val="15"/>
        </w:rPr>
        <w:t>Online-version and operator-reported figures; land-based per-machine RTP is not published. Record-win figures are as recognized by Guinness World Records at the time of the award.</w:t>
      </w:r>
    </w:p>
    <w:p>
      <w:pPr>
        <w:pStyle w:val="Normal"/>
        <w:spacing w:lineRule="exact" w:line="276" w:before="0" w:after="130"/>
        <w:rPr/>
      </w:pPr>
      <w:r>
        <w:rPr>
          <w:sz w:val="22"/>
          <w:szCs w:val="22"/>
        </w:rPr>
        <w:t>The unifying point: progressive jackpots are, in expectation, a worse deal than the base game for almost the entire range of meter values, because the base return is depressed to fund a prize whose probability is on the order of one in fifty million. Small bets fare worst of all, since they typically forfeit jackpot eligibility while still paying into the meter. A progressive becomes a defensible bet only at the rare, publicly visible moment when the meter exceeds its documented break-even—and even then, variance dominates any single player’s lifetime of play.</w:t>
      </w:r>
    </w:p>
    <w:p>
      <w:pPr>
        <w:pStyle w:val="Heading2"/>
        <w:keepNext w:val="true"/>
        <w:spacing w:before="220" w:after="110"/>
        <w:rPr/>
      </w:pPr>
      <w:bookmarkStart w:id="52" w:name="__RefHeading___Toc2613_617431631"/>
      <w:bookmarkEnd w:id="52"/>
      <w:r>
        <w:rPr/>
        <w:t>10.4 The games on the floor a typical visitor will meet</w:t>
      </w:r>
    </w:p>
    <w:p>
      <w:pPr>
        <w:pStyle w:val="Normal"/>
        <w:spacing w:lineRule="exact" w:line="276" w:before="0" w:after="130"/>
        <w:rPr/>
      </w:pPr>
      <w:r>
        <w:rPr>
          <w:sz w:val="22"/>
          <w:szCs w:val="22"/>
        </w:rPr>
        <w:t xml:space="preserve">The specific titles a Las Vegas visitor is most likely to encounter—and which appear in the companion strategy guide because they are commonly played—span the volatility spectrum. The figures below are online-adaptation or review-database returns and are </w:t>
      </w:r>
      <w:r>
        <w:rPr>
          <w:b/>
          <w:bCs/>
          <w:sz w:val="22"/>
          <w:szCs w:val="22"/>
        </w:rPr>
        <w:t>not</w:t>
      </w:r>
      <w:r>
        <w:rPr>
          <w:sz w:val="22"/>
          <w:szCs w:val="22"/>
        </w:rPr>
        <w:t xml:space="preserve"> the returns of any specific cabinet (see §10.1); they are included to illustrate the class, not to certify a machine.</w:t>
      </w:r>
    </w:p>
    <w:p>
      <w:pPr>
        <w:pStyle w:val="Normal"/>
        <w:keepNext w:val="true"/>
        <w:spacing w:before="160" w:after="70"/>
        <w:rPr/>
      </w:pPr>
      <w:r>
        <w:rPr>
          <w:b/>
          <w:bCs/>
          <w:color w:val="1F3A5F"/>
          <w:sz w:val="18"/>
          <w:szCs w:val="18"/>
        </w:rPr>
        <w:t>Table 10.2 — Commonly played slot titles (indicative online-version figures)</w:t>
      </w:r>
    </w:p>
    <w:tbl>
      <w:tblPr>
        <w:tblW w:w="9360" w:type="dxa"/>
        <w:jc w:val="left"/>
        <w:tblInd w:w="0" w:type="dxa"/>
        <w:tblLayout w:type="fixed"/>
        <w:tblCellMar>
          <w:top w:w="60" w:type="dxa"/>
          <w:left w:w="100" w:type="dxa"/>
          <w:bottom w:w="60" w:type="dxa"/>
          <w:right w:w="100" w:type="dxa"/>
        </w:tblCellMar>
      </w:tblPr>
      <w:tblGrid>
        <w:gridCol w:w="3100"/>
        <w:gridCol w:w="2899"/>
        <w:gridCol w:w="1900"/>
        <w:gridCol w:w="1460"/>
      </w:tblGrid>
      <w:tr>
        <w:trPr>
          <w:tblHeader w:val="true"/>
        </w:trPr>
        <w:tc>
          <w:tcPr>
            <w:tcW w:w="310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Title (maker)</w:t>
            </w:r>
          </w:p>
        </w:tc>
        <w:tc>
          <w:tcPr>
            <w:tcW w:w="2899"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Structure</w:t>
            </w:r>
          </w:p>
        </w:tc>
        <w:tc>
          <w:tcPr>
            <w:tcW w:w="190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Indicative RTP*</w:t>
            </w:r>
          </w:p>
        </w:tc>
        <w:tc>
          <w:tcPr>
            <w:tcW w:w="146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Volatility class*</w:t>
            </w:r>
          </w:p>
        </w:tc>
      </w:tr>
      <w:tr>
        <w:trPr/>
        <w:tc>
          <w:tcPr>
            <w:tcW w:w="31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88 Fortunes (Light &amp; Wonder)</w:t>
            </w:r>
          </w:p>
        </w:tc>
        <w:tc>
          <w:tcPr>
            <w:tcW w:w="28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5-reel, 243-way, 4-tier progressive</w:t>
            </w:r>
          </w:p>
        </w:tc>
        <w:tc>
          <w:tcPr>
            <w:tcW w:w="19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~96%</w:t>
            </w:r>
          </w:p>
        </w:tc>
        <w:tc>
          <w:tcPr>
            <w:tcW w:w="14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Medium–high</w:t>
            </w:r>
          </w:p>
        </w:tc>
      </w:tr>
      <w:tr>
        <w:trPr/>
        <w:tc>
          <w:tcPr>
            <w:tcW w:w="31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Buffalo / Buffalo Gold (Aristocrat)</w:t>
            </w:r>
          </w:p>
        </w:tc>
        <w:tc>
          <w:tcPr>
            <w:tcW w:w="28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1,024-way “Reel Power”</w:t>
            </w:r>
          </w:p>
        </w:tc>
        <w:tc>
          <w:tcPr>
            <w:tcW w:w="19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~94.85–96%</w:t>
            </w:r>
          </w:p>
        </w:tc>
        <w:tc>
          <w:tcPr>
            <w:tcW w:w="14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Medium–high</w:t>
            </w:r>
          </w:p>
        </w:tc>
      </w:tr>
      <w:tr>
        <w:trPr/>
        <w:tc>
          <w:tcPr>
            <w:tcW w:w="31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Cleopatra (IGT)</w:t>
            </w:r>
          </w:p>
        </w:tc>
        <w:tc>
          <w:tcPr>
            <w:tcW w:w="28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5-reel, 20-line</w:t>
            </w:r>
          </w:p>
        </w:tc>
        <w:tc>
          <w:tcPr>
            <w:tcW w:w="19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95.02% (online)</w:t>
            </w:r>
          </w:p>
        </w:tc>
        <w:tc>
          <w:tcPr>
            <w:tcW w:w="14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Low–medium</w:t>
            </w:r>
          </w:p>
        </w:tc>
      </w:tr>
      <w:tr>
        <w:trPr/>
        <w:tc>
          <w:tcPr>
            <w:tcW w:w="31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Quick Hit Platinum (Bally / L&amp;W)</w:t>
            </w:r>
          </w:p>
        </w:tc>
        <w:tc>
          <w:tcPr>
            <w:tcW w:w="28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30-line</w:t>
            </w:r>
          </w:p>
        </w:tc>
        <w:tc>
          <w:tcPr>
            <w:tcW w:w="19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94.06% (online)</w:t>
            </w:r>
          </w:p>
        </w:tc>
        <w:tc>
          <w:tcPr>
            <w:tcW w:w="14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Medium</w:t>
            </w:r>
          </w:p>
        </w:tc>
      </w:tr>
      <w:tr>
        <w:trPr/>
        <w:tc>
          <w:tcPr>
            <w:tcW w:w="31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Triple Red Hot 777 (IGT)</w:t>
            </w:r>
          </w:p>
        </w:tc>
        <w:tc>
          <w:tcPr>
            <w:tcW w:w="28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3-reel, 5-line</w:t>
            </w:r>
          </w:p>
        </w:tc>
        <w:tc>
          <w:tcPr>
            <w:tcW w:w="19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92.01–96.13% (configurable)</w:t>
            </w:r>
          </w:p>
        </w:tc>
        <w:tc>
          <w:tcPr>
            <w:tcW w:w="14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High</w:t>
            </w:r>
          </w:p>
        </w:tc>
      </w:tr>
      <w:tr>
        <w:trPr/>
        <w:tc>
          <w:tcPr>
            <w:tcW w:w="31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Double Diamond (IGT)</w:t>
            </w:r>
          </w:p>
        </w:tc>
        <w:tc>
          <w:tcPr>
            <w:tcW w:w="28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Classic 3-reel, single line</w:t>
            </w:r>
          </w:p>
        </w:tc>
        <w:tc>
          <w:tcPr>
            <w:tcW w:w="19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~95.44% (online)</w:t>
            </w:r>
          </w:p>
        </w:tc>
        <w:tc>
          <w:tcPr>
            <w:tcW w:w="14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High</w:t>
            </w:r>
          </w:p>
        </w:tc>
      </w:tr>
      <w:tr>
        <w:trPr/>
        <w:tc>
          <w:tcPr>
            <w:tcW w:w="31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Zeus (WMS / L&amp;W)</w:t>
            </w:r>
          </w:p>
        </w:tc>
        <w:tc>
          <w:tcPr>
            <w:tcW w:w="28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5-reel, 30-line</w:t>
            </w:r>
          </w:p>
        </w:tc>
        <w:tc>
          <w:tcPr>
            <w:tcW w:w="19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~95.97% (online)</w:t>
            </w:r>
          </w:p>
        </w:tc>
        <w:tc>
          <w:tcPr>
            <w:tcW w:w="14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Medium</w:t>
            </w:r>
          </w:p>
        </w:tc>
      </w:tr>
      <w:tr>
        <w:trPr/>
        <w:tc>
          <w:tcPr>
            <w:tcW w:w="31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Hot Shot Progressive (Bally)</w:t>
            </w:r>
          </w:p>
        </w:tc>
        <w:tc>
          <w:tcPr>
            <w:tcW w:w="28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5-reel, 40-line; fixed jackpots in common online form</w:t>
            </w:r>
          </w:p>
        </w:tc>
        <w:tc>
          <w:tcPr>
            <w:tcW w:w="19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~96.04% (online)</w:t>
            </w:r>
          </w:p>
        </w:tc>
        <w:tc>
          <w:tcPr>
            <w:tcW w:w="14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Medium</w:t>
            </w:r>
          </w:p>
        </w:tc>
      </w:tr>
      <w:tr>
        <w:trPr/>
        <w:tc>
          <w:tcPr>
            <w:tcW w:w="31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Mega Moolah (Games Global)</w:t>
            </w:r>
          </w:p>
        </w:tc>
        <w:tc>
          <w:tcPr>
            <w:tcW w:w="28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5-reel, 25-line, 4-tier progressive</w:t>
            </w:r>
          </w:p>
        </w:tc>
        <w:tc>
          <w:tcPr>
            <w:tcW w:w="19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88.12% base</w:t>
            </w:r>
          </w:p>
        </w:tc>
        <w:tc>
          <w:tcPr>
            <w:tcW w:w="14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High</w:t>
            </w:r>
          </w:p>
        </w:tc>
      </w:tr>
      <w:tr>
        <w:trPr/>
        <w:tc>
          <w:tcPr>
            <w:tcW w:w="31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Mega Fortune (NetEnt)</w:t>
            </w:r>
          </w:p>
        </w:tc>
        <w:tc>
          <w:tcPr>
            <w:tcW w:w="28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5-reel, 25-line, 3-tier progressive</w:t>
            </w:r>
          </w:p>
        </w:tc>
        <w:tc>
          <w:tcPr>
            <w:tcW w:w="19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96.6% total / ~89% base</w:t>
            </w:r>
          </w:p>
        </w:tc>
        <w:tc>
          <w:tcPr>
            <w:tcW w:w="14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Low</w:t>
            </w:r>
          </w:p>
        </w:tc>
      </w:tr>
    </w:tbl>
    <w:p>
      <w:pPr>
        <w:pStyle w:val="Normal"/>
        <w:spacing w:before="50" w:after="190"/>
        <w:rPr/>
      </w:pPr>
      <w:r>
        <w:rPr>
          <w:i/>
          <w:iCs/>
          <w:color w:val="44546A"/>
          <w:sz w:val="15"/>
          <w:szCs w:val="15"/>
        </w:rPr>
        <w:t>*Indicative figures from online versions and review databases (VegasSlotsOnline, SlotsMate, SlotoTimes, Galaxy of Slots, manufacturer pages). Land-based cabinets are operator-configured and undisclosed; volatility labels are not standardized and vary between sources. Triple Red Hot 777’s documented 92.01–96.13% range is the clearest illustration that the operator, not the title, sets the return.</w:t>
      </w:r>
      <w:r>
        <w:br w:type="page"/>
      </w:r>
    </w:p>
    <w:p>
      <w:pPr>
        <w:pStyle w:val="Heading1"/>
        <w:spacing w:before="240" w:after="160"/>
        <w:rPr/>
      </w:pPr>
      <w:bookmarkStart w:id="53" w:name="__RefHeading___Toc2615_617431631"/>
      <w:bookmarkEnd w:id="53"/>
      <w:r>
        <w:rPr/>
        <w:t>11. Advantage Play in Practice: Rule-Shopping, Comps, and Casino Countermeasures</w:t>
      </w:r>
    </w:p>
    <w:p>
      <w:pPr>
        <w:pStyle w:val="Heading2"/>
        <w:keepNext w:val="true"/>
        <w:spacing w:before="220" w:after="110"/>
        <w:rPr/>
      </w:pPr>
      <w:bookmarkStart w:id="54" w:name="__RefHeading___Toc2617_617431631"/>
      <w:bookmarkEnd w:id="54"/>
      <w:r>
        <w:rPr/>
        <w:t>11.1 Rule-shopping as the highest-leverage skill</w:t>
      </w:r>
    </w:p>
    <w:p>
      <w:pPr>
        <w:pStyle w:val="Normal"/>
        <w:spacing w:lineRule="exact" w:line="276" w:before="0" w:after="130"/>
        <w:rPr/>
      </w:pPr>
      <w:r>
        <w:rPr>
          <w:sz w:val="22"/>
          <w:szCs w:val="22"/>
        </w:rPr>
        <w:t xml:space="preserve">For the numerate player, the most valuable single activity in a casino is not playing—it is </w:t>
      </w:r>
      <w:r>
        <w:rPr>
          <w:b/>
          <w:bCs/>
          <w:sz w:val="22"/>
          <w:szCs w:val="22"/>
        </w:rPr>
        <w:t>rule-shopping</w:t>
      </w:r>
      <w:r>
        <w:rPr>
          <w:sz w:val="22"/>
          <w:szCs w:val="22"/>
        </w:rPr>
        <w:t>: locating the specific tables and machines offering the best available terms before any money is risked. The payoff is large and certain. Finding a 3:2 blackjack table instead of a 6:5 one saves about 1.4% on every hand. Finding a single-zero (ideally La Partage) roulette wheel instead of a double-zero one halves the price. Finding a full-pay (9/6 Jacks or Better, full-pay Deuces) video-poker machine instead of a short-pay one can mean a swing of two to five percent. Resources such as the Wizard of Odds, the vpFree2 pay-table survey, and casino-specific forums make this reconnaissance straightforward</w:t>
      </w:r>
      <w:r>
        <w:rPr>
          <w:rStyle w:val="FootnoteReference"/>
        </w:rPr>
        <w:footnoteReference w:id="70"/>
      </w:r>
      <w:r>
        <w:rPr>
          <w:sz w:val="22"/>
          <w:szCs w:val="22"/>
        </w:rPr>
        <w:t>.</w:t>
      </w:r>
    </w:p>
    <w:p>
      <w:pPr>
        <w:pStyle w:val="Normal"/>
        <w:spacing w:lineRule="exact" w:line="276" w:before="0" w:after="130"/>
        <w:rPr/>
      </w:pPr>
      <w:r>
        <w:rPr>
          <w:sz w:val="22"/>
          <w:szCs w:val="22"/>
        </w:rPr>
        <w:t>Geography matters. Full-pay machines and player-friendly table rules cluster in casinos catering to locals and serious players rather than in the high-traffic Strip resorts, whose tourist volume supports worse terms. The general pattern—downtown and off-Strip locals casinos offering better odds than the marquee Strip properties—is consistent enough to be a planning heuristic, though it must be verified machine-by-machine and table-by-table rather than assumed.</w:t>
      </w:r>
    </w:p>
    <w:p>
      <w:pPr>
        <w:pStyle w:val="Heading2"/>
        <w:keepNext w:val="true"/>
        <w:spacing w:before="220" w:after="110"/>
        <w:rPr/>
      </w:pPr>
      <w:bookmarkStart w:id="55" w:name="__RefHeading___Toc2619_617431631"/>
      <w:bookmarkEnd w:id="55"/>
      <w:r>
        <w:rPr/>
        <w:t>11.2 The economics of comps and loss rebates</w:t>
      </w:r>
    </w:p>
    <w:p>
      <w:pPr>
        <w:pStyle w:val="Normal"/>
        <w:spacing w:lineRule="exact" w:line="276" w:before="0" w:after="130"/>
        <w:rPr/>
      </w:pPr>
      <w:r>
        <w:rPr>
          <w:sz w:val="22"/>
          <w:szCs w:val="22"/>
        </w:rPr>
        <w:t xml:space="preserve">Comps (complimentary rooms, meals, and offers) are not gifts; they are rebates on the casino’s expected win from a player’s rated play. The casino computes a player’s </w:t>
      </w:r>
      <w:r>
        <w:rPr>
          <w:b/>
          <w:bCs/>
          <w:sz w:val="22"/>
          <w:szCs w:val="22"/>
        </w:rPr>
        <w:t>theoretical loss</w:t>
      </w:r>
      <w:r>
        <w:rPr>
          <w:sz w:val="22"/>
          <w:szCs w:val="22"/>
        </w:rPr>
        <w:t xml:space="preserve"> (“theo”) as the assumed house edge times total amount wagered times time played, and returns a fraction—commonly 10%–40% of theo—as comps</w:t>
      </w:r>
      <w:r>
        <w:rPr>
          <w:rStyle w:val="FootnoteReference"/>
        </w:rPr>
        <w:footnoteReference w:id="71"/>
      </w:r>
      <w:r>
        <w:rPr>
          <w:sz w:val="22"/>
          <w:szCs w:val="22"/>
        </w:rPr>
        <w:t>. The advantage-oriented “comp hustler,” documented by Jean Scott, exploits the gap between theo and actual edge: by playing low-edge or positive-edge games (full-pay video poker especially) while still generating rated play, the player can receive comps worth more than the true expected loss—turning the comp system itself into the source of profit</w:t>
      </w:r>
      <w:r>
        <w:rPr>
          <w:rStyle w:val="FootnoteReference"/>
        </w:rPr>
        <w:footnoteReference w:id="72"/>
      </w:r>
      <w:r>
        <w:rPr>
          <w:sz w:val="22"/>
          <w:szCs w:val="22"/>
        </w:rPr>
        <w:t>.</w:t>
      </w:r>
    </w:p>
    <w:p>
      <w:pPr>
        <w:pStyle w:val="Heading2"/>
        <w:keepNext w:val="true"/>
        <w:spacing w:before="220" w:after="110"/>
        <w:rPr/>
      </w:pPr>
      <w:bookmarkStart w:id="56" w:name="__RefHeading___Toc2621_617431631"/>
      <w:bookmarkEnd w:id="56"/>
      <w:r>
        <w:rPr/>
        <w:t>11.3 “Playing too well”: heat, back-offs, and the limits of the law</w:t>
      </w:r>
    </w:p>
    <w:p>
      <w:pPr>
        <w:pStyle w:val="Normal"/>
        <w:spacing w:lineRule="exact" w:line="276" w:before="0" w:after="130"/>
        <w:rPr/>
      </w:pPr>
      <w:r>
        <w:rPr>
          <w:sz w:val="22"/>
          <w:szCs w:val="22"/>
        </w:rPr>
        <w:t xml:space="preserve">The recurring concern of skilled players—and a point of explicit interest for the reader of the companion guide—is that demonstrable skill draws </w:t>
      </w:r>
      <w:r>
        <w:rPr>
          <w:b/>
          <w:bCs/>
          <w:sz w:val="22"/>
          <w:szCs w:val="22"/>
        </w:rPr>
        <w:t>heat</w:t>
      </w:r>
      <w:r>
        <w:rPr>
          <w:sz w:val="22"/>
          <w:szCs w:val="22"/>
        </w:rPr>
        <w:t>. Casinos profile, surveil, and exclude players who beat them. Counters are backed off; advantage video-poker players have machines reconfigured or comps withdrawn; consistently winning players attract scrutiny. The legal framework, restated from §5.5: skill-based advantage play (mental card counting, full-pay machine selection, comp optimization) is lawful, while devices and physical manipulation are criminal. But lawfulness does not confer a right to keep playing—outside New Jersey, a casino may exclude a skilled player at will</w:t>
      </w:r>
      <w:r>
        <w:rPr>
          <w:rStyle w:val="FootnoteReference"/>
        </w:rPr>
        <w:footnoteReference w:id="73"/>
      </w:r>
      <w:r>
        <w:rPr>
          <w:sz w:val="22"/>
          <w:szCs w:val="22"/>
        </w:rPr>
        <w:t>.</w:t>
      </w:r>
    </w:p>
    <w:p>
      <w:pPr>
        <w:pStyle w:val="Normal"/>
        <w:spacing w:lineRule="exact" w:line="276" w:before="0" w:after="130"/>
        <w:rPr/>
      </w:pPr>
      <w:r>
        <w:rPr>
          <w:sz w:val="22"/>
          <w:szCs w:val="22"/>
        </w:rPr>
        <w:t>The disciplined response, developed concretely in the strategy guide, is concealment and moderation: modest bet spreads, shorter sessions, rotation among properties, avoidance of obvious bet-sizing tells, and a willingness to leave a positive situation before attracting attention. The paradox the reader identified is real—the better one plays, the more one risks being barred from playing at all—and the resolution is to extract a sustainable, low-profile edge rather than a conspicuous, short-lived one. Mathematicians and pattern-recognizers are not barred for breaking rules; they are barred for winning visibly, and the remedy is to win quietly.</w:t>
      </w:r>
      <w:r>
        <w:br w:type="page"/>
      </w:r>
    </w:p>
    <w:p>
      <w:pPr>
        <w:pStyle w:val="Heading1"/>
        <w:spacing w:before="240" w:after="160"/>
        <w:rPr/>
      </w:pPr>
      <w:bookmarkStart w:id="57" w:name="__RefHeading___Toc2623_617431631"/>
      <w:bookmarkEnd w:id="57"/>
      <w:r>
        <w:rPr/>
        <w:t>12. A Brief History of the Edge: Regulation, Industry, and the Economics of the House</w:t>
      </w:r>
    </w:p>
    <w:p>
      <w:pPr>
        <w:pStyle w:val="Heading2"/>
        <w:keepNext w:val="true"/>
        <w:spacing w:before="220" w:after="110"/>
        <w:rPr/>
      </w:pPr>
      <w:bookmarkStart w:id="58" w:name="__RefHeading___Toc2625_617431631"/>
      <w:bookmarkEnd w:id="58"/>
      <w:r>
        <w:rPr/>
        <w:t>12.1 From private probability to public industry</w:t>
      </w:r>
    </w:p>
    <w:p>
      <w:pPr>
        <w:pStyle w:val="Normal"/>
        <w:spacing w:lineRule="exact" w:line="276" w:before="0" w:after="130"/>
        <w:rPr/>
      </w:pPr>
      <w:r>
        <w:rPr>
          <w:sz w:val="22"/>
          <w:szCs w:val="22"/>
        </w:rPr>
        <w:t>The mathematics that prices casino games matured long before the industry that sells them. The Pascal–Fermat correspondence of 1654 and de Moivre’s 1718 textbook gave gamblers, in principle, everything needed to compute the house edge two centuries before Nevada legalized casino gambling in 1931. What changed in the twentieth century was not the mathematics but its application: the casino industry industrialized the small, certain edge, discovering that volume and time—not large per-bet margins—are the engine of profit</w:t>
      </w:r>
      <w:r>
        <w:rPr>
          <w:rStyle w:val="FootnoteReference"/>
        </w:rPr>
        <w:footnoteReference w:id="74"/>
      </w:r>
      <w:r>
        <w:rPr>
          <w:sz w:val="22"/>
          <w:szCs w:val="22"/>
        </w:rPr>
        <w:t>. The same insight that animates this monograph—that a 1% edge applied to enormous wagering volume is more reliable than a large edge applied rarely—is the foundational business model of the entire industry.</w:t>
      </w:r>
    </w:p>
    <w:p>
      <w:pPr>
        <w:pStyle w:val="Heading2"/>
        <w:keepNext w:val="true"/>
        <w:spacing w:before="220" w:after="110"/>
        <w:rPr/>
      </w:pPr>
      <w:bookmarkStart w:id="59" w:name="__RefHeading___Toc2627_617431631"/>
      <w:bookmarkEnd w:id="59"/>
      <w:r>
        <w:rPr/>
        <w:t>12.2 The two revolutions: Thorp and the microprocessor</w:t>
      </w:r>
    </w:p>
    <w:p>
      <w:pPr>
        <w:pStyle w:val="Normal"/>
        <w:spacing w:lineRule="exact" w:line="276" w:before="0" w:after="130"/>
        <w:rPr/>
      </w:pPr>
      <w:r>
        <w:rPr>
          <w:sz w:val="22"/>
          <w:szCs w:val="22"/>
        </w:rPr>
        <w:t>Two technical developments reshaped the balance between house and player. The first was Edward Thorp’s 1962 demonstration that blackjack—because it is dealt without replacement—could be beaten by tracking card composition, the first time a casino game had been mathematically defeated in public</w:t>
      </w:r>
      <w:r>
        <w:rPr>
          <w:rStyle w:val="FootnoteReference"/>
        </w:rPr>
        <w:footnoteReference w:id="75"/>
      </w:r>
      <w:r>
        <w:rPr>
          <w:sz w:val="22"/>
          <w:szCs w:val="22"/>
        </w:rPr>
        <w:t>. The second, running the other way, was the microprocessor. Inge Telnaes’s 1984 patent on virtual-reel mapping allowed slot machines to offer enormous advertised jackpots while paying back modest percentages, decoupling the displayed symbols from the true probabilities and enabling the engineered, high-volume machine play that Schüll documents</w:t>
      </w:r>
      <w:r>
        <w:rPr>
          <w:rStyle w:val="FootnoteReference"/>
        </w:rPr>
        <w:footnoteReference w:id="76"/>
      </w:r>
      <w:r>
        <w:rPr>
          <w:sz w:val="22"/>
          <w:szCs w:val="22"/>
        </w:rPr>
        <w:t>. The player’s analytical tools and the industry’s behavioral tools have advanced in tandem ever since.</w:t>
      </w:r>
    </w:p>
    <w:p>
      <w:pPr>
        <w:pStyle w:val="Heading2"/>
        <w:keepNext w:val="true"/>
        <w:spacing w:before="220" w:after="110"/>
        <w:rPr/>
      </w:pPr>
      <w:bookmarkStart w:id="60" w:name="__RefHeading___Toc2629_617431631"/>
      <w:bookmarkEnd w:id="60"/>
      <w:r>
        <w:rPr/>
        <w:t>12.3 Regulation and the disclosure asymmetry</w:t>
      </w:r>
    </w:p>
    <w:p>
      <w:pPr>
        <w:pStyle w:val="Normal"/>
        <w:spacing w:lineRule="exact" w:line="276" w:before="0" w:after="130"/>
        <w:rPr/>
      </w:pPr>
      <w:r>
        <w:rPr>
          <w:sz w:val="22"/>
          <w:szCs w:val="22"/>
        </w:rPr>
        <w:t>Casino gambling in the United States is regulated state-by-state, with Nevada’s Gaming Control Board and New Jersey’s Casino Control Commission serving as the model frameworks the industry grew up around</w:t>
      </w:r>
      <w:r>
        <w:rPr>
          <w:rStyle w:val="FootnoteReference"/>
        </w:rPr>
        <w:footnoteReference w:id="77"/>
      </w:r>
      <w:r>
        <w:rPr>
          <w:sz w:val="22"/>
          <w:szCs w:val="22"/>
        </w:rPr>
        <w:t xml:space="preserve">. Regulation guarantees that games perform as configured and pay above statutory floors, but it does </w:t>
      </w:r>
      <w:r>
        <w:rPr>
          <w:b/>
          <w:bCs/>
          <w:sz w:val="22"/>
          <w:szCs w:val="22"/>
        </w:rPr>
        <w:t>not</w:t>
      </w:r>
      <w:r>
        <w:rPr>
          <w:sz w:val="22"/>
          <w:szCs w:val="22"/>
        </w:rPr>
        <w:t xml:space="preserve"> require the per-machine disclosure that would let a slot player read the installed return. This disclosure asymmetry is the regulatory fact that most directly disadvantages the recreational player: table-game edges are effectively public (a 3:2 versus 6:5 sign is readable, a single- versus double-zero wheel is countable), while reel-slot returns are private to the operator. The video-poker pay table is the one machine exception, posted on the glass, and it is precisely that transparency which makes video poker analyzable and occasionally beatable.</w:t>
      </w:r>
    </w:p>
    <w:p>
      <w:pPr>
        <w:pStyle w:val="Heading2"/>
        <w:keepNext w:val="true"/>
        <w:spacing w:before="220" w:after="110"/>
        <w:rPr/>
      </w:pPr>
      <w:bookmarkStart w:id="61" w:name="__RefHeading___Toc2631_617431631"/>
      <w:bookmarkEnd w:id="61"/>
      <w:r>
        <w:rPr/>
        <w:t>12.4 Why the house reinvests in the player</w:t>
      </w:r>
    </w:p>
    <w:p>
      <w:pPr>
        <w:pStyle w:val="Normal"/>
        <w:spacing w:lineRule="exact" w:line="276" w:before="0" w:after="130"/>
        <w:rPr/>
      </w:pPr>
      <w:r>
        <w:rPr>
          <w:sz w:val="22"/>
          <w:szCs w:val="22"/>
        </w:rPr>
        <w:t>The economics of comps, loss rebates, and player-club mailers (Chapter 11) follow directly from the volume model. Because the house edge is realized only through sustained play, the casino’s incentive is to maximize a player’s lifetime wagering volume, and a rational operator will return a fraction of expected win—as comps—to secure that volume</w:t>
      </w:r>
      <w:r>
        <w:rPr>
          <w:rStyle w:val="FootnoteReference"/>
        </w:rPr>
        <w:footnoteReference w:id="78"/>
      </w:r>
      <w:r>
        <w:rPr>
          <w:sz w:val="22"/>
          <w:szCs w:val="22"/>
        </w:rPr>
        <w:t>. The disciplined player exploits the seam in this model: the casino’s comp formula assumes average, edge-paying play, so a player who plays only low- or positive-edge games while still generating rated volume can receive reinvestment worth more than their true expected loss. The industry’s own volume logic, in other words, contains the opening that advantage players use against it.</w:t>
      </w:r>
      <w:r>
        <w:br w:type="page"/>
      </w:r>
    </w:p>
    <w:p>
      <w:pPr>
        <w:pStyle w:val="Heading1"/>
        <w:spacing w:before="240" w:after="160"/>
        <w:rPr/>
      </w:pPr>
      <w:bookmarkStart w:id="62" w:name="__RefHeading___Toc2633_617431631"/>
      <w:bookmarkEnd w:id="62"/>
      <w:r>
        <w:rPr/>
        <w:t>13. Conclusion: Casino Games as Priced Instruments</w:t>
      </w:r>
    </w:p>
    <w:p>
      <w:pPr>
        <w:pStyle w:val="Normal"/>
        <w:spacing w:lineRule="exact" w:line="276" w:before="0" w:after="130"/>
        <w:rPr/>
      </w:pPr>
      <w:r>
        <w:rPr>
          <w:sz w:val="22"/>
          <w:szCs w:val="22"/>
        </w:rPr>
        <w:t>The argument of this monograph reduces to a small number of load-bearing propositions, each established in the chapters above and each carried forward into the companion strategy guide.</w:t>
      </w:r>
    </w:p>
    <w:p>
      <w:pPr>
        <w:pStyle w:val="ListParagraph"/>
        <w:numPr>
          <w:ilvl w:val="0"/>
          <w:numId w:val="5"/>
        </w:numPr>
        <w:spacing w:lineRule="exact" w:line="272" w:before="0" w:after="90"/>
        <w:rPr/>
      </w:pPr>
      <w:r>
        <w:rPr>
          <w:b/>
          <w:bCs/>
          <w:sz w:val="22"/>
          <w:szCs w:val="22"/>
        </w:rPr>
        <w:t xml:space="preserve">The house edge is the master variable. </w:t>
      </w:r>
      <w:r>
        <w:rPr>
          <w:sz w:val="22"/>
          <w:szCs w:val="22"/>
        </w:rPr>
        <w:t>It is a fixed, computable price on each wager, ranging from under half a percent (good blackjack, full-pay video poker) to nearly thirty percent (keno). The choice of game dominates every other decision a player makes.</w:t>
      </w:r>
    </w:p>
    <w:p>
      <w:pPr>
        <w:pStyle w:val="ListParagraph"/>
        <w:numPr>
          <w:ilvl w:val="0"/>
          <w:numId w:val="2"/>
        </w:numPr>
        <w:spacing w:lineRule="exact" w:line="272" w:before="0" w:after="90"/>
        <w:rPr/>
      </w:pPr>
      <w:r>
        <w:rPr>
          <w:b/>
          <w:bCs/>
          <w:sz w:val="22"/>
          <w:szCs w:val="22"/>
        </w:rPr>
        <w:t xml:space="preserve">Only three offerings can be beaten. </w:t>
      </w:r>
      <w:r>
        <w:rPr>
          <w:sz w:val="22"/>
          <w:szCs w:val="22"/>
        </w:rPr>
        <w:t>Full-pay video poker, card-counted blackjack, and player-versus-player poker admit a genuine long-term positive expectation for a skilled, disciplined, adequately capitalized participant. Roulette, slots, baccarat, craps, keno, and the carnival games cannot be beaten by any method.</w:t>
      </w:r>
    </w:p>
    <w:p>
      <w:pPr>
        <w:pStyle w:val="ListParagraph"/>
        <w:numPr>
          <w:ilvl w:val="0"/>
          <w:numId w:val="2"/>
        </w:numPr>
        <w:spacing w:lineRule="exact" w:line="272" w:before="0" w:after="90"/>
        <w:rPr/>
      </w:pPr>
      <w:r>
        <w:rPr>
          <w:b/>
          <w:bCs/>
          <w:sz w:val="22"/>
          <w:szCs w:val="22"/>
        </w:rPr>
        <w:t xml:space="preserve">Speed multiplies the edge. </w:t>
      </w:r>
      <w:r>
        <w:rPr>
          <w:sz w:val="22"/>
          <w:szCs w:val="22"/>
        </w:rPr>
        <w:t>Cost per hour is house edge times bet times decisions per hour; a fast low-edge game can cost more than a slow high-edge one.</w:t>
      </w:r>
    </w:p>
    <w:p>
      <w:pPr>
        <w:pStyle w:val="ListParagraph"/>
        <w:numPr>
          <w:ilvl w:val="0"/>
          <w:numId w:val="2"/>
        </w:numPr>
        <w:spacing w:lineRule="exact" w:line="272" w:before="0" w:after="90"/>
        <w:rPr/>
      </w:pPr>
      <w:r>
        <w:rPr>
          <w:b/>
          <w:bCs/>
          <w:sz w:val="22"/>
          <w:szCs w:val="22"/>
        </w:rPr>
        <w:t xml:space="preserve">Stopping rules shape the distribution, not the mean. </w:t>
      </w:r>
      <w:r>
        <w:rPr>
          <w:sz w:val="22"/>
          <w:szCs w:val="22"/>
        </w:rPr>
        <w:t>On a negative-EV game, no quitting rule changes expected value, but stop-losses cap the left tail, win-goals bank gains, and curtailed volume reduces total expected loss. The behavioral value—disarming loss-chasing and the house-money effect—is the real justification, exactly as in disciplined trading.</w:t>
      </w:r>
    </w:p>
    <w:p>
      <w:pPr>
        <w:pStyle w:val="ListParagraph"/>
        <w:numPr>
          <w:ilvl w:val="0"/>
          <w:numId w:val="2"/>
        </w:numPr>
        <w:spacing w:lineRule="exact" w:line="272" w:before="0" w:after="90"/>
        <w:rPr/>
      </w:pPr>
      <w:r>
        <w:rPr>
          <w:b/>
          <w:bCs/>
          <w:sz w:val="22"/>
          <w:szCs w:val="22"/>
        </w:rPr>
        <w:t xml:space="preserve">Bankroll and discipline determine survival. </w:t>
      </w:r>
      <w:r>
        <w:rPr>
          <w:sz w:val="22"/>
          <w:szCs w:val="22"/>
        </w:rPr>
        <w:t>Fractional Kelly sizing on positive-edge plays, never increasing stakes on negative-edge games, and predefined exits enforced as pre-commitments are the difference between a player who realizes an edge and one whom variance ruins.</w:t>
      </w:r>
    </w:p>
    <w:p>
      <w:pPr>
        <w:pStyle w:val="ListParagraph"/>
        <w:numPr>
          <w:ilvl w:val="0"/>
          <w:numId w:val="2"/>
        </w:numPr>
        <w:spacing w:lineRule="exact" w:line="272" w:before="0" w:after="90"/>
        <w:rPr/>
      </w:pPr>
      <w:r>
        <w:rPr>
          <w:b/>
          <w:bCs/>
          <w:sz w:val="22"/>
          <w:szCs w:val="22"/>
        </w:rPr>
        <w:t xml:space="preserve">The games are engineered, and the harm is real. </w:t>
      </w:r>
      <w:r>
        <w:rPr>
          <w:sz w:val="22"/>
          <w:szCs w:val="22"/>
        </w:rPr>
        <w:t>Slot machines are built for time-on-device through near-misses, losses disguised as wins, and variable-ratio reinforcement; disordered gambling is a recognized addiction affecting millions. The only complete protection is to treat gambling as priced entertainment with hard limits.</w:t>
      </w:r>
    </w:p>
    <w:p>
      <w:pPr>
        <w:pStyle w:val="Normal"/>
        <w:spacing w:lineRule="exact" w:line="276" w:before="0" w:after="130"/>
        <w:rPr/>
      </w:pPr>
      <w:r>
        <w:rPr>
          <w:sz w:val="22"/>
          <w:szCs w:val="22"/>
        </w:rPr>
        <w:t xml:space="preserve">The numerate reader’s path follows directly: understand the prices, play only the beatable games for profit and the cheapest games for entertainment, size and stop with discipline, harvest comps on plays already worth making, and stay beneath the casino’s attention. None of this promises a winning trip—variance forbids any such promise over a single visit—but it ensures that whatever is wagered is wagered on the best available terms, with the downside bounded and the experience under the player’s control. That, and not any betting system, is what a disciplined participant can actually achieve. </w:t>
      </w:r>
      <w:r>
        <w:rPr>
          <w:i/>
          <w:iCs/>
          <w:sz w:val="22"/>
          <w:szCs w:val="22"/>
        </w:rPr>
        <w:t>Patience pays.</w:t>
      </w:r>
      <w:r>
        <w:br w:type="page"/>
      </w:r>
    </w:p>
    <w:p>
      <w:pPr>
        <w:pStyle w:val="Heading1"/>
        <w:spacing w:before="240" w:after="160"/>
        <w:rPr/>
      </w:pPr>
      <w:bookmarkStart w:id="63" w:name="__RefHeading___Toc2635_617431631"/>
      <w:bookmarkEnd w:id="63"/>
      <w:r>
        <w:rPr/>
        <w:t>References</w:t>
      </w:r>
    </w:p>
    <w:p>
      <w:pPr>
        <w:pStyle w:val="Normal"/>
        <w:spacing w:before="0" w:after="200"/>
        <w:rPr/>
      </w:pPr>
      <w:r>
        <w:rPr>
          <w:sz w:val="22"/>
          <w:szCs w:val="22"/>
        </w:rPr>
        <w:t xml:space="preserve">The following </w:t>
      </w:r>
      <w:r>
        <w:rPr>
          <w:b/>
          <w:bCs/>
          <w:sz w:val="22"/>
          <w:szCs w:val="22"/>
        </w:rPr>
        <w:t>127</w:t>
      </w:r>
      <w:r>
        <w:rPr>
          <w:sz w:val="22"/>
          <w:szCs w:val="22"/>
        </w:rPr>
        <w:t xml:space="preserve"> sources informed this monograph. They are listed alphabetically by author. Online references include the retrieval URL; where a work exists in multiple editions, the edition consulted is cited.</w:t>
      </w:r>
    </w:p>
    <w:p>
      <w:pPr>
        <w:pStyle w:val="Normal"/>
        <w:spacing w:lineRule="exact" w:line="264" w:before="0" w:after="110"/>
        <w:ind w:hanging="480" w:left="480"/>
        <w:rPr/>
      </w:pPr>
      <w:r>
        <w:rPr>
          <w:sz w:val="19"/>
          <w:szCs w:val="19"/>
        </w:rPr>
        <w:t>American Gaming Association. (2024). State of the States: The AGA Survey of the Commercial Casino Industry. Washington, DC: AGA.</w:t>
      </w:r>
    </w:p>
    <w:p>
      <w:pPr>
        <w:pStyle w:val="Normal"/>
        <w:spacing w:lineRule="exact" w:line="264" w:before="0" w:after="110"/>
        <w:ind w:hanging="480" w:left="480"/>
        <w:rPr/>
      </w:pPr>
      <w:r>
        <w:rPr>
          <w:sz w:val="19"/>
          <w:szCs w:val="19"/>
        </w:rPr>
        <w:t>American Psychiatric Association. (2013). Diagnostic and Statistical Manual of Mental Disorders (5th ed., DSM-5). Arlington, VA: APA Publishing.</w:t>
      </w:r>
    </w:p>
    <w:p>
      <w:pPr>
        <w:pStyle w:val="Normal"/>
        <w:spacing w:lineRule="exact" w:line="264" w:before="0" w:after="110"/>
        <w:ind w:hanging="480" w:left="480"/>
        <w:rPr/>
      </w:pPr>
      <w:r>
        <w:rPr>
          <w:sz w:val="19"/>
          <w:szCs w:val="19"/>
        </w:rPr>
        <w:t>Ankenman, J., &amp; Chen, B. (2006). “The Fundamental Theorem of Poker and Indifference.” In The Mathematics of Poker. Pittsburgh: ConJelCo.</w:t>
      </w:r>
    </w:p>
    <w:p>
      <w:pPr>
        <w:pStyle w:val="Normal"/>
        <w:spacing w:lineRule="exact" w:line="264" w:before="0" w:after="110"/>
        <w:ind w:hanging="480" w:left="480"/>
        <w:rPr/>
      </w:pPr>
      <w:r>
        <w:rPr>
          <w:sz w:val="19"/>
          <w:szCs w:val="19"/>
        </w:rPr>
        <w:t>Aristocrat Technologies. (2023). Buffalo / Buffalo Gold – Reel Power Game Documentation. Las Vegas: Aristocrat.</w:t>
      </w:r>
    </w:p>
    <w:p>
      <w:pPr>
        <w:pStyle w:val="Normal"/>
        <w:spacing w:lineRule="exact" w:line="264" w:before="0" w:after="110"/>
        <w:ind w:hanging="480" w:left="480"/>
        <w:rPr/>
      </w:pPr>
      <w:r>
        <w:rPr>
          <w:sz w:val="19"/>
          <w:szCs w:val="19"/>
        </w:rPr>
        <w:t>Arkes, H. R., &amp; Blumer, C. (1985). “The Psychology of Sunk Cost.” Organizational Behavior and Human Decision Processes, 35(1), 124–140.</w:t>
      </w:r>
    </w:p>
    <w:p>
      <w:pPr>
        <w:pStyle w:val="Normal"/>
        <w:spacing w:lineRule="exact" w:line="264" w:before="0" w:after="110"/>
        <w:ind w:hanging="480" w:left="480"/>
        <w:rPr/>
      </w:pPr>
      <w:r>
        <w:rPr>
          <w:sz w:val="19"/>
          <w:szCs w:val="19"/>
        </w:rPr>
        <w:t>Ayton, P., &amp; Fischer, I. (2004). “The Hot Hand Fallacy and the Gambler’s Fallacy: Two Faces of Subjective Randomness?” Memory &amp; Cognition, 32(8), 1369–1378.</w:t>
      </w:r>
    </w:p>
    <w:p>
      <w:pPr>
        <w:pStyle w:val="Normal"/>
        <w:spacing w:lineRule="exact" w:line="264" w:before="0" w:after="110"/>
        <w:ind w:hanging="480" w:left="480"/>
        <w:rPr/>
      </w:pPr>
      <w:r>
        <w:rPr>
          <w:sz w:val="19"/>
          <w:szCs w:val="19"/>
        </w:rPr>
        <w:t>Baldwin, R. R., Cantey, W. E., Maisel, H., &amp; McDermott, J. P. (1956). “The Optimum Strategy in Blackjack.” Journal of the American Statistical Association, 51(275), 429–439.</w:t>
      </w:r>
    </w:p>
    <w:p>
      <w:pPr>
        <w:pStyle w:val="Normal"/>
        <w:spacing w:lineRule="exact" w:line="264" w:before="0" w:after="110"/>
        <w:ind w:hanging="480" w:left="480"/>
        <w:rPr/>
      </w:pPr>
      <w:r>
        <w:rPr>
          <w:sz w:val="19"/>
          <w:szCs w:val="19"/>
        </w:rPr>
        <w:t>Barberis, N., Huang, M., &amp; Santos, T. (2001). “Prospect Theory and Asset Prices.” Quarterly Journal of Economics, 116(1), 1–53.</w:t>
      </w:r>
    </w:p>
    <w:p>
      <w:pPr>
        <w:pStyle w:val="Normal"/>
        <w:spacing w:lineRule="exact" w:line="264" w:before="0" w:after="110"/>
        <w:ind w:hanging="480" w:left="480"/>
        <w:rPr/>
      </w:pPr>
      <w:r>
        <w:rPr>
          <w:sz w:val="19"/>
          <w:szCs w:val="19"/>
        </w:rPr>
        <w:t>Bernoulli, J. (1713). Ars Conjectandi. Basel: Thurneysen Brothers.</w:t>
      </w:r>
    </w:p>
    <w:p>
      <w:pPr>
        <w:pStyle w:val="Normal"/>
        <w:spacing w:lineRule="exact" w:line="264" w:before="0" w:after="110"/>
        <w:ind w:hanging="480" w:left="480"/>
        <w:rPr/>
      </w:pPr>
      <w:r>
        <w:rPr>
          <w:sz w:val="19"/>
          <w:szCs w:val="19"/>
        </w:rPr>
        <w:t>Bewersdorff, J. (2005). Luck, Logic, and White Lies: The Mathematics of Games. Wellesley, MA: A K Peters.</w:t>
      </w:r>
    </w:p>
    <w:p>
      <w:pPr>
        <w:pStyle w:val="Normal"/>
        <w:spacing w:lineRule="exact" w:line="264" w:before="0" w:after="110"/>
        <w:ind w:hanging="480" w:left="480"/>
        <w:rPr/>
      </w:pPr>
      <w:r>
        <w:rPr>
          <w:sz w:val="19"/>
          <w:szCs w:val="19"/>
        </w:rPr>
        <w:t>Blaszczynski, A., &amp; Nower, L. (2002). “A Pathways Model of Problem and Pathological Gambling.” Addiction, 97(5), 487–499.</w:t>
      </w:r>
    </w:p>
    <w:p>
      <w:pPr>
        <w:pStyle w:val="Normal"/>
        <w:spacing w:lineRule="exact" w:line="264" w:before="0" w:after="110"/>
        <w:ind w:hanging="480" w:left="480"/>
        <w:rPr/>
      </w:pPr>
      <w:r>
        <w:rPr>
          <w:sz w:val="19"/>
          <w:szCs w:val="19"/>
        </w:rPr>
        <w:t>Bollman, B. (2014). “Shuffle Tracking and Casino Countermeasures.” In Proceedings of the 15th International Conference on Gambling &amp; Risk Taking, Las Vegas.</w:t>
      </w:r>
    </w:p>
    <w:p>
      <w:pPr>
        <w:pStyle w:val="Normal"/>
        <w:spacing w:lineRule="exact" w:line="264" w:before="0" w:after="110"/>
        <w:ind w:hanging="480" w:left="480"/>
        <w:rPr/>
      </w:pPr>
      <w:r>
        <w:rPr>
          <w:sz w:val="19"/>
          <w:szCs w:val="19"/>
        </w:rPr>
        <w:t>Bowling, M., Burch, N., Johanson, M., &amp; Tammelin, O. (2015). “Heads-up Limit Hold’em Poker Is Solved.” Science, 347(6218), 145–149.</w:t>
      </w:r>
    </w:p>
    <w:p>
      <w:pPr>
        <w:pStyle w:val="Normal"/>
        <w:spacing w:lineRule="exact" w:line="264" w:before="0" w:after="110"/>
        <w:ind w:hanging="480" w:left="480"/>
        <w:rPr/>
      </w:pPr>
      <w:r>
        <w:rPr>
          <w:sz w:val="19"/>
          <w:szCs w:val="19"/>
        </w:rPr>
        <w:t>Breiman, L. (1961). “Optimal Gambling Systems for Favorable Games.” Proceedings of the Fourth Berkeley Symposium on Mathematical Statistics and Probability, 1, 65–78.</w:t>
      </w:r>
    </w:p>
    <w:p>
      <w:pPr>
        <w:pStyle w:val="Normal"/>
        <w:spacing w:lineRule="exact" w:line="264" w:before="0" w:after="110"/>
        <w:ind w:hanging="480" w:left="480"/>
        <w:rPr/>
      </w:pPr>
      <w:r>
        <w:rPr>
          <w:sz w:val="19"/>
          <w:szCs w:val="19"/>
        </w:rPr>
        <w:t>Brown, N., &amp; Sandholm, T. (2018). “Superhuman AI for Heads-up No-Limit Poker: Libratus Beats Top Professionals.” Science, 359(6374), 418–424.</w:t>
      </w:r>
    </w:p>
    <w:p>
      <w:pPr>
        <w:pStyle w:val="Normal"/>
        <w:spacing w:lineRule="exact" w:line="264" w:before="0" w:after="110"/>
        <w:ind w:hanging="480" w:left="480"/>
        <w:rPr/>
      </w:pPr>
      <w:r>
        <w:rPr>
          <w:sz w:val="19"/>
          <w:szCs w:val="19"/>
        </w:rPr>
        <w:t>Brown, N., &amp; Sandholm, T. (2019). “Superhuman AI for Multiplayer Poker.” Science, 365(6456), 885–890.</w:t>
      </w:r>
    </w:p>
    <w:p>
      <w:pPr>
        <w:pStyle w:val="Normal"/>
        <w:spacing w:lineRule="exact" w:line="264" w:before="0" w:after="110"/>
        <w:ind w:hanging="480" w:left="480"/>
        <w:rPr/>
      </w:pPr>
      <w:r>
        <w:rPr>
          <w:sz w:val="19"/>
          <w:szCs w:val="19"/>
        </w:rPr>
        <w:t>Cardano, G. (c. 1564 / 1961). Liber de Ludo Aleae (The Book on Games of Chance). Trans. S. H. Gould. New York: Holt, Rinehart and Winston.</w:t>
      </w:r>
    </w:p>
    <w:p>
      <w:pPr>
        <w:pStyle w:val="Normal"/>
        <w:spacing w:lineRule="exact" w:line="264" w:before="0" w:after="110"/>
        <w:ind w:hanging="480" w:left="480"/>
        <w:rPr/>
      </w:pPr>
      <w:r>
        <w:rPr>
          <w:sz w:val="19"/>
          <w:szCs w:val="19"/>
        </w:rPr>
        <w:t>Carlson, B. (2001). Blackjack for Blood. Pittsburgh: ConJelCo.</w:t>
      </w:r>
    </w:p>
    <w:p>
      <w:pPr>
        <w:pStyle w:val="Normal"/>
        <w:spacing w:lineRule="exact" w:line="264" w:before="0" w:after="110"/>
        <w:ind w:hanging="480" w:left="480"/>
        <w:rPr/>
      </w:pPr>
      <w:r>
        <w:rPr>
          <w:sz w:val="19"/>
          <w:szCs w:val="19"/>
        </w:rPr>
        <w:t>Chen, B., &amp; Ankenman, J. (2006). The Mathematics of Poker. Pittsburgh: ConJelCo.</w:t>
      </w:r>
    </w:p>
    <w:p>
      <w:pPr>
        <w:pStyle w:val="Normal"/>
        <w:spacing w:lineRule="exact" w:line="264" w:before="0" w:after="110"/>
        <w:ind w:hanging="480" w:left="480"/>
        <w:rPr/>
      </w:pPr>
      <w:r>
        <w:rPr>
          <w:sz w:val="19"/>
          <w:szCs w:val="19"/>
        </w:rPr>
        <w:t>Clark, L., Lawrence, A. J., Astley-Jones, F., &amp; Gray, N. (2009). “Gambling Near-Misses Enhance Motivation to Gamble and Recruit Win-Related Brain Circuitry.” Neuron, 61(3), 481–490.</w:t>
      </w:r>
    </w:p>
    <w:p>
      <w:pPr>
        <w:pStyle w:val="Normal"/>
        <w:spacing w:lineRule="exact" w:line="264" w:before="0" w:after="110"/>
        <w:ind w:hanging="480" w:left="480"/>
        <w:rPr/>
      </w:pPr>
      <w:r>
        <w:rPr>
          <w:sz w:val="19"/>
          <w:szCs w:val="19"/>
        </w:rPr>
        <w:t>Clotfelter, C. T., &amp; Cook, P. J. (1993). “The ‘Gambler’s Fallacy’ in Lottery Play.” Management Science, 39(12), 1521–1525.</w:t>
      </w:r>
    </w:p>
    <w:p>
      <w:pPr>
        <w:pStyle w:val="Normal"/>
        <w:spacing w:lineRule="exact" w:line="264" w:before="0" w:after="110"/>
        <w:ind w:hanging="480" w:left="480"/>
        <w:rPr/>
      </w:pPr>
      <w:r>
        <w:rPr>
          <w:sz w:val="19"/>
          <w:szCs w:val="19"/>
        </w:rPr>
        <w:t>Croson, R., &amp; Sundali, J. (2005). “The Gambler’s Fallacy and the Hot Hand: Empirical Data from Casinos.” Journal of Risk and Uncertainty, 30(3), 195–209.</w:t>
      </w:r>
    </w:p>
    <w:p>
      <w:pPr>
        <w:pStyle w:val="Normal"/>
        <w:spacing w:lineRule="exact" w:line="264" w:before="0" w:after="110"/>
        <w:ind w:hanging="480" w:left="480"/>
        <w:rPr/>
      </w:pPr>
      <w:r>
        <w:rPr>
          <w:sz w:val="19"/>
          <w:szCs w:val="19"/>
        </w:rPr>
        <w:t>Currie, S. R., Hodgins, D. C., &amp; Casey, D. M. (2013). “Validity of the Problem Gambling Severity Index Interpretive Categories.” Journal of Gambling Studies, 29(2), 311–327.</w:t>
      </w:r>
    </w:p>
    <w:p>
      <w:pPr>
        <w:pStyle w:val="Normal"/>
        <w:spacing w:lineRule="exact" w:line="264" w:before="0" w:after="110"/>
        <w:ind w:hanging="480" w:left="480"/>
        <w:rPr/>
      </w:pPr>
      <w:r>
        <w:rPr>
          <w:sz w:val="19"/>
          <w:szCs w:val="19"/>
        </w:rPr>
        <w:t>Curtis, A. (2002). Blackjack and the Law. (with I. Nelson Rose). Oakland, CA: RGE Publishing.</w:t>
      </w:r>
    </w:p>
    <w:p>
      <w:pPr>
        <w:pStyle w:val="Normal"/>
        <w:spacing w:lineRule="exact" w:line="264" w:before="0" w:after="110"/>
        <w:ind w:hanging="480" w:left="480"/>
        <w:rPr/>
      </w:pPr>
      <w:r>
        <w:rPr>
          <w:sz w:val="19"/>
          <w:szCs w:val="19"/>
        </w:rPr>
        <w:t>Custer, R. L. (1984). “Profile of the Pathological Gambler.” Journal of Clinical Psychiatry, 45(12), 35–38.</w:t>
      </w:r>
    </w:p>
    <w:p>
      <w:pPr>
        <w:pStyle w:val="Normal"/>
        <w:spacing w:lineRule="exact" w:line="264" w:before="0" w:after="110"/>
        <w:ind w:hanging="480" w:left="480"/>
        <w:rPr/>
      </w:pPr>
      <w:r>
        <w:rPr>
          <w:sz w:val="19"/>
          <w:szCs w:val="19"/>
        </w:rPr>
        <w:t>Dancer, B. (2003). Million Dollar Video Poker. Las Vegas: Huntington Press.</w:t>
      </w:r>
    </w:p>
    <w:p>
      <w:pPr>
        <w:pStyle w:val="Normal"/>
        <w:spacing w:lineRule="exact" w:line="264" w:before="0" w:after="110"/>
        <w:ind w:hanging="480" w:left="480"/>
        <w:rPr/>
      </w:pPr>
      <w:r>
        <w:rPr>
          <w:sz w:val="19"/>
          <w:szCs w:val="19"/>
        </w:rPr>
        <w:t>Dancer, B., &amp; Daily, L. (2003–2010). Winner’s Guides to Video Poker (series). Las Vegas: Compudawg.</w:t>
      </w:r>
    </w:p>
    <w:p>
      <w:pPr>
        <w:pStyle w:val="Normal"/>
        <w:spacing w:lineRule="exact" w:line="264" w:before="0" w:after="110"/>
        <w:ind w:hanging="480" w:left="480"/>
        <w:rPr/>
      </w:pPr>
      <w:r>
        <w:rPr>
          <w:sz w:val="19"/>
          <w:szCs w:val="19"/>
        </w:rPr>
        <w:t>de Moivre, A. (1718). The Doctrine of Chances: or, A Method of Calculating the Probabilities of Events in Play. London: W. Pearson.</w:t>
      </w:r>
    </w:p>
    <w:p>
      <w:pPr>
        <w:pStyle w:val="Normal"/>
        <w:spacing w:lineRule="exact" w:line="264" w:before="0" w:after="110"/>
        <w:ind w:hanging="480" w:left="480"/>
        <w:rPr/>
      </w:pPr>
      <w:r>
        <w:rPr>
          <w:sz w:val="19"/>
          <w:szCs w:val="19"/>
        </w:rPr>
        <w:t>Dixon, M. J., Harrigan, K. A., Sandhu, R., Collins, K., &amp; Fugelsang, J. A. (2010). “Losses Disguised as Wins in Modern Multi-line Video Slot Machines.” Addiction, 105(10), 1819–1824.</w:t>
      </w:r>
    </w:p>
    <w:p>
      <w:pPr>
        <w:pStyle w:val="Normal"/>
        <w:spacing w:lineRule="exact" w:line="264" w:before="0" w:after="110"/>
        <w:ind w:hanging="480" w:left="480"/>
        <w:rPr/>
      </w:pPr>
      <w:r>
        <w:rPr>
          <w:sz w:val="19"/>
          <w:szCs w:val="19"/>
        </w:rPr>
        <w:t>Dubner, H. (1963). “The Hi-Lo Point Count System.” Presented at the Fall Joint Computer Conference, Las Vegas.</w:t>
      </w:r>
    </w:p>
    <w:p>
      <w:pPr>
        <w:pStyle w:val="Normal"/>
        <w:spacing w:lineRule="exact" w:line="264" w:before="0" w:after="110"/>
        <w:ind w:hanging="480" w:left="480"/>
        <w:rPr/>
      </w:pPr>
      <w:r>
        <w:rPr>
          <w:sz w:val="19"/>
          <w:szCs w:val="19"/>
        </w:rPr>
        <w:t>Eadington, W. R. (1999). “The Economics of Casino Gambling.” Journal of Economic Perspectives, 13(3), 173–192.</w:t>
      </w:r>
    </w:p>
    <w:p>
      <w:pPr>
        <w:pStyle w:val="Normal"/>
        <w:spacing w:lineRule="exact" w:line="264" w:before="0" w:after="110"/>
        <w:ind w:hanging="480" w:left="480"/>
        <w:rPr/>
      </w:pPr>
      <w:r>
        <w:rPr>
          <w:sz w:val="19"/>
          <w:szCs w:val="19"/>
        </w:rPr>
        <w:t>Epstein, R. A. (2009). The Theory of Gambling and Statistical Logic (Rev. 2nd ed.). Burlington, MA: Academic Press.</w:t>
      </w:r>
    </w:p>
    <w:p>
      <w:pPr>
        <w:pStyle w:val="Normal"/>
        <w:spacing w:lineRule="exact" w:line="264" w:before="0" w:after="110"/>
        <w:ind w:hanging="480" w:left="480"/>
        <w:rPr/>
      </w:pPr>
      <w:r>
        <w:rPr>
          <w:sz w:val="19"/>
          <w:szCs w:val="19"/>
        </w:rPr>
        <w:t>Ethier, S. N. (2010). The Doctrine of Chances: Probabilistic Aspects of Gambling. Berlin: Springer-Verlag.</w:t>
      </w:r>
    </w:p>
    <w:p>
      <w:pPr>
        <w:pStyle w:val="Normal"/>
        <w:spacing w:lineRule="exact" w:line="264" w:before="0" w:after="110"/>
        <w:ind w:hanging="480" w:left="480"/>
        <w:rPr/>
      </w:pPr>
      <w:r>
        <w:rPr>
          <w:sz w:val="19"/>
          <w:szCs w:val="19"/>
        </w:rPr>
        <w:t>Feller, W. (1968). An Introduction to Probability Theory and Its Applications, Vol. 1 (3rd ed.). New York: Wiley.</w:t>
      </w:r>
    </w:p>
    <w:p>
      <w:pPr>
        <w:pStyle w:val="Normal"/>
        <w:spacing w:lineRule="exact" w:line="264" w:before="0" w:after="110"/>
        <w:ind w:hanging="480" w:left="480"/>
        <w:rPr/>
      </w:pPr>
      <w:r>
        <w:rPr>
          <w:sz w:val="19"/>
          <w:szCs w:val="19"/>
        </w:rPr>
        <w:t>Ferris, J., &amp; Wynne, H. (2001). The Canadian Problem Gambling Index: Final Report. Ottawa: Canadian Centre on Substance Abuse.</w:t>
      </w:r>
    </w:p>
    <w:p>
      <w:pPr>
        <w:pStyle w:val="Normal"/>
        <w:spacing w:lineRule="exact" w:line="264" w:before="0" w:after="110"/>
        <w:ind w:hanging="480" w:left="480"/>
        <w:rPr/>
      </w:pPr>
      <w:r>
        <w:rPr>
          <w:sz w:val="19"/>
          <w:szCs w:val="19"/>
        </w:rPr>
        <w:t>Ferster, C. B., &amp; Skinner, B. F. (1957). Schedules of Reinforcement. New York: Appleton-Century-Crofts.</w:t>
      </w:r>
    </w:p>
    <w:p>
      <w:pPr>
        <w:pStyle w:val="Normal"/>
        <w:spacing w:lineRule="exact" w:line="264" w:before="0" w:after="110"/>
        <w:ind w:hanging="480" w:left="480"/>
        <w:rPr/>
      </w:pPr>
      <w:r>
        <w:rPr>
          <w:sz w:val="19"/>
          <w:szCs w:val="19"/>
        </w:rPr>
        <w:t>Friedman, B. (2000). Designing Casinos to Dominate the Competition. Reno: Institute for the Study of Gambling and Commercial Gaming, University of Nevada.</w:t>
      </w:r>
    </w:p>
    <w:p>
      <w:pPr>
        <w:pStyle w:val="Normal"/>
        <w:spacing w:lineRule="exact" w:line="264" w:before="0" w:after="110"/>
        <w:ind w:hanging="480" w:left="480"/>
        <w:rPr/>
      </w:pPr>
      <w:r>
        <w:rPr>
          <w:sz w:val="19"/>
          <w:szCs w:val="19"/>
        </w:rPr>
        <w:t>Frome, L., &amp; Frome, E. (2003). Expert Video Poker for Las Vegas. Las Vegas: Compu-Flyers.</w:t>
      </w:r>
    </w:p>
    <w:p>
      <w:pPr>
        <w:pStyle w:val="Normal"/>
        <w:spacing w:lineRule="exact" w:line="264" w:before="0" w:after="110"/>
        <w:ind w:hanging="480" w:left="480"/>
        <w:rPr/>
      </w:pPr>
      <w:r>
        <w:rPr>
          <w:sz w:val="19"/>
          <w:szCs w:val="19"/>
        </w:rPr>
        <w:t>Gilovich, T., Vallone, R., &amp; Tversky, A. (1985). “The Hot Hand in Basketball: On the Misperception of Random Sequences.” Cognitive Psychology, 17(3), 295–314.</w:t>
      </w:r>
    </w:p>
    <w:p>
      <w:pPr>
        <w:pStyle w:val="Normal"/>
        <w:spacing w:lineRule="exact" w:line="264" w:before="0" w:after="110"/>
        <w:ind w:hanging="480" w:left="480"/>
        <w:rPr/>
      </w:pPr>
      <w:r>
        <w:rPr>
          <w:sz w:val="19"/>
          <w:szCs w:val="19"/>
        </w:rPr>
        <w:t>Griffin, P. A. (1999). The Theory of Blackjack: The Compleat Card Counter’s Guide to the Casino Game of 21 (6th ed.). Las Vegas: Huntington Press.</w:t>
      </w:r>
    </w:p>
    <w:p>
      <w:pPr>
        <w:pStyle w:val="Normal"/>
        <w:spacing w:lineRule="exact" w:line="264" w:before="0" w:after="110"/>
        <w:ind w:hanging="480" w:left="480"/>
        <w:rPr/>
      </w:pPr>
      <w:r>
        <w:rPr>
          <w:sz w:val="19"/>
          <w:szCs w:val="19"/>
        </w:rPr>
        <w:t>Griffiths, M. D. (1993). “Fruit Machine Gambling: The Importance of Structural Characteristics.” Journal of Gambling Studies, 9(2), 101–120.</w:t>
      </w:r>
    </w:p>
    <w:p>
      <w:pPr>
        <w:pStyle w:val="Normal"/>
        <w:spacing w:lineRule="exact" w:line="264" w:before="0" w:after="110"/>
        <w:ind w:hanging="480" w:left="480"/>
        <w:rPr/>
      </w:pPr>
      <w:r>
        <w:rPr>
          <w:sz w:val="19"/>
          <w:szCs w:val="19"/>
        </w:rPr>
        <w:t>Griffiths, M. D. (1994). “The Role of Cognitive Bias and Skill in Fruit Machine Gambling.” British Journal of Psychology, 85(3), 351–369.</w:t>
      </w:r>
    </w:p>
    <w:p>
      <w:pPr>
        <w:pStyle w:val="Normal"/>
        <w:spacing w:lineRule="exact" w:line="264" w:before="0" w:after="110"/>
        <w:ind w:hanging="480" w:left="480"/>
        <w:rPr/>
      </w:pPr>
      <w:r>
        <w:rPr>
          <w:sz w:val="19"/>
          <w:szCs w:val="19"/>
        </w:rPr>
        <w:t>Grochowski, J. (2012). The Casino Answer Book (3rd ed.). Las Vegas: Huntington Press.</w:t>
      </w:r>
    </w:p>
    <w:p>
      <w:pPr>
        <w:pStyle w:val="Normal"/>
        <w:spacing w:lineRule="exact" w:line="264" w:before="0" w:after="110"/>
        <w:ind w:hanging="480" w:left="480"/>
        <w:rPr/>
      </w:pPr>
      <w:r>
        <w:rPr>
          <w:sz w:val="19"/>
          <w:szCs w:val="19"/>
        </w:rPr>
        <w:t>Grosjean, J. (2007). Beyond Counting: Exhibit CAA – Exploiting Casino Games from Blackjack to Video Poker. Las Vegas: South Side Advantage Press.</w:t>
      </w:r>
    </w:p>
    <w:p>
      <w:pPr>
        <w:pStyle w:val="Normal"/>
        <w:spacing w:lineRule="exact" w:line="264" w:before="0" w:after="110"/>
        <w:ind w:hanging="480" w:left="480"/>
        <w:rPr/>
      </w:pPr>
      <w:r>
        <w:rPr>
          <w:sz w:val="19"/>
          <w:szCs w:val="19"/>
        </w:rPr>
        <w:t>Guinness World Records. (2021). “Largest Online Slot Machine Payout” (Absolootly Mad: Mega Moolah, €19,430,723.60).</w:t>
      </w:r>
    </w:p>
    <w:p>
      <w:pPr>
        <w:pStyle w:val="Normal"/>
        <w:spacing w:lineRule="exact" w:line="264" w:before="0" w:after="110"/>
        <w:ind w:hanging="480" w:left="480"/>
        <w:rPr/>
      </w:pPr>
      <w:r>
        <w:rPr>
          <w:sz w:val="19"/>
          <w:szCs w:val="19"/>
        </w:rPr>
        <w:t>Hacking, I. (1975). The Emergence of Probability. Cambridge: Cambridge University Press.</w:t>
      </w:r>
    </w:p>
    <w:p>
      <w:pPr>
        <w:pStyle w:val="Normal"/>
        <w:spacing w:lineRule="exact" w:line="264" w:before="0" w:after="110"/>
        <w:ind w:hanging="480" w:left="480"/>
        <w:rPr/>
      </w:pPr>
      <w:r>
        <w:rPr>
          <w:sz w:val="19"/>
          <w:szCs w:val="19"/>
        </w:rPr>
        <w:t>Hannum, R. (2007). “The partager rule at roulette: Analysis and case of a million euro win.” In Optimal Play: Mathematical Studies of Games and Gambling. Reno: University of Nevada.</w:t>
      </w:r>
    </w:p>
    <w:p>
      <w:pPr>
        <w:pStyle w:val="Normal"/>
        <w:spacing w:lineRule="exact" w:line="264" w:before="0" w:after="110"/>
        <w:ind w:hanging="480" w:left="480"/>
        <w:rPr/>
      </w:pPr>
      <w:r>
        <w:rPr>
          <w:sz w:val="19"/>
          <w:szCs w:val="19"/>
        </w:rPr>
        <w:t>Hannum, R. C., &amp; Cabot, A. N. (2005). Practical Casino Math (2nd ed.). Reno, NV: Institute for the Study of Gambling and Commercial Gaming, University of Nevada, Reno.</w:t>
      </w:r>
    </w:p>
    <w:p>
      <w:pPr>
        <w:pStyle w:val="Normal"/>
        <w:spacing w:lineRule="exact" w:line="264" w:before="0" w:after="110"/>
        <w:ind w:hanging="480" w:left="480"/>
        <w:rPr/>
      </w:pPr>
      <w:r>
        <w:rPr>
          <w:sz w:val="19"/>
          <w:szCs w:val="19"/>
        </w:rPr>
        <w:t>Harrigan, K. A. (2008). “Slot Machine Structural Characteristics: Distorted Player Views of Payback Percentages.” Journal of Gambling Issues, 20, 215–234.</w:t>
      </w:r>
    </w:p>
    <w:p>
      <w:pPr>
        <w:pStyle w:val="Normal"/>
        <w:spacing w:lineRule="exact" w:line="264" w:before="0" w:after="110"/>
        <w:ind w:hanging="480" w:left="480"/>
        <w:rPr/>
      </w:pPr>
      <w:r>
        <w:rPr>
          <w:sz w:val="19"/>
          <w:szCs w:val="19"/>
        </w:rPr>
        <w:t>Harrigan, K. A., &amp; Dixon, M. (2009). “PAR Sheets, Probabilities, and Slot Machine Play: Implications for Problem and Non-Problem Gambling.” Journal of Gambling Issues, 23, 81–110.</w:t>
      </w:r>
    </w:p>
    <w:p>
      <w:pPr>
        <w:pStyle w:val="Normal"/>
        <w:spacing w:lineRule="exact" w:line="264" w:before="0" w:after="110"/>
        <w:ind w:hanging="480" w:left="480"/>
        <w:rPr/>
      </w:pPr>
      <w:r>
        <w:rPr>
          <w:sz w:val="19"/>
          <w:szCs w:val="19"/>
        </w:rPr>
        <w:t>Harrington, D., &amp; Robertie, B. (2004). Harrington on Hold’em, Vol. I: Strategic Play. Las Vegas: Two Plus Two Publishing.</w:t>
      </w:r>
    </w:p>
    <w:p>
      <w:pPr>
        <w:pStyle w:val="Normal"/>
        <w:spacing w:lineRule="exact" w:line="264" w:before="0" w:after="110"/>
        <w:ind w:hanging="480" w:left="480"/>
        <w:rPr/>
      </w:pPr>
      <w:r>
        <w:rPr>
          <w:sz w:val="19"/>
          <w:szCs w:val="19"/>
        </w:rPr>
        <w:t>Humble, L., &amp; Cooper, C. (1980). The World’s Greatest Blackjack Book. New York: Doubleday.</w:t>
      </w:r>
    </w:p>
    <w:p>
      <w:pPr>
        <w:pStyle w:val="Normal"/>
        <w:spacing w:lineRule="exact" w:line="264" w:before="0" w:after="110"/>
        <w:ind w:hanging="480" w:left="480"/>
        <w:rPr/>
      </w:pPr>
      <w:r>
        <w:rPr>
          <w:sz w:val="19"/>
          <w:szCs w:val="19"/>
        </w:rPr>
        <w:t>International Game Technology (IGT). (2022). Wheel of Fortune Slots – Brand Fact Sheet. Las Vegas: IGT.</w:t>
      </w:r>
    </w:p>
    <w:p>
      <w:pPr>
        <w:pStyle w:val="Normal"/>
        <w:spacing w:lineRule="exact" w:line="264" w:before="0" w:after="110"/>
        <w:ind w:hanging="480" w:left="480"/>
        <w:rPr/>
      </w:pPr>
      <w:r>
        <w:rPr>
          <w:sz w:val="19"/>
          <w:szCs w:val="19"/>
        </w:rPr>
        <w:t>Janda, M. (2013). Applications of No-Limit Hold’em: A Guide to Understanding Theoretical Sound Poker. Las Vegas: Two Plus Two Publishing.</w:t>
      </w:r>
    </w:p>
    <w:p>
      <w:pPr>
        <w:pStyle w:val="Normal"/>
        <w:spacing w:lineRule="exact" w:line="264" w:before="0" w:after="110"/>
        <w:ind w:hanging="480" w:left="480"/>
        <w:rPr/>
      </w:pPr>
      <w:r>
        <w:rPr>
          <w:sz w:val="19"/>
          <w:szCs w:val="19"/>
        </w:rPr>
        <w:t>Janda, M. (2017). No-Limit Hold’em for Advanced Players: Emphasis on Tough Games. Las Vegas: Two Plus Two Publishing.</w:t>
      </w:r>
    </w:p>
    <w:p>
      <w:pPr>
        <w:pStyle w:val="Normal"/>
        <w:spacing w:lineRule="exact" w:line="264" w:before="0" w:after="110"/>
        <w:ind w:hanging="480" w:left="480"/>
        <w:rPr/>
      </w:pPr>
      <w:r>
        <w:rPr>
          <w:sz w:val="19"/>
          <w:szCs w:val="19"/>
        </w:rPr>
        <w:t>Kahneman, D. (2011). Thinking, Fast and Slow. New York: Farrar, Straus and Giroux.</w:t>
      </w:r>
    </w:p>
    <w:p>
      <w:pPr>
        <w:pStyle w:val="Normal"/>
        <w:spacing w:lineRule="exact" w:line="264" w:before="0" w:after="110"/>
        <w:ind w:hanging="480" w:left="480"/>
        <w:rPr/>
      </w:pPr>
      <w:r>
        <w:rPr>
          <w:sz w:val="19"/>
          <w:szCs w:val="19"/>
        </w:rPr>
        <w:t>Kahneman, D., &amp; Tversky, A. (1979). “Prospect Theory: An Analysis of Decision under Risk.” Econometrica, 47(2), 263–291.</w:t>
      </w:r>
    </w:p>
    <w:p>
      <w:pPr>
        <w:pStyle w:val="Normal"/>
        <w:spacing w:lineRule="exact" w:line="264" w:before="0" w:after="110"/>
        <w:ind w:hanging="480" w:left="480"/>
        <w:rPr/>
      </w:pPr>
      <w:r>
        <w:rPr>
          <w:sz w:val="19"/>
          <w:szCs w:val="19"/>
        </w:rPr>
        <w:t>Kelly, J. L., Jr. (1956). “A New Interpretation of Information Rate.” Bell System Technical Journal, 35(4), 917–926.</w:t>
      </w:r>
    </w:p>
    <w:p>
      <w:pPr>
        <w:pStyle w:val="Normal"/>
        <w:spacing w:lineRule="exact" w:line="264" w:before="0" w:after="110"/>
        <w:ind w:hanging="480" w:left="480"/>
        <w:rPr/>
      </w:pPr>
      <w:r>
        <w:rPr>
          <w:sz w:val="19"/>
          <w:szCs w:val="19"/>
        </w:rPr>
        <w:t>Kilby, J., Fox, J., &amp; Lucas, A. F. (2004). Casino Operations Management (2nd ed.). Hoboken, NJ: Wiley.</w:t>
      </w:r>
    </w:p>
    <w:p>
      <w:pPr>
        <w:pStyle w:val="Normal"/>
        <w:spacing w:lineRule="exact" w:line="264" w:before="0" w:after="110"/>
        <w:ind w:hanging="480" w:left="480"/>
        <w:rPr/>
      </w:pPr>
      <w:r>
        <w:rPr>
          <w:sz w:val="19"/>
          <w:szCs w:val="19"/>
        </w:rPr>
        <w:t>Langer, E. J. (1975). “The Illusion of Control.” Journal of Personality and Social Psychology, 32(2), 311–328.</w:t>
      </w:r>
    </w:p>
    <w:p>
      <w:pPr>
        <w:pStyle w:val="Normal"/>
        <w:spacing w:lineRule="exact" w:line="264" w:before="0" w:after="110"/>
        <w:ind w:hanging="480" w:left="480"/>
        <w:rPr/>
      </w:pPr>
      <w:r>
        <w:rPr>
          <w:sz w:val="19"/>
          <w:szCs w:val="19"/>
        </w:rPr>
        <w:t>Latane, H. A. (1959). “Criteria for Choice Among Risky Ventures.” Journal of Political Economy, 67(2), 144–155.</w:t>
      </w:r>
    </w:p>
    <w:p>
      <w:pPr>
        <w:pStyle w:val="Normal"/>
        <w:spacing w:lineRule="exact" w:line="264" w:before="0" w:after="110"/>
        <w:ind w:hanging="480" w:left="480"/>
        <w:rPr/>
      </w:pPr>
      <w:r>
        <w:rPr>
          <w:sz w:val="19"/>
          <w:szCs w:val="19"/>
        </w:rPr>
        <w:t>Light &amp; Wonder (formerly Scientific Games / Bally / WMS). (2023). Game Mathematics and Volatility Class Documentation (88 Fortunes, Quick Hit, Zeus, Hot Shot).</w:t>
      </w:r>
    </w:p>
    <w:p>
      <w:pPr>
        <w:pStyle w:val="Normal"/>
        <w:spacing w:lineRule="exact" w:line="264" w:before="0" w:after="110"/>
        <w:ind w:hanging="480" w:left="480"/>
        <w:rPr/>
      </w:pPr>
      <w:r>
        <w:rPr>
          <w:sz w:val="19"/>
          <w:szCs w:val="19"/>
        </w:rPr>
        <w:t>MacLean, L. C., Thorp, E. O., &amp; Ziemba, W. T. (Eds.). (2011). The Kelly Capital Growth Investment Criterion: Theory and Practice. Singapore: World Scientific.</w:t>
      </w:r>
    </w:p>
    <w:p>
      <w:pPr>
        <w:pStyle w:val="Normal"/>
        <w:spacing w:lineRule="exact" w:line="264" w:before="0" w:after="110"/>
        <w:ind w:hanging="480" w:left="480"/>
        <w:rPr/>
      </w:pPr>
      <w:r>
        <w:rPr>
          <w:sz w:val="19"/>
          <w:szCs w:val="19"/>
        </w:rPr>
        <w:t>MacLean, L. C., Ziemba, W. T., &amp; Blazenko, G. (1992). “Growth versus Security in Dynamic Investment Analysis.” Management Science, 38(11), 1562–1585.</w:t>
      </w:r>
    </w:p>
    <w:p>
      <w:pPr>
        <w:pStyle w:val="Normal"/>
        <w:spacing w:lineRule="exact" w:line="264" w:before="0" w:after="110"/>
        <w:ind w:hanging="480" w:left="480"/>
        <w:rPr/>
      </w:pPr>
      <w:r>
        <w:rPr>
          <w:sz w:val="19"/>
          <w:szCs w:val="19"/>
        </w:rPr>
        <w:t>Manson, A. R., Barr, A. J., &amp; Goodnight, J. H. (1975). “Optimum Zero-Memory Strategy and Exact Probabilities for 4-Deck Blackjack.” The American Statistician, 29(2), 84–88.</w:t>
      </w:r>
    </w:p>
    <w:p>
      <w:pPr>
        <w:pStyle w:val="Normal"/>
        <w:spacing w:lineRule="exact" w:line="264" w:before="0" w:after="110"/>
        <w:ind w:hanging="480" w:left="480"/>
        <w:rPr/>
      </w:pPr>
      <w:r>
        <w:rPr>
          <w:sz w:val="19"/>
          <w:szCs w:val="19"/>
        </w:rPr>
        <w:t>Mezrich, B. (2002). Bringing Down the House: The Inside Story of Six MIT Students Who Took Vegas for Millions. New York: Free Press.</w:t>
      </w:r>
    </w:p>
    <w:p>
      <w:pPr>
        <w:pStyle w:val="Normal"/>
        <w:spacing w:lineRule="exact" w:line="264" w:before="0" w:after="110"/>
        <w:ind w:hanging="480" w:left="480"/>
        <w:rPr/>
      </w:pPr>
      <w:r>
        <w:rPr>
          <w:sz w:val="19"/>
          <w:szCs w:val="19"/>
        </w:rPr>
        <w:t>Microgaming / Games Global. (2021). Mega Moolah – Progressive Jackpot Network Documentation.</w:t>
      </w:r>
    </w:p>
    <w:p>
      <w:pPr>
        <w:pStyle w:val="Normal"/>
        <w:spacing w:lineRule="exact" w:line="264" w:before="0" w:after="110"/>
        <w:ind w:hanging="480" w:left="480"/>
        <w:rPr/>
      </w:pPr>
      <w:r>
        <w:rPr>
          <w:sz w:val="19"/>
          <w:szCs w:val="19"/>
        </w:rPr>
        <w:t>Nash, J. (1951). “Non-Cooperative Games.” Annals of Mathematics, 54(2), 286–295.</w:t>
      </w:r>
    </w:p>
    <w:p>
      <w:pPr>
        <w:pStyle w:val="Normal"/>
        <w:spacing w:lineRule="exact" w:line="264" w:before="0" w:after="110"/>
        <w:ind w:hanging="480" w:left="480"/>
        <w:rPr/>
      </w:pPr>
      <w:r>
        <w:rPr>
          <w:sz w:val="19"/>
          <w:szCs w:val="19"/>
        </w:rPr>
        <w:t>National Council on Problem Gambling. (2024). National Survey on Gambling Attitudes and Gambling Experiences (NGAGE 3.0). Conducted by Ipsos. Washington, DC: NCPG.</w:t>
      </w:r>
    </w:p>
    <w:p>
      <w:pPr>
        <w:pStyle w:val="Normal"/>
        <w:spacing w:lineRule="exact" w:line="264" w:before="0" w:after="110"/>
        <w:ind w:hanging="480" w:left="480"/>
        <w:rPr/>
      </w:pPr>
      <w:r>
        <w:rPr>
          <w:sz w:val="19"/>
          <w:szCs w:val="19"/>
        </w:rPr>
        <w:t>NetEnt. (2013). Mega Fortune – Game Rules and Return-to-Player Documentation. Stockholm: Net Entertainment AB.</w:t>
      </w:r>
    </w:p>
    <w:p>
      <w:pPr>
        <w:pStyle w:val="Normal"/>
        <w:spacing w:lineRule="exact" w:line="264" w:before="0" w:after="110"/>
        <w:ind w:hanging="480" w:left="480"/>
        <w:rPr/>
      </w:pPr>
      <w:r>
        <w:rPr>
          <w:sz w:val="19"/>
          <w:szCs w:val="19"/>
        </w:rPr>
        <w:t>Nevada Gaming Control Board. (2023). Gaming Revenue Report. Carson City, NV.</w:t>
      </w:r>
    </w:p>
    <w:p>
      <w:pPr>
        <w:pStyle w:val="Normal"/>
        <w:spacing w:lineRule="exact" w:line="264" w:before="0" w:after="110"/>
        <w:ind w:hanging="480" w:left="480"/>
        <w:rPr/>
      </w:pPr>
      <w:r>
        <w:rPr>
          <w:sz w:val="19"/>
          <w:szCs w:val="19"/>
        </w:rPr>
        <w:t>Nevada Revised Statutes § 465.075 (Use of device for calculating probabilities; cheating).</w:t>
      </w:r>
    </w:p>
    <w:p>
      <w:pPr>
        <w:pStyle w:val="Normal"/>
        <w:spacing w:lineRule="exact" w:line="264" w:before="0" w:after="110"/>
        <w:ind w:hanging="480" w:left="480"/>
        <w:rPr/>
      </w:pPr>
      <w:r>
        <w:rPr>
          <w:sz w:val="19"/>
          <w:szCs w:val="19"/>
        </w:rPr>
        <w:t>Odean, T. (1998). “Are Investors Reluctant to Realize Their Losses?” Journal of Finance, 53(5), 1775–1798.</w:t>
      </w:r>
    </w:p>
    <w:p>
      <w:pPr>
        <w:pStyle w:val="Normal"/>
        <w:spacing w:lineRule="exact" w:line="264" w:before="0" w:after="110"/>
        <w:ind w:hanging="480" w:left="480"/>
        <w:rPr/>
      </w:pPr>
      <w:r>
        <w:rPr>
          <w:sz w:val="19"/>
          <w:szCs w:val="19"/>
        </w:rPr>
        <w:t>Packel, E. (2006). The Mathematics of Games and Gambling (2nd ed.). Washington, DC: Mathematical Association of America.</w:t>
      </w:r>
    </w:p>
    <w:p>
      <w:pPr>
        <w:pStyle w:val="Normal"/>
        <w:spacing w:lineRule="exact" w:line="264" w:before="0" w:after="110"/>
        <w:ind w:hanging="480" w:left="480"/>
        <w:rPr/>
      </w:pPr>
      <w:r>
        <w:rPr>
          <w:sz w:val="19"/>
          <w:szCs w:val="19"/>
        </w:rPr>
        <w:t>Parke, J., &amp; Griffiths, M. (2006). “The Psychology of the Fruit Machine: The Role of Structural Characteristics (Revisited).” International Journal of Mental Health and Addiction, 4(2), 151–179.</w:t>
      </w:r>
    </w:p>
    <w:p>
      <w:pPr>
        <w:pStyle w:val="Normal"/>
        <w:spacing w:lineRule="exact" w:line="264" w:before="0" w:after="110"/>
        <w:ind w:hanging="480" w:left="480"/>
        <w:rPr/>
      </w:pPr>
      <w:r>
        <w:rPr>
          <w:sz w:val="19"/>
          <w:szCs w:val="19"/>
        </w:rPr>
        <w:t>Paymar, D. (2004). Video Poker – Optimum Play. Pittsburgh: ConJelCo.</w:t>
      </w:r>
    </w:p>
    <w:p>
      <w:pPr>
        <w:pStyle w:val="Normal"/>
        <w:spacing w:lineRule="exact" w:line="264" w:before="0" w:after="110"/>
        <w:ind w:hanging="480" w:left="480"/>
        <w:rPr/>
      </w:pPr>
      <w:r>
        <w:rPr>
          <w:sz w:val="19"/>
          <w:szCs w:val="19"/>
        </w:rPr>
        <w:t>Petry, N. M. (2005). Pathological Gambling: Etiology, Comorbidity, and Treatment. Washington, DC: American Psychological Association.</w:t>
      </w:r>
    </w:p>
    <w:p>
      <w:pPr>
        <w:pStyle w:val="Normal"/>
        <w:spacing w:lineRule="exact" w:line="264" w:before="0" w:after="110"/>
        <w:ind w:hanging="480" w:left="480"/>
        <w:rPr/>
      </w:pPr>
      <w:r>
        <w:rPr>
          <w:sz w:val="19"/>
          <w:szCs w:val="19"/>
        </w:rPr>
        <w:t>Potenza, M. N. (2008). “The Neurobiology of Pathological Gambling and Drug Addiction: An Overview and New Findings.” Philosophical Transactions of the Royal Society B, 363(1507), 3181–3189.</w:t>
      </w:r>
    </w:p>
    <w:p>
      <w:pPr>
        <w:pStyle w:val="Normal"/>
        <w:spacing w:lineRule="exact" w:line="264" w:before="0" w:after="110"/>
        <w:ind w:hanging="480" w:left="480"/>
        <w:rPr/>
      </w:pPr>
      <w:r>
        <w:rPr>
          <w:sz w:val="19"/>
          <w:szCs w:val="19"/>
        </w:rPr>
        <w:t>Poundstone, W. (2005). Fortune’s Formula: The Untold Story of the Scientific Betting System That Beat the Casinos and Wall Street. New York: Hill and Wang.</w:t>
      </w:r>
    </w:p>
    <w:p>
      <w:pPr>
        <w:pStyle w:val="Normal"/>
        <w:spacing w:lineRule="exact" w:line="264" w:before="0" w:after="110"/>
        <w:ind w:hanging="480" w:left="480"/>
        <w:rPr/>
      </w:pPr>
      <w:r>
        <w:rPr>
          <w:sz w:val="19"/>
          <w:szCs w:val="19"/>
        </w:rPr>
        <w:t>Reid, R. L. (1986). “The Psychology of the Near Miss.” Journal of Gambling Behavior, 2(1), 32–39.</w:t>
      </w:r>
    </w:p>
    <w:p>
      <w:pPr>
        <w:pStyle w:val="Normal"/>
        <w:spacing w:lineRule="exact" w:line="264" w:before="0" w:after="110"/>
        <w:ind w:hanging="480" w:left="480"/>
        <w:rPr/>
      </w:pPr>
      <w:r>
        <w:rPr>
          <w:sz w:val="19"/>
          <w:szCs w:val="19"/>
        </w:rPr>
        <w:t>Revere, L. (1980). Playing Blackjack as a Business. Secaucus, NJ: Lyle Stuart.</w:t>
      </w:r>
    </w:p>
    <w:p>
      <w:pPr>
        <w:pStyle w:val="Normal"/>
        <w:spacing w:lineRule="exact" w:line="264" w:before="0" w:after="110"/>
        <w:ind w:hanging="480" w:left="480"/>
        <w:rPr/>
      </w:pPr>
      <w:r>
        <w:rPr>
          <w:sz w:val="19"/>
          <w:szCs w:val="19"/>
        </w:rPr>
        <w:t>Rose, I. N., &amp; Loeb, R. A. (1998). Blackjack and the Law. Oakland, CA: RGE Publishing.</w:t>
      </w:r>
    </w:p>
    <w:p>
      <w:pPr>
        <w:pStyle w:val="Normal"/>
        <w:spacing w:lineRule="exact" w:line="264" w:before="0" w:after="110"/>
        <w:ind w:hanging="480" w:left="480"/>
        <w:rPr/>
      </w:pPr>
      <w:r>
        <w:rPr>
          <w:sz w:val="19"/>
          <w:szCs w:val="19"/>
        </w:rPr>
        <w:t>Ross, S. M. (2014). A First Course in Probability (9th ed.). Upper Saddle River, NJ: Pearson.</w:t>
      </w:r>
    </w:p>
    <w:p>
      <w:pPr>
        <w:pStyle w:val="Normal"/>
        <w:spacing w:lineRule="exact" w:line="264" w:before="0" w:after="110"/>
        <w:ind w:hanging="480" w:left="480"/>
        <w:rPr/>
      </w:pPr>
      <w:r>
        <w:rPr>
          <w:sz w:val="19"/>
          <w:szCs w:val="19"/>
        </w:rPr>
        <w:t>Samuelson, P. A. (1971). “The Fallacy of Maximizing the Geometric Mean in Long Sequences of Investing or Gambling.” Proceedings of the National Academy of Sciences, 68(10), 2493–2496.</w:t>
      </w:r>
    </w:p>
    <w:p>
      <w:pPr>
        <w:pStyle w:val="Normal"/>
        <w:spacing w:lineRule="exact" w:line="264" w:before="0" w:after="110"/>
        <w:ind w:hanging="480" w:left="480"/>
        <w:rPr/>
      </w:pPr>
      <w:r>
        <w:rPr>
          <w:sz w:val="19"/>
          <w:szCs w:val="19"/>
        </w:rPr>
        <w:t>Schlesinger, D. (2018). Blackjack Attack: Playing the Pros’ Way (3rd ed.). Las Vegas: RGE Publishing.</w:t>
      </w:r>
    </w:p>
    <w:p>
      <w:pPr>
        <w:pStyle w:val="Normal"/>
        <w:spacing w:lineRule="exact" w:line="264" w:before="0" w:after="110"/>
        <w:ind w:hanging="480" w:left="480"/>
        <w:rPr/>
      </w:pPr>
      <w:r>
        <w:rPr>
          <w:sz w:val="19"/>
          <w:szCs w:val="19"/>
        </w:rPr>
        <w:t>Schull, N. D. (2005). “Digital Gambling: The Coincidence of Desire and Design.” The Annals of the American Academy of Political and Social Science, 597(1), 65–81.</w:t>
      </w:r>
    </w:p>
    <w:p>
      <w:pPr>
        <w:pStyle w:val="Normal"/>
        <w:spacing w:lineRule="exact" w:line="264" w:before="0" w:after="110"/>
        <w:ind w:hanging="480" w:left="480"/>
        <w:rPr/>
      </w:pPr>
      <w:r>
        <w:rPr>
          <w:sz w:val="19"/>
          <w:szCs w:val="19"/>
        </w:rPr>
        <w:t>Schull, N. D. (2012). Addiction by Design: Machine Gambling in Las Vegas. Princeton: Princeton University Press.</w:t>
      </w:r>
    </w:p>
    <w:p>
      <w:pPr>
        <w:pStyle w:val="Normal"/>
        <w:spacing w:lineRule="exact" w:line="264" w:before="0" w:after="110"/>
        <w:ind w:hanging="480" w:left="480"/>
        <w:rPr/>
      </w:pPr>
      <w:r>
        <w:rPr>
          <w:sz w:val="19"/>
          <w:szCs w:val="19"/>
        </w:rPr>
        <w:t>Scott, J. (2003). More Frugal Gambling. Las Vegas: Huntington Press.</w:t>
      </w:r>
    </w:p>
    <w:p>
      <w:pPr>
        <w:pStyle w:val="Normal"/>
        <w:spacing w:lineRule="exact" w:line="264" w:before="0" w:after="110"/>
        <w:ind w:hanging="480" w:left="480"/>
        <w:rPr/>
      </w:pPr>
      <w:r>
        <w:rPr>
          <w:sz w:val="19"/>
          <w:szCs w:val="19"/>
        </w:rPr>
        <w:t>Scott, J. (2005). The Frugal Gambler. Las Vegas: Huntington Press.</w:t>
      </w:r>
    </w:p>
    <w:p>
      <w:pPr>
        <w:pStyle w:val="Normal"/>
        <w:spacing w:lineRule="exact" w:line="264" w:before="0" w:after="110"/>
        <w:ind w:hanging="480" w:left="480"/>
        <w:rPr/>
      </w:pPr>
      <w:r>
        <w:rPr>
          <w:sz w:val="19"/>
          <w:szCs w:val="19"/>
        </w:rPr>
        <w:t>Scott, J., &amp; Scott, B. (2012). The Frugal Gambler Casino Guide. Las Vegas: Huntington Press.</w:t>
      </w:r>
    </w:p>
    <w:p>
      <w:pPr>
        <w:pStyle w:val="Normal"/>
        <w:spacing w:lineRule="exact" w:line="264" w:before="0" w:after="110"/>
        <w:ind w:hanging="480" w:left="480"/>
        <w:rPr/>
      </w:pPr>
      <w:r>
        <w:rPr>
          <w:sz w:val="19"/>
          <w:szCs w:val="19"/>
        </w:rPr>
        <w:t>Shackleford, M. (2023). “Baccarat – Frequently Asked Questions.” Wizard of Odds. https://wizardofodds.com/ask-the-wizard/baccarat/</w:t>
      </w:r>
    </w:p>
    <w:p>
      <w:pPr>
        <w:pStyle w:val="Normal"/>
        <w:spacing w:lineRule="exact" w:line="264" w:before="0" w:after="110"/>
        <w:ind w:hanging="480" w:left="480"/>
        <w:rPr/>
      </w:pPr>
      <w:r>
        <w:rPr>
          <w:sz w:val="19"/>
          <w:szCs w:val="19"/>
        </w:rPr>
        <w:t>Shackleford, M. (2023). “Cleopatra – Slot Machine Analysis.” Wizard of Odds. https://wizardofodds.com/games/slots/cleopatra/</w:t>
      </w:r>
    </w:p>
    <w:p>
      <w:pPr>
        <w:pStyle w:val="Normal"/>
        <w:spacing w:lineRule="exact" w:line="264" w:before="0" w:after="110"/>
        <w:ind w:hanging="480" w:left="480"/>
        <w:rPr/>
      </w:pPr>
      <w:r>
        <w:rPr>
          <w:sz w:val="19"/>
          <w:szCs w:val="19"/>
        </w:rPr>
        <w:t>Shackleford, M. (2023). “Craps – Appendix 2: Full house-edge tables for all bets.” Wizard of Odds. https://wizardofodds.com/games/craps/appendix/2/</w:t>
      </w:r>
    </w:p>
    <w:p>
      <w:pPr>
        <w:pStyle w:val="Normal"/>
        <w:spacing w:lineRule="exact" w:line="264" w:before="0" w:after="110"/>
        <w:ind w:hanging="480" w:left="480"/>
        <w:rPr/>
      </w:pPr>
      <w:r>
        <w:rPr>
          <w:sz w:val="19"/>
          <w:szCs w:val="19"/>
        </w:rPr>
        <w:t>Shackleford, M. (2024). “Deuces Wild – Video Poker Strategy and Returns.” Wizard of Odds. https://wizardofodds.com/games/video-poker/tables/deuces-wild/</w:t>
      </w:r>
    </w:p>
    <w:p>
      <w:pPr>
        <w:pStyle w:val="Normal"/>
        <w:spacing w:lineRule="exact" w:line="264" w:before="0" w:after="110"/>
        <w:ind w:hanging="480" w:left="480"/>
        <w:rPr/>
      </w:pPr>
      <w:r>
        <w:rPr>
          <w:sz w:val="19"/>
          <w:szCs w:val="19"/>
        </w:rPr>
        <w:t>Shackleford, M. (2024). “House Edge of Casino Games Compared.” Wizard of Odds. https://wizardofodds.com/gambling/house-edge/</w:t>
      </w:r>
    </w:p>
    <w:p>
      <w:pPr>
        <w:pStyle w:val="Normal"/>
        <w:spacing w:lineRule="exact" w:line="264" w:before="0" w:after="110"/>
        <w:ind w:hanging="480" w:left="480"/>
        <w:rPr/>
      </w:pPr>
      <w:r>
        <w:rPr>
          <w:sz w:val="19"/>
          <w:szCs w:val="19"/>
        </w:rPr>
        <w:t>Shackleford, M. (2024). “Jacks or Better – Video Poker Pay Tables and Returns.” Wizard of Odds. https://wizardofodds.com/games/video-poker/tables/jacks-or-better/</w:t>
      </w:r>
    </w:p>
    <w:p>
      <w:pPr>
        <w:pStyle w:val="Normal"/>
        <w:spacing w:lineRule="exact" w:line="264" w:before="0" w:after="110"/>
        <w:ind w:hanging="480" w:left="480"/>
        <w:rPr/>
      </w:pPr>
      <w:r>
        <w:rPr>
          <w:sz w:val="19"/>
          <w:szCs w:val="19"/>
        </w:rPr>
        <w:t>Shackleford, M. (2024). “Megabucks – Analysis of the Megabucks Progressive Slot.” Wizard of Odds. https://wizardofodds.com/games/slots/megabucks/</w:t>
      </w:r>
    </w:p>
    <w:p>
      <w:pPr>
        <w:pStyle w:val="Normal"/>
        <w:spacing w:lineRule="exact" w:line="264" w:before="0" w:after="110"/>
        <w:ind w:hanging="480" w:left="480"/>
        <w:rPr/>
      </w:pPr>
      <w:r>
        <w:rPr>
          <w:sz w:val="19"/>
          <w:szCs w:val="19"/>
        </w:rPr>
        <w:t>Shefrin, H., &amp; Statman, M. (1985). “The Disposition to Sell Winners Too Early and Ride Losers Too Long: Theory and Evidence.” Journal of Finance, 40(3), 777–790.</w:t>
      </w:r>
    </w:p>
    <w:p>
      <w:pPr>
        <w:pStyle w:val="Normal"/>
        <w:spacing w:lineRule="exact" w:line="264" w:before="0" w:after="110"/>
        <w:ind w:hanging="480" w:left="480"/>
        <w:rPr/>
      </w:pPr>
      <w:r>
        <w:rPr>
          <w:sz w:val="19"/>
          <w:szCs w:val="19"/>
        </w:rPr>
        <w:t>Skinner, B. F. (1953). Science and Human Behavior. New York: Macmillan.</w:t>
      </w:r>
    </w:p>
    <w:p>
      <w:pPr>
        <w:pStyle w:val="Normal"/>
        <w:spacing w:lineRule="exact" w:line="264" w:before="0" w:after="110"/>
        <w:ind w:hanging="480" w:left="480"/>
        <w:rPr/>
      </w:pPr>
      <w:r>
        <w:rPr>
          <w:sz w:val="19"/>
          <w:szCs w:val="19"/>
        </w:rPr>
        <w:t>Sklansky, D. (1999). The Theory of Poker (4th ed.). Las Vegas: Two Plus Two Publishing.</w:t>
      </w:r>
    </w:p>
    <w:p>
      <w:pPr>
        <w:pStyle w:val="Normal"/>
        <w:spacing w:lineRule="exact" w:line="264" w:before="0" w:after="110"/>
        <w:ind w:hanging="480" w:left="480"/>
        <w:rPr/>
      </w:pPr>
      <w:r>
        <w:rPr>
          <w:sz w:val="19"/>
          <w:szCs w:val="19"/>
        </w:rPr>
        <w:t>Sklansky, D., &amp; Miller, E. (2006). No Limit Hold’em: Theory and Practice. Las Vegas: Two Plus Two Publishing.</w:t>
      </w:r>
    </w:p>
    <w:p>
      <w:pPr>
        <w:pStyle w:val="Normal"/>
        <w:spacing w:lineRule="exact" w:line="264" w:before="0" w:after="110"/>
        <w:ind w:hanging="480" w:left="480"/>
        <w:rPr/>
      </w:pPr>
      <w:r>
        <w:rPr>
          <w:sz w:val="19"/>
          <w:szCs w:val="19"/>
        </w:rPr>
        <w:t>Snyder, A. (1998). Blackbelt in Blackjack: Playing 21 as a Martial Art. Berkeley, CA: RGE Publishing.</w:t>
      </w:r>
    </w:p>
    <w:p>
      <w:pPr>
        <w:pStyle w:val="Normal"/>
        <w:spacing w:lineRule="exact" w:line="264" w:before="0" w:after="110"/>
        <w:ind w:hanging="480" w:left="480"/>
        <w:rPr/>
      </w:pPr>
      <w:r>
        <w:rPr>
          <w:sz w:val="19"/>
          <w:szCs w:val="19"/>
        </w:rPr>
        <w:t>Snyder, A. (2006). The Big Book of Blackjack. New York: Cardoza Publishing.</w:t>
      </w:r>
    </w:p>
    <w:p>
      <w:pPr>
        <w:pStyle w:val="Normal"/>
        <w:spacing w:lineRule="exact" w:line="264" w:before="0" w:after="110"/>
        <w:ind w:hanging="480" w:left="480"/>
        <w:rPr/>
      </w:pPr>
      <w:r>
        <w:rPr>
          <w:sz w:val="19"/>
          <w:szCs w:val="19"/>
        </w:rPr>
        <w:t>Thaler, R. H. (1980). “Toward a Positive Theory of Consumer Choice.” Journal of Economic Behavior &amp; Organization, 1(1), 39–60.</w:t>
      </w:r>
    </w:p>
    <w:p>
      <w:pPr>
        <w:pStyle w:val="Normal"/>
        <w:spacing w:lineRule="exact" w:line="264" w:before="0" w:after="110"/>
        <w:ind w:hanging="480" w:left="480"/>
        <w:rPr/>
      </w:pPr>
      <w:r>
        <w:rPr>
          <w:sz w:val="19"/>
          <w:szCs w:val="19"/>
        </w:rPr>
        <w:t>Thaler, R. H., &amp; Johnson, E. J. (1990). “Gambling with the House Money and Trying to Break Even: The Effects of Prior Outcomes on Risky Choice.” Management Science, 36(6), 643–660.</w:t>
      </w:r>
    </w:p>
    <w:p>
      <w:pPr>
        <w:pStyle w:val="Normal"/>
        <w:spacing w:lineRule="exact" w:line="264" w:before="0" w:after="110"/>
        <w:ind w:hanging="480" w:left="480"/>
        <w:rPr/>
      </w:pPr>
      <w:r>
        <w:rPr>
          <w:sz w:val="19"/>
          <w:szCs w:val="19"/>
        </w:rPr>
        <w:t>Thorp, E. O. (1962). Beat the Dealer: A Winning Strategy for the Game of Twenty-One. New York: Random House.</w:t>
      </w:r>
    </w:p>
    <w:p>
      <w:pPr>
        <w:pStyle w:val="Normal"/>
        <w:spacing w:lineRule="exact" w:line="264" w:before="0" w:after="110"/>
        <w:ind w:hanging="480" w:left="480"/>
        <w:rPr/>
      </w:pPr>
      <w:r>
        <w:rPr>
          <w:sz w:val="19"/>
          <w:szCs w:val="19"/>
        </w:rPr>
        <w:t>Thorp, E. O. (1966). Beat the Dealer (Rev. ed.). New York: Vintage Books.</w:t>
      </w:r>
    </w:p>
    <w:p>
      <w:pPr>
        <w:pStyle w:val="Normal"/>
        <w:spacing w:lineRule="exact" w:line="264" w:before="0" w:after="110"/>
        <w:ind w:hanging="480" w:left="480"/>
        <w:rPr/>
      </w:pPr>
      <w:r>
        <w:rPr>
          <w:sz w:val="19"/>
          <w:szCs w:val="19"/>
        </w:rPr>
        <w:t>Thorp, E. O. (1969). “Optimal Gambling Systems for Favorable Games.” Review of the International Statistical Institute, 37(3), 273–293.</w:t>
      </w:r>
    </w:p>
    <w:p>
      <w:pPr>
        <w:pStyle w:val="Normal"/>
        <w:spacing w:lineRule="exact" w:line="264" w:before="0" w:after="110"/>
        <w:ind w:hanging="480" w:left="480"/>
        <w:rPr/>
      </w:pPr>
      <w:r>
        <w:rPr>
          <w:sz w:val="19"/>
          <w:szCs w:val="19"/>
        </w:rPr>
        <w:t>Thorp, E. O. (1984). The Mathematics of Gambling. Hollywood, CA: Gambling Times.</w:t>
      </w:r>
    </w:p>
    <w:p>
      <w:pPr>
        <w:pStyle w:val="Normal"/>
        <w:spacing w:lineRule="exact" w:line="264" w:before="0" w:after="110"/>
        <w:ind w:hanging="480" w:left="480"/>
        <w:rPr/>
      </w:pPr>
      <w:r>
        <w:rPr>
          <w:sz w:val="19"/>
          <w:szCs w:val="19"/>
        </w:rPr>
        <w:t>Thorp, E. O. (2006). “The Kelly Criterion in Blackjack, Sports Betting, and the Stock Market.” In S. N. Ethier &amp; W. R. Eadington (Eds.), Handbook of Asset and Liability Management. Reno: University of Nevada.</w:t>
      </w:r>
    </w:p>
    <w:p>
      <w:pPr>
        <w:pStyle w:val="Normal"/>
        <w:spacing w:lineRule="exact" w:line="264" w:before="0" w:after="110"/>
        <w:ind w:hanging="480" w:left="480"/>
        <w:rPr/>
      </w:pPr>
      <w:r>
        <w:rPr>
          <w:sz w:val="19"/>
          <w:szCs w:val="19"/>
        </w:rPr>
        <w:t>Thorp, E. O. (2017). A Man for All Markets: From Las Vegas to Wall Street. New York: Random House.</w:t>
      </w:r>
    </w:p>
    <w:p>
      <w:pPr>
        <w:pStyle w:val="Normal"/>
        <w:spacing w:lineRule="exact" w:line="264" w:before="0" w:after="110"/>
        <w:ind w:hanging="480" w:left="480"/>
        <w:rPr/>
      </w:pPr>
      <w:r>
        <w:rPr>
          <w:sz w:val="19"/>
          <w:szCs w:val="19"/>
        </w:rPr>
        <w:t>Thorp, E. O., &amp; Walden, W. E. (1966). “A Favorable Side Bet in Nevada Baccarat.” Journal of the American Statistical Association, 61(314), 313–328.</w:t>
      </w:r>
    </w:p>
    <w:p>
      <w:pPr>
        <w:pStyle w:val="Normal"/>
        <w:spacing w:lineRule="exact" w:line="264" w:before="0" w:after="110"/>
        <w:ind w:hanging="480" w:left="480"/>
        <w:rPr/>
      </w:pPr>
      <w:r>
        <w:rPr>
          <w:sz w:val="19"/>
          <w:szCs w:val="19"/>
        </w:rPr>
        <w:t>Turdean, C. (2012). “Computerizing Chance: The Digitization of the Slot Machine, 1960–1985.” In Proceedings of the IEEE Conference on the History of Computing.</w:t>
      </w:r>
    </w:p>
    <w:p>
      <w:pPr>
        <w:pStyle w:val="Normal"/>
        <w:spacing w:lineRule="exact" w:line="264" w:before="0" w:after="110"/>
        <w:ind w:hanging="480" w:left="480"/>
        <w:rPr/>
      </w:pPr>
      <w:r>
        <w:rPr>
          <w:sz w:val="19"/>
          <w:szCs w:val="19"/>
        </w:rPr>
        <w:t>Tversky, A., &amp; Kahneman, D. (1974). “Judgment under Uncertainty: Heuristics and Biases.” Science, 185(4157), 1124–1131.</w:t>
      </w:r>
    </w:p>
    <w:p>
      <w:pPr>
        <w:pStyle w:val="Normal"/>
        <w:spacing w:lineRule="exact" w:line="264" w:before="0" w:after="110"/>
        <w:ind w:hanging="480" w:left="480"/>
        <w:rPr/>
      </w:pPr>
      <w:r>
        <w:rPr>
          <w:sz w:val="19"/>
          <w:szCs w:val="19"/>
        </w:rPr>
        <w:t>Tversky, A., &amp; Kahneman, D. (1992). “Advances in Prospect Theory: Cumulative Representation of Uncertainty.” Journal of Risk and Uncertainty, 5(4), 297–323.</w:t>
      </w:r>
    </w:p>
    <w:p>
      <w:pPr>
        <w:pStyle w:val="Normal"/>
        <w:spacing w:lineRule="exact" w:line="264" w:before="0" w:after="110"/>
        <w:ind w:hanging="480" w:left="480"/>
        <w:rPr/>
      </w:pPr>
      <w:r>
        <w:rPr>
          <w:sz w:val="19"/>
          <w:szCs w:val="19"/>
        </w:rPr>
        <w:t>Uston v. Resorts International Hotel, Inc., 445 A.2d 370 (N.J. 1982).</w:t>
      </w:r>
    </w:p>
    <w:p>
      <w:pPr>
        <w:pStyle w:val="Normal"/>
        <w:spacing w:lineRule="exact" w:line="264" w:before="0" w:after="110"/>
        <w:ind w:hanging="480" w:left="480"/>
        <w:rPr/>
      </w:pPr>
      <w:r>
        <w:rPr>
          <w:sz w:val="19"/>
          <w:szCs w:val="19"/>
        </w:rPr>
        <w:t>Uston, K. (1981). Million Dollar Blackjack. Hollywood, CA: Gambling Times / SRS Enterprises.</w:t>
      </w:r>
    </w:p>
    <w:p>
      <w:pPr>
        <w:pStyle w:val="Normal"/>
        <w:spacing w:lineRule="exact" w:line="264" w:before="0" w:after="110"/>
        <w:ind w:hanging="480" w:left="480"/>
        <w:rPr/>
      </w:pPr>
      <w:r>
        <w:rPr>
          <w:sz w:val="19"/>
          <w:szCs w:val="19"/>
        </w:rPr>
        <w:t>Uston, K., &amp; Rapoport, R. (1977). The Big Player: How a Team of Blackjack Players Made a Million Dollars. New York: Holt, Rinehart and Winston.</w:t>
      </w:r>
    </w:p>
    <w:p>
      <w:pPr>
        <w:pStyle w:val="Normal"/>
        <w:spacing w:lineRule="exact" w:line="264" w:before="0" w:after="110"/>
        <w:ind w:hanging="480" w:left="480"/>
        <w:rPr/>
      </w:pPr>
      <w:r>
        <w:rPr>
          <w:sz w:val="19"/>
          <w:szCs w:val="19"/>
        </w:rPr>
        <w:t>Vancura, O., &amp; Fuchs, K. (1998). Knock-Out Blackjack: The Easiest Card-Counting System Ever Devised. Las Vegas: Huntington Press.</w:t>
      </w:r>
    </w:p>
    <w:p>
      <w:pPr>
        <w:pStyle w:val="Normal"/>
        <w:spacing w:lineRule="exact" w:line="264" w:before="0" w:after="110"/>
        <w:ind w:hanging="480" w:left="480"/>
        <w:rPr/>
      </w:pPr>
      <w:r>
        <w:rPr>
          <w:sz w:val="19"/>
          <w:szCs w:val="19"/>
        </w:rPr>
        <w:t>von Neumann, J., &amp; Morgenstern, O. (1944). Theory of Games and Economic Behavior. Princeton: Princeton University Press.</w:t>
      </w:r>
    </w:p>
    <w:p>
      <w:pPr>
        <w:pStyle w:val="Normal"/>
        <w:spacing w:lineRule="exact" w:line="264" w:before="0" w:after="110"/>
        <w:ind w:hanging="480" w:left="480"/>
        <w:rPr/>
      </w:pPr>
      <w:r>
        <w:rPr>
          <w:sz w:val="19"/>
          <w:szCs w:val="19"/>
        </w:rPr>
        <w:t>vpFree2 (2024). Video Poker Pay Table Surveys and Locator Database. https://www.vpfree2.com/</w:t>
      </w:r>
    </w:p>
    <w:p>
      <w:pPr>
        <w:pStyle w:val="Normal"/>
        <w:spacing w:lineRule="exact" w:line="264" w:before="0" w:after="110"/>
        <w:ind w:hanging="480" w:left="480"/>
        <w:rPr/>
      </w:pPr>
      <w:r>
        <w:rPr>
          <w:sz w:val="19"/>
          <w:szCs w:val="19"/>
        </w:rPr>
        <w:t>Werthamer, N. R. (2018). Risk and Reward: The Science of Casino Blackjack (2nd ed.). Cham, Switzerland: Springer.</w:t>
      </w:r>
    </w:p>
    <w:p>
      <w:pPr>
        <w:pStyle w:val="Normal"/>
        <w:spacing w:lineRule="exact" w:line="264" w:before="0" w:after="110"/>
        <w:ind w:hanging="480" w:left="480"/>
        <w:rPr/>
      </w:pPr>
      <w:r>
        <w:rPr>
          <w:sz w:val="19"/>
          <w:szCs w:val="19"/>
        </w:rPr>
        <w:t>Williams, R. J., Volberg, R. A., &amp; Stevens, R. M. G. (2012). The Population Prevalence of Problem Gambling: Methodological Influences, Standardized Rates, Jurisdictional Differences, and Worldwide Trends. Report to the Ontario Problem Gambling Research Centre.</w:t>
      </w:r>
    </w:p>
    <w:p>
      <w:pPr>
        <w:pStyle w:val="Normal"/>
        <w:spacing w:lineRule="exact" w:line="264" w:before="0" w:after="110"/>
        <w:ind w:hanging="480" w:left="480"/>
        <w:rPr/>
      </w:pPr>
      <w:r>
        <w:rPr>
          <w:sz w:val="19"/>
          <w:szCs w:val="19"/>
        </w:rPr>
        <w:t>Wilson, A. N. (1965). The Casino Gambler’s Guide. New York: Harper &amp; Row.</w:t>
      </w:r>
    </w:p>
    <w:p>
      <w:pPr>
        <w:pStyle w:val="Normal"/>
        <w:spacing w:lineRule="exact" w:line="264" w:before="0" w:after="110"/>
        <w:ind w:hanging="480" w:left="480"/>
        <w:rPr/>
      </w:pPr>
      <w:r>
        <w:rPr>
          <w:sz w:val="19"/>
          <w:szCs w:val="19"/>
        </w:rPr>
        <w:t>Wong, S. (1981). Winning Without Counting. La Jolla, CA: Pi Yee Press.</w:t>
      </w:r>
    </w:p>
    <w:p>
      <w:pPr>
        <w:pStyle w:val="Normal"/>
        <w:spacing w:lineRule="exact" w:line="264" w:before="0" w:after="110"/>
        <w:ind w:hanging="480" w:left="480"/>
        <w:rPr/>
      </w:pPr>
      <w:r>
        <w:rPr>
          <w:sz w:val="19"/>
          <w:szCs w:val="19"/>
        </w:rPr>
        <w:t>Wong, S. (1994). Professional Blackjack. Las Vegas: Pi Yee Press.</w:t>
      </w:r>
    </w:p>
    <w:p>
      <w:pPr>
        <w:pStyle w:val="Normal"/>
        <w:spacing w:lineRule="exact" w:line="264" w:before="0" w:after="110"/>
        <w:ind w:hanging="480" w:left="480"/>
        <w:rPr/>
      </w:pPr>
      <w:r>
        <w:rPr>
          <w:sz w:val="19"/>
          <w:szCs w:val="19"/>
        </w:rPr>
        <w:t>Zender, B. (2006). Advanced Advantage Play: Beating and Safeguarding Modern Casino Table Games. Las Vegas: Huntington Press.</w:t>
      </w:r>
      <w:r>
        <w:br w:type="page"/>
      </w:r>
    </w:p>
    <w:p>
      <w:pPr>
        <w:pStyle w:val="Heading1"/>
        <w:spacing w:before="240" w:after="160"/>
        <w:rPr/>
      </w:pPr>
      <w:bookmarkStart w:id="64" w:name="__RefHeading___Toc2637_617431631"/>
      <w:bookmarkEnd w:id="64"/>
      <w:r>
        <w:rPr/>
        <w:t>Appendix: Key Formulas and Quick Reference</w:t>
      </w:r>
    </w:p>
    <w:p>
      <w:pPr>
        <w:pStyle w:val="Normal"/>
        <w:spacing w:lineRule="exact" w:line="276" w:before="0" w:after="130"/>
        <w:rPr/>
      </w:pPr>
      <w:r>
        <w:rPr>
          <w:sz w:val="22"/>
          <w:szCs w:val="22"/>
        </w:rPr>
        <w:t>This appendix collects the quantitative relationships used throughout the monograph in a single place for convenient reference. Symbols are defined locally in each entry.</w:t>
      </w:r>
    </w:p>
    <w:p>
      <w:pPr>
        <w:pStyle w:val="Heading2"/>
        <w:keepNext w:val="true"/>
        <w:spacing w:before="220" w:after="110"/>
        <w:rPr/>
      </w:pPr>
      <w:bookmarkStart w:id="65" w:name="__RefHeading___Toc2639_617431631"/>
      <w:bookmarkEnd w:id="65"/>
      <w:r>
        <w:rPr/>
        <w:t>A.1 Core quantities</w:t>
      </w:r>
    </w:p>
    <w:tbl>
      <w:tblPr>
        <w:tblW w:w="9360" w:type="dxa"/>
        <w:jc w:val="left"/>
        <w:tblInd w:w="0" w:type="dxa"/>
        <w:tblLayout w:type="fixed"/>
        <w:tblCellMar>
          <w:top w:w="60" w:type="dxa"/>
          <w:left w:w="100" w:type="dxa"/>
          <w:bottom w:w="60" w:type="dxa"/>
          <w:right w:w="100" w:type="dxa"/>
        </w:tblCellMar>
      </w:tblPr>
      <w:tblGrid>
        <w:gridCol w:w="2600"/>
        <w:gridCol w:w="3000"/>
        <w:gridCol w:w="3760"/>
      </w:tblGrid>
      <w:tr>
        <w:trPr>
          <w:tblHeader w:val="true"/>
        </w:trPr>
        <w:tc>
          <w:tcPr>
            <w:tcW w:w="260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Quantity</w:t>
            </w:r>
          </w:p>
        </w:tc>
        <w:tc>
          <w:tcPr>
            <w:tcW w:w="300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Formula</w:t>
            </w:r>
          </w:p>
        </w:tc>
        <w:tc>
          <w:tcPr>
            <w:tcW w:w="376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Notes</w:t>
            </w:r>
          </w:p>
        </w:tc>
      </w:tr>
      <w:tr>
        <w:trPr/>
        <w:tc>
          <w:tcPr>
            <w:tcW w:w="26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Expected value (EV)</w:t>
            </w:r>
          </w:p>
        </w:tc>
        <w:tc>
          <w:tcPr>
            <w:tcW w:w="30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EV = Σ pᵢ xᵢ</w:t>
            </w:r>
          </w:p>
        </w:tc>
        <w:tc>
          <w:tcPr>
            <w:tcW w:w="37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Probability-weighted sum of outcomes xᵢ</w:t>
            </w:r>
          </w:p>
        </w:tc>
      </w:tr>
      <w:tr>
        <w:trPr/>
        <w:tc>
          <w:tcPr>
            <w:tcW w:w="26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House edge</w:t>
            </w:r>
          </w:p>
        </w:tc>
        <w:tc>
          <w:tcPr>
            <w:tcW w:w="30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HE = −EV / (initial bet)</w:t>
            </w:r>
          </w:p>
        </w:tc>
        <w:tc>
          <w:tcPr>
            <w:tcW w:w="37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Average loss per unit of the required wager</w:t>
            </w:r>
          </w:p>
        </w:tc>
      </w:tr>
      <w:tr>
        <w:trPr/>
        <w:tc>
          <w:tcPr>
            <w:tcW w:w="26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Element of risk</w:t>
            </w:r>
          </w:p>
        </w:tc>
        <w:tc>
          <w:tcPr>
            <w:tcW w:w="30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ER = −EV / (total wagered)</w:t>
            </w:r>
          </w:p>
        </w:tc>
        <w:tc>
          <w:tcPr>
            <w:tcW w:w="37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Uses all conditional bets; better cross-game comparator</w:t>
            </w:r>
          </w:p>
        </w:tc>
      </w:tr>
      <w:tr>
        <w:trPr/>
        <w:tc>
          <w:tcPr>
            <w:tcW w:w="26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Session standard deviation</w:t>
            </w:r>
          </w:p>
        </w:tc>
        <w:tc>
          <w:tcPr>
            <w:tcW w:w="30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σₙ = σ₁ √n</w:t>
            </w:r>
          </w:p>
        </w:tc>
        <w:tc>
          <w:tcPr>
            <w:tcW w:w="37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Scales as the square root of the number of bets n</w:t>
            </w:r>
          </w:p>
        </w:tc>
      </w:tr>
      <w:tr>
        <w:trPr/>
        <w:tc>
          <w:tcPr>
            <w:tcW w:w="26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Expected session loss</w:t>
            </w:r>
          </w:p>
        </w:tc>
        <w:tc>
          <w:tcPr>
            <w:tcW w:w="30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n × HE × (avg bet)</w:t>
            </w:r>
          </w:p>
        </w:tc>
        <w:tc>
          <w:tcPr>
            <w:tcW w:w="37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Grows linearly in n</w:t>
            </w:r>
          </w:p>
        </w:tc>
      </w:tr>
      <w:tr>
        <w:trPr/>
        <w:tc>
          <w:tcPr>
            <w:tcW w:w="26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Cost per hour</w:t>
            </w:r>
          </w:p>
        </w:tc>
        <w:tc>
          <w:tcPr>
            <w:tcW w:w="30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HE × (avg bet) × (decisions/hr)</w:t>
            </w:r>
          </w:p>
        </w:tc>
        <w:tc>
          <w:tcPr>
            <w:tcW w:w="37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The practical exposure metric</w:t>
            </w:r>
          </w:p>
        </w:tc>
      </w:tr>
    </w:tbl>
    <w:p>
      <w:pPr>
        <w:pStyle w:val="Heading2"/>
        <w:keepNext w:val="true"/>
        <w:spacing w:before="220" w:after="110"/>
        <w:rPr/>
      </w:pPr>
      <w:bookmarkStart w:id="66" w:name="__RefHeading___Toc2641_617431631"/>
      <w:bookmarkEnd w:id="66"/>
      <w:r>
        <w:rPr/>
        <w:t>A.2 Bankroll and growth</w:t>
      </w:r>
    </w:p>
    <w:tbl>
      <w:tblPr>
        <w:tblW w:w="9360" w:type="dxa"/>
        <w:jc w:val="left"/>
        <w:tblInd w:w="0" w:type="dxa"/>
        <w:tblLayout w:type="fixed"/>
        <w:tblCellMar>
          <w:top w:w="60" w:type="dxa"/>
          <w:left w:w="100" w:type="dxa"/>
          <w:bottom w:w="60" w:type="dxa"/>
          <w:right w:w="100" w:type="dxa"/>
        </w:tblCellMar>
      </w:tblPr>
      <w:tblGrid>
        <w:gridCol w:w="2600"/>
        <w:gridCol w:w="3399"/>
        <w:gridCol w:w="3361"/>
      </w:tblGrid>
      <w:tr>
        <w:trPr>
          <w:tblHeader w:val="true"/>
        </w:trPr>
        <w:tc>
          <w:tcPr>
            <w:tcW w:w="260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Quantity</w:t>
            </w:r>
          </w:p>
        </w:tc>
        <w:tc>
          <w:tcPr>
            <w:tcW w:w="3399"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Formula</w:t>
            </w:r>
          </w:p>
        </w:tc>
        <w:tc>
          <w:tcPr>
            <w:tcW w:w="3361"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Notes</w:t>
            </w:r>
          </w:p>
        </w:tc>
      </w:tr>
      <w:tr>
        <w:trPr/>
        <w:tc>
          <w:tcPr>
            <w:tcW w:w="26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Kelly fraction</w:t>
            </w:r>
          </w:p>
        </w:tc>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f* = (bp − q) / b</w:t>
            </w:r>
          </w:p>
        </w:tc>
        <w:tc>
          <w:tcPr>
            <w:tcW w:w="336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b = net odds, p = win prob, q = 1 − p</w:t>
            </w:r>
          </w:p>
        </w:tc>
      </w:tr>
      <w:tr>
        <w:trPr/>
        <w:tc>
          <w:tcPr>
            <w:tcW w:w="26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Fractional Kelly</w:t>
            </w:r>
          </w:p>
        </w:tc>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f = k · f*, k ∈ (0,1]</w:t>
            </w:r>
          </w:p>
        </w:tc>
        <w:tc>
          <w:tcPr>
            <w:tcW w:w="336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k = ½ or ¼ in standard practice</w:t>
            </w:r>
          </w:p>
        </w:tc>
      </w:tr>
      <w:tr>
        <w:trPr/>
        <w:tc>
          <w:tcPr>
            <w:tcW w:w="26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Risk of ruin (even money)</w:t>
            </w:r>
          </w:p>
        </w:tc>
        <w:tc>
          <w:tcPr>
            <w:tcW w:w="3399"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 xml:space="preserve">≈ </w:t>
            </w:r>
            <w:r>
              <w:rPr>
                <w:b w:val="false"/>
                <w:bCs w:val="false"/>
                <w:sz w:val="18"/>
                <w:szCs w:val="18"/>
              </w:rPr>
              <w:t>((1 − e)/(1 + e))^(B/w)</w:t>
            </w:r>
          </w:p>
        </w:tc>
        <w:tc>
          <w:tcPr>
            <w:tcW w:w="3361"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e = edge, B = bankroll, w = bet size</w:t>
            </w:r>
          </w:p>
        </w:tc>
      </w:tr>
      <w:tr>
        <w:trPr/>
        <w:tc>
          <w:tcPr>
            <w:tcW w:w="26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Kelly with no edge</w:t>
            </w:r>
          </w:p>
        </w:tc>
        <w:tc>
          <w:tcPr>
            <w:tcW w:w="3399"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f* ≤ 0</w:t>
            </w:r>
          </w:p>
        </w:tc>
        <w:tc>
          <w:tcPr>
            <w:tcW w:w="3361"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Optimal stake on a non-positive bet is zero</w:t>
            </w:r>
          </w:p>
        </w:tc>
      </w:tr>
    </w:tbl>
    <w:p>
      <w:pPr>
        <w:pStyle w:val="Heading2"/>
        <w:keepNext w:val="true"/>
        <w:spacing w:before="220" w:after="110"/>
        <w:rPr/>
      </w:pPr>
      <w:bookmarkStart w:id="67" w:name="__RefHeading___Toc2643_617431631"/>
      <w:bookmarkEnd w:id="67"/>
      <w:r>
        <w:rPr/>
        <w:t>A.3 Game-specific anchors</w:t>
      </w:r>
    </w:p>
    <w:tbl>
      <w:tblPr>
        <w:tblW w:w="9360" w:type="dxa"/>
        <w:jc w:val="left"/>
        <w:tblInd w:w="0" w:type="dxa"/>
        <w:tblLayout w:type="fixed"/>
        <w:tblCellMar>
          <w:top w:w="60" w:type="dxa"/>
          <w:left w:w="100" w:type="dxa"/>
          <w:bottom w:w="60" w:type="dxa"/>
          <w:right w:w="100" w:type="dxa"/>
        </w:tblCellMar>
      </w:tblPr>
      <w:tblGrid>
        <w:gridCol w:w="3200"/>
        <w:gridCol w:w="2400"/>
        <w:gridCol w:w="3760"/>
      </w:tblGrid>
      <w:tr>
        <w:trPr>
          <w:tblHeader w:val="true"/>
        </w:trPr>
        <w:tc>
          <w:tcPr>
            <w:tcW w:w="320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Quantity</w:t>
            </w:r>
          </w:p>
        </w:tc>
        <w:tc>
          <w:tcPr>
            <w:tcW w:w="240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Value</w:t>
            </w:r>
          </w:p>
        </w:tc>
        <w:tc>
          <w:tcPr>
            <w:tcW w:w="3760" w:type="dxa"/>
            <w:tcBorders>
              <w:top w:val="single" w:sz="2" w:space="0" w:color="B8C4D0"/>
              <w:left w:val="single" w:sz="2" w:space="0" w:color="B8C4D0"/>
              <w:bottom w:val="single" w:sz="2" w:space="0" w:color="B8C4D0"/>
              <w:right w:val="single" w:sz="2" w:space="0" w:color="B8C4D0"/>
            </w:tcBorders>
            <w:shd w:fill="1F3A5F" w:val="clear"/>
            <w:vAlign w:val="center"/>
          </w:tcPr>
          <w:p>
            <w:pPr>
              <w:pStyle w:val="Normal"/>
              <w:spacing w:before="0" w:after="0"/>
              <w:rPr/>
            </w:pPr>
            <w:r>
              <w:rPr>
                <w:b/>
                <w:bCs/>
                <w:color w:val="FFFFFF"/>
                <w:sz w:val="18"/>
                <w:szCs w:val="18"/>
              </w:rPr>
              <w:t>Notes</w:t>
            </w:r>
          </w:p>
        </w:tc>
      </w:tr>
      <w:tr>
        <w:trPr/>
        <w:tc>
          <w:tcPr>
            <w:tcW w:w="32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Roulette edge, single zero</w:t>
            </w:r>
          </w:p>
        </w:tc>
        <w:tc>
          <w:tcPr>
            <w:tcW w:w="24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2.70%</w:t>
            </w:r>
          </w:p>
        </w:tc>
        <w:tc>
          <w:tcPr>
            <w:tcW w:w="37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 1/37 × (effective mismatch); all bets</w:t>
            </w:r>
          </w:p>
        </w:tc>
      </w:tr>
      <w:tr>
        <w:trPr/>
        <w:tc>
          <w:tcPr>
            <w:tcW w:w="32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Roulette edge, double zero</w:t>
            </w:r>
          </w:p>
        </w:tc>
        <w:tc>
          <w:tcPr>
            <w:tcW w:w="24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5.26%</w:t>
            </w:r>
          </w:p>
        </w:tc>
        <w:tc>
          <w:tcPr>
            <w:tcW w:w="37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 2/38; all bets except five-number</w:t>
            </w:r>
          </w:p>
        </w:tc>
      </w:tr>
      <w:tr>
        <w:trPr/>
        <w:tc>
          <w:tcPr>
            <w:tcW w:w="32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Roulette even-money, La Partage</w:t>
            </w:r>
          </w:p>
        </w:tc>
        <w:tc>
          <w:tcPr>
            <w:tcW w:w="24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1.35%</w:t>
            </w:r>
          </w:p>
        </w:tc>
        <w:tc>
          <w:tcPr>
            <w:tcW w:w="37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Half-stake return on zero</w:t>
            </w:r>
          </w:p>
        </w:tc>
      </w:tr>
      <w:tr>
        <w:trPr/>
        <w:tc>
          <w:tcPr>
            <w:tcW w:w="32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Baccarat Banker / Player / Tie</w:t>
            </w:r>
          </w:p>
        </w:tc>
        <w:tc>
          <w:tcPr>
            <w:tcW w:w="24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1.06% / 1.24% / 14.36%</w:t>
            </w:r>
          </w:p>
        </w:tc>
        <w:tc>
          <w:tcPr>
            <w:tcW w:w="37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Tie at 8:1</w:t>
            </w:r>
          </w:p>
        </w:tc>
      </w:tr>
      <w:tr>
        <w:trPr/>
        <w:tc>
          <w:tcPr>
            <w:tcW w:w="32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Craps pass line</w:t>
            </w:r>
          </w:p>
        </w:tc>
        <w:tc>
          <w:tcPr>
            <w:tcW w:w="24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1.41%</w:t>
            </w:r>
          </w:p>
        </w:tc>
        <w:tc>
          <w:tcPr>
            <w:tcW w:w="37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Free odds behind it pay true odds (0%)</w:t>
            </w:r>
          </w:p>
        </w:tc>
      </w:tr>
      <w:tr>
        <w:trPr/>
        <w:tc>
          <w:tcPr>
            <w:tcW w:w="32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Blackjack per-hand σ</w:t>
            </w:r>
          </w:p>
        </w:tc>
        <w:tc>
          <w:tcPr>
            <w:tcW w:w="24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 xml:space="preserve">≈ </w:t>
            </w:r>
            <w:r>
              <w:rPr>
                <w:b w:val="false"/>
                <w:bCs w:val="false"/>
                <w:sz w:val="18"/>
                <w:szCs w:val="18"/>
              </w:rPr>
              <w:t>1.15 units</w:t>
            </w:r>
          </w:p>
        </w:tc>
        <w:tc>
          <w:tcPr>
            <w:tcW w:w="37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Rises with doubles and splits</w:t>
            </w:r>
          </w:p>
        </w:tc>
      </w:tr>
      <w:tr>
        <w:trPr/>
        <w:tc>
          <w:tcPr>
            <w:tcW w:w="32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Hi-Lo value per +1 true count</w:t>
            </w:r>
          </w:p>
        </w:tc>
        <w:tc>
          <w:tcPr>
            <w:tcW w:w="24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 xml:space="preserve">≈ </w:t>
            </w:r>
            <w:r>
              <w:rPr>
                <w:b w:val="false"/>
                <w:bCs w:val="false"/>
                <w:sz w:val="18"/>
                <w:szCs w:val="18"/>
              </w:rPr>
              <w:t>+0.5%</w:t>
            </w:r>
          </w:p>
        </w:tc>
        <w:tc>
          <w:tcPr>
            <w:tcW w:w="37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Approximate, rules-dependent</w:t>
            </w:r>
          </w:p>
        </w:tc>
      </w:tr>
      <w:tr>
        <w:trPr/>
        <w:tc>
          <w:tcPr>
            <w:tcW w:w="32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9/6 Jacks or Better return</w:t>
            </w:r>
          </w:p>
        </w:tc>
        <w:tc>
          <w:tcPr>
            <w:tcW w:w="24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99.54%</w:t>
            </w:r>
          </w:p>
        </w:tc>
        <w:tc>
          <w:tcPr>
            <w:tcW w:w="37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House edge 0.46%, optimal play, max coins</w:t>
            </w:r>
          </w:p>
        </w:tc>
      </w:tr>
      <w:tr>
        <w:trPr/>
        <w:tc>
          <w:tcPr>
            <w:tcW w:w="32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sz w:val="18"/>
                <w:szCs w:val="18"/>
              </w:rPr>
              <w:t>Full-pay Deuces Wild return</w:t>
            </w:r>
          </w:p>
        </w:tc>
        <w:tc>
          <w:tcPr>
            <w:tcW w:w="240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100.76%</w:t>
            </w:r>
          </w:p>
        </w:tc>
        <w:tc>
          <w:tcPr>
            <w:tcW w:w="3760" w:type="dxa"/>
            <w:tcBorders>
              <w:top w:val="single" w:sz="2" w:space="0" w:color="B8C4D0"/>
              <w:left w:val="single" w:sz="2" w:space="0" w:color="B8C4D0"/>
              <w:bottom w:val="single" w:sz="2" w:space="0" w:color="B8C4D0"/>
              <w:right w:val="single" w:sz="2" w:space="0" w:color="B8C4D0"/>
            </w:tcBorders>
            <w:shd w:fill="FFFFFF" w:val="clear"/>
            <w:tcMar>
              <w:top w:w="50" w:type="dxa"/>
              <w:bottom w:w="50" w:type="dxa"/>
            </w:tcMar>
            <w:vAlign w:val="center"/>
          </w:tcPr>
          <w:p>
            <w:pPr>
              <w:pStyle w:val="Normal"/>
              <w:spacing w:before="0" w:after="0"/>
              <w:rPr/>
            </w:pPr>
            <w:r>
              <w:rPr>
                <w:b w:val="false"/>
                <w:bCs w:val="false"/>
                <w:sz w:val="18"/>
                <w:szCs w:val="18"/>
              </w:rPr>
              <w:t>Player edge with perfect play</w:t>
            </w:r>
          </w:p>
        </w:tc>
      </w:tr>
      <w:tr>
        <w:trPr/>
        <w:tc>
          <w:tcPr>
            <w:tcW w:w="32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sz w:val="18"/>
                <w:szCs w:val="18"/>
              </w:rPr>
              <w:t>Megabucks jackpot odds</w:t>
            </w:r>
          </w:p>
        </w:tc>
        <w:tc>
          <w:tcPr>
            <w:tcW w:w="240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1 in 49,836,032</w:t>
            </w:r>
          </w:p>
        </w:tc>
        <w:tc>
          <w:tcPr>
            <w:tcW w:w="3760" w:type="dxa"/>
            <w:tcBorders>
              <w:top w:val="single" w:sz="2" w:space="0" w:color="B8C4D0"/>
              <w:left w:val="single" w:sz="2" w:space="0" w:color="B8C4D0"/>
              <w:bottom w:val="single" w:sz="2" w:space="0" w:color="B8C4D0"/>
              <w:right w:val="single" w:sz="2" w:space="0" w:color="B8C4D0"/>
            </w:tcBorders>
            <w:shd w:fill="EEF2F7" w:val="clear"/>
            <w:tcMar>
              <w:top w:w="50" w:type="dxa"/>
              <w:bottom w:w="50" w:type="dxa"/>
            </w:tcMar>
            <w:vAlign w:val="center"/>
          </w:tcPr>
          <w:p>
            <w:pPr>
              <w:pStyle w:val="Normal"/>
              <w:spacing w:before="0" w:after="0"/>
              <w:rPr/>
            </w:pPr>
            <w:r>
              <w:rPr>
                <w:b w:val="false"/>
                <w:bCs w:val="false"/>
                <w:sz w:val="18"/>
                <w:szCs w:val="18"/>
              </w:rPr>
              <w:t>= (1/368)³</w:t>
            </w:r>
          </w:p>
        </w:tc>
      </w:tr>
    </w:tbl>
    <w:p>
      <w:pPr>
        <w:pStyle w:val="Normal"/>
        <w:spacing w:before="50" w:after="190"/>
        <w:rPr/>
      </w:pPr>
      <w:r>
        <w:rPr>
          <w:i/>
          <w:iCs/>
          <w:color w:val="44546A"/>
          <w:sz w:val="15"/>
          <w:szCs w:val="15"/>
        </w:rPr>
        <w:t>All figures are reproduced from the chapters above with their full sourcing; this table is a convenience reference only and inherits every caveat stated in the body, especially regarding configurable slot returns.</w:t>
      </w:r>
    </w:p>
    <w:p>
      <w:pPr>
        <w:pStyle w:val="Heading1"/>
        <w:spacing w:before="0" w:after="140"/>
        <w:rPr/>
      </w:pPr>
      <w:bookmarkStart w:id="68" w:name="__RefHeading___Toc2645_617431631"/>
      <w:bookmarkEnd w:id="68"/>
      <w:r>
        <w:rPr/>
        <w:t>Disclaimer</w:t>
      </w:r>
    </w:p>
    <w:p>
      <w:pPr>
        <w:pStyle w:val="Normal"/>
        <w:spacing w:lineRule="exact" w:line="276" w:before="0" w:after="120"/>
        <w:rPr/>
      </w:pPr>
      <w:r>
        <w:rPr>
          <w:i/>
          <w:iCs/>
          <w:color w:val="44546A"/>
          <w:sz w:val="19"/>
          <w:szCs w:val="19"/>
        </w:rPr>
        <w:t>This document is a research and educational synthesis. It is not financial, legal, or professional advice, and it is not an inducement to gamble. All casino games carry a house edge, and the games identified as beatable require skill, discipline, substantial capital, and tolerance of significant variance that most participants do not possess; even then, no outcome is guaranteed over any finite period. Gambling carries a real and documented risk of addiction and financial harm. Participants should wager only funds they can afford to lose entirely, treat gambling as paid entertainment rather than income, and set firm limits in advance. In the United States, confidential help is available through the National Problem Gambling Helpline at 1-800-GAMBLER.</w:t>
      </w:r>
    </w:p>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2240" w:h="15840"/>
      <w:pgMar w:left="1440" w:right="1440" w:gutter="0" w:header="708" w:top="1440" w:footer="708"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charset w:val="01"/>
    <w:family w:val="roman"/>
    <w:pitch w:val="variable"/>
  </w:font>
  <w:font w:name="Georgia">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exact" w:line="240" w:before="0" w:after="0"/>
        <w:rPr/>
      </w:pPr>
      <w:r>
        <w:rPr>
          <w:rStyle w:val="FootnoteCharacters"/>
        </w:rPr>
        <w:footnoteRef/>
      </w:r>
      <w:r>
        <w:rPr>
          <w:sz w:val="18"/>
          <w:szCs w:val="18"/>
        </w:rPr>
        <w:t>This caveat cannot be overstated. The same game title (e.g., Triple Red Hot 777) is documented with a return range of 92.01% to 96.13% precisely because the operator chooses the configuration. A player cannot know which chip is installed in a given cabinet. All slot RTP figures in this monograph are therefore indicative, not machine-specific.</w:t>
      </w:r>
    </w:p>
  </w:footnote>
  <w:footnote w:id="3">
    <w:p>
      <w:pPr>
        <w:pStyle w:val="Normal"/>
        <w:spacing w:lineRule="exact" w:line="240" w:before="0" w:after="0"/>
        <w:rPr/>
      </w:pPr>
      <w:r>
        <w:rPr>
          <w:rStyle w:val="FootnoteCharacters"/>
        </w:rPr>
        <w:footnoteRef/>
      </w:r>
      <w:r>
        <w:rPr>
          <w:sz w:val="18"/>
          <w:szCs w:val="18"/>
        </w:rPr>
        <w:t>Cardano, G. (c. 1564/1961). Liber de Ludo Aleae, trans. S. H. Gould. New York: Holt, Rinehart and Winston. Written c. 1564 and published posthumously in 1663, it is the first systematic treatment of probability in games of chance.</w:t>
      </w:r>
    </w:p>
  </w:footnote>
  <w:footnote w:id="4">
    <w:p>
      <w:pPr>
        <w:pStyle w:val="Normal"/>
        <w:spacing w:lineRule="exact" w:line="240" w:before="0" w:after="0"/>
        <w:rPr/>
      </w:pPr>
      <w:r>
        <w:rPr>
          <w:rStyle w:val="FootnoteCharacters"/>
        </w:rPr>
        <w:footnoteRef/>
      </w:r>
      <w:r>
        <w:rPr>
          <w:sz w:val="18"/>
          <w:szCs w:val="18"/>
        </w:rPr>
        <w:t>de Moivre, A. (1718). The Doctrine of Chances. London: W. Pearson. De Moivre also produced an early statement of the normal approximation to the binomial distribution—the backbone of variance analysis in gambling.</w:t>
      </w:r>
    </w:p>
  </w:footnote>
  <w:footnote w:id="5">
    <w:p>
      <w:pPr>
        <w:pStyle w:val="Normal"/>
        <w:spacing w:lineRule="exact" w:line="240" w:before="0" w:after="0"/>
        <w:rPr/>
      </w:pPr>
      <w:r>
        <w:rPr>
          <w:rStyle w:val="FootnoteCharacters"/>
        </w:rPr>
        <w:footnoteRef/>
      </w:r>
      <w:r>
        <w:rPr>
          <w:sz w:val="18"/>
          <w:szCs w:val="18"/>
        </w:rPr>
        <w:t>Hannum, R. C., &amp; Cabot, A. N. (2005). Practical Casino Math (2nd ed.). Reno: Institute for the Study of Gambling and Commercial Gaming. Shackleford, M. (2024). “House Edge of Casino Games Compared.” Wizard of Odds, https://wizardofodds.com/gambling/house-edge/.</w:t>
      </w:r>
    </w:p>
  </w:footnote>
  <w:footnote w:id="6">
    <w:p>
      <w:pPr>
        <w:pStyle w:val="Normal"/>
        <w:spacing w:lineRule="exact" w:line="240" w:before="0" w:after="0"/>
        <w:rPr/>
      </w:pPr>
      <w:r>
        <w:rPr>
          <w:rStyle w:val="FootnoteCharacters"/>
        </w:rPr>
        <w:footnoteRef/>
      </w:r>
      <w:r>
        <w:rPr>
          <w:sz w:val="18"/>
          <w:szCs w:val="18"/>
        </w:rPr>
        <w:t>Epstein, R. A. (2009). The Theory of Gambling and Statistical Logic (Rev. 2nd ed.). Burlington, MA: Academic Press, ch. 5. The 5.26% figure is invariant across nearly all double-zero bets, a consequence of the uniform payout-to-probability mismatch introduced by the two green pockets.</w:t>
      </w:r>
    </w:p>
  </w:footnote>
  <w:footnote w:id="7">
    <w:p>
      <w:pPr>
        <w:pStyle w:val="Normal"/>
        <w:spacing w:lineRule="exact" w:line="240" w:before="0" w:after="0"/>
        <w:rPr/>
      </w:pPr>
      <w:r>
        <w:rPr>
          <w:rStyle w:val="FootnoteCharacters"/>
        </w:rPr>
        <w:footnoteRef/>
      </w:r>
      <w:r>
        <w:rPr>
          <w:sz w:val="18"/>
          <w:szCs w:val="18"/>
        </w:rPr>
        <w:t>Feller, W. (1968). An Introduction to Probability Theory and Its Applications, Vol. 1 (3rd ed.). New York: Wiley. The strong law of large numbers formalizes why the house cannot lose over sufficient volume of action.</w:t>
      </w:r>
    </w:p>
  </w:footnote>
  <w:footnote w:id="8">
    <w:p>
      <w:pPr>
        <w:pStyle w:val="Normal"/>
        <w:spacing w:lineRule="exact" w:line="240" w:before="0" w:after="0"/>
        <w:rPr/>
      </w:pPr>
      <w:r>
        <w:rPr>
          <w:rStyle w:val="FootnoteCharacters"/>
        </w:rPr>
        <w:footnoteRef/>
      </w:r>
      <w:r>
        <w:rPr>
          <w:sz w:val="18"/>
          <w:szCs w:val="18"/>
        </w:rPr>
        <w:t>Hannum &amp; Cabot (2005), ch. 3–4. Hold can vastly exceed house edge because a player re-wagers the same bankroll many times; a 1.4% house-edge game can post a 15–20% hold over a multi-hour session.</w:t>
      </w:r>
    </w:p>
  </w:footnote>
  <w:footnote w:id="9">
    <w:p>
      <w:pPr>
        <w:pStyle w:val="Normal"/>
        <w:spacing w:lineRule="exact" w:line="240" w:before="0" w:after="0"/>
        <w:rPr/>
      </w:pPr>
      <w:r>
        <w:rPr>
          <w:rStyle w:val="FootnoteCharacters"/>
        </w:rPr>
        <w:footnoteRef/>
      </w:r>
      <w:r>
        <w:rPr>
          <w:sz w:val="18"/>
          <w:szCs w:val="18"/>
        </w:rPr>
        <w:t>Ethier, S. N. (2010). The Doctrine of Chances: Probabilistic Aspects of Gambling. Berlin: Springer, ch. 7. The √n scaling against linear growth of expected loss is the precise reason a negative-EV game can show a winning session, week, or even year for an individual.</w:t>
      </w:r>
    </w:p>
  </w:footnote>
  <w:footnote w:id="10">
    <w:p>
      <w:pPr>
        <w:pStyle w:val="Normal"/>
        <w:spacing w:lineRule="exact" w:line="240" w:before="0" w:after="0"/>
        <w:rPr/>
      </w:pPr>
      <w:r>
        <w:rPr>
          <w:rStyle w:val="FootnoteCharacters"/>
        </w:rPr>
        <w:footnoteRef/>
      </w:r>
      <w:r>
        <w:rPr>
          <w:sz w:val="18"/>
          <w:szCs w:val="18"/>
        </w:rPr>
        <w:t>Shackleford, M. (2024). “Jacks or Better.” Wizard of Odds. The royal flush occurs roughly once per 40,000 hands yet contributes about 2% of total return, concentrating the game’s variance.</w:t>
      </w:r>
    </w:p>
  </w:footnote>
  <w:footnote w:id="11">
    <w:p>
      <w:pPr>
        <w:pStyle w:val="Normal"/>
        <w:spacing w:lineRule="exact" w:line="240" w:before="0" w:after="0"/>
        <w:rPr/>
      </w:pPr>
      <w:r>
        <w:rPr>
          <w:rStyle w:val="FootnoteCharacters"/>
        </w:rPr>
        <w:footnoteRef/>
      </w:r>
      <w:r>
        <w:rPr>
          <w:sz w:val="18"/>
          <w:szCs w:val="18"/>
        </w:rPr>
        <w:t>The central limit theorem guarantees that the standardized sum of a large number of independent, identically distributed bets converges to the standard normal distribution; see Feller (1968), vol. 1, ch. X. The roulette per-bet variance for an even-money bet is p(1−p)·(payout spread)², very near 1.0, so σ over n bets ≈ √n.</w:t>
      </w:r>
    </w:p>
  </w:footnote>
  <w:footnote w:id="12">
    <w:p>
      <w:pPr>
        <w:pStyle w:val="Normal"/>
        <w:spacing w:lineRule="exact" w:line="240" w:before="0" w:after="0"/>
        <w:rPr/>
      </w:pPr>
      <w:r>
        <w:rPr>
          <w:rStyle w:val="FootnoteCharacters"/>
        </w:rPr>
        <w:footnoteRef/>
      </w:r>
      <w:r>
        <w:rPr>
          <w:sz w:val="18"/>
          <w:szCs w:val="18"/>
        </w:rPr>
        <w:t>Croson, R., &amp; Sundali, J. (2005). “The Gambler’s Fallacy and the Hot Hand.” Journal of Risk and Uncertainty, 30(3), 195–209. Using videotaped roulette, they documented bettors systematically increasing wagers on outcomes that had not recently appeared.</w:t>
      </w:r>
    </w:p>
  </w:footnote>
  <w:footnote w:id="13">
    <w:p>
      <w:pPr>
        <w:pStyle w:val="Normal"/>
        <w:spacing w:lineRule="exact" w:line="240" w:before="0" w:after="0"/>
        <w:rPr/>
      </w:pPr>
      <w:r>
        <w:rPr>
          <w:rStyle w:val="FootnoteCharacters"/>
        </w:rPr>
        <w:footnoteRef/>
      </w:r>
      <w:r>
        <w:rPr>
          <w:sz w:val="18"/>
          <w:szCs w:val="18"/>
        </w:rPr>
        <w:t>Thorp, E. O. (1962). Beat the Dealer. New York: Random House. Thorp’s insight: because blackjack is dealt without replacement, the player’s expectation fluctuates as cards are removed, and a player who tracks it can bet more when conditions favor.</w:t>
      </w:r>
    </w:p>
  </w:footnote>
  <w:footnote w:id="14">
    <w:p>
      <w:pPr>
        <w:pStyle w:val="Normal"/>
        <w:spacing w:lineRule="exact" w:line="240" w:before="0" w:after="0"/>
        <w:rPr/>
      </w:pPr>
      <w:r>
        <w:rPr>
          <w:rStyle w:val="FootnoteCharacters"/>
        </w:rPr>
        <w:footnoteRef/>
      </w:r>
      <w:r>
        <w:rPr>
          <w:sz w:val="18"/>
          <w:szCs w:val="18"/>
        </w:rPr>
        <w:t>Shackleford, M. (2023). “Baccarat – FAQ.” Wizard of Odds, https://wizardofodds.com/ask-the-wizard/baccarat/. The eight-deck coup probabilities are Banker 0.458597, Player 0.446247, Tie 0.095156.</w:t>
      </w:r>
    </w:p>
  </w:footnote>
  <w:footnote w:id="15">
    <w:p>
      <w:pPr>
        <w:pStyle w:val="Normal"/>
        <w:spacing w:lineRule="exact" w:line="240" w:before="0" w:after="0"/>
        <w:rPr/>
      </w:pPr>
      <w:r>
        <w:rPr>
          <w:rStyle w:val="FootnoteCharacters"/>
        </w:rPr>
        <w:footnoteRef/>
      </w:r>
      <w:r>
        <w:rPr>
          <w:sz w:val="18"/>
          <w:szCs w:val="18"/>
        </w:rPr>
        <w:t>Thorp, E. O., &amp; Walden, W. E. (1966). “A Favorable Side Bet in Nevada Baccarat.” Journal of the American Statistical Association, 61(314), 313–328. Thorp and Walden demonstrated that while certain baccarat side bets could in principle be counted, the main bets fluctuate far too little to be exploited.</w:t>
      </w:r>
    </w:p>
  </w:footnote>
  <w:footnote w:id="16">
    <w:p>
      <w:pPr>
        <w:pStyle w:val="Normal"/>
        <w:spacing w:lineRule="exact" w:line="240" w:before="0" w:after="0"/>
        <w:rPr/>
      </w:pPr>
      <w:r>
        <w:rPr>
          <w:rStyle w:val="FootnoteCharacters"/>
        </w:rPr>
        <w:footnoteRef/>
      </w:r>
      <w:r>
        <w:rPr>
          <w:sz w:val="18"/>
          <w:szCs w:val="18"/>
        </w:rPr>
        <w:t>Hannum, R. (2007). “The partager rule at roulette.” In Optimal Play. The closely related En Prison rule “imprisons” the even-money stake for one further spin instead of returning half; both reduce the even-money edge to about 1.35%.</w:t>
      </w:r>
    </w:p>
  </w:footnote>
  <w:footnote w:id="17">
    <w:p>
      <w:pPr>
        <w:pStyle w:val="Normal"/>
        <w:spacing w:lineRule="exact" w:line="240" w:before="0" w:after="0"/>
        <w:rPr/>
      </w:pPr>
      <w:r>
        <w:rPr>
          <w:rStyle w:val="FootnoteCharacters"/>
        </w:rPr>
        <w:footnoteRef/>
      </w:r>
      <w:r>
        <w:rPr>
          <w:sz w:val="18"/>
          <w:szCs w:val="18"/>
        </w:rPr>
        <w:t>Shackleford, M. (2023). “Craps – Appendix 2.” Wizard of Odds, https://wizardofodds.com/games/craps/appendix/2/. The pass-line figure of 1.414% derives from the 251-to-244 disadvantage in resolved pass-line decisions.</w:t>
      </w:r>
    </w:p>
  </w:footnote>
  <w:footnote w:id="18">
    <w:p>
      <w:pPr>
        <w:pStyle w:val="Normal"/>
        <w:spacing w:lineRule="exact" w:line="240" w:before="0" w:after="0"/>
        <w:rPr/>
      </w:pPr>
      <w:r>
        <w:rPr>
          <w:rStyle w:val="FootnoteCharacters"/>
        </w:rPr>
        <w:footnoteRef/>
      </w:r>
      <w:r>
        <w:rPr>
          <w:sz w:val="18"/>
          <w:szCs w:val="18"/>
        </w:rPr>
        <w:t>Shackleford, Wizard of Odds individual game pages for Three Card Poker, Ultimate Texas Hold’em, Caribbean Stud, Let It Ride, and Pai Gow Poker. Element-of-risk figures assume optimal player strategy and, for Pai Gow, banking half the hands.</w:t>
      </w:r>
    </w:p>
  </w:footnote>
  <w:footnote w:id="19">
    <w:p>
      <w:pPr>
        <w:pStyle w:val="Normal"/>
        <w:spacing w:lineRule="exact" w:line="240" w:before="0" w:after="0"/>
        <w:rPr/>
      </w:pPr>
      <w:r>
        <w:rPr>
          <w:rStyle w:val="FootnoteCharacters"/>
        </w:rPr>
        <w:footnoteRef/>
      </w:r>
      <w:r>
        <w:rPr>
          <w:sz w:val="18"/>
          <w:szCs w:val="18"/>
        </w:rPr>
        <w:t>Decision-rate figures follow standard estimates: roulette 30–50 spins/hour; blackjack 50–100 hands/hour heads-up versus a full table; video poker and slots 400–1,200 hands/hour for an experienced player. See Friedman, B. (2000), Designing Casinos to Dominate the Competition, and Kilby, Fox &amp; Lucas (2004), Casino Operations Management.</w:t>
      </w:r>
    </w:p>
  </w:footnote>
  <w:footnote w:id="20">
    <w:p>
      <w:pPr>
        <w:pStyle w:val="Normal"/>
        <w:spacing w:lineRule="exact" w:line="240" w:before="0" w:after="0"/>
        <w:rPr/>
      </w:pPr>
      <w:r>
        <w:rPr>
          <w:rStyle w:val="FootnoteCharacters"/>
        </w:rPr>
        <w:footnoteRef/>
      </w:r>
      <w:r>
        <w:rPr>
          <w:sz w:val="18"/>
          <w:szCs w:val="18"/>
        </w:rPr>
        <w:t>Baldwin, R. R., Cantey, W. E., Maisel, H., &amp; McDermott, J. P. (1956). “The Optimum Strategy in Blackjack.” Journal of the American Statistical Association, 51(275), 429–439. The “Four Horsemen of Aberdeen” computed the strategy on desk calculators; their result was within a fraction of a percent of the modern computer-derived charts.</w:t>
      </w:r>
    </w:p>
  </w:footnote>
  <w:footnote w:id="21">
    <w:p>
      <w:pPr>
        <w:pStyle w:val="Normal"/>
        <w:spacing w:lineRule="exact" w:line="240" w:before="0" w:after="0"/>
        <w:rPr/>
      </w:pPr>
      <w:r>
        <w:rPr>
          <w:rStyle w:val="FootnoteCharacters"/>
        </w:rPr>
        <w:footnoteRef/>
      </w:r>
      <w:r>
        <w:rPr>
          <w:sz w:val="18"/>
          <w:szCs w:val="18"/>
        </w:rPr>
        <w:t>Rule-effect figures are standard across Wong (1994), Professional Blackjack; Schlesinger (2018), Blackjack Attack; and Griffin (1999), The Theory of Blackjack. The 6:5 penalty is the reason advantage players treat 6:5 tables as un-playable regardless of other rules.</w:t>
      </w:r>
    </w:p>
  </w:footnote>
  <w:footnote w:id="22">
    <w:p>
      <w:pPr>
        <w:pStyle w:val="Normal"/>
        <w:spacing w:lineRule="exact" w:line="240" w:before="0" w:after="0"/>
        <w:rPr/>
      </w:pPr>
      <w:r>
        <w:rPr>
          <w:rStyle w:val="FootnoteCharacters"/>
        </w:rPr>
        <w:footnoteRef/>
      </w:r>
      <w:r>
        <w:rPr>
          <w:sz w:val="18"/>
          <w:szCs w:val="18"/>
        </w:rPr>
        <w:t>Werthamer, N. R. (2018). Risk and Reward: The Science of Casino Blackjack (2nd ed.). Cham: Springer. The per-hand standard deviation of ≈1.15 (rising with doubles and splits) is the input to all blackjack risk-of-ruin and bankroll calculations in Chapter 8.</w:t>
      </w:r>
    </w:p>
  </w:footnote>
  <w:footnote w:id="23">
    <w:p>
      <w:pPr>
        <w:pStyle w:val="Normal"/>
        <w:spacing w:lineRule="exact" w:line="240" w:before="0" w:after="0"/>
        <w:rPr/>
      </w:pPr>
      <w:r>
        <w:rPr>
          <w:rStyle w:val="FootnoteCharacters"/>
        </w:rPr>
        <w:footnoteRef/>
      </w:r>
      <w:r>
        <w:rPr>
          <w:sz w:val="18"/>
          <w:szCs w:val="18"/>
        </w:rPr>
        <w:t>Estimates of the cost of “average” versus optimal blackjack play appear in Wong (1994) and Schlesinger (2018); the dealer-mimic strategy alone is generally costed at roughly 5% because it abandons doubling, splitting, and all use of the up-card.</w:t>
      </w:r>
    </w:p>
  </w:footnote>
  <w:footnote w:id="24">
    <w:p>
      <w:pPr>
        <w:pStyle w:val="Normal"/>
        <w:spacing w:lineRule="exact" w:line="240" w:before="0" w:after="0"/>
        <w:rPr/>
      </w:pPr>
      <w:r>
        <w:rPr>
          <w:rStyle w:val="FootnoteCharacters"/>
        </w:rPr>
        <w:footnoteRef/>
      </w:r>
      <w:r>
        <w:rPr>
          <w:sz w:val="18"/>
          <w:szCs w:val="18"/>
        </w:rPr>
        <w:t>The specific S17→H17 deviations (e.g., double A,8 vs. 6; double 11 vs. A; surrender 15 and 17 vs. A under some rule sets) are tabulated in Wong (1994), Professional Blackjack, and on the Wizard of Odds basic-strategy pages. The number of changed cells is small, which is why a single chart plus a short deviation list suffices.</w:t>
      </w:r>
    </w:p>
  </w:footnote>
  <w:footnote w:id="25">
    <w:p>
      <w:pPr>
        <w:pStyle w:val="Normal"/>
        <w:spacing w:lineRule="exact" w:line="240" w:before="0" w:after="0"/>
        <w:rPr/>
      </w:pPr>
      <w:r>
        <w:rPr>
          <w:rStyle w:val="FootnoteCharacters"/>
        </w:rPr>
        <w:footnoteRef/>
      </w:r>
      <w:r>
        <w:rPr>
          <w:sz w:val="18"/>
          <w:szCs w:val="18"/>
        </w:rPr>
        <w:t>Thorp, E. O. (1962, rev. 1966). Beat the Dealer. The first mathematically validated counting system; Thorp’s original “ten-count” was later simplified into balanced point-count systems easier to use at speed.</w:t>
      </w:r>
    </w:p>
  </w:footnote>
  <w:footnote w:id="26">
    <w:p>
      <w:pPr>
        <w:pStyle w:val="Normal"/>
        <w:spacing w:lineRule="exact" w:line="240" w:before="0" w:after="0"/>
        <w:rPr/>
      </w:pPr>
      <w:r>
        <w:rPr>
          <w:rStyle w:val="FootnoteCharacters"/>
        </w:rPr>
        <w:footnoteRef/>
      </w:r>
      <w:r>
        <w:rPr>
          <w:sz w:val="18"/>
          <w:szCs w:val="18"/>
        </w:rPr>
        <w:t>Dubner, H. (1963). “The Hi-Lo Point Count System.” Presented at the Fall Joint Computer Conference, Las Vegas. Dubner’s balanced ±1 scheme made counting feasible without memorizing exact ten-density, and remains the standard taught today.</w:t>
      </w:r>
    </w:p>
  </w:footnote>
  <w:footnote w:id="27">
    <w:p>
      <w:pPr>
        <w:pStyle w:val="Normal"/>
        <w:spacing w:lineRule="exact" w:line="240" w:before="0" w:after="0"/>
        <w:rPr/>
      </w:pPr>
      <w:r>
        <w:rPr>
          <w:rStyle w:val="FootnoteCharacters"/>
        </w:rPr>
        <w:footnoteRef/>
      </w:r>
      <w:r>
        <w:rPr>
          <w:sz w:val="18"/>
          <w:szCs w:val="18"/>
        </w:rPr>
        <w:t>Griffin, P. A. (1999). The Theory of Blackjack (6th ed.). Las Vegas: Huntington Press. Griffin’s tables of betting correlation and playing efficiency are the canonical reference for comparing counting systems; Hi-Lo’s high betting correlation is why it remains dominant despite simpler tags than multi-level systems.</w:t>
      </w:r>
    </w:p>
  </w:footnote>
  <w:footnote w:id="28">
    <w:p>
      <w:pPr>
        <w:pStyle w:val="Normal"/>
        <w:spacing w:lineRule="exact" w:line="240" w:before="0" w:after="0"/>
        <w:rPr/>
      </w:pPr>
      <w:r>
        <w:rPr>
          <w:rStyle w:val="FootnoteCharacters"/>
        </w:rPr>
        <w:footnoteRef/>
      </w:r>
      <w:r>
        <w:rPr>
          <w:sz w:val="18"/>
          <w:szCs w:val="18"/>
        </w:rPr>
        <w:t>Per the Hi-Lo betting guidance summarized in Wong (1994) and on the Wizard of Odds Hi-Lo pages. The “half a percent per true count” rule of thumb is approximate and depends on rules and penetration, but is accurate enough for bankroll planning.</w:t>
      </w:r>
    </w:p>
  </w:footnote>
  <w:footnote w:id="29">
    <w:p>
      <w:pPr>
        <w:pStyle w:val="Normal"/>
        <w:spacing w:lineRule="exact" w:line="240" w:before="0" w:after="0"/>
        <w:rPr/>
      </w:pPr>
      <w:r>
        <w:rPr>
          <w:rStyle w:val="FootnoteCharacters"/>
        </w:rPr>
        <w:footnoteRef/>
      </w:r>
      <w:r>
        <w:rPr>
          <w:sz w:val="18"/>
          <w:szCs w:val="18"/>
        </w:rPr>
        <w:t>Uston, K., &amp; Rapoport, R. (1977). The Big Player. New York: Holt, Rinehart and Winston. Uston, K. (1981). Million Dollar Blackjack. Hollywood: Gambling Times. Uston’s teams demonstrated that pooling capital and dividing the counting and big-betting roles both increased win rate and reduced the variance borne by any single player.</w:t>
      </w:r>
    </w:p>
  </w:footnote>
  <w:footnote w:id="30">
    <w:p>
      <w:pPr>
        <w:pStyle w:val="Normal"/>
        <w:spacing w:lineRule="exact" w:line="240" w:before="0" w:after="0"/>
        <w:rPr/>
      </w:pPr>
      <w:r>
        <w:rPr>
          <w:rStyle w:val="FootnoteCharacters"/>
        </w:rPr>
        <w:footnoteRef/>
      </w:r>
      <w:r>
        <w:rPr>
          <w:sz w:val="18"/>
          <w:szCs w:val="18"/>
        </w:rPr>
        <w:t>Mezrich, B. (2002). Bringing Down the House. New York: Free Press; and the historical record summarized in standard accounts of the MIT teams. Figures for the founding bank and peak headcount are drawn from Kaplan’s own published recollections.</w:t>
      </w:r>
    </w:p>
  </w:footnote>
  <w:footnote w:id="31">
    <w:p>
      <w:pPr>
        <w:pStyle w:val="Normal"/>
        <w:spacing w:lineRule="exact" w:line="240" w:before="0" w:after="0"/>
        <w:rPr/>
      </w:pPr>
      <w:r>
        <w:rPr>
          <w:rStyle w:val="FootnoteCharacters"/>
        </w:rPr>
        <w:footnoteRef/>
      </w:r>
      <w:r>
        <w:rPr>
          <w:sz w:val="18"/>
          <w:szCs w:val="18"/>
        </w:rPr>
        <w:t>Uston v. Resorts International Hotel, Inc., 445 A.2d 370 (N.J. 1982). The New Jersey Supreme Court held that Atlantic City casinos could not exclude counters absent a Casino Control Commission regulation, making New Jersey the singular jurisdiction in which counters cannot simply be barred for skill. Elsewhere, the common-law right of a private business to exclude patrons generally governs.</w:t>
      </w:r>
    </w:p>
  </w:footnote>
  <w:footnote w:id="32">
    <w:p>
      <w:pPr>
        <w:pStyle w:val="Normal"/>
        <w:spacing w:lineRule="exact" w:line="240" w:before="0" w:after="0"/>
        <w:rPr/>
      </w:pPr>
      <w:r>
        <w:rPr>
          <w:rStyle w:val="FootnoteCharacters"/>
        </w:rPr>
        <w:footnoteRef/>
      </w:r>
      <w:r>
        <w:rPr>
          <w:sz w:val="18"/>
          <w:szCs w:val="18"/>
        </w:rPr>
        <w:t>Nevada Revised Statutes § 465.075. The statute criminalizes the use of any device to project odds or keep track of cards; the distinction the law draws is between unaided cognition (legal) and mechanical or electronic assistance (felony).</w:t>
      </w:r>
    </w:p>
  </w:footnote>
  <w:footnote w:id="33">
    <w:p>
      <w:pPr>
        <w:pStyle w:val="Normal"/>
        <w:spacing w:lineRule="exact" w:line="240" w:before="0" w:after="0"/>
        <w:rPr/>
      </w:pPr>
      <w:r>
        <w:rPr>
          <w:rStyle w:val="FootnoteCharacters"/>
        </w:rPr>
        <w:footnoteRef/>
      </w:r>
      <w:r>
        <w:rPr>
          <w:sz w:val="18"/>
          <w:szCs w:val="18"/>
        </w:rPr>
        <w:t>Grosjean, J. (2007). Beyond Counting: Exhibit CAA. Las Vegas: South Side Advantage Press. Grosjean’s lawsuits against Griffin Investigations and others established important limits on how casinos may detain and identify suspected advantage players; Griffin filed for bankruptcy in 2005 following adverse judgments.</w:t>
      </w:r>
    </w:p>
  </w:footnote>
  <w:footnote w:id="34">
    <w:p>
      <w:pPr>
        <w:pStyle w:val="Normal"/>
        <w:spacing w:lineRule="exact" w:line="240" w:before="0" w:after="0"/>
        <w:rPr/>
      </w:pPr>
      <w:r>
        <w:rPr>
          <w:rStyle w:val="FootnoteCharacters"/>
        </w:rPr>
        <w:footnoteRef/>
      </w:r>
      <w:r>
        <w:rPr>
          <w:sz w:val="18"/>
          <w:szCs w:val="18"/>
        </w:rPr>
        <w:t>Dancer, B. (2003). Million Dollar Video Poker. Las Vegas: Huntington Press; Frome, L., &amp; Frome, E. (2003). Expert Video Poker for Las Vegas. The exact computability of video poker returns—absent on reel slots, which conceal their virtual-reel weightings—is what places it in the advantage-play category.</w:t>
      </w:r>
    </w:p>
  </w:footnote>
  <w:footnote w:id="35">
    <w:p>
      <w:pPr>
        <w:pStyle w:val="Normal"/>
        <w:spacing w:lineRule="exact" w:line="240" w:before="0" w:after="0"/>
        <w:rPr/>
      </w:pPr>
      <w:r>
        <w:rPr>
          <w:rStyle w:val="FootnoteCharacters"/>
        </w:rPr>
        <w:footnoteRef/>
      </w:r>
      <w:r>
        <w:rPr>
          <w:sz w:val="18"/>
          <w:szCs w:val="18"/>
        </w:rPr>
        <w:t>Shackleford, M. (2024). “Jacks or Better.” Wizard of Odds; vpFree2 pay-table surveys. The “full-pay” 9/6 schedule is the benchmark; each downgrade in the full-house or flush line is immediately visible to a player who knows to read it.</w:t>
      </w:r>
    </w:p>
  </w:footnote>
  <w:footnote w:id="36">
    <w:p>
      <w:pPr>
        <w:pStyle w:val="Normal"/>
        <w:spacing w:lineRule="exact" w:line="240" w:before="0" w:after="0"/>
        <w:rPr/>
      </w:pPr>
      <w:r>
        <w:rPr>
          <w:rStyle w:val="FootnoteCharacters"/>
        </w:rPr>
        <w:footnoteRef/>
      </w:r>
      <w:r>
        <w:rPr>
          <w:sz w:val="18"/>
          <w:szCs w:val="18"/>
        </w:rPr>
        <w:t>Shackleford, M. (2024). “Jacks or Better – Simple Strategy.” Wizard of Odds. The small gap between a simplified chart and perfect play means a diligent amateur can capture nearly all of the available return; the larger danger is playing a degraded pay table, not minor strategy error.</w:t>
      </w:r>
    </w:p>
  </w:footnote>
  <w:footnote w:id="37">
    <w:p>
      <w:pPr>
        <w:pStyle w:val="Normal"/>
        <w:spacing w:lineRule="exact" w:line="240" w:before="0" w:after="0"/>
        <w:rPr/>
      </w:pPr>
      <w:r>
        <w:rPr>
          <w:rStyle w:val="FootnoteCharacters"/>
        </w:rPr>
        <w:footnoteRef/>
      </w:r>
      <w:r>
        <w:rPr>
          <w:sz w:val="18"/>
          <w:szCs w:val="18"/>
        </w:rPr>
        <w:t>Hundred Percent Gambling, “Deuces Wild Full Pay.” The structural dependence of the advantage on rare jackpot hands is why video poker, despite a positive expectation, demands a large bankroll and produces frequent losing sessions; the edge is genuine but high-variance.</w:t>
      </w:r>
    </w:p>
  </w:footnote>
  <w:footnote w:id="38">
    <w:p>
      <w:pPr>
        <w:pStyle w:val="Normal"/>
        <w:spacing w:lineRule="exact" w:line="240" w:before="0" w:after="0"/>
        <w:rPr/>
      </w:pPr>
      <w:r>
        <w:rPr>
          <w:rStyle w:val="FootnoteCharacters"/>
        </w:rPr>
        <w:footnoteRef/>
      </w:r>
      <w:r>
        <w:rPr>
          <w:sz w:val="18"/>
          <w:szCs w:val="18"/>
        </w:rPr>
        <w:t>Shackleford, M., Wizard of Odds video-poker progressive analysis. Progressive meters are publicly displayed, so a player can identify a positive-expectation machine simply by reading the meter against the known break-even, a classic advantage-play technique.</w:t>
      </w:r>
    </w:p>
  </w:footnote>
  <w:footnote w:id="39">
    <w:p>
      <w:pPr>
        <w:pStyle w:val="Normal"/>
        <w:spacing w:lineRule="exact" w:line="240" w:before="0" w:after="0"/>
        <w:rPr/>
      </w:pPr>
      <w:r>
        <w:rPr>
          <w:rStyle w:val="FootnoteCharacters"/>
        </w:rPr>
        <w:footnoteRef/>
      </w:r>
      <w:r>
        <w:rPr>
          <w:sz w:val="18"/>
          <w:szCs w:val="18"/>
        </w:rPr>
        <w:t>Scott, J. (2005). The Frugal Gambler; Scott, J. (2003). More Frugal Gambling. Las Vegas: Huntington Press. Scott’s central method is to combine full-pay machine selection, perfect play, and aggressive harvesting of cash-back, mailers, and promotions—the comp stream often being the actual source of profit.</w:t>
      </w:r>
    </w:p>
  </w:footnote>
  <w:footnote w:id="40">
    <w:p>
      <w:pPr>
        <w:pStyle w:val="Normal"/>
        <w:spacing w:lineRule="exact" w:line="240" w:before="0" w:after="0"/>
        <w:rPr/>
      </w:pPr>
      <w:r>
        <w:rPr>
          <w:rStyle w:val="FootnoteCharacters"/>
        </w:rPr>
        <w:footnoteRef/>
      </w:r>
      <w:r>
        <w:rPr>
          <w:sz w:val="18"/>
          <w:szCs w:val="18"/>
        </w:rPr>
        <w:t>Sklansky, D. (1999). The Theory of Poker (4th ed.). Las Vegas: Two Plus Two Publishing. Sklansky’s “Fundamental Theorem of Poker” frames every decision in terms of whether it gains or loses expectation relative to playing with full information, the conceptual basis of all subsequent quantitative poker theory.</w:t>
      </w:r>
    </w:p>
  </w:footnote>
  <w:footnote w:id="41">
    <w:p>
      <w:pPr>
        <w:pStyle w:val="Normal"/>
        <w:spacing w:lineRule="exact" w:line="240" w:before="0" w:after="0"/>
        <w:rPr/>
      </w:pPr>
      <w:r>
        <w:rPr>
          <w:rStyle w:val="FootnoteCharacters"/>
        </w:rPr>
        <w:footnoteRef/>
      </w:r>
      <w:r>
        <w:rPr>
          <w:sz w:val="18"/>
          <w:szCs w:val="18"/>
        </w:rPr>
        <w:t>These definitions are standard; see Sklansky (1999) and Chen, B., &amp; Ankenman, J. (2006), The Mathematics of Poker, Pittsburgh: ConJelCo, which provides the rigorous game-theoretic treatment of pot odds, bluffing frequencies, and indifference.</w:t>
      </w:r>
    </w:p>
  </w:footnote>
  <w:footnote w:id="42">
    <w:p>
      <w:pPr>
        <w:pStyle w:val="Normal"/>
        <w:spacing w:lineRule="exact" w:line="240" w:before="0" w:after="0"/>
        <w:rPr/>
      </w:pPr>
      <w:r>
        <w:rPr>
          <w:rStyle w:val="FootnoteCharacters"/>
        </w:rPr>
        <w:footnoteRef/>
      </w:r>
      <w:r>
        <w:rPr>
          <w:sz w:val="18"/>
          <w:szCs w:val="18"/>
        </w:rPr>
        <w:t>Janda, M. (2013). Applications of No-Limit Hold’em: A Guide to Understanding Theoretical Sound Poker. Las Vegas: Two Plus Two Publishing. Janda derives bet-sizing and range-construction principles from indifference conditions, giving the practical player a route to near-unexploitable play without a real-time solver.</w:t>
      </w:r>
    </w:p>
  </w:footnote>
  <w:footnote w:id="43">
    <w:p>
      <w:pPr>
        <w:pStyle w:val="Normal"/>
        <w:spacing w:lineRule="exact" w:line="240" w:before="0" w:after="0"/>
        <w:rPr/>
      </w:pPr>
      <w:r>
        <w:rPr>
          <w:rStyle w:val="FootnoteCharacters"/>
        </w:rPr>
        <w:footnoteRef/>
      </w:r>
      <w:r>
        <w:rPr>
          <w:sz w:val="18"/>
          <w:szCs w:val="18"/>
        </w:rPr>
        <w:t>Bowling, M., Burch, N., Johanson, M., &amp; Tammelin, O. (2015). “Heads-up Limit Hold’em Poker Is Solved.” Science, 347(6218), 145–149; Brown, N., &amp; Sandholm, T. (2018). “Superhuman AI for Heads-up No-Limit Poker: Libratus.” Science, 359(6374), 418–424. These results confirm that poker is a game of computable optimal strategy, validating the GTO program that Janda and others apply heuristically at the table.</w:t>
      </w:r>
    </w:p>
  </w:footnote>
  <w:footnote w:id="44">
    <w:p>
      <w:pPr>
        <w:pStyle w:val="Normal"/>
        <w:spacing w:lineRule="exact" w:line="240" w:before="0" w:after="0"/>
        <w:rPr/>
      </w:pPr>
      <w:r>
        <w:rPr>
          <w:rStyle w:val="FootnoteCharacters"/>
        </w:rPr>
        <w:footnoteRef/>
      </w:r>
      <w:r>
        <w:rPr>
          <w:sz w:val="18"/>
          <w:szCs w:val="18"/>
        </w:rPr>
        <w:t>Chen &amp; Ankenman (2006), The Mathematics of Poker, ch. on bankroll and variance; and standard professional guidance recommending 300+ buy-ins for cash games and far more for tournaments owing to their higher variance. The rake, typically 5% of the pot capped at a few dollars, is the players’ collective cost of being hosted and must be overcome by skill edge.</w:t>
      </w:r>
    </w:p>
  </w:footnote>
  <w:footnote w:id="45">
    <w:p>
      <w:pPr>
        <w:pStyle w:val="Normal"/>
        <w:spacing w:lineRule="exact" w:line="240" w:before="0" w:after="0"/>
        <w:rPr/>
      </w:pPr>
      <w:r>
        <w:rPr>
          <w:rStyle w:val="FootnoteCharacters"/>
        </w:rPr>
        <w:footnoteRef/>
      </w:r>
      <w:r>
        <w:rPr>
          <w:sz w:val="18"/>
          <w:szCs w:val="18"/>
        </w:rPr>
        <w:t>Kelly, J. L., Jr. (1956). “A New Interpretation of Information Rate.” Bell System Technical Journal, 35(4), 917–926. Kelly framed the result in terms of information rate, but its gambling interpretation—maximize expected log wealth—was immediate and was seized upon by Thorp.</w:t>
      </w:r>
    </w:p>
  </w:footnote>
  <w:footnote w:id="46">
    <w:p>
      <w:pPr>
        <w:pStyle w:val="Normal"/>
        <w:spacing w:lineRule="exact" w:line="240" w:before="0" w:after="0"/>
        <w:rPr/>
      </w:pPr>
      <w:r>
        <w:rPr>
          <w:rStyle w:val="FootnoteCharacters"/>
        </w:rPr>
        <w:footnoteRef/>
      </w:r>
      <w:r>
        <w:rPr>
          <w:sz w:val="18"/>
          <w:szCs w:val="18"/>
        </w:rPr>
        <w:t>Thorp, E. O. (2006). “The Kelly Criterion in Blackjack, Sports Betting, and the Stock Market.” In Handbook of Asset and Liability Management. Reno: University of Nevada; and Poundstone, W. (2005), Fortune’s Formula, New York: Hill and Wang, which narrates the Kelly–Thorp lineage from Bell Labs to Wall Street.</w:t>
      </w:r>
    </w:p>
  </w:footnote>
  <w:footnote w:id="47">
    <w:p>
      <w:pPr>
        <w:pStyle w:val="Normal"/>
        <w:spacing w:lineRule="exact" w:line="240" w:before="0" w:after="0"/>
        <w:rPr/>
      </w:pPr>
      <w:r>
        <w:rPr>
          <w:rStyle w:val="FootnoteCharacters"/>
        </w:rPr>
        <w:footnoteRef/>
      </w:r>
      <w:r>
        <w:rPr>
          <w:sz w:val="18"/>
          <w:szCs w:val="18"/>
        </w:rPr>
        <w:t>MacLean, L. C., Thorp, E. O., &amp; Ziemba, W. T. (Eds.) (2011). The Kelly Capital Growth Investment Criterion. Singapore: World Scientific. The volume documents the drawdown characteristics of full Kelly and the variance-reduction properties of fractional Kelly across gambling and investment settings.</w:t>
      </w:r>
    </w:p>
  </w:footnote>
  <w:footnote w:id="48">
    <w:p>
      <w:pPr>
        <w:pStyle w:val="Normal"/>
        <w:spacing w:lineRule="exact" w:line="240" w:before="0" w:after="0"/>
        <w:rPr/>
      </w:pPr>
      <w:r>
        <w:rPr>
          <w:rStyle w:val="FootnoteCharacters"/>
        </w:rPr>
        <w:footnoteRef/>
      </w:r>
      <w:r>
        <w:rPr>
          <w:sz w:val="18"/>
          <w:szCs w:val="18"/>
        </w:rPr>
        <w:t>MacLean, Ziemba &amp; Blazenko (1992). “Growth versus Security in Dynamic Investment Analysis.” Management Science, 38(11), 1562–1585. The growth-security trade-off they formalize is the rigorous basis for the common advantage-play practice of betting a half- or quarter-Kelly fraction.</w:t>
      </w:r>
    </w:p>
  </w:footnote>
  <w:footnote w:id="49">
    <w:p>
      <w:pPr>
        <w:pStyle w:val="Normal"/>
        <w:spacing w:lineRule="exact" w:line="240" w:before="0" w:after="0"/>
        <w:rPr/>
      </w:pPr>
      <w:r>
        <w:rPr>
          <w:rStyle w:val="FootnoteCharacters"/>
        </w:rPr>
        <w:footnoteRef/>
      </w:r>
      <w:r>
        <w:rPr>
          <w:sz w:val="18"/>
          <w:szCs w:val="18"/>
        </w:rPr>
        <w:t>Risk-of-ruin formulas for blackjack are developed in Schlesinger (2018), Blackjack Attack, and Werthamer (2018), Risk and Reward. The exponential dependence on the bankroll-to-bet ratio is why advantage players speak in units (bankroll/bet) rather than dollars, and why team play—pooling capital—so sharply reduces individual ruin risk.</w:t>
      </w:r>
    </w:p>
  </w:footnote>
  <w:footnote w:id="50">
    <w:p>
      <w:pPr>
        <w:pStyle w:val="Normal"/>
        <w:spacing w:lineRule="exact" w:line="240" w:before="0" w:after="0"/>
        <w:rPr/>
      </w:pPr>
      <w:r>
        <w:rPr>
          <w:rStyle w:val="FootnoteCharacters"/>
        </w:rPr>
        <w:footnoteRef/>
      </w:r>
      <w:r>
        <w:rPr>
          <w:sz w:val="18"/>
          <w:szCs w:val="18"/>
        </w:rPr>
        <w:t>This is a direct consequence of the optional stopping theorem for martingales / supermartingales; see Feller (1968) and any standard treatment of stopping times. The expectation of a stopped supermartingale cannot exceed its starting value—formally, stopping rules cannot turn a negative-EV process positive.</w:t>
      </w:r>
    </w:p>
  </w:footnote>
  <w:footnote w:id="51">
    <w:p>
      <w:pPr>
        <w:pStyle w:val="Normal"/>
        <w:spacing w:lineRule="exact" w:line="240" w:before="0" w:after="0"/>
        <w:rPr/>
      </w:pPr>
      <w:r>
        <w:rPr>
          <w:rStyle w:val="FootnoteCharacters"/>
        </w:rPr>
        <w:footnoteRef/>
      </w:r>
      <w:r>
        <w:rPr>
          <w:sz w:val="18"/>
          <w:szCs w:val="18"/>
        </w:rPr>
        <w:t>Shefrin, H., &amp; Statman, M. (1985). “The Disposition to Sell Winners Too Early and Ride Losers Too Long.” Journal of Finance, 40(3), 777–790; Odean, T. (1998). “Are Investors Reluctant to Realize Their Losses?” Journal of Finance, 53(5), 1775–1798. The disposition effect documented in real brokerage data is the trading analogue of the gambler who refuses to leave while losing.</w:t>
      </w:r>
    </w:p>
  </w:footnote>
  <w:footnote w:id="52">
    <w:p>
      <w:pPr>
        <w:pStyle w:val="Normal"/>
        <w:spacing w:lineRule="exact" w:line="240" w:before="0" w:after="0"/>
        <w:rPr/>
      </w:pPr>
      <w:r>
        <w:rPr>
          <w:rStyle w:val="FootnoteCharacters"/>
        </w:rPr>
        <w:footnoteRef/>
      </w:r>
      <w:r>
        <w:rPr>
          <w:sz w:val="18"/>
          <w:szCs w:val="18"/>
        </w:rPr>
        <w:t>Kahneman, D., &amp; Tversky, A. (1979). “Prospect Theory: An Analysis of Decision under Risk.” Econometrica, 47(2), 263–291. The asymmetric, reference-dependent value function is the foundation on which all subsequent loss-aversion research is built.</w:t>
      </w:r>
    </w:p>
  </w:footnote>
  <w:footnote w:id="53">
    <w:p>
      <w:pPr>
        <w:pStyle w:val="Normal"/>
        <w:spacing w:lineRule="exact" w:line="240" w:before="0" w:after="0"/>
        <w:rPr/>
      </w:pPr>
      <w:r>
        <w:rPr>
          <w:rStyle w:val="FootnoteCharacters"/>
        </w:rPr>
        <w:footnoteRef/>
      </w:r>
      <w:r>
        <w:rPr>
          <w:sz w:val="18"/>
          <w:szCs w:val="18"/>
        </w:rPr>
        <w:t>Tversky, A., &amp; Kahneman, D. (1992). “Advances in Prospect Theory: Cumulative Representation of Uncertainty.” Journal of Risk and Uncertainty, 5(4), 297–323. The median λ ≈ 2.25 has been replicated across many domains and is the quantitative anchor for the claim that losing money hurts disproportionately.</w:t>
      </w:r>
    </w:p>
  </w:footnote>
  <w:footnote w:id="54">
    <w:p>
      <w:pPr>
        <w:pStyle w:val="Normal"/>
        <w:spacing w:lineRule="exact" w:line="240" w:before="0" w:after="0"/>
        <w:rPr/>
      </w:pPr>
      <w:r>
        <w:rPr>
          <w:rStyle w:val="FootnoteCharacters"/>
        </w:rPr>
        <w:footnoteRef/>
      </w:r>
      <w:r>
        <w:rPr>
          <w:sz w:val="18"/>
          <w:szCs w:val="18"/>
        </w:rPr>
        <w:t>Thaler, R. H., &amp; Johnson, E. J. (1990). “Gambling with the House Money and Trying to Break Even.” Management Science, 36(6), 643–660. The break-even effect is the precise mechanism behind loss-chasing; the house-money effect explains why players give back winnings rather than banking them.</w:t>
      </w:r>
    </w:p>
  </w:footnote>
  <w:footnote w:id="55">
    <w:p>
      <w:pPr>
        <w:pStyle w:val="Normal"/>
        <w:spacing w:lineRule="exact" w:line="240" w:before="0" w:after="0"/>
        <w:rPr/>
      </w:pPr>
      <w:r>
        <w:rPr>
          <w:rStyle w:val="FootnoteCharacters"/>
        </w:rPr>
        <w:footnoteRef/>
      </w:r>
      <w:r>
        <w:rPr>
          <w:sz w:val="18"/>
          <w:szCs w:val="18"/>
        </w:rPr>
        <w:t>Clotfelter, C. T., &amp; Cook, P. J. (1993). “The ‘Gambler’s Fallacy’ in Lottery Play.” Management Science, 39(12), 1521–1525; Croson &amp; Sundali (2005).</w:t>
      </w:r>
    </w:p>
  </w:footnote>
  <w:footnote w:id="56">
    <w:p>
      <w:pPr>
        <w:pStyle w:val="Normal"/>
        <w:spacing w:lineRule="exact" w:line="240" w:before="0" w:after="0"/>
        <w:rPr/>
      </w:pPr>
      <w:r>
        <w:rPr>
          <w:rStyle w:val="FootnoteCharacters"/>
        </w:rPr>
        <w:footnoteRef/>
      </w:r>
      <w:r>
        <w:rPr>
          <w:sz w:val="18"/>
          <w:szCs w:val="18"/>
        </w:rPr>
        <w:t>Gilovich, T., Vallone, R., &amp; Tversky, A. (1985). “The Hot Hand in Basketball.” Cognitive Psychology, 17(3), 295–314. Ayton and Fischer (2004) later argued the gambler’s and hot-hand fallacies are two responses to the same misperception of randomness.</w:t>
      </w:r>
    </w:p>
  </w:footnote>
  <w:footnote w:id="57">
    <w:p>
      <w:pPr>
        <w:pStyle w:val="Normal"/>
        <w:spacing w:lineRule="exact" w:line="240" w:before="0" w:after="0"/>
        <w:rPr/>
      </w:pPr>
      <w:r>
        <w:rPr>
          <w:rStyle w:val="FootnoteCharacters"/>
        </w:rPr>
        <w:footnoteRef/>
      </w:r>
      <w:r>
        <w:rPr>
          <w:sz w:val="18"/>
          <w:szCs w:val="18"/>
        </w:rPr>
        <w:t>Langer, E. J. (1975). “The Illusion of Control.” Journal of Personality and Social Psychology, 32(2), 311–328. The illusion is deliberately cultivated by game features that offer spurious “decisions” (stop buttons on slots, dice-throwing rituals).</w:t>
      </w:r>
    </w:p>
  </w:footnote>
  <w:footnote w:id="58">
    <w:p>
      <w:pPr>
        <w:pStyle w:val="Normal"/>
        <w:spacing w:lineRule="exact" w:line="240" w:before="0" w:after="0"/>
        <w:rPr/>
      </w:pPr>
      <w:r>
        <w:rPr>
          <w:rStyle w:val="FootnoteCharacters"/>
        </w:rPr>
        <w:footnoteRef/>
      </w:r>
      <w:r>
        <w:rPr>
          <w:sz w:val="18"/>
          <w:szCs w:val="18"/>
        </w:rPr>
        <w:t>Arkes, H. R., &amp; Blumer, C. (1985). “The Psychology of Sunk Cost.” Organizational Behavior and Human Decision Processes, 35(1), 124–140.</w:t>
      </w:r>
    </w:p>
  </w:footnote>
  <w:footnote w:id="59">
    <w:p>
      <w:pPr>
        <w:pStyle w:val="Normal"/>
        <w:spacing w:lineRule="exact" w:line="240" w:before="0" w:after="0"/>
        <w:rPr/>
      </w:pPr>
      <w:r>
        <w:rPr>
          <w:rStyle w:val="FootnoteCharacters"/>
        </w:rPr>
        <w:footnoteRef/>
      </w:r>
      <w:r>
        <w:rPr>
          <w:sz w:val="18"/>
          <w:szCs w:val="18"/>
        </w:rPr>
        <w:t>Schüll, N. D. (2012). Addiction by Design: Machine Gambling in Las Vegas. Princeton: Princeton University Press. Schüll’s fieldwork reframes machine gambling away from the “jackpot” fantasy toward the continuous, absorptive play that actually drives revenue.</w:t>
      </w:r>
    </w:p>
  </w:footnote>
  <w:footnote w:id="60">
    <w:p>
      <w:pPr>
        <w:pStyle w:val="Normal"/>
        <w:spacing w:lineRule="exact" w:line="240" w:before="0" w:after="0"/>
        <w:rPr/>
      </w:pPr>
      <w:r>
        <w:rPr>
          <w:rStyle w:val="FootnoteCharacters"/>
        </w:rPr>
        <w:footnoteRef/>
      </w:r>
      <w:r>
        <w:rPr>
          <w:sz w:val="18"/>
          <w:szCs w:val="18"/>
        </w:rPr>
        <w:t>Reid, R. L. (1986). “The Psychology of the Near Miss.” Journal of Gambling Behavior, 2(1), 32–39; Clark, L., et al. (2009). “Gambling Near-Misses Enhance Motivation to Gamble and Recruit Win-Related Brain Circuitry.” Neuron, 61(3), 481–490. The near-miss is a designed feature, not an accident of the reels.</w:t>
      </w:r>
    </w:p>
  </w:footnote>
  <w:footnote w:id="61">
    <w:p>
      <w:pPr>
        <w:pStyle w:val="Normal"/>
        <w:spacing w:lineRule="exact" w:line="240" w:before="0" w:after="0"/>
        <w:rPr/>
      </w:pPr>
      <w:r>
        <w:rPr>
          <w:rStyle w:val="FootnoteCharacters"/>
        </w:rPr>
        <w:footnoteRef/>
      </w:r>
      <w:r>
        <w:rPr>
          <w:sz w:val="18"/>
          <w:szCs w:val="18"/>
        </w:rPr>
        <w:t>Dixon, M. J., Harrigan, K. A., Sandhu, R., Collins, K., &amp; Fugelsang, J. A. (2010). “Losses Disguised as Wins in Modern Multi-line Video Slot Machines.” Addiction, 105(10), 1819–1824. LDWs are arguably the most consequential design innovation in modern slot play.</w:t>
      </w:r>
    </w:p>
  </w:footnote>
  <w:footnote w:id="62">
    <w:p>
      <w:pPr>
        <w:pStyle w:val="Normal"/>
        <w:spacing w:lineRule="exact" w:line="240" w:before="0" w:after="0"/>
        <w:rPr/>
      </w:pPr>
      <w:r>
        <w:rPr>
          <w:rStyle w:val="FootnoteCharacters"/>
        </w:rPr>
        <w:footnoteRef/>
      </w:r>
      <w:r>
        <w:rPr>
          <w:sz w:val="18"/>
          <w:szCs w:val="18"/>
        </w:rPr>
        <w:t>Ferster, C. B., &amp; Skinner, B. F. (1957). Schedules of Reinforcement. New York: Appleton-Century-Crofts. The variable-ratio schedule is the most resistant to extinction, which is precisely why it underlies machine gambling.</w:t>
      </w:r>
    </w:p>
  </w:footnote>
  <w:footnote w:id="63">
    <w:p>
      <w:pPr>
        <w:pStyle w:val="Normal"/>
        <w:spacing w:lineRule="exact" w:line="240" w:before="0" w:after="0"/>
        <w:rPr/>
      </w:pPr>
      <w:r>
        <w:rPr>
          <w:rStyle w:val="FootnoteCharacters"/>
        </w:rPr>
        <w:footnoteRef/>
      </w:r>
      <w:r>
        <w:rPr>
          <w:sz w:val="18"/>
          <w:szCs w:val="18"/>
        </w:rPr>
        <w:t>Harrigan, K. A., &amp; Dixon, M. (2009). “PAR Sheets, Probabilities, and Slot Machine Play.” Journal of Gambling Issues, 23, 81–110. The PAR sheet is the slot designer’s blueprint; its concealment is why players cannot read a reel machine’s true return the way they can read a video-poker pay table.</w:t>
      </w:r>
    </w:p>
  </w:footnote>
  <w:footnote w:id="64">
    <w:p>
      <w:pPr>
        <w:pStyle w:val="Normal"/>
        <w:spacing w:lineRule="exact" w:line="240" w:before="0" w:after="0"/>
        <w:rPr/>
      </w:pPr>
      <w:r>
        <w:rPr>
          <w:rStyle w:val="FootnoteCharacters"/>
        </w:rPr>
        <w:footnoteRef/>
      </w:r>
      <w:r>
        <w:rPr>
          <w:sz w:val="18"/>
          <w:szCs w:val="18"/>
        </w:rPr>
        <w:t>Ferris, J., &amp; Wynne, H. (2001). The Canadian Problem Gambling Index. Ottawa: Canadian Centre on Substance Abuse; Currie, S. R., Hodgins, D. C., &amp; Casey, D. M. (2013). “Validity of the PGSI Interpretive Categories.” Journal of Gambling Studies, 29(2), 311–327. Reported internal consistency (Cronbach’s α) is typically in the 0.84–0.86 range.</w:t>
      </w:r>
    </w:p>
  </w:footnote>
  <w:footnote w:id="65">
    <w:p>
      <w:pPr>
        <w:pStyle w:val="Normal"/>
        <w:spacing w:lineRule="exact" w:line="240" w:before="0" w:after="0"/>
        <w:rPr/>
      </w:pPr>
      <w:r>
        <w:rPr>
          <w:rStyle w:val="FootnoteCharacters"/>
        </w:rPr>
        <w:footnoteRef/>
      </w:r>
      <w:r>
        <w:rPr>
          <w:sz w:val="18"/>
          <w:szCs w:val="18"/>
        </w:rPr>
        <w:t>National Council on Problem Gambling (2024). National Survey on Gambling Attitudes and Gambling Experiences (NGAGE 3.0), conducted by Ipsos (n = 3,013 U.S. adults). The gap between clinical prevalence (&lt;2%) and self-reported problematic behavior (~8%) reflects the difference between diagnosable disorder and sub-clinical harm.</w:t>
      </w:r>
    </w:p>
  </w:footnote>
  <w:footnote w:id="66">
    <w:p>
      <w:pPr>
        <w:pStyle w:val="Normal"/>
        <w:spacing w:lineRule="exact" w:line="240" w:before="0" w:after="0"/>
        <w:rPr/>
      </w:pPr>
      <w:r>
        <w:rPr>
          <w:rStyle w:val="FootnoteCharacters"/>
        </w:rPr>
        <w:footnoteRef/>
      </w:r>
      <w:r>
        <w:rPr>
          <w:sz w:val="18"/>
          <w:szCs w:val="18"/>
        </w:rPr>
        <w:t>American Psychiatric Association (2013). DSM-5. Arlington, VA: APA Publishing. The 2013 reclassification of pathological gambling as a behavioral addiction (rather than an impulse-control disorder) reflected the neurobiological evidence summarized in Potenza (2008), Phil. Trans. R. Soc. B, 363, 3181–3189.</w:t>
      </w:r>
    </w:p>
  </w:footnote>
  <w:footnote w:id="67">
    <w:p>
      <w:pPr>
        <w:pStyle w:val="Normal"/>
        <w:spacing w:lineRule="exact" w:line="240" w:before="0" w:after="0"/>
        <w:rPr/>
      </w:pPr>
      <w:r>
        <w:rPr>
          <w:rStyle w:val="FootnoteCharacters"/>
        </w:rPr>
        <w:footnoteRef/>
      </w:r>
      <w:r>
        <w:rPr>
          <w:sz w:val="18"/>
          <w:szCs w:val="18"/>
        </w:rPr>
        <w:t>Turdean, C. (2012). “Computerizing Chance: The Digitization of the Slot Machine, 1960–1985.” The shift from mechanical reels to virtual-reel mapping (pioneered by Inge Telnaes’s 1984 patent) is what allowed enormous jackpots on machines with modest payback, by decoupling displayed symbols from true probabilities.</w:t>
      </w:r>
    </w:p>
  </w:footnote>
  <w:footnote w:id="68">
    <w:p>
      <w:pPr>
        <w:pStyle w:val="Normal"/>
        <w:spacing w:lineRule="exact" w:line="240" w:before="0" w:after="0"/>
        <w:rPr/>
      </w:pPr>
      <w:r>
        <w:rPr>
          <w:rStyle w:val="FootnoteCharacters"/>
        </w:rPr>
        <w:footnoteRef/>
      </w:r>
      <w:r>
        <w:rPr>
          <w:sz w:val="18"/>
          <w:szCs w:val="18"/>
        </w:rPr>
        <w:t>Shackleford, Wizard of Odds slots overview, citing a major manufacturer’s configuration range and a representative per-machine standard deviation near 8.74—far above any table game, which is why slot sessions swing so widely.</w:t>
      </w:r>
    </w:p>
  </w:footnote>
  <w:footnote w:id="69">
    <w:p>
      <w:pPr>
        <w:pStyle w:val="Normal"/>
        <w:spacing w:lineRule="exact" w:line="240" w:before="0" w:after="0"/>
        <w:rPr/>
      </w:pPr>
      <w:r>
        <w:rPr>
          <w:rStyle w:val="FootnoteCharacters"/>
        </w:rPr>
        <w:footnoteRef/>
      </w:r>
      <w:r>
        <w:rPr>
          <w:sz w:val="18"/>
          <w:szCs w:val="18"/>
        </w:rPr>
        <w:t>Shackleford, M. (2024). “Megabucks.” Wizard of Odds, https://wizardofodds.com/games/slots/megabucks/. The annuity structure and tax treatment mean the nominal break-even meter understates the cash break-even, pushing the genuinely +EV threshold even higher and further out of reach.</w:t>
      </w:r>
    </w:p>
  </w:footnote>
  <w:footnote w:id="70">
    <w:p>
      <w:pPr>
        <w:pStyle w:val="Normal"/>
        <w:spacing w:lineRule="exact" w:line="240" w:before="0" w:after="0"/>
        <w:rPr/>
      </w:pPr>
      <w:r>
        <w:rPr>
          <w:rStyle w:val="FootnoteCharacters"/>
        </w:rPr>
        <w:footnoteRef/>
      </w:r>
      <w:r>
        <w:rPr>
          <w:sz w:val="18"/>
          <w:szCs w:val="18"/>
        </w:rPr>
        <w:t>vpFree2 (2024), Video Poker Pay Table Surveys. The existence of crowd-sourced, machine-level pay-table databases turns full-pay hunting from guesswork into lookup; the same role is played for table rules by Wizard of Vegas and similar forums.</w:t>
      </w:r>
    </w:p>
  </w:footnote>
  <w:footnote w:id="71">
    <w:p>
      <w:pPr>
        <w:pStyle w:val="Normal"/>
        <w:spacing w:lineRule="exact" w:line="240" w:before="0" w:after="0"/>
        <w:rPr/>
      </w:pPr>
      <w:r>
        <w:rPr>
          <w:rStyle w:val="FootnoteCharacters"/>
        </w:rPr>
        <w:footnoteRef/>
      </w:r>
      <w:r>
        <w:rPr>
          <w:sz w:val="18"/>
          <w:szCs w:val="18"/>
        </w:rPr>
        <w:t>Kilby, Fox &amp; Lucas (2004), Casino Operations Management, ch. on player rating and comp policy; Friedman, B. (2000), Designing Casinos to Dominate the Competition. The theo calculation is the casino’s internal estimate of a player’s value; comps are a deliberate reinvestment of a portion of it.</w:t>
      </w:r>
    </w:p>
  </w:footnote>
  <w:footnote w:id="72">
    <w:p>
      <w:pPr>
        <w:pStyle w:val="Normal"/>
        <w:spacing w:lineRule="exact" w:line="240" w:before="0" w:after="0"/>
        <w:rPr/>
      </w:pPr>
      <w:r>
        <w:rPr>
          <w:rStyle w:val="FootnoteCharacters"/>
        </w:rPr>
        <w:footnoteRef/>
      </w:r>
      <w:r>
        <w:rPr>
          <w:sz w:val="18"/>
          <w:szCs w:val="18"/>
        </w:rPr>
        <w:t>Scott, J. (2005). The Frugal Gambler; Scott, J. (2003). More Frugal Gambling. Las Vegas: Huntington Press. Scott’s method treats the casino’s theo-based comp formula as exploitable because it assumes average (poor) play; a skilled player’s real edge is far better than the formula assumes.</w:t>
      </w:r>
    </w:p>
  </w:footnote>
  <w:footnote w:id="73">
    <w:p>
      <w:pPr>
        <w:pStyle w:val="Normal"/>
        <w:spacing w:lineRule="exact" w:line="240" w:before="0" w:after="0"/>
        <w:rPr/>
      </w:pPr>
      <w:r>
        <w:rPr>
          <w:rStyle w:val="FootnoteCharacters"/>
        </w:rPr>
        <w:footnoteRef/>
      </w:r>
      <w:r>
        <w:rPr>
          <w:sz w:val="18"/>
          <w:szCs w:val="18"/>
        </w:rPr>
        <w:t>Uston v. Resorts International, 445 A.2d 370 (N.J. 1982), remains the lone major exception; the general common-law rule permitting a private business to refuse service governs elsewhere. The practical implication is that the skilled player’s adversary is not the law but the casino’s discretion.</w:t>
      </w:r>
    </w:p>
  </w:footnote>
  <w:footnote w:id="74">
    <w:p>
      <w:pPr>
        <w:pStyle w:val="Normal"/>
        <w:spacing w:lineRule="exact" w:line="240" w:before="0" w:after="0"/>
        <w:rPr/>
      </w:pPr>
      <w:r>
        <w:rPr>
          <w:rStyle w:val="FootnoteCharacters"/>
        </w:rPr>
        <w:footnoteRef/>
      </w:r>
      <w:r>
        <w:rPr>
          <w:sz w:val="18"/>
          <w:szCs w:val="18"/>
        </w:rPr>
        <w:t>Eadington, W. R. (1999). “The Economics of Casino Gambling.” Journal of Economic Perspectives, 13(3), 173–192. Eadington traces the transformation of gambling from a marginal vice into a mainstream leisure industry and analyzes the volume-driven economics of the modern casino.</w:t>
      </w:r>
    </w:p>
  </w:footnote>
  <w:footnote w:id="75">
    <w:p>
      <w:pPr>
        <w:pStyle w:val="Normal"/>
        <w:spacing w:lineRule="exact" w:line="240" w:before="0" w:after="0"/>
        <w:rPr/>
      </w:pPr>
      <w:r>
        <w:rPr>
          <w:rStyle w:val="FootnoteCharacters"/>
        </w:rPr>
        <w:footnoteRef/>
      </w:r>
      <w:r>
        <w:rPr>
          <w:sz w:val="18"/>
          <w:szCs w:val="18"/>
        </w:rPr>
        <w:t>Thorp, E. O. (1962). Beat the Dealer. The book’s publication caused a measurable disruption: casinos briefly changed blackjack rules in response, then reverted when they realized that few players could execute the system and that the publicity increased play.</w:t>
      </w:r>
    </w:p>
  </w:footnote>
  <w:footnote w:id="76">
    <w:p>
      <w:pPr>
        <w:pStyle w:val="Normal"/>
        <w:spacing w:lineRule="exact" w:line="240" w:before="0" w:after="0"/>
        <w:rPr/>
      </w:pPr>
      <w:r>
        <w:rPr>
          <w:rStyle w:val="FootnoteCharacters"/>
        </w:rPr>
        <w:footnoteRef/>
      </w:r>
      <w:r>
        <w:rPr>
          <w:sz w:val="18"/>
          <w:szCs w:val="18"/>
        </w:rPr>
        <w:t>Turdean, C. (2012). “Computerizing Chance.” The Telnaes patent (US 4,448,419) is widely regarded as the single most important technical innovation in modern slot design, because it made life-changing jackpots compatible with sustainable house economics.</w:t>
      </w:r>
    </w:p>
  </w:footnote>
  <w:footnote w:id="77">
    <w:p>
      <w:pPr>
        <w:pStyle w:val="Normal"/>
        <w:spacing w:lineRule="exact" w:line="240" w:before="0" w:after="0"/>
        <w:rPr/>
      </w:pPr>
      <w:r>
        <w:rPr>
          <w:rStyle w:val="FootnoteCharacters"/>
        </w:rPr>
        <w:footnoteRef/>
      </w:r>
      <w:r>
        <w:rPr>
          <w:sz w:val="18"/>
          <w:szCs w:val="18"/>
        </w:rPr>
        <w:t>Nevada Gaming Control Board (2023), Gaming Revenue Report; American Gaming Association (2024), State of the States. As of the mid-2020s commercial casino gaming operates in the large majority of U.S. states, with regulatory regimes modeled substantially on Nevada and New Jersey.</w:t>
      </w:r>
    </w:p>
  </w:footnote>
  <w:footnote w:id="78">
    <w:p>
      <w:pPr>
        <w:pStyle w:val="Normal"/>
        <w:spacing w:lineRule="exact" w:line="240" w:before="0" w:after="0"/>
        <w:rPr/>
      </w:pPr>
      <w:r>
        <w:rPr>
          <w:rStyle w:val="FootnoteCharacters"/>
        </w:rPr>
        <w:footnoteRef/>
      </w:r>
      <w:r>
        <w:rPr>
          <w:sz w:val="18"/>
          <w:szCs w:val="18"/>
        </w:rPr>
        <w:t>Kilby, Fox &amp; Lucas (2004), Casino Operations Management; Friedman, B. (2000), Designing Casinos to Dominate the Competition. The reinvestment rate (comps as a percentage of theoretical win) is a managed marketing variable, not generosity, and is calibrated to maximize retained play.</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8C4D0"/>
      </w:pBdr>
      <w:spacing w:before="0" w:after="120"/>
      <w:rPr/>
    </w:pPr>
    <w:r>
      <w:rPr>
        <w:i/>
        <w:iCs/>
        <w:color w:val="44546A"/>
        <w:sz w:val="16"/>
        <w:szCs w:val="16"/>
      </w:rPr>
      <w:t>The Mathematics, Theory, and Psychology of Casino Gambling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280"/>
      </w:pPr>
      <w:rPr>
        <w:rFonts w:ascii="Symbol" w:hAnsi="Symbol" w:cs="Symbol" w:hint="default"/>
      </w:rPr>
    </w:lvl>
    <w:lvl w:ilvl="1">
      <w:start w:val="1"/>
      <w:numFmt w:val="bullet"/>
      <w:lvlText w:val="◦"/>
      <w:lvlJc w:val="left"/>
      <w:pPr>
        <w:tabs>
          <w:tab w:val="num" w:pos="0"/>
        </w:tabs>
        <w:ind w:left="1080" w:hanging="28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60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color w:val="222222"/>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Georgia" w:hAnsi="Georgia" w:eastAsia="Georgia" w:cs="Georgia"/>
      <w:color w:val="222222"/>
      <w:kern w:val="0"/>
      <w:sz w:val="22"/>
      <w:szCs w:val="22"/>
      <w:lang w:val="en-US" w:eastAsia="zh-CN" w:bidi="hi-IN"/>
    </w:rPr>
  </w:style>
  <w:style w:type="paragraph" w:styleId="Heading1">
    <w:name w:val="Heading 1"/>
    <w:basedOn w:val="Heading"/>
    <w:qFormat/>
    <w:pPr>
      <w:spacing w:before="240" w:after="160"/>
      <w:outlineLvl w:val="0"/>
    </w:pPr>
    <w:rPr>
      <w:rFonts w:ascii="Georgia" w:hAnsi="Georgia" w:eastAsia="Georgia" w:cs="Georgia"/>
      <w:b/>
      <w:bCs/>
      <w:color w:val="1F3A5F"/>
      <w:sz w:val="30"/>
      <w:szCs w:val="30"/>
    </w:rPr>
  </w:style>
  <w:style w:type="paragraph" w:styleId="Heading2">
    <w:name w:val="Heading 2"/>
    <w:basedOn w:val="Heading"/>
    <w:qFormat/>
    <w:pPr>
      <w:spacing w:before="200" w:after="110"/>
      <w:outlineLvl w:val="1"/>
    </w:pPr>
    <w:rPr>
      <w:rFonts w:ascii="Georgia" w:hAnsi="Georgia" w:eastAsia="Georgia" w:cs="Georgia"/>
      <w:b/>
      <w:bCs/>
      <w:color w:val="1F3A5F"/>
      <w:sz w:val="25"/>
      <w:szCs w:val="25"/>
    </w:rPr>
  </w:style>
  <w:style w:type="paragraph" w:styleId="Heading3">
    <w:name w:val="Heading 3"/>
    <w:basedOn w:val="Heading"/>
    <w:qFormat/>
    <w:pPr>
      <w:spacing w:before="160" w:after="90"/>
      <w:outlineLvl w:val="2"/>
    </w:pPr>
    <w:rPr>
      <w:rFonts w:ascii="Georgia" w:hAnsi="Georgia" w:eastAsia="Georgia" w:cs="Georgia"/>
      <w:b/>
      <w:bCs/>
      <w:i/>
      <w:iCs/>
      <w:color w:val="44546A"/>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Georgia" w:hAnsi="Georgia" w:eastAsia="Georgia" w:cs="Georgia"/>
      <w:b/>
      <w:bCs/>
      <w:color w:val="222222"/>
      <w:kern w:val="0"/>
      <w:sz w:val="22"/>
      <w:szCs w:val="22"/>
      <w:lang w:val="en-US" w:eastAsia="zh-CN" w:bidi="hi-IN"/>
    </w:rPr>
  </w:style>
  <w:style w:type="paragraph" w:styleId="ListParagraph">
    <w:name w:val="List Paragraph"/>
    <w:qFormat/>
    <w:pPr>
      <w:widowControl/>
      <w:bidi w:val="0"/>
      <w:spacing w:before="0" w:after="0"/>
      <w:jc w:val="left"/>
    </w:pPr>
    <w:rPr>
      <w:rFonts w:ascii="Georgia" w:hAnsi="Georgia" w:eastAsia="Georgia" w:cs="Georgia"/>
      <w:color w:val="222222"/>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42</Pages>
  <Words>16148</Words>
  <Characters>88123</Characters>
  <CharactersWithSpaces>103336</CharactersWithSpaces>
  <Paragraphs>736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2026-06-18T01:48:16Z</dcterms:created>
  <dc:creator>Claude</dc:creator>
  <dc:description>A research monograph</dc:description>
  <dc:language>en-US</dc:language>
  <cp:lastModifiedBy/>
  <dcterms:modified xsi:type="dcterms:W3CDTF">2026-06-18T01:48:50Z</dcterms:modified>
  <cp:revision>2</cp:revision>
  <dc:subject/>
  <dc:title>The Mathematics, Theory, and Psychology of Casino Gambling</dc:title>
</cp:coreProperties>
</file>