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jc w:val="center"/>
      </w:pPr>
      <w:r>
        <w:rPr>
          <w:rFonts w:ascii="Georgia" w:cs="Georgia" w:eastAsia="Georgia" w:hAnsi="Georgia"/>
          <w:color w:val="4A6B3A"/>
          <w:sz w:val="96"/>
          <w:szCs w:val="96"/>
        </w:rPr>
        <w:t xml:space="preserve">☘</w:t>
      </w:r>
    </w:p>
    <w:p>
      <w:pPr>
        <w:spacing w:after="80" w:before="120"/>
        <w:jc w:val="center"/>
      </w:pPr>
      <w:r>
        <w:rPr>
          <w:rFonts w:ascii="Verdana" w:cs="Verdana" w:eastAsia="Verdana" w:hAnsi="Verdana"/>
          <w:b/>
          <w:bCs/>
          <w:color w:val="2D4A2B"/>
          <w:sz w:val="52"/>
          <w:szCs w:val="52"/>
        </w:rPr>
        <w:t xml:space="preserve">THE SELF-MAINTAINING PROPERTY</w:t>
      </w:r>
    </w:p>
    <w:p>
      <w:pPr>
        <w:spacing w:after="240" w:before="60"/>
        <w:jc w:val="center"/>
      </w:pPr>
      <w:r>
        <w:rPr>
          <w:rFonts w:ascii="Georgia" w:cs="Georgia" w:eastAsia="Georgia" w:hAnsi="Georgia"/>
          <w:i/>
          <w:iCs/>
          <w:color w:val="4A6B3A"/>
          <w:sz w:val="28"/>
          <w:szCs w:val="28"/>
        </w:rPr>
        <w:t xml:space="preserve">A Northwest Arkansas Blueprint for Eco-Resilient Home &amp; Outdoor Systems</w:t>
      </w:r>
    </w:p>
    <w:p>
      <w:pPr>
        <w:spacing w:after="600" w:before="40"/>
        <w:jc w:val="center"/>
      </w:pPr>
      <w:r>
        <w:rPr>
          <w:rFonts w:ascii="Georgia" w:cs="Georgia" w:eastAsia="Georgia" w:hAnsi="Georgia"/>
          <w:i/>
          <w:iCs/>
          <w:color w:val="4A6B3A"/>
          <w:sz w:val="28"/>
          <w:szCs w:val="28"/>
        </w:rPr>
        <w:t xml:space="preserve">on a $2,000 Starter Budget</w:t>
      </w:r>
    </w:p>
    <w:p>
      <w:pPr>
        <w:spacing w:after="200" w:before="200"/>
        <w:jc w:val="center"/>
      </w:pPr>
      <w:r>
        <w:rPr>
          <w:rFonts w:ascii="Georgia" w:cs="Georgia" w:eastAsia="Georgia" w:hAnsi="Georgia"/>
          <w:color w:val="7A9268"/>
          <w:sz w:val="36"/>
          <w:szCs w:val="36"/>
        </w:rPr>
        <w:t xml:space="preserve">❦   ❧   ❦</w:t>
      </w:r>
    </w:p>
    <w:p>
      <w:pPr>
        <w:spacing w:after="80" w:before="800"/>
        <w:jc w:val="center"/>
      </w:pPr>
      <w:r>
        <w:rPr>
          <w:rFonts w:ascii="Georgia" w:cs="Georgia" w:eastAsia="Georgia" w:hAnsi="Georgia"/>
          <w:color w:val="2A2A28"/>
          <w:sz w:val="26"/>
          <w:szCs w:val="26"/>
        </w:rPr>
        <w:t xml:space="preserve">Prepared for Max Garcia</w:t>
      </w:r>
    </w:p>
    <w:p>
      <w:pPr>
        <w:spacing w:after="40" w:before="40"/>
        <w:jc w:val="center"/>
      </w:pPr>
      <w:r>
        <w:rPr>
          <w:rFonts w:ascii="Georgia" w:cs="Georgia" w:eastAsia="Georgia" w:hAnsi="Georgia"/>
          <w:i/>
          <w:iCs/>
          <w:color w:val="5C4A3A"/>
          <w:sz w:val="22"/>
          <w:szCs w:val="22"/>
        </w:rPr>
        <w:t xml:space="preserve">Fayetteville / Johnson, Arkansas</w:t>
      </w:r>
    </w:p>
    <w:p>
      <w:pPr>
        <w:spacing w:after="40" w:before="40"/>
        <w:jc w:val="center"/>
      </w:pPr>
      <w:r>
        <w:rPr>
          <w:rFonts w:ascii="Georgia" w:cs="Georgia" w:eastAsia="Georgia" w:hAnsi="Georgia"/>
          <w:i/>
          <w:iCs/>
          <w:color w:val="5C4A3A"/>
          <w:sz w:val="22"/>
          <w:szCs w:val="22"/>
        </w:rPr>
        <w:t xml:space="preserve">USDA Hardiness Zone 7a  ·  Ozark Plateau</w:t>
      </w:r>
    </w:p>
    <w:p>
      <w:pPr>
        <w:spacing w:after="40" w:before="320"/>
        <w:jc w:val="center"/>
      </w:pPr>
      <w:r>
        <w:rPr>
          <w:rFonts w:ascii="Georgia" w:cs="Georgia" w:eastAsia="Georgia" w:hAnsi="Georgia"/>
          <w:color w:val="5C4A3A"/>
          <w:sz w:val="22"/>
          <w:szCs w:val="22"/>
        </w:rPr>
        <w:t xml:space="preserve">May 2026</w:t>
      </w:r>
    </w:p>
    <w:p>
      <w:pPr>
        <w:spacing w:after="40" w:before="480"/>
        <w:jc w:val="center"/>
      </w:pPr>
      <w:r>
        <w:rPr>
          <w:rFonts w:ascii="Georgia" w:cs="Georgia" w:eastAsia="Georgia" w:hAnsi="Georgia"/>
          <w:i/>
          <w:iCs/>
          <w:color w:val="2D4A2B"/>
          <w:sz w:val="22"/>
          <w:szCs w:val="22"/>
        </w:rPr>
        <w:t xml:space="preserve">“Patience pays.”  🦞</w:t>
      </w:r>
    </w:p>
    <w:p>
      <w:r>
        <w:br w:type="page"/>
      </w:r>
    </w:p>
    <w:p>
      <w:pPr>
        <w:pBdr>
          <w:bottom w:val="single" w:color="7A9268" w:sz="12" w:space="4"/>
        </w:pBdr>
        <w:spacing w:after="240" w:before="200"/>
        <w:jc w:val="left"/>
      </w:pPr>
      <w:r>
        <w:rPr>
          <w:rFonts w:ascii="Verdana" w:cs="Verdana" w:eastAsia="Verdana" w:hAnsi="Verdana"/>
          <w:b/>
          <w:bCs/>
          <w:color w:val="2D4A2B"/>
          <w:sz w:val="40"/>
          <w:szCs w:val="4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pBdr>
          <w:bottom w:val="single" w:color="7A9268" w:sz="12" w:space="4"/>
        </w:pBdr>
        <w:spacing w:after="240" w:before="360"/>
      </w:pPr>
      <w:r>
        <w:rPr>
          <w:rFonts w:ascii="Verdana" w:cs="Verdana" w:eastAsia="Verdana" w:hAnsi="Verdana"/>
          <w:b/>
          <w:bCs/>
          <w:color w:val="2D4A2B"/>
          <w:sz w:val="40"/>
          <w:szCs w:val="40"/>
        </w:rPr>
        <w:t xml:space="preserve">Author’s Note</w:t>
      </w:r>
    </w:p>
    <w:p>
      <w:pPr>
        <w:spacing w:after="140" w:before="100" w:line="300"/>
        <w:jc w:val="both"/>
      </w:pPr>
      <w:r>
        <w:rPr>
          <w:rFonts w:ascii="Georgia" w:cs="Georgia" w:eastAsia="Georgia" w:hAnsi="Georgia"/>
          <w:b w:val="false"/>
          <w:bCs w:val="false"/>
          <w:i w:val="false"/>
          <w:iCs w:val="false"/>
          <w:color w:val="2A2A28"/>
          <w:sz w:val="22"/>
          <w:szCs w:val="22"/>
        </w:rPr>
        <w:t xml:space="preserve">This document is a working blueprint, not a finished plan. It assembles the best 2026 information available on five interlocking domains — food, water, energy, shelter, and sanitation — and arranges them into a phased, $2,000 starter buildout designed specifically for a young Walton College student living on a small lot in Fayetteville or Johnson, Arkansas. Every recommendation here passes three tests: it is legal under current Arkansas and Northwest Arkansas municipal code, it is materially cheaper than the grid alternative once amortized, and it has been demonstrated by either Acorn Land Labs or an analogous practitioner working in a similar climate.</w:t>
      </w:r>
    </w:p>
    <w:p>
      <w:pPr>
        <w:spacing w:after="140" w:before="100" w:line="300"/>
        <w:jc w:val="both"/>
      </w:pPr>
      <w:r>
        <w:rPr>
          <w:rFonts w:ascii="Georgia" w:cs="Georgia" w:eastAsia="Georgia" w:hAnsi="Georgia"/>
          <w:b w:val="false"/>
          <w:bCs w:val="false"/>
          <w:i w:val="false"/>
          <w:iCs w:val="false"/>
          <w:color w:val="2A2A28"/>
          <w:sz w:val="22"/>
          <w:szCs w:val="22"/>
        </w:rPr>
        <w:t xml:space="preserve">The document is written in the tradition of the late-1970s Whole Earth Catalog and Mother Earth News: dense, practical, source-cited, and lightly opinionated where opinion is earned by evidence. Read it cover to cover the first time. Treat it as a reference on the second and third passes — the table of contents is built so any single chapter stands on its own. Throughout, where Northwest Arkansas (“NWA”) imposes a constraint that overrides general permaculture advice, the constraint is explicit and the workaround is named.</w:t>
      </w:r>
    </w:p>
    <w:p>
      <w:pPr>
        <w:spacing w:after="140" w:before="100" w:line="300"/>
        <w:jc w:val="both"/>
      </w:pPr>
      <w:r>
        <w:rPr>
          <w:rFonts w:ascii="Georgia" w:cs="Georgia" w:eastAsia="Georgia" w:hAnsi="Georgia"/>
          <w:b w:val="false"/>
          <w:bCs w:val="false"/>
          <w:i w:val="false"/>
          <w:iCs w:val="false"/>
          <w:color w:val="2A2A28"/>
          <w:sz w:val="22"/>
          <w:szCs w:val="22"/>
        </w:rPr>
        <w:t xml:space="preserve">The visual style is intentional. Earth-tone greens and warm browns. Marginalia and dividers drawn from botanical glyphs. The tone is meant to remind you that what you are building is not a tech stack in the Silicon Valley sense — it is a small, living, regenerative ecosystem that happens to use technology where technology earns its place. Acorn Land Labs calls this “solarpunk.” The Ozarks have been doing it since the Bois d’Arc settlers split their first chestnut rails in the 1830s. You are joining a tradition.</w:t>
      </w:r>
    </w:p>
    <w:p>
      <w:pPr>
        <w:pBdr>
          <w:top w:val="single" w:color="7A9268" w:sz="4" w:space="6"/>
          <w:bottom w:val="single" w:color="7A9268" w:sz="4" w:space="6"/>
        </w:pBdr>
        <w:spacing w:after="200" w:before="200" w:line="280"/>
        <w:ind w:left="720" w:right="720"/>
        <w:jc w:val="center"/>
      </w:pPr>
      <w:r>
        <w:rPr>
          <w:rFonts w:ascii="Georgia" w:cs="Georgia" w:eastAsia="Georgia" w:hAnsi="Georgia"/>
          <w:i/>
          <w:iCs/>
          <w:color w:val="4A6B3A"/>
          <w:sz w:val="22"/>
          <w:szCs w:val="22"/>
        </w:rPr>
        <w:t xml:space="preserve">“We are doing important work because where we live and how we live impact the world more than anything else.”</w:t>
      </w:r>
      <w:r>
        <w:rPr>
          <w:rFonts w:ascii="Georgia" w:cs="Georgia" w:eastAsia="Georgia" w:hAnsi="Georgia"/>
          <w:i/>
          <w:iCs/>
          <w:color w:val="5C4A3A"/>
          <w:sz w:val="20"/>
          <w:szCs w:val="20"/>
        </w:rPr>
        <w:t xml:space="preserve">  — Acorn Land Labs, “Going off-grid for $12k or less”</w:t>
      </w:r>
    </w:p>
    <w:p>
      <w:pPr>
        <w:pStyle w:val="Heading1"/>
        <w:pageBreakBefore/>
        <w:pBdr>
          <w:bottom w:val="single" w:color="7A9268" w:sz="12" w:space="4"/>
        </w:pBdr>
        <w:spacing w:after="240" w:before="360"/>
      </w:pPr>
      <w:r>
        <w:rPr>
          <w:rFonts w:ascii="Verdana" w:cs="Verdana" w:eastAsia="Verdana" w:hAnsi="Verdana"/>
          <w:b/>
          <w:bCs/>
          <w:color w:val="2D4A2B"/>
          <w:sz w:val="40"/>
          <w:szCs w:val="40"/>
        </w:rPr>
        <w:t xml:space="preserve">TL;DR</w:t>
      </w:r>
    </w:p>
    <w:p>
      <w:pPr>
        <w:spacing w:after="140" w:before="100" w:line="300"/>
        <w:jc w:val="both"/>
      </w:pPr>
      <w:r>
        <w:rPr>
          <w:rFonts w:ascii="Georgia" w:cs="Georgia" w:eastAsia="Georgia" w:hAnsi="Georgia"/>
          <w:b w:val="false"/>
          <w:bCs w:val="false"/>
          <w:i w:val="false"/>
          <w:iCs w:val="false"/>
          <w:color w:val="2A2A28"/>
          <w:sz w:val="22"/>
          <w:szCs w:val="22"/>
        </w:rPr>
        <w:t xml:space="preserve">Spend approximately two thousand dollars in this order over twelve to eighteen months. Phase 1, months one through three, allocates roughly four hundred dollars to water capture and home weatherization. Phase 2, months four through six, allocates roughly eight hundred dollars to a portable LiFePO4 solar power station and a do-it-yourself intermediate bulk container (IBC) tote biogas digester. Phase 3, months seven through twelve, allocates roughly five hundred dollars to a starter chicken flock and the first plantings of a permaculture food forest. Phase 4, year two and beyond, allocates the remaining roughly three hundred dollars to a Stirling-engine demonstrator, ESP32-based monitoring electronics, and a supplementary composting toilet. This sequencing front-loads the cheapest, highest-return moves — water capture and air sealing — and treats the expensive showpieces, solar and biogas, as the middle wave once the storage and the daily routines to use them are already in place.</w:t>
      </w:r>
    </w:p>
    <w:p>
      <w:pPr>
        <w:spacing w:after="140" w:before="100" w:line="300"/>
        <w:jc w:val="both"/>
      </w:pPr>
      <w:r>
        <w:rPr>
          <w:rFonts w:ascii="Georgia" w:cs="Georgia" w:eastAsia="Georgia" w:hAnsi="Georgia"/>
          <w:b w:val="false"/>
          <w:bCs w:val="false"/>
          <w:i w:val="false"/>
          <w:iCs w:val="false"/>
          <w:color w:val="2A2A28"/>
          <w:sz w:val="22"/>
          <w:szCs w:val="22"/>
        </w:rPr>
        <w:t xml:space="preserve">The single most important 2026 reality check is that the thirty percent federal Residential Clean Energy Credit under Internal Revenue Code section 25D expired on December 31, 2025, under the One Big Beautiful Bill Act. A customer-owned photovoltaic system installed in 2026 therefore receives no federal tax credit. Combined with Arkansas Act 278 of 2024 — which dropped Ozarks Electric Cooperative and Southwestern Electric Power Company (SWEPCO) buyback rates from full retail to avoided cost for systems interconnected after September 29, 2024 — the financial logic has shifted decisively from “export and bank credits” to “self-consume and store.” This single change reshapes the entire energy stack and is the reason a portable LiFePO4 station is now the right starter purchase rather than additional grid-tied panels.</w:t>
      </w:r>
    </w:p>
    <w:p>
      <w:pPr>
        <w:spacing w:after="140" w:before="100" w:line="300"/>
        <w:jc w:val="both"/>
      </w:pPr>
      <w:r>
        <w:rPr>
          <w:rFonts w:ascii="Georgia" w:cs="Georgia" w:eastAsia="Georgia" w:hAnsi="Georgia"/>
          <w:b w:val="false"/>
          <w:bCs w:val="false"/>
          <w:i w:val="false"/>
          <w:iCs w:val="false"/>
          <w:color w:val="2A2A28"/>
          <w:sz w:val="22"/>
          <w:szCs w:val="22"/>
        </w:rPr>
        <w:t xml:space="preserve">The Acorn Land Labs five-pillar framework maps cleanly onto a quarter-acre Fayetteville lot, with two Northwest Arkansas-specific adaptations. First, biogas digesters require active insulation and supplemental heating from approximately mid-November through mid-March: HomeBiogas and essentially every other mesophilic digester require a weekly average ambient temperature of about sixty-three degrees Fahrenheit to digest food waste, and production effectively stops below that. Second, rainwater capture is legally restricted to non-potable uses under Arkansas Code section 17-38-201 unless a licensed Arkansas professional engineer designs the system. Both constraints are addressable and neither is a deal-breaker; both are explicit in the text below.</w:t>
      </w:r>
    </w:p>
    <w:p>
      <w:pPr>
        <w:pStyle w:val="Heading1"/>
        <w:pageBreakBefore/>
        <w:pBdr>
          <w:bottom w:val="single" w:color="7A9268" w:sz="12" w:space="4"/>
        </w:pBdr>
        <w:spacing w:after="240" w:before="360"/>
      </w:pPr>
      <w:r>
        <w:rPr>
          <w:rFonts w:ascii="Verdana" w:cs="Verdana" w:eastAsia="Verdana" w:hAnsi="Verdana"/>
          <w:b/>
          <w:bCs/>
          <w:color w:val="2D4A2B"/>
          <w:sz w:val="40"/>
          <w:szCs w:val="40"/>
        </w:rPr>
        <w:t xml:space="preserve">Part I  ·  Foundations</w:t>
      </w:r>
    </w:p>
    <w:p>
      <w:pPr>
        <w:pBdr>
          <w:top w:val="single" w:color="7A9268" w:sz="4" w:space="6"/>
          <w:bottom w:val="single" w:color="7A9268" w:sz="4" w:space="6"/>
        </w:pBdr>
        <w:spacing w:after="200" w:before="200" w:line="280"/>
        <w:ind w:left="720" w:right="720"/>
        <w:jc w:val="center"/>
      </w:pPr>
      <w:r>
        <w:rPr>
          <w:rFonts w:ascii="Georgia" w:cs="Georgia" w:eastAsia="Georgia" w:hAnsi="Georgia"/>
          <w:i/>
          <w:iCs/>
          <w:color w:val="4A6B3A"/>
          <w:sz w:val="22"/>
          <w:szCs w:val="22"/>
        </w:rPr>
        <w:t xml:space="preserve">“Start where you are. Use what you have. Do what you can.”</w:t>
      </w:r>
      <w:r>
        <w:rPr>
          <w:rFonts w:ascii="Georgia" w:cs="Georgia" w:eastAsia="Georgia" w:hAnsi="Georgia"/>
          <w:i/>
          <w:iCs/>
          <w:color w:val="5C4A3A"/>
          <w:sz w:val="20"/>
          <w:szCs w:val="20"/>
        </w:rPr>
        <w:t xml:space="preserve">  — Arthur Ashe (often quoted by Acorn Land Labs)</w:t>
      </w:r>
    </w:p>
    <w:p>
      <w:pPr>
        <w:pStyle w:val="Heading2"/>
        <w:spacing w:after="160" w:before="320"/>
      </w:pPr>
      <w:r>
        <w:rPr>
          <w:rFonts w:ascii="Verdana" w:cs="Verdana" w:eastAsia="Verdana" w:hAnsi="Verdana"/>
          <w:b/>
          <w:bCs/>
          <w:color w:val="4A6B3A"/>
          <w:sz w:val="30"/>
          <w:szCs w:val="30"/>
        </w:rPr>
        <w:t xml:space="preserve">Chapter 1. Northwest Arkansas Climate, Soil, and Site Context</w:t>
      </w:r>
    </w:p>
    <w:p>
      <w:pPr>
        <w:pStyle w:val="Heading3"/>
        <w:spacing w:after="100" w:before="240"/>
      </w:pPr>
      <w:r>
        <w:rPr>
          <w:rFonts w:ascii="Verdana" w:cs="Verdana" w:eastAsia="Verdana" w:hAnsi="Verdana"/>
          <w:b/>
          <w:bCs/>
          <w:color w:val="5C4A3A"/>
          <w:sz w:val="24"/>
          <w:szCs w:val="24"/>
        </w:rPr>
        <w:t xml:space="preserve">1.1 The hardiness and heat reality</w:t>
      </w:r>
    </w:p>
    <w:p>
      <w:pPr>
        <w:spacing w:after="140" w:before="100" w:line="300"/>
        <w:jc w:val="both"/>
      </w:pPr>
      <w:r>
        <w:rPr>
          <w:rFonts w:ascii="Georgia" w:cs="Georgia" w:eastAsia="Georgia" w:hAnsi="Georgia"/>
          <w:b w:val="false"/>
          <w:bCs w:val="false"/>
          <w:i w:val="false"/>
          <w:iCs w:val="false"/>
          <w:color w:val="2A2A28"/>
          <w:sz w:val="22"/>
          <w:szCs w:val="22"/>
        </w:rPr>
        <w:t xml:space="preserve">Fayetteville, Johnson, Springdale, and Bentonville share an Ozark Plateau microclimate that the 2023 United States Department of Agriculture Plant Hardiness Zone map places squarely in Zone 7a, defined by an annual extreme minimum temperature of zero to five degrees Fahrenheit. The frost-free window for ZIP codes 72701 and 72703 runs from approximately March 15, the average last spring frost, to November 15, the average first fall frost. That gives a roughly 245-day frost-free window and about a 200-day reliable growing season once you account for the standard ten percent frost-risk margin growers use to avoid losing transplants in a freak late freeze.</w:t>
      </w:r>
    </w:p>
    <w:p>
      <w:pPr>
        <w:spacing w:after="140" w:before="100" w:line="300"/>
        <w:jc w:val="both"/>
      </w:pPr>
      <w:r>
        <w:rPr>
          <w:rFonts w:ascii="Georgia" w:cs="Georgia" w:eastAsia="Georgia" w:hAnsi="Georgia"/>
          <w:b w:val="false"/>
          <w:bCs w:val="false"/>
          <w:i w:val="false"/>
          <w:iCs w:val="false"/>
          <w:color w:val="2A2A28"/>
          <w:sz w:val="22"/>
          <w:szCs w:val="22"/>
        </w:rPr>
        <w:t xml:space="preserve">Less well-publicized but equally important is the American Horticultural Society Heat Zone rating: NWA sits at approximately Zone 7, defined as sixty to ninety days per year with temperatures above eighty-six degrees Fahrenheit. This combination of moderate winter cold and substantial summer heat is what makes NWA a true transition zone where almost every gardening reference book is half wrong. Tomatoes set fruit poorly in the muggy July nights that routinely stay above seventy-five degrees. Spring brassicas bolt by Memorial Day. The prime growing windows for cool-season crops are mid-March through early June and early September through early November, with a noticeable mid-summer pause for everything except heat-loving annuals like okra, sweet potato, southern peas, and West Indian gherkin.</w:t>
      </w:r>
    </w:p>
    <w:p>
      <w:pPr>
        <w:spacing w:after="140" w:before="100" w:line="300"/>
        <w:jc w:val="both"/>
      </w:pPr>
      <w:r>
        <w:rPr>
          <w:rFonts w:ascii="Georgia" w:cs="Georgia" w:eastAsia="Georgia" w:hAnsi="Georgia"/>
          <w:b w:val="false"/>
          <w:bCs w:val="false"/>
          <w:i w:val="false"/>
          <w:iCs w:val="false"/>
          <w:color w:val="2A2A28"/>
          <w:sz w:val="22"/>
          <w:szCs w:val="22"/>
        </w:rPr>
        <w:t xml:space="preserve">Annual rainfall in NWA is generous, averaging forty-five to forty-eight inches per year, but the distribution matters more than the total. The heaviest months are April, May, and June, when thunderstorms move through on a predictable rhythm. October and November bring a secondary wet period. July and August are comparatively dry, and a stretch of two to four weeks without measurable rainfall in late summer is not unusual. This pattern means that the rainwater-capture system described in Chapter 7 is filling fastest exactly when the garden needs water least — spring rains — and emptying when the garden needs water most. Storage volume, not catchment area, is the practical constraint.</w:t>
      </w:r>
    </w:p>
    <w:p>
      <w:pPr>
        <w:pStyle w:val="Heading3"/>
        <w:spacing w:after="100" w:before="240"/>
      </w:pPr>
      <w:r>
        <w:rPr>
          <w:rFonts w:ascii="Verdana" w:cs="Verdana" w:eastAsia="Verdana" w:hAnsi="Verdana"/>
          <w:b/>
          <w:bCs/>
          <w:color w:val="5C4A3A"/>
          <w:sz w:val="24"/>
          <w:szCs w:val="24"/>
        </w:rPr>
        <w:t xml:space="preserve">1.2 Severe weather as a design constraint</w:t>
      </w:r>
    </w:p>
    <w:p>
      <w:pPr>
        <w:spacing w:after="140" w:before="100" w:line="300"/>
        <w:jc w:val="both"/>
      </w:pPr>
      <w:r>
        <w:rPr>
          <w:rFonts w:ascii="Georgia" w:cs="Georgia" w:eastAsia="Georgia" w:hAnsi="Georgia"/>
          <w:b w:val="false"/>
          <w:bCs w:val="false"/>
          <w:i w:val="false"/>
          <w:iCs w:val="false"/>
          <w:color w:val="2A2A28"/>
          <w:sz w:val="22"/>
          <w:szCs w:val="22"/>
        </w:rPr>
        <w:t xml:space="preserve">Severe weather is the defining infrastructure-design constraint for NWA. The region sits on the eastern edge of Tornado Alley, with a primary peak in April and May and a smaller secondary peak in October and November. The 1996 Fort Smith F3 tornado and the 2014 Mayflower–Vilonia EF4 are reference events for the upper end of what the region can produce. Tornadoes are, however, statistically less likely to damage any individual property than ice storms.</w:t>
      </w:r>
    </w:p>
    <w:p>
      <w:pPr>
        <w:spacing w:after="140" w:before="100" w:line="300"/>
        <w:jc w:val="both"/>
      </w:pPr>
      <w:r>
        <w:rPr>
          <w:rFonts w:ascii="Georgia" w:cs="Georgia" w:eastAsia="Georgia" w:hAnsi="Georgia"/>
          <w:b w:val="false"/>
          <w:bCs w:val="false"/>
          <w:i w:val="false"/>
          <w:iCs w:val="false"/>
          <w:color w:val="2A2A28"/>
          <w:sz w:val="22"/>
          <w:szCs w:val="22"/>
        </w:rPr>
        <w:t xml:space="preserve">Ice storms in January and February are the more consequential threat for off-grid and grid-tied alternative-energy infrastructure. The January 2009 ice storm cut power to roughly two hundred thousand Northwest Arkansas customers, some for as long as three weeks. That single historical anchor is the strongest practical argument for storage-first solar design — a battery-backed system that keeps a refrigerator, a circulator pump, a few lights, and a phone running through a multi-day outage is a different category of investment from a system optimized for utility export. Spring thunderstorms also routinely produce three-quarter-inch to two-inch hail, which is hard on rigid photovoltaic panels. A fifty-dollar swing-down hail cover for a small array is reasonable insurance and is included in the recommended materials list in Chapter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3A" w:sz="18"/>
              <w:left w:val="single" w:color="4A6B3A" w:sz="18"/>
              <w:bottom w:val="single" w:color="4A6B3A" w:sz="6"/>
              <w:right w:val="single" w:color="4A6B3A" w:sz="6"/>
            </w:tcBorders>
            <w:shd w:fill="E8EFE2" w:val="clear"/>
            <w:tcMar>
              <w:top w:type="dxa" w:w="200"/>
              <w:left w:type="dxa" w:w="280"/>
              <w:bottom w:type="dxa" w:w="200"/>
              <w:right w:type="dxa" w:w="280"/>
            </w:tcMar>
          </w:tcPr>
          <w:p>
            <w:pPr>
              <w:spacing w:after="100" w:before="40"/>
            </w:pPr>
            <w:r>
              <w:rPr>
                <w:rFonts w:ascii="Verdana" w:cs="Verdana" w:eastAsia="Verdana" w:hAnsi="Verdana"/>
                <w:b/>
                <w:bCs/>
                <w:color w:val="4A6B3A"/>
                <w:sz w:val="22"/>
                <w:szCs w:val="22"/>
              </w:rPr>
              <w:t xml:space="preserve">Northwest Arkansas at a glance</w:t>
            </w:r>
          </w:p>
          <w:p>
            <w:pPr>
              <w:spacing w:after="80" w:before="60" w:line="280"/>
              <w:jc w:val="both"/>
            </w:pPr>
            <w:r>
              <w:rPr>
                <w:rFonts w:ascii="Georgia" w:cs="Georgia" w:eastAsia="Georgia" w:hAnsi="Georgia"/>
                <w:color w:val="2A2A28"/>
                <w:sz w:val="21"/>
                <w:szCs w:val="21"/>
              </w:rPr>
              <w:t xml:space="preserve">USDA Hardiness Zone 7a (annual extreme minimum 0 to 5 °F).</w:t>
            </w:r>
          </w:p>
          <w:p>
            <w:pPr>
              <w:spacing w:after="80" w:before="60" w:line="280"/>
              <w:jc w:val="both"/>
            </w:pPr>
            <w:r>
              <w:rPr>
                <w:rFonts w:ascii="Georgia" w:cs="Georgia" w:eastAsia="Georgia" w:hAnsi="Georgia"/>
                <w:color w:val="2A2A28"/>
                <w:sz w:val="21"/>
                <w:szCs w:val="21"/>
              </w:rPr>
              <w:t xml:space="preserve">AHS Heat Zone 7 (60 to 90 days per year above 86 °F).</w:t>
            </w:r>
          </w:p>
          <w:p>
            <w:pPr>
              <w:spacing w:after="80" w:before="60" w:line="280"/>
              <w:jc w:val="both"/>
            </w:pPr>
            <w:r>
              <w:rPr>
                <w:rFonts w:ascii="Georgia" w:cs="Georgia" w:eastAsia="Georgia" w:hAnsi="Georgia"/>
                <w:color w:val="2A2A28"/>
                <w:sz w:val="21"/>
                <w:szCs w:val="21"/>
              </w:rPr>
              <w:t xml:space="preserve">Average last spring frost: March 15. Average first fall frost: November 15. Roughly 245 frost-free days, 200-day reliable growing season.</w:t>
            </w:r>
          </w:p>
          <w:p>
            <w:pPr>
              <w:spacing w:after="80" w:before="60" w:line="280"/>
              <w:jc w:val="both"/>
            </w:pPr>
            <w:r>
              <w:rPr>
                <w:rFonts w:ascii="Georgia" w:cs="Georgia" w:eastAsia="Georgia" w:hAnsi="Georgia"/>
                <w:color w:val="2A2A28"/>
                <w:sz w:val="21"/>
                <w:szCs w:val="21"/>
              </w:rPr>
              <w:t xml:space="preserve">Annual rainfall: 45 to 48 inches, concentrated in April through June with a secondary peak in October and November.</w:t>
            </w:r>
          </w:p>
          <w:p>
            <w:pPr>
              <w:spacing w:after="80" w:before="60" w:line="280"/>
              <w:jc w:val="both"/>
            </w:pPr>
            <w:r>
              <w:rPr>
                <w:rFonts w:ascii="Georgia" w:cs="Georgia" w:eastAsia="Georgia" w:hAnsi="Georgia"/>
                <w:color w:val="2A2A28"/>
                <w:sz w:val="21"/>
                <w:szCs w:val="21"/>
              </w:rPr>
              <w:t xml:space="preserve">Solar resource: 4.5 to 5.0 kWh per square meter per day annual average (NREL TMY data, Drake Field).</w:t>
            </w:r>
          </w:p>
          <w:p>
            <w:pPr>
              <w:spacing w:after="80" w:before="60" w:line="280"/>
              <w:jc w:val="both"/>
            </w:pPr>
            <w:r>
              <w:rPr>
                <w:rFonts w:ascii="Georgia" w:cs="Georgia" w:eastAsia="Georgia" w:hAnsi="Georgia"/>
                <w:color w:val="2A2A28"/>
                <w:sz w:val="21"/>
                <w:szCs w:val="21"/>
              </w:rPr>
              <w:t xml:space="preserve">Wind resource: NREL Class 1 to 2, generally less than four meters per second mean wind speed at thirty meters above ground level — small wind is not a sensible investment.</w:t>
            </w:r>
          </w:p>
          <w:p>
            <w:pPr>
              <w:spacing w:after="80" w:before="60" w:line="280"/>
              <w:jc w:val="both"/>
            </w:pPr>
            <w:r>
              <w:rPr>
                <w:rFonts w:ascii="Georgia" w:cs="Georgia" w:eastAsia="Georgia" w:hAnsi="Georgia"/>
                <w:color w:val="2A2A28"/>
                <w:sz w:val="21"/>
                <w:szCs w:val="21"/>
              </w:rPr>
              <w:t xml:space="preserve">Dominant severe-weather threats: spring thunderstorms with hail, April–May and Oct–Nov tornadoes, January–February ice storms.</w:t>
            </w:r>
          </w:p>
        </w:tc>
      </w:tr>
    </w:tbl>
    <w:p>
      <w:pPr>
        <w:pStyle w:val="Heading3"/>
        <w:spacing w:after="100" w:before="240"/>
      </w:pPr>
      <w:r>
        <w:rPr>
          <w:rFonts w:ascii="Verdana" w:cs="Verdana" w:eastAsia="Verdana" w:hAnsi="Verdana"/>
          <w:b/>
          <w:bCs/>
          <w:color w:val="5C4A3A"/>
          <w:sz w:val="24"/>
          <w:szCs w:val="24"/>
        </w:rPr>
        <w:t xml:space="preserve">1.3 Solar and wind resource</w:t>
      </w:r>
    </w:p>
    <w:p>
      <w:pPr>
        <w:spacing w:after="140" w:before="100" w:line="300"/>
        <w:jc w:val="both"/>
      </w:pPr>
      <w:r>
        <w:rPr>
          <w:rFonts w:ascii="Georgia" w:cs="Georgia" w:eastAsia="Georgia" w:hAnsi="Georgia"/>
          <w:b w:val="false"/>
          <w:bCs w:val="false"/>
          <w:i w:val="false"/>
          <w:iCs w:val="false"/>
          <w:color w:val="2A2A28"/>
          <w:sz w:val="22"/>
          <w:szCs w:val="22"/>
        </w:rPr>
        <w:t xml:space="preserve">National Renewable Energy Laboratory Typical Meteorological Year data for the Fayetteville Drake Field station puts annual average solar irradiance at approximately four and a half to five kilowatt-hours per square meter per day. December bottoms out near three kilowatt-hours per square meter per day; June peaks near six. The winter-to-summer output ratio is roughly one to two, which a properly sized battery bank smooths comfortably. For a small two-hundred-watt rooftop or portable system, the practical implication is that a single panel will produce roughly six hundred to one thousand watt-hours on a typical summer day and two hundred to four hundred on a typical winter day. That is plenty for a phone, a laptop, a few LED bulbs, and a small ventilation fan, but it is not plenty for a heat pump or an electric range.</w:t>
      </w:r>
    </w:p>
    <w:p>
      <w:pPr>
        <w:spacing w:after="140" w:before="100" w:line="300"/>
        <w:jc w:val="both"/>
      </w:pPr>
      <w:r>
        <w:rPr>
          <w:rFonts w:ascii="Georgia" w:cs="Georgia" w:eastAsia="Georgia" w:hAnsi="Georgia"/>
          <w:b w:val="false"/>
          <w:bCs w:val="false"/>
          <w:i w:val="false"/>
          <w:iCs w:val="false"/>
          <w:color w:val="2A2A28"/>
          <w:sz w:val="22"/>
          <w:szCs w:val="22"/>
        </w:rPr>
        <w:t xml:space="preserve">Wind resource in the Ozark Plateau is poor: NREL classifies it as Class 1 to 2, with mean wind speed under four meters per second at thirty meters above ground level. Small wind turbines need roughly five meters per second mean wind speed to make economic sense, and even then the tower cost and maintenance burden usually defeat the math at residential scale. Micro-hydro is a non-starter for an in-city lot but is worth investigating for any future rural parcel fronting a steady creek with more than five feet of drop across two hundred feet of run.</w:t>
      </w:r>
    </w:p>
    <w:p>
      <w:pPr>
        <w:pStyle w:val="Heading3"/>
        <w:spacing w:after="100" w:before="240"/>
      </w:pPr>
      <w:r>
        <w:rPr>
          <w:rFonts w:ascii="Verdana" w:cs="Verdana" w:eastAsia="Verdana" w:hAnsi="Verdana"/>
          <w:b/>
          <w:bCs/>
          <w:color w:val="5C4A3A"/>
          <w:sz w:val="24"/>
          <w:szCs w:val="24"/>
        </w:rPr>
        <w:t xml:space="preserve">1.4 Ozark Plateau soil</w:t>
      </w:r>
    </w:p>
    <w:p>
      <w:pPr>
        <w:spacing w:after="140" w:before="100" w:line="300"/>
        <w:jc w:val="both"/>
      </w:pPr>
      <w:r>
        <w:rPr>
          <w:rFonts w:ascii="Georgia" w:cs="Georgia" w:eastAsia="Georgia" w:hAnsi="Georgia"/>
          <w:b w:val="false"/>
          <w:bCs w:val="false"/>
          <w:i w:val="false"/>
          <w:iCs w:val="false"/>
          <w:color w:val="2A2A28"/>
          <w:sz w:val="22"/>
          <w:szCs w:val="22"/>
        </w:rPr>
        <w:t xml:space="preserve">The Ozark Plateau soil profile is the defining ecological constraint of the entire region. Shallow topsoil sits atop cherty, rock-fragment-rich, often acidic clay or fragipan subsoils. The dominant soil series mapped by the United States Department of Agriculture Natural Resources Conservation Service across Washington and Benton counties are Captina, Nixa, and Tonti silt loams. Native pH typically runs five point zero to six point zero — acidic enough that brassicas, alliums, and stone fruit will struggle without lime amendment. Drainage is uneven, with perched water tables forming over fragipans after heavy spring rains and severe drying in late summer. The rockiness makes broadforking, swale-digging, and trenching real physical work; the wrong tool choice will break a forty-dollar broadfork in one afternoon.</w:t>
      </w:r>
    </w:p>
    <w:p>
      <w:pPr>
        <w:spacing w:after="140" w:before="100" w:line="300"/>
        <w:jc w:val="both"/>
      </w:pPr>
      <w:r>
        <w:rPr>
          <w:rFonts w:ascii="Georgia" w:cs="Georgia" w:eastAsia="Georgia" w:hAnsi="Georgia"/>
          <w:b w:val="false"/>
          <w:bCs w:val="false"/>
          <w:i w:val="false"/>
          <w:iCs w:val="false"/>
          <w:color w:val="2A2A28"/>
          <w:sz w:val="22"/>
          <w:szCs w:val="22"/>
        </w:rPr>
        <w:t xml:space="preserve">There is, however, an under-appreciated dimension of Ozark soil: the biological assets are extraordinary. Native pawpaw, American persimmon, black walnut, shagbark and shellbark hickory, wild blackberry, elderberry, serviceberry, redbud, wild plum, and mulberry thrive without irrigation once established. The bird-vectored Eastern red cedar is a free local source of biomass and rot-resistant building material if cut young. A homesteader who works with the existing ecology — selecting cultivars that resemble the natives, building soil up rather than digging down, accepting the seasonal water rhythm rather than fighting it — spends far less effort than one who tries to recreate a Pacific Northwest market garden in cherty Ozark clay.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3A" w:sz="18"/>
              <w:left w:val="single" w:color="4A6B3A" w:sz="18"/>
              <w:bottom w:val="single" w:color="4A6B3A" w:sz="6"/>
              <w:right w:val="single" w:color="4A6B3A" w:sz="6"/>
            </w:tcBorders>
            <w:shd w:fill="E8EFE2" w:val="clear"/>
            <w:tcMar>
              <w:top w:type="dxa" w:w="200"/>
              <w:left w:type="dxa" w:w="280"/>
              <w:bottom w:type="dxa" w:w="200"/>
              <w:right w:type="dxa" w:w="280"/>
            </w:tcMar>
          </w:tcPr>
          <w:p>
            <w:pPr>
              <w:spacing w:after="100" w:before="40"/>
            </w:pPr>
            <w:r>
              <w:rPr>
                <w:rFonts w:ascii="Verdana" w:cs="Verdana" w:eastAsia="Verdana" w:hAnsi="Verdana"/>
                <w:b/>
                <w:bCs/>
                <w:color w:val="4A6B3A"/>
                <w:sz w:val="22"/>
                <w:szCs w:val="22"/>
              </w:rPr>
              <w:t xml:space="preserve">The single most important Ozark gardening rule</w:t>
            </w:r>
          </w:p>
          <w:p>
            <w:pPr>
              <w:spacing w:after="80" w:before="60" w:line="280"/>
              <w:jc w:val="both"/>
            </w:pPr>
            <w:r>
              <w:rPr>
                <w:rFonts w:ascii="Georgia" w:cs="Georgia" w:eastAsia="Georgia" w:hAnsi="Georgia"/>
                <w:color w:val="2A2A28"/>
                <w:sz w:val="21"/>
                <w:szCs w:val="21"/>
              </w:rPr>
              <w:t xml:space="preserve">Build up, do not dig down. The cherty fragipan subsoil punishes every attempt to disturb it. Lasagna mulching, hugelkultur mounds, and raised beds atop cardboard layered over killed sod are the right techniques. The broadfork is the right tool for loosening compacted topsoil without inverting it. The rototiller, especially on a small lot, is almost always wrong.</w:t>
            </w:r>
          </w:p>
        </w:tc>
      </w:tr>
    </w:tbl>
    <w:p>
      <w:pPr>
        <w:pStyle w:val="Heading3"/>
        <w:spacing w:after="100" w:before="240"/>
      </w:pPr>
      <w:r>
        <w:rPr>
          <w:rFonts w:ascii="Verdana" w:cs="Verdana" w:eastAsia="Verdana" w:hAnsi="Verdana"/>
          <w:b/>
          <w:bCs/>
          <w:color w:val="5C4A3A"/>
          <w:sz w:val="24"/>
          <w:szCs w:val="24"/>
        </w:rPr>
        <w:t xml:space="preserve">1.5 Wildlife pressures and human-health considerations</w:t>
      </w:r>
    </w:p>
    <w:p>
      <w:pPr>
        <w:spacing w:after="140" w:before="100" w:line="300"/>
        <w:jc w:val="both"/>
      </w:pPr>
      <w:r>
        <w:rPr>
          <w:rFonts w:ascii="Georgia" w:cs="Georgia" w:eastAsia="Georgia" w:hAnsi="Georgia"/>
          <w:b w:val="false"/>
          <w:bCs w:val="false"/>
          <w:i w:val="false"/>
          <w:iCs w:val="false"/>
          <w:color w:val="2A2A28"/>
          <w:sz w:val="22"/>
          <w:szCs w:val="22"/>
        </w:rPr>
        <w:t xml:space="preserve">Wildlife pressures in NWA are substantial. Whitetail deer browse anything they can reach if hungry enough in February. Raccoons will open most cheap latches and have been observed working bungee cords. Copperheads are common in leaf litter and rock piles; cottonmouths populate the Beaver Lake tributaries. Armadillos have expanded northward in the last fifteen years and root up garden beds at night looking for grubs. Chiggers in summer are an under-appreciated quality-of-life nuisance and one of the strongest arguments for high-cut grass paths rather than barefoot lawn.</w:t>
      </w:r>
    </w:p>
    <w:p>
      <w:pPr>
        <w:spacing w:after="140" w:before="100" w:line="300"/>
        <w:jc w:val="both"/>
      </w:pPr>
      <w:r>
        <w:rPr>
          <w:rFonts w:ascii="Georgia" w:cs="Georgia" w:eastAsia="Georgia" w:hAnsi="Georgia"/>
          <w:b w:val="false"/>
          <w:bCs w:val="false"/>
          <w:i w:val="false"/>
          <w:iCs w:val="false"/>
          <w:color w:val="2A2A28"/>
          <w:sz w:val="22"/>
          <w:szCs w:val="22"/>
        </w:rPr>
        <w:t xml:space="preserve">The most consequential biological hazard is ticks. NWA is endemic for both Amblyomma americanum, the lone star tick, and Ixodes scapularis, the blacklegged tick. The lone star tick vectors ehrlichiosis and — the modern threat that has changed homesteading economics across the region — alpha-gal syndrome, a delayed red-meat allergy that can take weeks to develop and is permanent for many sufferers. The blacklegged tick vectors Lyme disease. Tick management is non-optional and is treated as a first-class infrastructure element in Chapter 12 of this document. The most effective single intervention is a free-range chicken or guinea-fowl flock cycled through high-traffic areas: chickens are excellent tick predators, and this benefit alone substantially offsets the cost of the small flock recommended in Phase 3 of the budget.</w:t>
      </w:r>
    </w:p>
    <w:p>
      <w:pPr>
        <w:pStyle w:val="Heading3"/>
        <w:spacing w:after="100" w:before="240"/>
      </w:pPr>
      <w:r>
        <w:rPr>
          <w:rFonts w:ascii="Verdana" w:cs="Verdana" w:eastAsia="Verdana" w:hAnsi="Verdana"/>
          <w:b/>
          <w:bCs/>
          <w:color w:val="5C4A3A"/>
          <w:sz w:val="24"/>
          <w:szCs w:val="24"/>
        </w:rPr>
        <w:t xml:space="preserve">1.6 Watershed integration</w:t>
      </w:r>
    </w:p>
    <w:p>
      <w:pPr>
        <w:spacing w:after="140" w:before="100" w:line="300"/>
        <w:jc w:val="both"/>
      </w:pPr>
      <w:r>
        <w:rPr>
          <w:rFonts w:ascii="Georgia" w:cs="Georgia" w:eastAsia="Georgia" w:hAnsi="Georgia"/>
          <w:b w:val="false"/>
          <w:bCs w:val="false"/>
          <w:i w:val="false"/>
          <w:iCs w:val="false"/>
          <w:color w:val="2A2A28"/>
          <w:sz w:val="22"/>
          <w:szCs w:val="22"/>
        </w:rPr>
        <w:t xml:space="preserve">A subtle but important context for any NWA homestead project is watershed position. Fayetteville sits at the headwaters of the Illinois River, which drains west into Oklahoma, and immediately southwest of Beaver Lake, the drinking-water reservoir for approximately half a million NWA residents via the Beaver Water District. This puts a high social and regulatory premium on responsible stormwater and greywater management. Anything that runs off your lot eventually contributes either to Beaver Lake — and therefore to your own tap water — or to the Illinois River, the subject of a multi-decade Arkansas-Oklahoma water-quality lawsuit centered on poultry-industry nutrient loading. The implication is that the regenerative practices in this document are not merely virtuous; they are a measurable contribution to a shared resource you yourself drink. Acorn Land Labs frames this same idea more broadly as “where you live and how you live impact the world more than anything else.” In NWA the impact is unusually direct.</w:t>
      </w:r>
    </w:p>
    <w:p>
      <w:pPr>
        <w:spacing w:after="140" w:before="100" w:line="300"/>
        <w:jc w:val="both"/>
      </w:pPr>
      <w:r>
        <w:rPr>
          <w:rFonts w:ascii="Georgia" w:cs="Georgia" w:eastAsia="Georgia" w:hAnsi="Georgia"/>
          <w:b w:val="false"/>
          <w:bCs w:val="false"/>
          <w:i w:val="false"/>
          <w:iCs w:val="false"/>
          <w:color w:val="2A2A28"/>
          <w:sz w:val="22"/>
          <w:szCs w:val="22"/>
        </w:rPr>
        <w:t xml:space="preserve">The local water table on the Springfield Plateau is highly variable. Karst geology — limestone bedrock honeycombed with solution caves and sinkholes — means many shallow wells are unreliable or contaminated, and deeper wells into the Boone Formation or the Roubidoux and Gunter aquifers are the more reliable option. NWA wells typically run one hundred to three hundred feet deep, costing roughly twenty-five to fifty dollars per foot installed all-in (drilling, casing, pump, and electrical), so a complete potable well runs five thousand to fifteen thousand dollars and beyond. Hand pumps from Bison or Simple Pump on shallow wells run twelve hundred to twenty-eight hundred dollars; solar-powered submersible direct-current pumps for shallow wells from Shurflo or Grundfos run four hundred to twelve hundred dollars. None of these are part of a two-thousand-dollar starter budget on an existing in-city lot; plan for them as Year 3 or later projects if you eventually acquire raw land.</w:t>
      </w:r>
    </w:p>
    <w:p>
      <w:pPr>
        <w:pStyle w:val="Heading3"/>
        <w:spacing w:after="100" w:before="240"/>
      </w:pPr>
      <w:r>
        <w:rPr>
          <w:rFonts w:ascii="Verdana" w:cs="Verdana" w:eastAsia="Verdana" w:hAnsi="Verdana"/>
          <w:b/>
          <w:bCs/>
          <w:color w:val="5C4A3A"/>
          <w:sz w:val="24"/>
          <w:szCs w:val="24"/>
        </w:rPr>
        <w:t xml:space="preserve">1.7 Native edible plants and the foraging baseline</w:t>
      </w:r>
    </w:p>
    <w:p>
      <w:pPr>
        <w:spacing w:after="140" w:before="100" w:line="300"/>
        <w:jc w:val="both"/>
      </w:pPr>
      <w:r>
        <w:rPr>
          <w:rFonts w:ascii="Georgia" w:cs="Georgia" w:eastAsia="Georgia" w:hAnsi="Georgia"/>
          <w:b w:val="false"/>
          <w:bCs w:val="false"/>
          <w:i w:val="false"/>
          <w:iCs w:val="false"/>
          <w:color w:val="2A2A28"/>
          <w:sz w:val="22"/>
          <w:szCs w:val="22"/>
        </w:rPr>
        <w:t xml:space="preserve">Beyond what you cultivate deliberately, NWA woodlands offer a steady year-round foraging baseline that costs nothing once you can identify the species. Pawpaw fruit ripens in early September. American persimmons drop after the first frost, sometime in late October or early November, and become eating-quality only after they have frosted. Black walnuts and shagbark hickory nuts fall in October. Wild blackberries ripen in June and July. Wild plums in August. Morels in April, sometimes with a brief secondary flush in May. Chanterelles from June through August. Lion’s mane from September through November. Redbud flowers in April, edible raw and pleasantly tart. Wild ramps in April — these have been over-harvested in some Eastern hardwood forests, so harvest only one leaf per plant and leave the bulb. Violets and chickweed are reliable spring greens. Hobbs State Park and the Buffalo National River corridor are nearby teaching landscapes; consider an early-season foraging walk with a knowledgeable guide before depending on identification skills. Samuel Thayer’s Forager’s Harvest trilogy and his online edible-plant index are the standard regional references. The University of Arkansas Cooperative Extension Service publishes a free “Wild Edible Plants of Arkansas” guide that catalogues approximately sixty common species with photographs and habitat notes.</w:t>
      </w:r>
    </w:p>
    <w:p>
      <w:pPr>
        <w:pStyle w:val="Heading2"/>
        <w:spacing w:after="160" w:before="320"/>
      </w:pPr>
      <w:r>
        <w:rPr>
          <w:rFonts w:ascii="Verdana" w:cs="Verdana" w:eastAsia="Verdana" w:hAnsi="Verdana"/>
          <w:b/>
          <w:bCs/>
          <w:color w:val="4A6B3A"/>
          <w:sz w:val="30"/>
          <w:szCs w:val="30"/>
        </w:rPr>
        <w:t xml:space="preserve">Chapter 2. The Arkansas Legal and Regulatory Landscape</w:t>
      </w:r>
    </w:p>
    <w:p>
      <w:pPr>
        <w:spacing w:after="140" w:before="100" w:line="300"/>
        <w:jc w:val="both"/>
      </w:pPr>
      <w:r>
        <w:rPr>
          <w:rFonts w:ascii="Georgia" w:cs="Georgia" w:eastAsia="Georgia" w:hAnsi="Georgia"/>
          <w:b w:val="false"/>
          <w:bCs w:val="false"/>
          <w:i w:val="false"/>
          <w:iCs w:val="false"/>
          <w:color w:val="2A2A28"/>
          <w:sz w:val="22"/>
          <w:szCs w:val="22"/>
        </w:rPr>
        <w:t xml:space="preserve">Every decision in this blueprint is gated by current Arkansas state law and Washington or Benton County municipal code. The regulatory picture changed substantially in 2024 and again at the federal level in mid-2025, and a homesteader making a five-year plan today is in a meaningfully different legal environment than one who made the same plan in 2023. This chapter catalogs the rules that actually matter and notes where the law is permissive, where it is restrictive, and where it is ambiguous enough to demand a phone call to the city clerk before money is spent.</w:t>
      </w:r>
    </w:p>
    <w:p>
      <w:pPr>
        <w:pStyle w:val="Heading3"/>
        <w:spacing w:after="100" w:before="240"/>
      </w:pPr>
      <w:r>
        <w:rPr>
          <w:rFonts w:ascii="Verdana" w:cs="Verdana" w:eastAsia="Verdana" w:hAnsi="Verdana"/>
          <w:b/>
          <w:bCs/>
          <w:color w:val="5C4A3A"/>
          <w:sz w:val="24"/>
          <w:szCs w:val="24"/>
        </w:rPr>
        <w:t xml:space="preserve">2.1 Rainwater harvesting</w:t>
      </w:r>
    </w:p>
    <w:p>
      <w:pPr>
        <w:spacing w:after="140" w:before="100" w:line="300"/>
        <w:jc w:val="both"/>
      </w:pPr>
      <w:r>
        <w:rPr>
          <w:rFonts w:ascii="Georgia" w:cs="Georgia" w:eastAsia="Georgia" w:hAnsi="Georgia"/>
          <w:b w:val="false"/>
          <w:bCs w:val="false"/>
          <w:i w:val="false"/>
          <w:iCs w:val="false"/>
          <w:color w:val="2A2A28"/>
          <w:sz w:val="22"/>
          <w:szCs w:val="22"/>
        </w:rPr>
        <w:t xml:space="preserve">Rainwater harvesting is legal in Arkansas but constrained in a specific and important way. Arkansas Code Annotated section 17-38-201 — the statute that carries forward what is commonly cited as Act 1052 of 2013 era policy on non-potable reuse — allows harvested rainwater to be used for non-potable purposes if the system is designed by an Arkansas-licensed professional engineer, includes appropriate cross-connection safeguards to prevent contamination of the municipal water supply, and complies with the Arkansas Plumbing Code. Chapter 13 of the 2018 Arkansas Plumbing Code further requires a debris excluder and an automatic first-flush diverter on any system that is plumbed into a building.</w:t>
      </w:r>
    </w:p>
    <w:p>
      <w:pPr>
        <w:spacing w:after="140" w:before="100" w:line="300"/>
        <w:jc w:val="both"/>
      </w:pPr>
      <w:r>
        <w:rPr>
          <w:rFonts w:ascii="Georgia" w:cs="Georgia" w:eastAsia="Georgia" w:hAnsi="Georgia"/>
          <w:b w:val="false"/>
          <w:bCs w:val="false"/>
          <w:i w:val="false"/>
          <w:iCs w:val="false"/>
          <w:color w:val="2A2A28"/>
          <w:sz w:val="22"/>
          <w:szCs w:val="22"/>
        </w:rPr>
        <w:t xml:space="preserve">In practice and per the University of Arkansas Cooperative Extension Service’s public guidance on collecting rainwater, passive rain-barrel and cistern use for gardens and outdoor watering is unrestricted and actively encouraged. The engineering-design requirement only attaches when the system is plumbed into an interior fixture such as a toilet, a washing machine, or a shower. For a starter homestead this distinction matters: Max can install IBC totes feeding hose bibs and drip lines without any permit or professional engineer involvement; he cannot legally plumb rainwater into the kitchen sink or the toilet tank without an engineered design and the corresponding permitting through the city. The recommended Phase 1 build in Chapter 13 stays cleanly on the legal side of this line.</w:t>
      </w:r>
    </w:p>
    <w:p>
      <w:pPr>
        <w:pStyle w:val="Heading3"/>
        <w:spacing w:after="100" w:before="240"/>
      </w:pPr>
      <w:r>
        <w:rPr>
          <w:rFonts w:ascii="Verdana" w:cs="Verdana" w:eastAsia="Verdana" w:hAnsi="Verdana"/>
          <w:b/>
          <w:bCs/>
          <w:color w:val="5C4A3A"/>
          <w:sz w:val="24"/>
          <w:szCs w:val="24"/>
        </w:rPr>
        <w:t xml:space="preserve">2.2 Net metering and the Act 278 revolution</w:t>
      </w:r>
    </w:p>
    <w:p>
      <w:pPr>
        <w:spacing w:after="140" w:before="100" w:line="300"/>
        <w:jc w:val="both"/>
      </w:pPr>
      <w:r>
        <w:rPr>
          <w:rFonts w:ascii="Georgia" w:cs="Georgia" w:eastAsia="Georgia" w:hAnsi="Georgia"/>
          <w:b w:val="false"/>
          <w:bCs w:val="false"/>
          <w:i w:val="false"/>
          <w:iCs w:val="false"/>
          <w:color w:val="2A2A28"/>
          <w:sz w:val="22"/>
          <w:szCs w:val="22"/>
        </w:rPr>
        <w:t xml:space="preserve">Net metering in Arkansas changed dramatically in late 2024. Arkansas Act 278 of 2024, signed by Governor Sanders and implemented by Ozarks Electric Cooperative for facilities interconnected on or after September 29, 2024, replaced the prior one-to-one retail-rate compensation with avoided-cost compensation — typically twenty to thirty percent of retail rate. The Ozarks Electric Cooperative net-metering page states it directly: the electricity a member uses from the cooperative is billed at the standard retail rate, while any electricity the member’s system produces and sends back is credited at the avoided cost of energy, based on the prior year’s rate filed with the Arkansas Public Service Commission. Unused credits roll over from month to month and never expire. Legacy net-metering customers who filed interconnection agreements before March 12, 2023, are grandfathered at full retail through June 1, 2040; transitional-legacy customers who interconnected between March 12, 2023, and September 30, 2024, are similarly grandfathered.</w:t>
      </w:r>
    </w:p>
    <w:p>
      <w:pPr>
        <w:spacing w:after="140" w:before="100" w:line="300"/>
        <w:jc w:val="both"/>
      </w:pPr>
      <w:r>
        <w:rPr>
          <w:rFonts w:ascii="Georgia" w:cs="Georgia" w:eastAsia="Georgia" w:hAnsi="Georgia"/>
          <w:b w:val="false"/>
          <w:bCs w:val="false"/>
          <w:i w:val="false"/>
          <w:iCs w:val="false"/>
          <w:color w:val="2A2A28"/>
          <w:sz w:val="22"/>
          <w:szCs w:val="22"/>
        </w:rPr>
        <w:t xml:space="preserve">Anyone interconnecting in 2026 is on the new regime. The practical implication for a small starter system is that exporting power is now worth roughly twenty-five cents on the retail dollar, and battery storage is the rational investment rather than additional panels you cannot self-consume during the workday. Ozarks Electric Cooperative serves most of Washington and Benton counties; SWEPCO serves portions of Fayetteville proper, and the exact avoided-cost rate is filed annually with the Arkansas Public Service Commission and varies modestly between the two utilities. The reader is encouraged to pull current rates directly from the utility before sizing any system larger than the portable Phase 2 starter described in Chapter 13.</w:t>
      </w:r>
    </w:p>
    <w:p>
      <w:pPr>
        <w:pStyle w:val="Heading3"/>
        <w:spacing w:after="100" w:before="240"/>
      </w:pPr>
      <w:r>
        <w:rPr>
          <w:rFonts w:ascii="Verdana" w:cs="Verdana" w:eastAsia="Verdana" w:hAnsi="Verdana"/>
          <w:b/>
          <w:bCs/>
          <w:color w:val="5C4A3A"/>
          <w:sz w:val="24"/>
          <w:szCs w:val="24"/>
        </w:rPr>
        <w:t xml:space="preserve">2.3 The federal solar tax credit cliff</w:t>
      </w:r>
    </w:p>
    <w:p>
      <w:pPr>
        <w:spacing w:after="140" w:before="100" w:line="300"/>
        <w:jc w:val="both"/>
      </w:pPr>
      <w:r>
        <w:rPr>
          <w:rFonts w:ascii="Georgia" w:cs="Georgia" w:eastAsia="Georgia" w:hAnsi="Georgia"/>
          <w:b w:val="false"/>
          <w:bCs w:val="false"/>
          <w:i w:val="false"/>
          <w:iCs w:val="false"/>
          <w:color w:val="2A2A28"/>
          <w:sz w:val="22"/>
          <w:szCs w:val="22"/>
        </w:rPr>
        <w:t xml:space="preserve">The federal Residential Clean Energy Credit under Internal Revenue Code section 25D — the thirty percent residential solar tax credit that was the financial backbone of the United States rooftop solar industry for nearly two decades — expired on December 31, 2025, under the One Big Beautiful Bill Act signed July 4, 2025. There is no phase-down period. The credit went from thirty percent to zero overnight for property placed in service after December 31, 2025. The section 48E commercial credit for third-party-owned residential systems (leases and power-purchase agreements) continues through 2027 but is irrelevant at the do-it-yourself residential scale this document addresses. For Max in 2026, federal tax credits are simply not part of the math.</w:t>
      </w:r>
    </w:p>
    <w:p>
      <w:pPr>
        <w:spacing w:after="140" w:before="100" w:line="300"/>
        <w:jc w:val="both"/>
      </w:pPr>
      <w:r>
        <w:rPr>
          <w:rFonts w:ascii="Georgia" w:cs="Georgia" w:eastAsia="Georgia" w:hAnsi="Georgia"/>
          <w:b w:val="false"/>
          <w:bCs w:val="false"/>
          <w:i w:val="false"/>
          <w:iCs w:val="false"/>
          <w:color w:val="2A2A28"/>
          <w:sz w:val="22"/>
          <w:szCs w:val="22"/>
        </w:rPr>
        <w:t xml:space="preserve">This is the second leg of the regulatory shift that makes the recommended sequencing in this blueprint different from what a 2023-vintage guide would suggest. The combined effect of avoided-cost net metering and the expired section 25D credit is that the value of grid export collapsed by roughly seventy-five percent and the upfront cost of a permanent installation rose by roughly thirty percent. The rational response is not to abandon solar; the rational response is to start with a portable, easily relocatable, self-consumed system that does not require interconnection, permitting, or utility approval at all. That is precisely the Phase 2 recommendation.</w:t>
      </w:r>
    </w:p>
    <w:p>
      <w:pPr>
        <w:pStyle w:val="Heading3"/>
        <w:spacing w:after="100" w:before="240"/>
      </w:pPr>
      <w:r>
        <w:rPr>
          <w:rFonts w:ascii="Verdana" w:cs="Verdana" w:eastAsia="Verdana" w:hAnsi="Verdana"/>
          <w:b/>
          <w:bCs/>
          <w:color w:val="5C4A3A"/>
          <w:sz w:val="24"/>
          <w:szCs w:val="24"/>
        </w:rPr>
        <w:t xml:space="preserve">2.4 Septic, composting toilets, and sanitation code</w:t>
      </w:r>
    </w:p>
    <w:p>
      <w:pPr>
        <w:spacing w:after="140" w:before="100" w:line="300"/>
        <w:jc w:val="both"/>
      </w:pPr>
      <w:r>
        <w:rPr>
          <w:rFonts w:ascii="Georgia" w:cs="Georgia" w:eastAsia="Georgia" w:hAnsi="Georgia"/>
          <w:b w:val="false"/>
          <w:bCs w:val="false"/>
          <w:i w:val="false"/>
          <w:iCs w:val="false"/>
          <w:color w:val="2A2A28"/>
          <w:sz w:val="22"/>
          <w:szCs w:val="22"/>
        </w:rPr>
        <w:t xml:space="preserve">The Arkansas Department of Health regulates onsite wastewater under the Arkansas Sewage Disposal Systems Code. Composting toilets are recognized as legal alternative systems for use with a greywater-only septic permit, but a permitted septic or alternative system is still required for greywater in most jurisdictions outside truly rural unincorporated areas. Inside Fayetteville and Johnson city limits, you cannot legally eliminate the sewer connection on an existing house. You can, however, add a Nature’s Head or a Loveable Loo as a supplement to an outbuilding, a recreational vehicle, or a guest house without complication. The Joseph Jenkins humanure system is functionally legal as a supplementary composting installation but is rarely sanctioned as a sole sanitation system in incorporated NWA. For a future rural parcel in Madison, Newton, Searcy, or Carroll County, the picture changes substantially — those counties have far less restrictive enforcement, and a primary composting toilet plus a greywater-only graywater field is realistic.</w:t>
      </w:r>
    </w:p>
    <w:p>
      <w:pPr>
        <w:pStyle w:val="Heading3"/>
        <w:spacing w:after="100" w:before="240"/>
      </w:pPr>
      <w:r>
        <w:rPr>
          <w:rFonts w:ascii="Verdana" w:cs="Verdana" w:eastAsia="Verdana" w:hAnsi="Verdana"/>
          <w:b/>
          <w:bCs/>
          <w:color w:val="5C4A3A"/>
          <w:sz w:val="24"/>
          <w:szCs w:val="24"/>
        </w:rPr>
        <w:t xml:space="preserve">2.5 Urban agriculture and backyard livestock</w:t>
      </w:r>
    </w:p>
    <w:p>
      <w:pPr>
        <w:spacing w:after="140" w:before="100" w:line="300"/>
        <w:jc w:val="both"/>
      </w:pPr>
      <w:r>
        <w:rPr>
          <w:rFonts w:ascii="Georgia" w:cs="Georgia" w:eastAsia="Georgia" w:hAnsi="Georgia"/>
          <w:b w:val="false"/>
          <w:bCs w:val="false"/>
          <w:i w:val="false"/>
          <w:iCs w:val="false"/>
          <w:color w:val="2A2A28"/>
          <w:sz w:val="22"/>
          <w:szCs w:val="22"/>
        </w:rPr>
        <w:t xml:space="preserve">Backyard chickens in Fayetteville are notably permissive by national standards. The city ordinance (Title IX, Chapter 92 of the Fayetteville Code, as amended in March 2014) allows up to twenty hens on lots of five thousand square feet or larger, requires an annual permit costing approximately fifteen dollars, and bans roosters. Coops must be set back twenty-five feet from any neighboring dwelling. Bees and goats are also legal under the same urban-agriculture ordinance, with the maximum count tied to lot square footage. Johnson, Springdale, and Bentonville are stricter. Springdale historically prohibits residential chickens entirely; Bentonville allows chickens but with tighter setback and count limits; Johnson sits somewhere in between. The reader is urged to call the city clerk before buying chicks. The fifteen-dollar Fayetteville permit fee is included in the Phase 3 budget in Chapter 13.</w:t>
      </w:r>
    </w:p>
    <w:p>
      <w:pPr>
        <w:pStyle w:val="Heading3"/>
        <w:spacing w:after="100" w:before="240"/>
      </w:pPr>
      <w:r>
        <w:rPr>
          <w:rFonts w:ascii="Verdana" w:cs="Verdana" w:eastAsia="Verdana" w:hAnsi="Verdana"/>
          <w:b/>
          <w:bCs/>
          <w:color w:val="5C4A3A"/>
          <w:sz w:val="24"/>
          <w:szCs w:val="24"/>
        </w:rPr>
        <w:t xml:space="preserve">2.6 Biogas digesters and building permits</w:t>
      </w:r>
    </w:p>
    <w:p>
      <w:pPr>
        <w:spacing w:after="140" w:before="100" w:line="300"/>
        <w:jc w:val="both"/>
      </w:pPr>
      <w:r>
        <w:rPr>
          <w:rFonts w:ascii="Georgia" w:cs="Georgia" w:eastAsia="Georgia" w:hAnsi="Georgia"/>
          <w:b w:val="false"/>
          <w:bCs w:val="false"/>
          <w:i w:val="false"/>
          <w:iCs w:val="false"/>
          <w:color w:val="2A2A28"/>
          <w:sz w:val="22"/>
          <w:szCs w:val="22"/>
        </w:rPr>
        <w:t xml:space="preserve">Biogas digesters are not specifically regulated in Arkansas at the residential scale. HomeBiogas-style units are treated as backyard appliances similar to a propane grill or a fire pit. The gas connection to indoor appliances should be made by a licensed gas technician, and any indoor combustion appliance is subject to the local building and mechanical code, but there is no Arkansas-specific permit for a backyard anaerobic digester at sub-commercial scale.</w:t>
      </w:r>
    </w:p>
    <w:p>
      <w:pPr>
        <w:spacing w:after="140" w:before="100" w:line="300"/>
        <w:jc w:val="both"/>
      </w:pPr>
      <w:r>
        <w:rPr>
          <w:rFonts w:ascii="Georgia" w:cs="Georgia" w:eastAsia="Georgia" w:hAnsi="Georgia"/>
          <w:b w:val="false"/>
          <w:bCs w:val="false"/>
          <w:i w:val="false"/>
          <w:iCs w:val="false"/>
          <w:color w:val="2A2A28"/>
          <w:sz w:val="22"/>
          <w:szCs w:val="22"/>
        </w:rPr>
        <w:t xml:space="preserve">Building permits in Washington County are relatively friendly to small structures. Structures of one hundred twenty square feet or less generally do not require a building permit in unincorporated Washington County, and Fayetteville exempts accessory structures of two hundred square feet or less from permit, although electrical and plumbing still require permits. This is why small greenhouses, tool sheds, and chicken coops can be built quickly without paperwork. For Benton County the accessory-structure thresholds are slightly different — confirm with the Benton County Planning Department before building anything over one hundred forty-four square feet.</w:t>
      </w:r>
    </w:p>
    <w:p>
      <w:pPr>
        <w:spacing w:after="140" w:before="100" w:line="300"/>
        <w:jc w:val="both"/>
      </w:pPr>
      <w:r>
        <w:rPr>
          <w:rFonts w:ascii="Georgia" w:cs="Georgia" w:eastAsia="Georgia" w:hAnsi="Georgia"/>
          <w:b w:val="false"/>
          <w:bCs w:val="false"/>
          <w:i w:val="false"/>
          <w:iCs w:val="false"/>
          <w:color w:val="2A2A28"/>
          <w:sz w:val="22"/>
          <w:szCs w:val="22"/>
        </w:rPr>
        <w:t xml:space="preserve">Arkansas does not have a statewide off-grid prohibition, but counties vary widely. Washington and Benton counties, where Fayetteville, Johnson, and Bentonville sit, are moderate-regulation. Truly off-grid living — no utility hookups, composting toilet as primary, well and rainwater only — is significantly easier in adjacent Madison, Newton, Searcy, or Carroll counties. The Acorn Land Labs guidance to “find a rural, low-regulation environment” applies, but a two-thousand-dollar starter buildout on an existing in-city Fayetteville lot is a parallel grid-tied setup, not a true off-grid conversion, and that is exactly the right starting point for someone in school and working multiple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2A" w:sz="18"/>
              <w:left w:val="single" w:color="8A4B2A" w:sz="18"/>
              <w:bottom w:val="single" w:color="8A4B2A" w:sz="6"/>
              <w:right w:val="single" w:color="8A4B2A" w:sz="6"/>
            </w:tcBorders>
            <w:shd w:fill="F5E6DC" w:val="clear"/>
            <w:tcMar>
              <w:top w:type="dxa" w:w="200"/>
              <w:left w:type="dxa" w:w="280"/>
              <w:bottom w:type="dxa" w:w="200"/>
              <w:right w:type="dxa" w:w="280"/>
            </w:tcMar>
          </w:tcPr>
          <w:p>
            <w:pPr>
              <w:spacing w:after="100" w:before="40"/>
            </w:pPr>
            <w:r>
              <w:rPr>
                <w:rFonts w:ascii="Verdana" w:cs="Verdana" w:eastAsia="Verdana" w:hAnsi="Verdana"/>
                <w:b/>
                <w:bCs/>
                <w:color w:val="8A4B2A"/>
                <w:sz w:val="22"/>
                <w:szCs w:val="22"/>
              </w:rPr>
              <w:t xml:space="preserve">Regulatory caveat — verify everything locally</w:t>
            </w:r>
          </w:p>
          <w:p>
            <w:pPr>
              <w:spacing w:after="80" w:before="60" w:line="280"/>
              <w:jc w:val="both"/>
            </w:pPr>
            <w:r>
              <w:rPr>
                <w:rFonts w:ascii="Georgia" w:cs="Georgia" w:eastAsia="Georgia" w:hAnsi="Georgia"/>
                <w:color w:val="2A2A28"/>
                <w:sz w:val="21"/>
                <w:szCs w:val="21"/>
              </w:rPr>
              <w:t xml:space="preserve">Tax law and utility rate structures are unstable. The 2026 federal solar landscape is current law as of this writing but is downstream of every two-year congressional cycle. The Ozarks Electric and SWEPCO avoided-cost rates are filed annually with the Arkansas Public Service Commission. Backyard chicken ordinances in NWA differ from city to city and can change with a single city council vote. Before spending money on any system that triggers a permit, code, or rate question, call the city clerk and the relevant utility directly. A thirty-minute phone call has, on more than one homestead, saved a five-thousand-dollar mistake.</w:t>
            </w:r>
          </w:p>
        </w:tc>
      </w:tr>
    </w:tbl>
    <w:p>
      <w:pPr>
        <w:pStyle w:val="Heading2"/>
        <w:spacing w:after="160" w:before="320"/>
      </w:pPr>
      <w:r>
        <w:rPr>
          <w:rFonts w:ascii="Verdana" w:cs="Verdana" w:eastAsia="Verdana" w:hAnsi="Verdana"/>
          <w:b/>
          <w:bCs/>
          <w:color w:val="4A6B3A"/>
          <w:sz w:val="30"/>
          <w:szCs w:val="30"/>
        </w:rPr>
        <w:t xml:space="preserve">Chapter 3. The Acorn Land Labs Framework</w:t>
      </w:r>
    </w:p>
    <w:p>
      <w:pPr>
        <w:spacing w:after="140" w:before="100" w:line="300"/>
        <w:jc w:val="both"/>
      </w:pPr>
      <w:r>
        <w:rPr>
          <w:rFonts w:ascii="Georgia" w:cs="Georgia" w:eastAsia="Georgia" w:hAnsi="Georgia"/>
          <w:b w:val="false"/>
          <w:bCs w:val="false"/>
          <w:i w:val="false"/>
          <w:iCs w:val="false"/>
          <w:color w:val="2A2A28"/>
          <w:sz w:val="22"/>
          <w:szCs w:val="22"/>
        </w:rPr>
        <w:t xml:space="preserve">Acorn Land Labs is a small Atlanta-area outdoor education project founded by Kemble and Joe Hildreth that has, over the past five years, produced what is probably the clearest and most accessible articulation of the five-pillar regenerative-homestead framework available in English. Their public-facing materials — a Substack newsletter at articles.acornlandlabs.com, a YouTube channel cataloged at @acornlandlabs, a Land Lab Simulator drag-and-drop planning tool at landlab.app, and a small bookstore selling their “Acorn Off-Grid Systems” paperback for roughly twenty-five dollars on Amazon plus a free PDF eBook via their store and an audiobook for about fifteen dollars — form the closest thing the regenerative-homestead movement has to a beginner curriculum.</w:t>
      </w:r>
    </w:p>
    <w:p>
      <w:pPr>
        <w:spacing w:after="140" w:before="100" w:line="300"/>
        <w:jc w:val="both"/>
      </w:pPr>
      <w:r>
        <w:rPr>
          <w:rFonts w:ascii="Georgia" w:cs="Georgia" w:eastAsia="Georgia" w:hAnsi="Georgia"/>
          <w:b w:val="false"/>
          <w:bCs w:val="false"/>
          <w:i w:val="false"/>
          <w:iCs w:val="false"/>
          <w:color w:val="2A2A28"/>
          <w:sz w:val="22"/>
          <w:szCs w:val="22"/>
        </w:rPr>
        <w:t xml:space="preserve">The framework is deceptively simple. Five needs: food, water, energy, shelter, and sanitation. Transportation is treated as a subset of energy. Every system on the property is evaluated by which pillars it serves and which pillars it consumes. The strongest systems serve multiple pillars and consume few; the weakest serve one pillar and consume several. Rainwater is a strong system because it serves both water and food (via irrigation) and consumes nothing. A propane stove is a weak system because it serves only the cooking subset of food and consumes both energy (the propane) and capital (the tank and the recurring delivery fee). A biogas digester replaces the propane stove with one that serves food (cooking) and sanitation (waste cycling) simultaneously while consuming only kitchen scraps that would otherwise be liability. This is the heuristic that organizes everything in this document.</w:t>
      </w:r>
    </w:p>
    <w:p>
      <w:pPr>
        <w:spacing w:after="140" w:before="100" w:line="300"/>
        <w:jc w:val="both"/>
      </w:pPr>
      <w:r>
        <w:rPr>
          <w:rFonts w:ascii="Georgia" w:cs="Georgia" w:eastAsia="Georgia" w:hAnsi="Georgia"/>
          <w:b w:val="false"/>
          <w:bCs w:val="false"/>
          <w:i w:val="false"/>
          <w:iCs w:val="false"/>
          <w:color w:val="2A2A28"/>
          <w:sz w:val="22"/>
          <w:szCs w:val="22"/>
        </w:rPr>
        <w:t xml:space="preserve">Acorn Land Labs’ canonical seven-step guide, the September 2023 Substack post titled “Going off-grid for $12k or less,” is the structural template this blueprint mirrors. The Acorn breakdown for a full off-grid bootstrap is roughly four thousand dollars in land down payment, two thousand dollars in canvas-tent shelter, fifteen hundred dollars in rainwater systems, fifteen hundred dollars in composting-toilet and biogas systems, two thousand dollars in solar, and a thousand dollars in extras and tools. The total is twelve thousand dollars and supports a single adult living rurally with reasonable comfort. The two-thousand-dollar version in this document assumes Max already has a roof, a vehicle, and basic hand tools — it is the systems-only subset of the Acorn plan, executed in phases that any college student or early-career worker can absorb without disrupting their primary income.</w:t>
      </w:r>
    </w:p>
    <w:p>
      <w:pPr>
        <w:pStyle w:val="Heading3"/>
        <w:spacing w:after="100" w:before="240"/>
      </w:pPr>
      <w:r>
        <w:rPr>
          <w:rFonts w:ascii="Verdana" w:cs="Verdana" w:eastAsia="Verdana" w:hAnsi="Verdana"/>
          <w:b/>
          <w:bCs/>
          <w:color w:val="5C4A3A"/>
          <w:sz w:val="24"/>
          <w:szCs w:val="24"/>
        </w:rPr>
        <w:t xml:space="preserve">3.1 Acorn’s methane digester practice</w:t>
      </w:r>
    </w:p>
    <w:p>
      <w:pPr>
        <w:spacing w:after="140" w:before="100" w:line="300"/>
        <w:jc w:val="both"/>
      </w:pPr>
      <w:r>
        <w:rPr>
          <w:rFonts w:ascii="Georgia" w:cs="Georgia" w:eastAsia="Georgia" w:hAnsi="Georgia"/>
          <w:b w:val="false"/>
          <w:bCs w:val="false"/>
          <w:i w:val="false"/>
          <w:iCs w:val="false"/>
          <w:color w:val="2A2A28"/>
          <w:sz w:val="22"/>
          <w:szCs w:val="22"/>
        </w:rPr>
        <w:t xml:space="preserve">The single most NWA-relevant detail in Acorn Land Labs’ published work is their cold-climate biogas adaptation. They run a HomeBiogas 2 unit inside a small greenhouse to maintain an interior temperature of at least sixty-eight degrees Fahrenheit year-round. They feed it food waste plus chicken and kunekune pig manure. They capture one to two hours of cooking gas per day. They use the digestate — the dark liquid effluent — as fertilizer for ornamentals and trees rather than for direct food crops, both because the nutrient profile suits perennials and because the cold-pasteurization regime in an unmodified mesophilic digester is not adequate for sanitization of root-vegetable beds. This same pattern is recommended in Chapter 8 of this document for an NWA implementation, with one substitution: a do-it-yourself IBC tote digester replacing the HomeBiogas unit, at approximately one-fifth the cost.</w:t>
      </w:r>
    </w:p>
    <w:p>
      <w:pPr>
        <w:pStyle w:val="Heading3"/>
        <w:spacing w:after="100" w:before="240"/>
      </w:pPr>
      <w:r>
        <w:rPr>
          <w:rFonts w:ascii="Verdana" w:cs="Verdana" w:eastAsia="Verdana" w:hAnsi="Verdana"/>
          <w:b/>
          <w:bCs/>
          <w:color w:val="5C4A3A"/>
          <w:sz w:val="24"/>
          <w:szCs w:val="24"/>
        </w:rPr>
        <w:t xml:space="preserve">3.2 Adjacent practitioners worth following</w:t>
      </w:r>
    </w:p>
    <w:p>
      <w:pPr>
        <w:spacing w:after="140" w:before="100" w:line="300"/>
        <w:jc w:val="both"/>
      </w:pPr>
      <w:r>
        <w:rPr>
          <w:rFonts w:ascii="Georgia" w:cs="Georgia" w:eastAsia="Georgia" w:hAnsi="Georgia"/>
          <w:b w:val="false"/>
          <w:bCs w:val="false"/>
          <w:i w:val="false"/>
          <w:iCs w:val="false"/>
          <w:color w:val="2A2A28"/>
          <w:sz w:val="22"/>
          <w:szCs w:val="22"/>
        </w:rPr>
        <w:t xml:space="preserve">Acorn Land Labs sits inside a wider tradition of regenerative-design thinkers, and a homesteader who reads only one author will be poorer for it. Mark Shepard, whose 2013 book Restoration Agriculture and 2024 book Water for Any Farm are published by Acres USA, is the practitioner whose models translate most directly to the Ozarks because his Wisconsin New Forest Farm is explicitly designed around oak savanna — an ecosystem closer to native Ozark woodland than to corn-belt prairie. His STUN methodology, an acronym for “sheer total utter neglect” — plant ten times what you want, water once at establishment, then select the survivors — is the right disposition for rocky, drought-prone Ozark hillsides. His core “main crop” stack of chestnut, hazelnut, apple, raspberry and blackberry, and asparagus, with chickens and pigs rotated through, translates directly to NWA latitudes. Chestnut from the Castanea dentata by Castanea mollissima hybrid program at Route 9 Cooperative or from Shepard’s own Forest Agriculture Nursery at forestag.com is the keystone calorie crop; the Badgersett and Rutgers hybrid hazelnut is the keystone oil crop; pawpaw and persimmon are NWA-native fruits that thrive without spray.</w:t>
      </w:r>
    </w:p>
    <w:p>
      <w:pPr>
        <w:spacing w:after="140" w:before="100" w:line="300"/>
        <w:jc w:val="both"/>
      </w:pPr>
      <w:r>
        <w:rPr>
          <w:rFonts w:ascii="Georgia" w:cs="Georgia" w:eastAsia="Georgia" w:hAnsi="Georgia"/>
          <w:b w:val="false"/>
          <w:bCs w:val="false"/>
          <w:i w:val="false"/>
          <w:iCs w:val="false"/>
          <w:color w:val="2A2A28"/>
          <w:sz w:val="22"/>
          <w:szCs w:val="22"/>
        </w:rPr>
        <w:t xml:space="preserve">Geoff Lawton, the Australian permaculture designer whose “Greening the Desert” videos popularized swale-based water harvesting in arid landscapes, runs free YouTube content and a paid course at geofflawtononline.com. Sepp Holzer, the Austrian whose Krameterhof mountain farm demonstrates extreme-climate permaculture, has produced several free YouTube documentaries and an English-translated book. Ben Falk of Whole Systems Design in Vermont published “The Resilient Farm and Homestead” through Chelsea Green Publishing; his work is the most cold-climate-rigorous of the modern permaculture canon. Justin Rhodes, who farms in western North Carolina at a similar latitude and rainfall to NWA, runs the free “Permaculture Chickens” YouTube series that is the best regional analog for how to actually run a small chicken flock in this climate. Diego Footer’s Permaculture Voices podcast at paperpot.co is the best resource on market-garden economics. Eliot Coleman’s “Four-Season Harvest” and “The New Organic Grower” are the canonical winter-growing references and remain in print through Chelsea Green. Joseph Jenkins’ “Humanure Handbook,” now in its fourth edition and available as a free PDF at humanurehandbook.com, is the entire science of safe human-waste composting in one volume. Paul Wheaton’s permies.com is the largest permaculture forum on the internet and is free. Open Source Ecology at opensourceecology.org publishes computer-aided-design plans for the “Global Village Construction Set” — tractors, brick presses, biochar burners, gasifiers — all under free licenses. Low-Tech Magazine at lowtechmagazine.com publishes long-form essays on solar boats, manual pumps, thermal mass, and the like. Project Drawdown at drawdown.org maintains a ranking of climate solutions by gigatonnes of avoided emissions per dollar that is useful for prioritizing investments at a global scale.</w:t>
      </w:r>
    </w:p>
    <w:p>
      <w:pPr>
        <w:spacing w:after="140" w:before="100" w:line="300"/>
        <w:jc w:val="both"/>
      </w:pPr>
      <w:r>
        <w:rPr>
          <w:rFonts w:ascii="Georgia" w:cs="Georgia" w:eastAsia="Georgia" w:hAnsi="Georgia"/>
          <w:b w:val="false"/>
          <w:bCs w:val="false"/>
          <w:i w:val="false"/>
          <w:iCs w:val="false"/>
          <w:color w:val="2A2A28"/>
          <w:sz w:val="22"/>
          <w:szCs w:val="22"/>
        </w:rPr>
        <w:t xml:space="preserve">A homesteader who works through this list — even just the free YouTube and PDF subset — will, in the course of a winter, accumulate roughly the equivalent of a community-college certificate program in regenerative design at zero cost. The two-thousand-dollar budget in this document is not a substitute for that learning; it is the seed capital that operationalizes it.</w:t>
      </w:r>
    </w:p>
    <w:p>
      <w:pPr>
        <w:pStyle w:val="Heading1"/>
        <w:pageBreakBefore/>
        <w:pBdr>
          <w:bottom w:val="single" w:color="7A9268" w:sz="12" w:space="4"/>
        </w:pBdr>
        <w:spacing w:after="240" w:before="360"/>
      </w:pPr>
      <w:r>
        <w:rPr>
          <w:rFonts w:ascii="Verdana" w:cs="Verdana" w:eastAsia="Verdana" w:hAnsi="Verdana"/>
          <w:b/>
          <w:bCs/>
          <w:color w:val="2D4A2B"/>
          <w:sz w:val="40"/>
          <w:szCs w:val="40"/>
        </w:rPr>
        <w:t xml:space="preserve">Part II  ·  The Five Pillars</w:t>
      </w:r>
    </w:p>
    <w:p>
      <w:pPr>
        <w:pBdr>
          <w:top w:val="single" w:color="7A9268" w:sz="4" w:space="6"/>
          <w:bottom w:val="single" w:color="7A9268" w:sz="4" w:space="6"/>
        </w:pBdr>
        <w:spacing w:after="200" w:before="200" w:line="280"/>
        <w:ind w:left="720" w:right="720"/>
        <w:jc w:val="center"/>
      </w:pPr>
      <w:r>
        <w:rPr>
          <w:rFonts w:ascii="Georgia" w:cs="Georgia" w:eastAsia="Georgia" w:hAnsi="Georgia"/>
          <w:i/>
          <w:iCs/>
          <w:color w:val="4A6B3A"/>
          <w:sz w:val="22"/>
          <w:szCs w:val="22"/>
        </w:rPr>
        <w:t xml:space="preserve">“A property is not a tech stack; it is a small living ecosystem that happens to use technology where technology earns its place.”</w:t>
      </w:r>
      <w:r>
        <w:rPr>
          <w:rFonts w:ascii="Georgia" w:cs="Georgia" w:eastAsia="Georgia" w:hAnsi="Georgia"/>
          <w:i/>
          <w:iCs/>
          <w:color w:val="5C4A3A"/>
          <w:sz w:val="20"/>
          <w:szCs w:val="20"/>
        </w:rPr>
        <w:t xml:space="preserve">  — Author’s note</w:t>
      </w:r>
    </w:p>
    <w:p>
      <w:pPr>
        <w:pStyle w:val="Heading2"/>
        <w:spacing w:after="160" w:before="320"/>
      </w:pPr>
      <w:r>
        <w:rPr>
          <w:rFonts w:ascii="Verdana" w:cs="Verdana" w:eastAsia="Verdana" w:hAnsi="Verdana"/>
          <w:b/>
          <w:bCs/>
          <w:color w:val="4A6B3A"/>
          <w:sz w:val="30"/>
          <w:szCs w:val="30"/>
        </w:rPr>
        <w:t xml:space="preserve">Chapter 4. The Energy Pillar</w:t>
      </w:r>
    </w:p>
    <w:p>
      <w:pPr>
        <w:spacing w:after="140" w:before="100" w:line="300"/>
        <w:jc w:val="both"/>
      </w:pPr>
      <w:r>
        <w:rPr>
          <w:rFonts w:ascii="Georgia" w:cs="Georgia" w:eastAsia="Georgia" w:hAnsi="Georgia"/>
          <w:b w:val="false"/>
          <w:bCs w:val="false"/>
          <w:i w:val="false"/>
          <w:iCs w:val="false"/>
          <w:color w:val="2A2A28"/>
          <w:sz w:val="22"/>
          <w:szCs w:val="22"/>
        </w:rPr>
        <w:t xml:space="preserve">Energy is the pillar that most homesteaders over-invest in and the pillar where the regulatory environment changed most dramatically in 2024 and 2025. This chapter takes the long way around the energy question — starting with the boring, high-return moves that have nothing to do with solar panels, then proceeding through the solar and battery layer, then the biogas layer, then the wood and heat layer, and finally the Stirling engine question that your coworker raised — because the order of operations matters more than the individual products.</w:t>
      </w:r>
    </w:p>
    <w:p>
      <w:pPr>
        <w:pStyle w:val="Heading3"/>
        <w:spacing w:after="100" w:before="240"/>
      </w:pPr>
      <w:r>
        <w:rPr>
          <w:rFonts w:ascii="Verdana" w:cs="Verdana" w:eastAsia="Verdana" w:hAnsi="Verdana"/>
          <w:b/>
          <w:bCs/>
          <w:color w:val="5C4A3A"/>
          <w:sz w:val="24"/>
          <w:szCs w:val="24"/>
        </w:rPr>
        <w:t xml:space="preserve">4.1 Efficiency first, always</w:t>
      </w:r>
    </w:p>
    <w:p>
      <w:pPr>
        <w:spacing w:after="140" w:before="100" w:line="300"/>
        <w:jc w:val="both"/>
      </w:pPr>
      <w:r>
        <w:rPr>
          <w:rFonts w:ascii="Georgia" w:cs="Georgia" w:eastAsia="Georgia" w:hAnsi="Georgia"/>
          <w:b w:val="false"/>
          <w:bCs w:val="false"/>
          <w:i w:val="false"/>
          <w:iCs w:val="false"/>
          <w:color w:val="2A2A28"/>
          <w:sz w:val="22"/>
          <w:szCs w:val="22"/>
        </w:rPr>
        <w:t xml:space="preserve">The single highest-return energy investment a homesteader can make is rarely the one anyone is excited about: it is air sealing, insulation, and the elimination of vampire loads. A two-hundred-dollar weatherization kit consisting of rope caulk, a can of expanding foam, weatherstripping for doors and windows, gasket-style outlet covers, an attic-hatch insulator, shrink-fit plastic window film, and a door sweep typically cuts the heating and cooling load of an older NWA home by ten to twenty percent in the first winter. The Energy Star Do-It-Yourself Home Energy Audit Guide, available free at energystar.gov, is the canonical checklist. Before spending the two hundred dollars on materials, however, Max should book a free home energy audit through Ozarks Electric Cooperative — the cooperative provides this service at no charge to members, and SWEPCO offers a similar service to its customers. The auditor will identify the three or four highest-leverage leaks specific to the house, which is much more efficient than buying a generic kit and guessing.</w:t>
      </w:r>
    </w:p>
    <w:p>
      <w:pPr>
        <w:spacing w:after="140" w:before="100" w:line="300"/>
        <w:jc w:val="both"/>
      </w:pPr>
      <w:r>
        <w:rPr>
          <w:rFonts w:ascii="Georgia" w:cs="Georgia" w:eastAsia="Georgia" w:hAnsi="Georgia"/>
          <w:b w:val="false"/>
          <w:bCs w:val="false"/>
          <w:i w:val="false"/>
          <w:iCs w:val="false"/>
          <w:color w:val="2A2A28"/>
          <w:sz w:val="22"/>
          <w:szCs w:val="22"/>
        </w:rPr>
        <w:t xml:space="preserve">Vampire loads — the standby power draw of televisions, set-top boxes, gaming consoles, microwave clocks, and chargers left plugged in without devices attached — typically account for five to ten percent of a residential electric bill in an unmodified American household. A handful of fifteen-dollar smart power strips, configured so that turning off the television also cuts power to the set-top box and the gaming console, pays for itself within a year and continues paying for itself indefinitely. This is the kind of move that is invisible, unsexy, and uniformly worth doing before any solar panel is purchased.</w:t>
      </w:r>
    </w:p>
    <w:p>
      <w:pPr>
        <w:pStyle w:val="Heading3"/>
        <w:spacing w:after="100" w:before="240"/>
      </w:pPr>
      <w:r>
        <w:rPr>
          <w:rFonts w:ascii="Verdana" w:cs="Verdana" w:eastAsia="Verdana" w:hAnsi="Verdana"/>
          <w:b/>
          <w:bCs/>
          <w:color w:val="5C4A3A"/>
          <w:sz w:val="24"/>
          <w:szCs w:val="24"/>
        </w:rPr>
        <w:t xml:space="preserve">4.2 The 2026 portable-solar landscape</w:t>
      </w:r>
    </w:p>
    <w:p>
      <w:pPr>
        <w:spacing w:after="140" w:before="100" w:line="300"/>
        <w:jc w:val="both"/>
      </w:pPr>
      <w:r>
        <w:rPr>
          <w:rFonts w:ascii="Georgia" w:cs="Georgia" w:eastAsia="Georgia" w:hAnsi="Georgia"/>
          <w:b w:val="false"/>
          <w:bCs w:val="false"/>
          <w:i w:val="false"/>
          <w:iCs w:val="false"/>
          <w:color w:val="2A2A28"/>
          <w:sz w:val="22"/>
          <w:szCs w:val="22"/>
        </w:rPr>
        <w:t xml:space="preserve">The market for portable LiFePO4 power stations matured dramatically between 2022 and 2026, and Max is entering it at an unusually favorable moment. As of the date of this writing, the Bluetti AC180 unit — with one thousand one hundred fifty-two watt-hours of LiFePO4 storage and an eighteen-hundred-watt alternating-current output — has hit flash-sale prices of approximately three hundred ninety-nine to four hundred forty-nine dollars, down from a manufacturer’s suggested retail price of around eight hundred dollars. The Bluetti AC200L, with two thousand forty-eight watt-hours and expandability to multiple units, has landed around seven hundred forty-nine dollars down from fifteen hundred ninety-nine. The EcoFlow DELTA 3 Max, with two thousand forty-eight watt-hours of storage, expandability to ten thousand two hundred forty watt-hours via add-on batteries, and a twenty-four-hundred-watt alternating-current output, has hit flash-sale prices of approximately seven hundred forty-nine dollars. The Anker SOLIX C1000 Gen 2, with one thousand twenty-four watt-hours, bundled with a two-hundred-watt panel, has landed around six hundred fifty dollars shipped from Anker direct. The Jackery Explorer 1000 v2 competes in the same band.</w:t>
      </w:r>
    </w:p>
    <w:p>
      <w:pPr>
        <w:spacing w:after="140" w:before="100" w:line="300"/>
        <w:jc w:val="both"/>
      </w:pPr>
      <w:r>
        <w:rPr>
          <w:rFonts w:ascii="Georgia" w:cs="Georgia" w:eastAsia="Georgia" w:hAnsi="Georgia"/>
          <w:b w:val="false"/>
          <w:bCs w:val="false"/>
          <w:i w:val="false"/>
          <w:iCs w:val="false"/>
          <w:color w:val="2A2A28"/>
          <w:sz w:val="22"/>
          <w:szCs w:val="22"/>
        </w:rPr>
        <w:t xml:space="preserve">For a practical two-thousand-dollar budget allocation, the recommendation is to put approximately four hundred to six hundred dollars toward one of these portable LiFePO4 stations and another one hundred seventy to four hundred fifty dollars toward a two-hundred-watt rigid panel or a four-hundred-watt foldable panel kit. Watch the deal-tracking site electrek.co and the 9to5toys.com tracker for the same units at flash-sale pricing rather than paying manufacturer-suggested retail at any time of year. The same Bluetti or EcoFlow unit routinely costs three hundred dollars less during quarterly promotions, and waiting thirty to ninety days for the right discount window is the highest hourly rate of return Max will ever earn on a piece of homestead infrastructure.</w:t>
      </w:r>
    </w:p>
    <w:p>
      <w:pPr>
        <w:spacing w:after="140" w:before="100" w:line="300"/>
        <w:jc w:val="both"/>
      </w:pPr>
      <w:r>
        <w:rPr>
          <w:rFonts w:ascii="Georgia" w:cs="Georgia" w:eastAsia="Georgia" w:hAnsi="Georgia"/>
          <w:b w:val="false"/>
          <w:bCs w:val="false"/>
          <w:i w:val="false"/>
          <w:iCs w:val="false"/>
          <w:color w:val="2A2A28"/>
          <w:sz w:val="22"/>
          <w:szCs w:val="22"/>
        </w:rPr>
        <w:t xml:space="preserve">For the homesteader who prefers an open-architecture build, the Renogy four-hundred-watt twelve-volt solar starter kit — panels, MC4 cables, and a forty-amp maximum-power-point-tracking charge controller, but no battery or inverter — sits around six hundred to seven hundred fifty dollars. It pairs with a separately purchased twelve-volt LiFePO4 deep-cycle bank such as a one-hundred-amp-hour, twelve-hundred-eighty-watt-hour LiTime or Battle Born unit at two hundred fifty to five hundred dollars, plus a one-hundred-fifty- to two-hundred-fifty-dollar pure-sine-wave inverter from Victron, AIMS, or Renogy. The advantage of the all-in-one portable station for a beginner is plug-and-play simplicity. The advantage of the open build is repairability, scalability, and substantial educational value. For Max as a twenty-three-year-old technologist willing to learn, the open build is arguably the more interesting path — but the all-in-one is faster to deploy in Phase 2, and the open build can come as a Year 2 upgrade once daily routines are settled.</w:t>
      </w:r>
    </w:p>
    <w:p>
      <w:pPr>
        <w:pStyle w:val="Heading3"/>
        <w:spacing w:after="100" w:before="240"/>
      </w:pPr>
      <w:r>
        <w:rPr>
          <w:rFonts w:ascii="Verdana" w:cs="Verdana" w:eastAsia="Verdana" w:hAnsi="Verdana"/>
          <w:b/>
          <w:bCs/>
          <w:color w:val="5C4A3A"/>
          <w:sz w:val="24"/>
          <w:szCs w:val="24"/>
        </w:rPr>
        <w:t xml:space="preserve">4.3 Battery chemistry, briefly</w:t>
      </w:r>
    </w:p>
    <w:p>
      <w:pPr>
        <w:spacing w:after="140" w:before="100" w:line="300"/>
        <w:jc w:val="both"/>
      </w:pPr>
      <w:r>
        <w:rPr>
          <w:rFonts w:ascii="Georgia" w:cs="Georgia" w:eastAsia="Georgia" w:hAnsi="Georgia"/>
          <w:b w:val="false"/>
          <w:bCs w:val="false"/>
          <w:i w:val="false"/>
          <w:iCs w:val="false"/>
          <w:color w:val="2A2A28"/>
          <w:sz w:val="22"/>
          <w:szCs w:val="22"/>
        </w:rPr>
        <w:t xml:space="preserve">LiFePO4, formally lithium iron phosphate, is unambiguously the right battery chemistry for a residential homestead in 2026. It tolerates approximately three thousand to six thousand deep cycles at eighty percent depth of discharge, compared to roughly five hundred to one thousand for nickel-manganese-cobalt or other lithium-ion variants. It is far more thermally stable, with a thermal runaway threshold around two hundred seventy degrees Celsius compared to roughly one hundred fifty degrees for nickel-manganese-cobalt. It is the chemistry inside essentially every modern Bluetti, EcoFlow, Anker, and Jackery unit at this price point. Lithium titanate, often abbreviated LTO and sometimes referenced by your coworker, cycles ten thousand to twenty thousand times and tolerates sub-freezing charging — a real Northwest Arkansas advantage — but it costs roughly three to five times LiFePO4 per kilowatt-hour, is not packaged into consumer all-in-one units, and requires a specialty charger. It is a niche choice, not appropriate at two thousand dollars total, and the right time to revisit it is when Max is building a five-thousand-dollar-plus permanent installation in Year 3 or later.</w:t>
      </w:r>
    </w:p>
    <w:p>
      <w:pPr>
        <w:pStyle w:val="Heading3"/>
        <w:spacing w:after="100" w:before="240"/>
      </w:pPr>
      <w:r>
        <w:rPr>
          <w:rFonts w:ascii="Verdana" w:cs="Verdana" w:eastAsia="Verdana" w:hAnsi="Verdana"/>
          <w:b/>
          <w:bCs/>
          <w:color w:val="5C4A3A"/>
          <w:sz w:val="24"/>
          <w:szCs w:val="24"/>
        </w:rPr>
        <w:t xml:space="preserve">4.4 Biogas digesters and the cold-weather problem</w:t>
      </w:r>
    </w:p>
    <w:p>
      <w:pPr>
        <w:spacing w:after="140" w:before="100" w:line="300"/>
        <w:jc w:val="both"/>
      </w:pPr>
      <w:r>
        <w:rPr>
          <w:rFonts w:ascii="Georgia" w:cs="Georgia" w:eastAsia="Georgia" w:hAnsi="Georgia"/>
          <w:b w:val="false"/>
          <w:bCs w:val="false"/>
          <w:i w:val="false"/>
          <w:iCs w:val="false"/>
          <w:color w:val="2A2A28"/>
          <w:sz w:val="22"/>
          <w:szCs w:val="22"/>
        </w:rPr>
        <w:t xml:space="preserve">A biogas digester is the cheapest cooking-fuel source available to a homesteader who has a steady stream of food waste, animal manure, or both. The HomeBiogas 2, a polished consumer product with a two-cubic-meter digester volume, retails in 2026 at approximately eleven hundred fifty dollars plus shipping; the HomeBiogas Bio-Toilet Kit, which adds a urine-diverting composting toilet that feeds the digester directly, pushes the price to between fifteen hundred and eighteen hundred dollars. The unit produces up to two hours of cooking gas per day at roughly sixty-five percent methane content, accepts up to one gallon — four liters — of food waste daily, or alternatively about fifteen liters of animal manure, and is shipped flat and assembled on site in an afternoon.</w:t>
      </w:r>
    </w:p>
    <w:p>
      <w:pPr>
        <w:spacing w:after="140" w:before="100" w:line="300"/>
        <w:jc w:val="both"/>
      </w:pPr>
      <w:r>
        <w:rPr>
          <w:rFonts w:ascii="Georgia" w:cs="Georgia" w:eastAsia="Georgia" w:hAnsi="Georgia"/>
          <w:b w:val="false"/>
          <w:bCs w:val="false"/>
          <w:i w:val="false"/>
          <w:iCs w:val="false"/>
          <w:color w:val="2A2A28"/>
          <w:sz w:val="22"/>
          <w:szCs w:val="22"/>
        </w:rPr>
        <w:t xml:space="preserve">The constraint that determines everything for an NWA installation is temperature. HomeBiogas and essentially every mesophilic anaerobic digester require an average weekly ambient temperature of approximately sixty-three degrees Fahrenheit for food-waste digestion, or roughly fifty degrees Fahrenheit if the feedstock is purely manure. In Fayetteville’s winter, with mean monthly temperatures from December through February running approximately thirty-six to forty-two degrees Fahrenheit, production stops almost entirely without intervention. HomeBiogas’s own FAQ states this directly: during freezing temperatures the company does not recommend feeding the system at all, and they recommend draining some of the system’s liquids to prevent freeze damage to the bladder. HomeBiogas now sells a Booster Kit consisting of a heater, an insulation cover, and a ground blanket for approximately three hundred dollars, and Acorn Land Labs has demonstrated the alternative approach of housing the digester inside a small greenhouse maintained at sixty-eight degrees Fahrenheit year-round for continuous operation.</w:t>
      </w:r>
    </w:p>
    <w:p>
      <w:pPr>
        <w:spacing w:after="140" w:before="100" w:line="300"/>
        <w:jc w:val="both"/>
      </w:pPr>
      <w:r>
        <w:rPr>
          <w:rFonts w:ascii="Georgia" w:cs="Georgia" w:eastAsia="Georgia" w:hAnsi="Georgia"/>
          <w:b w:val="false"/>
          <w:bCs w:val="false"/>
          <w:i w:val="false"/>
          <w:iCs w:val="false"/>
          <w:color w:val="2A2A28"/>
          <w:sz w:val="22"/>
          <w:szCs w:val="22"/>
        </w:rPr>
        <w:t xml:space="preserve">For a two-thousand-dollar budget, the right approach is a do-it-yourself IBC tote digester. A single two-hundred-seventy-five-gallon food-grade IBC tote, typically priced at seventy-five to one hundred fifty dollars used on the Facebook Marketplace and Craigslist boards covering Fayetteville and Bentonville, serves as the digester body. Fittings consist of standard one-and-a-quarter-inch and half-inch threaded PVC, a ball valve, and a low-pressure regulator rated for zero point five to two pounds per square inch. A second smaller tote or, more elegantly, a recycled truck-tire inner tube serves as a low-pressure gas bladder. An iron-oxide hydrogen sulfide scrubber, easily improvised from steel wool inside a length of two-inch PVC, removes the corrosive hydrogen sulfide content from the raw biogas before it reaches any indoor appliance. Pipe-trace heating cable plus foam-board insulation provides the active heating that makes winter operation possible. Total materials cost runs from one hundred fifty to three hundred dollars. Expected gas yield is zero point two to zero point four cubic meters of biogas per kilogram of cow manure or zero point one to zero point two cubic meters per kilogram of food waste under mesophilic conditions. In practice a digester fed one cubic meter of slurry daily produces approximately zero point four to zero point seven cubic meters of biogas per day, which is enough for roughly one hour of cooking at a single burner.</w:t>
      </w:r>
    </w:p>
    <w:p>
      <w:pPr>
        <w:spacing w:after="140" w:before="100" w:line="300"/>
        <w:jc w:val="both"/>
      </w:pPr>
      <w:r>
        <w:rPr>
          <w:rFonts w:ascii="Georgia" w:cs="Georgia" w:eastAsia="Georgia" w:hAnsi="Georgia"/>
          <w:b w:val="false"/>
          <w:bCs w:val="false"/>
          <w:i w:val="false"/>
          <w:iCs w:val="false"/>
          <w:color w:val="2A2A28"/>
          <w:sz w:val="22"/>
          <w:szCs w:val="22"/>
        </w:rPr>
        <w:t xml:space="preserve">Reference designs for the do-it-yourself approach are abundant and free. The Solar CITIES network at solarcities.eu publishes well-documented PDFs and assembly videos. T.H. Culhane’s YouTube channel hosts approximately two hundred hours of biogas-digester construction footage drawn from his work across Africa, the Middle East, and the rural United States. Engineering for Change at engineeringforchange.org publishes a useful comparative analysis of HomeBiogas versus open designs. The DIY path is approximately one-fifth the cost of HomeBiogas, substantially more educational, and considerably easier to actively heat for winter operation. It is the path this blueprint recommends for Phase 2.</w:t>
      </w:r>
    </w:p>
    <w:p>
      <w:pPr>
        <w:pStyle w:val="Heading3"/>
        <w:spacing w:after="100" w:before="240"/>
      </w:pPr>
      <w:r>
        <w:rPr>
          <w:rFonts w:ascii="Verdana" w:cs="Verdana" w:eastAsia="Verdana" w:hAnsi="Verdana"/>
          <w:b/>
          <w:bCs/>
          <w:color w:val="5C4A3A"/>
          <w:sz w:val="24"/>
          <w:szCs w:val="24"/>
        </w:rPr>
        <w:t xml:space="preserve">4.5 Solar thermal water heating and rocket mass heaters</w:t>
      </w:r>
    </w:p>
    <w:p>
      <w:pPr>
        <w:spacing w:after="140" w:before="100" w:line="300"/>
        <w:jc w:val="both"/>
      </w:pPr>
      <w:r>
        <w:rPr>
          <w:rFonts w:ascii="Georgia" w:cs="Georgia" w:eastAsia="Georgia" w:hAnsi="Georgia"/>
          <w:b w:val="false"/>
          <w:bCs w:val="false"/>
          <w:i w:val="false"/>
          <w:iCs w:val="false"/>
          <w:color w:val="2A2A28"/>
          <w:sz w:val="22"/>
          <w:szCs w:val="22"/>
        </w:rPr>
        <w:t xml:space="preserve">A batch-style thermosiphon solar water heater, built from a thirty-gallon steel tank painted matte black inside a glazed plywood box with a low-iron tempered-glass cover and a copper feed coil, can preheat shower water six to nine months of the year in NWA at a total material cost of two hundred to four hundred dollars in reclaimed parts. The Build-It-Solar archive maintained by Gary Reysa at builditsolar.com is the gold-standard library for do-it-yourself solar thermal in temperate climates and contains plans, performance data, and lessons-learned essays accumulated over twenty years. The savings, in pure financial terms, is approximately eighty to one hundred fifty dollars per year of displaced electric water heating. The Year 2 budget allocates three hundred dollars toward this build.</w:t>
      </w:r>
    </w:p>
    <w:p>
      <w:pPr>
        <w:spacing w:after="140" w:before="100" w:line="300"/>
        <w:jc w:val="both"/>
      </w:pPr>
      <w:r>
        <w:rPr>
          <w:rFonts w:ascii="Georgia" w:cs="Georgia" w:eastAsia="Georgia" w:hAnsi="Georgia"/>
          <w:b w:val="false"/>
          <w:bCs w:val="false"/>
          <w:i w:val="false"/>
          <w:iCs w:val="false"/>
          <w:color w:val="2A2A28"/>
          <w:sz w:val="22"/>
          <w:szCs w:val="22"/>
        </w:rPr>
        <w:t xml:space="preserve">Rocket mass heaters — the Ianto Evans and Erica Wisner design from the Cob Cottage Company tradition — are the most efficient wood-heating option available to a homesteader, given the abundance of free hardwood available in NWA after every ice storm. A do-it-yourself build using firebrick, ductwork, and cob runs three hundred to seven hundred dollars in materials. The combustion chamber is a J-tube into which air is drawn horizontally, achieving combustion temperatures above eighteen hundred degrees Fahrenheit — near-complete pyrolysis of wood gases — and converting up to roughly eighty percent of fuel energy into a thermal mass that slow-releases heat over a twenty-four-hour cycle. The canonical text is The Rocket Mass Heater Builder’s Guide by Erica and Ernie Wisner, published in 2016; the permies.com forum hosts free plans, build threads, and a substantial community of builders. The Year 2 budget allocates five hundred dollars toward this build, paired with a hand-rotation chimney sweep and a basic moisture meter to verify that firewood is dry enough to burn cleanly.</w:t>
      </w:r>
    </w:p>
    <w:p>
      <w:pPr>
        <w:pStyle w:val="Heading3"/>
        <w:spacing w:after="100" w:before="240"/>
      </w:pPr>
      <w:r>
        <w:rPr>
          <w:rFonts w:ascii="Verdana" w:cs="Verdana" w:eastAsia="Verdana" w:hAnsi="Verdana"/>
          <w:b/>
          <w:bCs/>
          <w:color w:val="5C4A3A"/>
          <w:sz w:val="24"/>
          <w:szCs w:val="24"/>
        </w:rPr>
        <w:t xml:space="preserve">4.6 The Stirling engine question</w:t>
      </w:r>
    </w:p>
    <w:p>
      <w:pPr>
        <w:spacing w:after="140" w:before="100" w:line="300"/>
        <w:jc w:val="both"/>
      </w:pPr>
      <w:r>
        <w:rPr>
          <w:rFonts w:ascii="Georgia" w:cs="Georgia" w:eastAsia="Georgia" w:hAnsi="Georgia"/>
          <w:b w:val="false"/>
          <w:bCs w:val="false"/>
          <w:i w:val="false"/>
          <w:iCs w:val="false"/>
          <w:color w:val="2A2A28"/>
          <w:sz w:val="22"/>
          <w:szCs w:val="22"/>
        </w:rPr>
        <w:t xml:space="preserve">A Stirling engine in a two-thousand-dollar homestead budget is a pedagogical device and a thermodynamics lab bench, not a practical power source. This deserves to be stated directly because the Stirling concept is genuinely exciting and the marketing language around it can suggest otherwise.</w:t>
      </w:r>
    </w:p>
    <w:p>
      <w:pPr>
        <w:spacing w:after="140" w:before="100" w:line="300"/>
        <w:jc w:val="both"/>
      </w:pPr>
      <w:r>
        <w:rPr>
          <w:rFonts w:ascii="Georgia" w:cs="Georgia" w:eastAsia="Georgia" w:hAnsi="Georgia"/>
          <w:b w:val="false"/>
          <w:bCs w:val="false"/>
          <w:i w:val="false"/>
          <w:iCs w:val="false"/>
          <w:color w:val="2A2A28"/>
          <w:sz w:val="22"/>
          <w:szCs w:val="22"/>
        </w:rPr>
        <w:t xml:space="preserve">Hobby Stirling kits from StirlingKit at stirlingkit.com and EngineDIY at enginediy.com run twenty to three hundred dollars. Low-temperature-differential models that run on a coffee mug of hot water are typically forty to one hundred twenty dollars. Assembled magnetic-coupling low-temperature-differential engines, such as the StirlingKit unit that runs at six hundred to one thousand revolutions per minute on an operating differential of twenty-seven to thirty-four degrees Fahrenheit, run eighty to two hundred dollars. Larger flywheel education models top out around two hundred fifty to three hundred dollars. None of these produce usable electrical output. At best they spin a small light-emitting-diode generator producing milliwatts — enough to light a single small LED, not enough to charge a phone.</w:t>
      </w:r>
    </w:p>
    <w:p>
      <w:pPr>
        <w:spacing w:after="140" w:before="100" w:line="300"/>
        <w:jc w:val="both"/>
      </w:pPr>
      <w:r>
        <w:rPr>
          <w:rFonts w:ascii="Georgia" w:cs="Georgia" w:eastAsia="Georgia" w:hAnsi="Georgia"/>
          <w:b w:val="false"/>
          <w:bCs w:val="false"/>
          <w:i w:val="false"/>
          <w:iCs w:val="false"/>
          <w:color w:val="2A2A28"/>
          <w:sz w:val="22"/>
          <w:szCs w:val="22"/>
        </w:rPr>
        <w:t xml:space="preserve">The only mature commercial Stirling generators in the United States are the Qnergy PowerGen series — free-piston Stirling engines fueled by natural gas, propane, or biogas, available in twelve hundred-watt, eighteen hundred-watt, and fifty-six hundred-fifty-watt sizes. Qnergy does not sell into the residential market. RedHawk Energy, Qnergy’s North American distributor for non-oil-and-gas markets, states the policy explicitly: they do not supply or market the PowerGen to residential customers, and in fairness to other distributors they will not engage with or respond to requests for information or pricing for markets outside the rail-transportation market they specifically serve. Unit pricing is not publicly listed but appears in oil-and-gas trade press at roughly twenty thousand to forty thousand dollars and beyond for the smaller PG 1200 and 1800 units, with the 5650 substantially higher. A residential Stirling-CHP unit at under five thousand dollars does not exist on the 2026 market.</w:t>
      </w:r>
    </w:p>
    <w:p>
      <w:pPr>
        <w:spacing w:after="140" w:before="100" w:line="300"/>
        <w:jc w:val="both"/>
      </w:pPr>
      <w:r>
        <w:rPr>
          <w:rFonts w:ascii="Georgia" w:cs="Georgia" w:eastAsia="Georgia" w:hAnsi="Georgia"/>
          <w:b w:val="false"/>
          <w:bCs w:val="false"/>
          <w:i w:val="false"/>
          <w:iCs w:val="false"/>
          <w:color w:val="2A2A28"/>
          <w:sz w:val="22"/>
          <w:szCs w:val="22"/>
        </w:rPr>
        <w:t xml:space="preserve">The honest framing for Max is that the Stirling engine in his two-thousand-dollar buildout is pedagogical capital, not energy capital. The realistic prototyping path is, first, buy a low-temperature-differential kit for sixty to one hundred fifty dollars to internalize the Carnot-cycle and regenerator mental models. Second, progress to a beta-type or gamma-type kit fueled by a candle or an alcohol burner for one hundred to two hundred dollars. Third, explore the open-source Ringbom and gamma plans on the Build-It-Solar archive. Fourth, someday, attempt a scratch build from machined aluminum and brass parts. Treat home Stirling combined heat and power as aspirational research and development rather than part of the operational energy stack. The free-piston Stirling generators are real, mature, and reliable — the QB80-based Qnergy PowerGen has logged units with more than thirteen years of continuous operation in Canadian oilfield service per manufacturer literature, and the engine architecture was originally space-qualified for radioisotope thermoelectric generator replacement — but the precision tolerances, the helium working fluid, the sealed regenerator, and the linear alternator are not consumer-product engineering, and they are unlikely to become so before the late 2020s at the earliest.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7355" w:sz="18"/>
              <w:left w:val="single" w:color="8B7355" w:sz="18"/>
              <w:bottom w:val="single" w:color="8B7355" w:sz="6"/>
              <w:right w:val="single" w:color="8B7355" w:sz="6"/>
            </w:tcBorders>
            <w:shd w:fill="F0E9DC" w:val="clear"/>
            <w:tcMar>
              <w:top w:type="dxa" w:w="200"/>
              <w:left w:type="dxa" w:w="280"/>
              <w:bottom w:type="dxa" w:w="200"/>
              <w:right w:type="dxa" w:w="280"/>
            </w:tcMar>
          </w:tcPr>
          <w:p>
            <w:pPr>
              <w:spacing w:after="100" w:before="40"/>
            </w:pPr>
            <w:r>
              <w:rPr>
                <w:rFonts w:ascii="Verdana" w:cs="Verdana" w:eastAsia="Verdana" w:hAnsi="Verdana"/>
                <w:b/>
                <w:bCs/>
                <w:color w:val="8B7355"/>
                <w:sz w:val="22"/>
                <w:szCs w:val="22"/>
              </w:rPr>
              <w:t xml:space="preserve">Combined Heat and Power (micro-CHP), defined</w:t>
            </w:r>
          </w:p>
          <w:p>
            <w:pPr>
              <w:spacing w:after="80" w:before="60" w:line="280"/>
              <w:jc w:val="both"/>
            </w:pPr>
            <w:r>
              <w:rPr>
                <w:rFonts w:ascii="Georgia" w:cs="Georgia" w:eastAsia="Georgia" w:hAnsi="Georgia"/>
                <w:color w:val="2A2A28"/>
                <w:sz w:val="21"/>
                <w:szCs w:val="21"/>
              </w:rPr>
              <w:t xml:space="preserve">Combined heat and power is the simultaneous production of electricity and useful heat from a single fuel source, capturing what would otherwise be waste heat up a flue. Residential micro-CHP at one to five kilowatts electrical output with five to fifteen kilowatts of recovered thermal output is well established in Europe and Japan — Honda Freewatt, Vaillant ecoPower, Viessmann Vitotwin — but is essentially absent from the United States market in 2026.</w:t>
            </w:r>
          </w:p>
          <w:p>
            <w:pPr>
              <w:spacing w:after="80" w:before="60" w:line="280"/>
              <w:jc w:val="both"/>
            </w:pPr>
            <w:r>
              <w:rPr>
                <w:rFonts w:ascii="Georgia" w:cs="Georgia" w:eastAsia="Georgia" w:hAnsi="Georgia"/>
                <w:color w:val="2A2A28"/>
                <w:sz w:val="21"/>
                <w:szCs w:val="21"/>
              </w:rPr>
              <w:t xml:space="preserve">The conceptual lesson for a homesteader is that every kilowatt-hour of heat captured from any combustion source — a wood stove, a biogas burner, a rocket mass heater — before it goes up the flue is "free combined heat and power." Thermoelectric generator modules sold by TEGmart at one hundred fifty to seven hundred dollars, clamped to a hot stovepipe, produce ten to one hundred watts of usable direct-current power for charging phones and running LED lights and represent the only practical home-scale combined-heat-and-power technology currently available at the do-it-yourself scale. This is the Year 3 frontier.</w:t>
            </w:r>
          </w:p>
        </w:tc>
      </w:tr>
    </w:tbl>
    <w:p>
      <w:pPr>
        <w:pStyle w:val="Heading3"/>
        <w:spacing w:after="100" w:before="240"/>
      </w:pPr>
      <w:r>
        <w:rPr>
          <w:rFonts w:ascii="Verdana" w:cs="Verdana" w:eastAsia="Verdana" w:hAnsi="Verdana"/>
          <w:b/>
          <w:bCs/>
          <w:color w:val="5C4A3A"/>
          <w:sz w:val="24"/>
          <w:szCs w:val="24"/>
        </w:rPr>
        <w:t xml:space="preserve">4.7 Wood gasification as the back-pocket Plan C</w:t>
      </w:r>
    </w:p>
    <w:p>
      <w:pPr>
        <w:spacing w:after="140" w:before="100" w:line="300"/>
        <w:jc w:val="both"/>
      </w:pPr>
      <w:r>
        <w:rPr>
          <w:rFonts w:ascii="Georgia" w:cs="Georgia" w:eastAsia="Georgia" w:hAnsi="Georgia"/>
          <w:b w:val="false"/>
          <w:bCs w:val="false"/>
          <w:i w:val="false"/>
          <w:iCs w:val="false"/>
          <w:color w:val="2A2A28"/>
          <w:sz w:val="22"/>
          <w:szCs w:val="22"/>
        </w:rPr>
        <w:t xml:space="preserve">Wood gasification is the low-oxygen pyrolysis of solid biomass into a combustible gas mixture, primarily carbon monoxide, hydrogen, methane, and inert diluents, called producer gas or wood gas. The reactor has four characteristic zones — drying, pyrolysis, oxidation, and reduction — and can drive either a modified internal-combustion engine or be burned directly in a thermal load. The Federal Emergency Management Agency gasifier plans from 1989 are the canonical free reference and remain available as a PDF from multiple mirrors. Wayne Keith’s Mother Earth News gasifier design and the GEK gasifier from All Power Labs are the more refined contemporary references. Wood gas is dirty, requires constant tending, and is appropriate for emergency or remote-power use rather than for daily homestead operation. The relevance for Max is as the back-pocket Plan C: if grid power is lost for more than two weeks in an ice-storm scenario and biogas is in its winter-dormant phase, wood gas plus a small modified generator becomes the bridge fuel until utility power is restored. No capital is spent on wood gasification in the two-thousand-dollar budget, but the plans live on a USB drive in the tool shed.</w:t>
      </w:r>
    </w:p>
    <w:p>
      <w:pPr>
        <w:pStyle w:val="Heading2"/>
        <w:spacing w:after="160" w:before="320"/>
      </w:pPr>
      <w:r>
        <w:rPr>
          <w:rFonts w:ascii="Verdana" w:cs="Verdana" w:eastAsia="Verdana" w:hAnsi="Verdana"/>
          <w:b/>
          <w:bCs/>
          <w:color w:val="4A6B3A"/>
          <w:sz w:val="30"/>
          <w:szCs w:val="30"/>
        </w:rPr>
        <w:t xml:space="preserve">Chapter 5. The Water Pillar</w:t>
      </w:r>
    </w:p>
    <w:p>
      <w:pPr>
        <w:spacing w:after="140" w:before="100" w:line="300"/>
        <w:jc w:val="both"/>
      </w:pPr>
      <w:r>
        <w:rPr>
          <w:rFonts w:ascii="Georgia" w:cs="Georgia" w:eastAsia="Georgia" w:hAnsi="Georgia"/>
          <w:b w:val="false"/>
          <w:bCs w:val="false"/>
          <w:i w:val="false"/>
          <w:iCs w:val="false"/>
          <w:color w:val="2A2A28"/>
          <w:sz w:val="22"/>
          <w:szCs w:val="22"/>
        </w:rPr>
        <w:t xml:space="preserve">Water is the pillar that produces the highest return on the lowest investment in NWA, and it is therefore the pillar that opens the phased buildout. With approximately forty-seven inches of annual rainfall, a one-thousand-two-hundred-square-foot roof captures roughly thirty-five thousand gallons of rainfall in an average year — well above the roughly thirty thousand gallons a thrifty single occupant uses for drinking, cooking, washing, and modest irrigation. The single binding constraint is storage volume: the rain falls when the garden does not need it most.</w:t>
      </w:r>
    </w:p>
    <w:p>
      <w:pPr>
        <w:pStyle w:val="Heading3"/>
        <w:spacing w:after="100" w:before="240"/>
      </w:pPr>
      <w:r>
        <w:rPr>
          <w:rFonts w:ascii="Verdana" w:cs="Verdana" w:eastAsia="Verdana" w:hAnsi="Verdana"/>
          <w:b/>
          <w:bCs/>
          <w:color w:val="5C4A3A"/>
          <w:sz w:val="24"/>
          <w:szCs w:val="24"/>
        </w:rPr>
        <w:t xml:space="preserve">5.1 The catchment math</w:t>
      </w:r>
    </w:p>
    <w:p>
      <w:pPr>
        <w:spacing w:after="140" w:before="100" w:line="300"/>
        <w:jc w:val="both"/>
      </w:pPr>
      <w:r>
        <w:rPr>
          <w:rFonts w:ascii="Georgia" w:cs="Georgia" w:eastAsia="Georgia" w:hAnsi="Georgia"/>
          <w:b w:val="false"/>
          <w:bCs w:val="false"/>
          <w:i w:val="false"/>
          <w:iCs w:val="false"/>
          <w:color w:val="2A2A28"/>
          <w:sz w:val="22"/>
          <w:szCs w:val="22"/>
        </w:rPr>
        <w:t xml:space="preserve">The formula validated by Acorn Land Labs and the Environmental Protection Agency is straightforward: roof area in square feet, multiplied by precipitation in inches, multiplied by zero point six two three, equals gallons captured. The zero point six two three factor accounts for the fact that a gallon is two hundred thirty-one cubic inches and a one-inch rainfall over one square foot is one hundred forty-four cubic inches; the small loss accounts for first-flush diversion and standard gutter efficiency. For Max, a two-hundred-square-foot shed roof captures approximately fifty-eight hundred fifty-six gallons per year. A six-hundred-square-foot garage roof captures approximately seventeen thousand five hundred. A twelve-hundred-square-foot house roof captures roughly thirty-five thousand one hundred.</w:t>
      </w:r>
    </w:p>
    <w:p>
      <w:pPr>
        <w:spacing w:after="140" w:before="100" w:line="300"/>
        <w:jc w:val="both"/>
      </w:pPr>
      <w:r>
        <w:rPr>
          <w:rFonts w:ascii="Georgia" w:cs="Georgia" w:eastAsia="Georgia" w:hAnsi="Georgia"/>
          <w:b w:val="false"/>
          <w:bCs w:val="false"/>
          <w:i w:val="false"/>
          <w:iCs w:val="false"/>
          <w:color w:val="2A2A28"/>
          <w:sz w:val="22"/>
          <w:szCs w:val="22"/>
        </w:rPr>
        <w:t xml:space="preserve">Storage, not catchment, is the practical bottleneck. Two two-hundred-seventy-five-gallon IBC totes give five hundred fifty gallons of buffer; three give eight hundred twenty-five. In NWA’s pattern of rain-heavy spring and drier mid-summer, eight hundred twenty-five to eleven hundred gallons of storage is the sweet spot for landscape irrigation off a shed roof. Whole-house non-potable supply needs fifteen hundred to three thousand gallons in larger polyethylene cisterns, which run eight hundred to eighteen hundred dollars for a fifteen-hundred-gallon tank from Norwesco or Bushman — sold at Atwoods and Tractor Supply in NWA. The recommended Phase 1 build uses two food-grade IBC totes for five hundred fifty gallons of storage at approximately two hundred dollars total. This is sufficient for a substantial vegetable garden and supplemental tree-watering through most NWA summers.</w:t>
      </w:r>
    </w:p>
    <w:p>
      <w:pPr>
        <w:pStyle w:val="Heading3"/>
        <w:spacing w:after="100" w:before="240"/>
      </w:pPr>
      <w:r>
        <w:rPr>
          <w:rFonts w:ascii="Verdana" w:cs="Verdana" w:eastAsia="Verdana" w:hAnsi="Verdana"/>
          <w:b/>
          <w:bCs/>
          <w:color w:val="5C4A3A"/>
          <w:sz w:val="24"/>
          <w:szCs w:val="24"/>
        </w:rPr>
        <w:t xml:space="preserve">5.2 IBC tote sourcing in NWA</w:t>
      </w:r>
    </w:p>
    <w:p>
      <w:pPr>
        <w:spacing w:after="140" w:before="100" w:line="300"/>
        <w:jc w:val="both"/>
      </w:pPr>
      <w:r>
        <w:rPr>
          <w:rFonts w:ascii="Georgia" w:cs="Georgia" w:eastAsia="Georgia" w:hAnsi="Georgia"/>
          <w:b w:val="false"/>
          <w:bCs w:val="false"/>
          <w:i w:val="false"/>
          <w:iCs w:val="false"/>
          <w:color w:val="2A2A28"/>
          <w:sz w:val="22"/>
          <w:szCs w:val="22"/>
        </w:rPr>
        <w:t xml:space="preserve">Sourcing of IBC totes in NWA is excellent. The presence of Tyson Foods, OK Foods, Cargill, and other regional food processors generates constant tote supply. The Facebook Marketplace and Craigslist Fayetteville and Bentonville listings typically run fifty to eighty dollars for industrial-grade totes that have been rinsed but not food-certified, and one hundred to one hundred fifty dollars for food-grade totes that previously held corn syrup, vegetable oil, or food acids. The critical rule is never to use a tote that previously held petroleum, pesticide, or unknown industrial chemicals for any water that will touch plants or people. Search terms that work on the local marketplaces are “275 gallon tote,” “IBC tote food grade,” and “water tank.” Pickup typically requires a pickup truck and a friend; a half-full tote with a small amount of residual water weighs three to five hundred pounds.</w:t>
      </w:r>
    </w:p>
    <w:p>
      <w:pPr>
        <w:pStyle w:val="Heading3"/>
        <w:spacing w:after="100" w:before="240"/>
      </w:pPr>
      <w:r>
        <w:rPr>
          <w:rFonts w:ascii="Verdana" w:cs="Verdana" w:eastAsia="Verdana" w:hAnsi="Verdana"/>
          <w:b/>
          <w:bCs/>
          <w:color w:val="5C4A3A"/>
          <w:sz w:val="24"/>
          <w:szCs w:val="24"/>
        </w:rPr>
        <w:t xml:space="preserve">5.3 First-flush diversion and basic plumbing</w:t>
      </w:r>
    </w:p>
    <w:p>
      <w:pPr>
        <w:spacing w:after="140" w:before="100" w:line="300"/>
        <w:jc w:val="both"/>
      </w:pPr>
      <w:r>
        <w:rPr>
          <w:rFonts w:ascii="Georgia" w:cs="Georgia" w:eastAsia="Georgia" w:hAnsi="Georgia"/>
          <w:b w:val="false"/>
          <w:bCs w:val="false"/>
          <w:i w:val="false"/>
          <w:iCs w:val="false"/>
          <w:color w:val="2A2A28"/>
          <w:sz w:val="22"/>
          <w:szCs w:val="22"/>
        </w:rPr>
        <w:t xml:space="preserve">A first-flush diverter is a vertical PVC tube — four-inch Schedule 40 PVC, approximately six feet tall — with a floating ball that closes after the first ten to twenty gallons of dirty roof water has passed through. This diverts the initial wash of bird droppings, leaf debris, and atmospheric particulate that accumulates between rains, before clean rainwater begins filling the storage tote. A do-it-yourself first-flush diverter costs approximately twenty-five dollars in PVC fittings. A commercial unit such as the Rain Harvesting Pty downspout diverter costs approximately eighty dollars. Gutter mesh and a leaf filter add another thirty dollars. A twelve-volt Shurflo demand pump for pressurizing drip lines runs seventy to one hundred twenty dollars and can run directly from the Phase 2 solar power station.</w:t>
      </w:r>
    </w:p>
    <w:p>
      <w:pPr>
        <w:pStyle w:val="Heading3"/>
        <w:spacing w:after="100" w:before="240"/>
      </w:pPr>
      <w:r>
        <w:rPr>
          <w:rFonts w:ascii="Verdana" w:cs="Verdana" w:eastAsia="Verdana" w:hAnsi="Verdana"/>
          <w:b/>
          <w:bCs/>
          <w:color w:val="5C4A3A"/>
          <w:sz w:val="24"/>
          <w:szCs w:val="24"/>
        </w:rPr>
        <w:t xml:space="preserve">5.4 Greywater — laundry-to-landscape</w:t>
      </w:r>
    </w:p>
    <w:p>
      <w:pPr>
        <w:spacing w:after="140" w:before="100" w:line="300"/>
        <w:jc w:val="both"/>
      </w:pPr>
      <w:r>
        <w:rPr>
          <w:rFonts w:ascii="Georgia" w:cs="Georgia" w:eastAsia="Georgia" w:hAnsi="Georgia"/>
          <w:b w:val="false"/>
          <w:bCs w:val="false"/>
          <w:i w:val="false"/>
          <w:iCs w:val="false"/>
          <w:color w:val="2A2A28"/>
          <w:sz w:val="22"/>
          <w:szCs w:val="22"/>
        </w:rPr>
        <w:t xml:space="preserve">Greywater — the wastewater from showers, bathroom sinks, and clothes washers, but not kitchen sinks or toilets — is a substantial resource. The Art Ludwig and Greywater Action approach at greywateraction.org is the gold standard, and the branched-drain laundry-to-landscape design is the simplest implementation. A single washing machine’s drain hose connects to a one-inch PVC manifold that branches by gravity, using equal-flow double-ell diverters, to three to six outlets, each terminating in a twelve- to eighteen-inch-deep mulch basin at the root zone of a perennial plant. Total cost is fifty to one hundred fifty dollars for fittings, PVC, and mulch.</w:t>
      </w:r>
    </w:p>
    <w:p>
      <w:pPr>
        <w:spacing w:after="140" w:before="100" w:line="300"/>
        <w:jc w:val="both"/>
      </w:pPr>
      <w:r>
        <w:rPr>
          <w:rFonts w:ascii="Georgia" w:cs="Georgia" w:eastAsia="Georgia" w:hAnsi="Georgia"/>
          <w:b w:val="false"/>
          <w:bCs w:val="false"/>
          <w:i w:val="false"/>
          <w:iCs w:val="false"/>
          <w:color w:val="2A2A28"/>
          <w:sz w:val="22"/>
          <w:szCs w:val="22"/>
        </w:rPr>
        <w:t xml:space="preserve">The operating rules are non-negotiable. Gravity-fed only, never pumped — pumps that fail back up into a washing machine. No underground irrigation lines, only mulch basins. No human contact, ever; the system goes subsurface or under heavy mulch. No pooling. No kitchen-sink water without a grease interceptor, as kitchen-sink greywater goes anaerobic fast and smells. Soaps must be sodium-free and boron-free; most plant-safe brands such as Oasis, Bio-Pac, and ECOS are labeled “graywater safe.” Within these rules, a laundry-to-landscape system is one of the highest-leverage and lowest-cost interventions on the entire property. The recommended Phase 1 budget does not include a laundry-to-landscape build, but it is the first Year 2 addition.</w:t>
      </w:r>
    </w:p>
    <w:p>
      <w:pPr>
        <w:pStyle w:val="Heading3"/>
        <w:spacing w:after="100" w:before="240"/>
      </w:pPr>
      <w:r>
        <w:rPr>
          <w:rFonts w:ascii="Verdana" w:cs="Verdana" w:eastAsia="Verdana" w:hAnsi="Verdana"/>
          <w:b/>
          <w:bCs/>
          <w:color w:val="5C4A3A"/>
          <w:sz w:val="24"/>
          <w:szCs w:val="24"/>
        </w:rPr>
        <w:t xml:space="preserve">5.5 Hand pumps, solar pumps, and well water</w:t>
      </w:r>
    </w:p>
    <w:p>
      <w:pPr>
        <w:spacing w:after="140" w:before="100" w:line="300"/>
        <w:jc w:val="both"/>
      </w:pPr>
      <w:r>
        <w:rPr>
          <w:rFonts w:ascii="Georgia" w:cs="Georgia" w:eastAsia="Georgia" w:hAnsi="Georgia"/>
          <w:b w:val="false"/>
          <w:bCs w:val="false"/>
          <w:i w:val="false"/>
          <w:iCs w:val="false"/>
          <w:color w:val="2A2A28"/>
          <w:sz w:val="22"/>
          <w:szCs w:val="22"/>
        </w:rPr>
        <w:t xml:space="preserve">For any future rural property, the well question dominates. NWA wells typically run one hundred to three hundred feet deep. All-in costs of twenty-five to fifty dollars per foot — drilling, casing, pump, and electrical — put a complete potable well at five thousand to fifteen thousand dollars or more. Hand pumps from Bison Pumps or Simple Pump for shallow wells run twelve hundred to twenty-eight hundred dollars and offer the ability to draw water during a multi-day power outage, which is the kind of resilience that earns its keep once every five years and is invaluable in those moments. Solar-powered submersible direct-current pumps for shallow wells from Shurflo, including the 9300 series, or from Grundfos, including the SQFlex series, run four hundred to twelve hundred dollars and can be powered directly from a Phase 2 solar panel during daylight. None of these are part of the two-thousand-dollar in-city budget; all are options for the rural future.</w:t>
      </w:r>
    </w:p>
    <w:p>
      <w:pPr>
        <w:pStyle w:val="Heading2"/>
        <w:spacing w:after="160" w:before="320"/>
      </w:pPr>
      <w:r>
        <w:rPr>
          <w:rFonts w:ascii="Verdana" w:cs="Verdana" w:eastAsia="Verdana" w:hAnsi="Verdana"/>
          <w:b/>
          <w:bCs/>
          <w:color w:val="4A6B3A"/>
          <w:sz w:val="30"/>
          <w:szCs w:val="30"/>
        </w:rPr>
        <w:t xml:space="preserve">Chapter 6. The Shelter Pillar</w:t>
      </w:r>
    </w:p>
    <w:p>
      <w:pPr>
        <w:spacing w:after="140" w:before="100" w:line="300"/>
        <w:jc w:val="both"/>
      </w:pPr>
      <w:r>
        <w:rPr>
          <w:rFonts w:ascii="Georgia" w:cs="Georgia" w:eastAsia="Georgia" w:hAnsi="Georgia"/>
          <w:b w:val="false"/>
          <w:bCs w:val="false"/>
          <w:i w:val="false"/>
          <w:iCs w:val="false"/>
          <w:color w:val="2A2A28"/>
          <w:sz w:val="22"/>
          <w:szCs w:val="22"/>
        </w:rPr>
        <w:t xml:space="preserve">Shelter for an existing in-city Fayetteville lot means primarily the existing house plus a small number of accessory structures — a greenhouse, a chicken coop, a tool shed, perhaps eventually a workshop. The single highest-return shelter intervention is not building anything; it is sealing and insulating the structure that already exists, as discussed in Chapter 4. This chapter covers passive solar principles, the cattle-panel arch greenhouse that is the most cost-effective small structure available in NWA, cold frames, the pallet-greenhouse alternative, and the rules for safe pallet sourcing.</w:t>
      </w:r>
    </w:p>
    <w:p>
      <w:pPr>
        <w:pStyle w:val="Heading3"/>
        <w:spacing w:after="100" w:before="240"/>
      </w:pPr>
      <w:r>
        <w:rPr>
          <w:rFonts w:ascii="Verdana" w:cs="Verdana" w:eastAsia="Verdana" w:hAnsi="Verdana"/>
          <w:b/>
          <w:bCs/>
          <w:color w:val="5C4A3A"/>
          <w:sz w:val="24"/>
          <w:szCs w:val="24"/>
        </w:rPr>
        <w:t xml:space="preserve">6.1 Passive solar design</w:t>
      </w:r>
    </w:p>
    <w:p>
      <w:pPr>
        <w:spacing w:after="140" w:before="100" w:line="300"/>
        <w:jc w:val="both"/>
      </w:pPr>
      <w:r>
        <w:rPr>
          <w:rFonts w:ascii="Georgia" w:cs="Georgia" w:eastAsia="Georgia" w:hAnsi="Georgia"/>
          <w:b w:val="false"/>
          <w:bCs w:val="false"/>
          <w:i w:val="false"/>
          <w:iCs w:val="false"/>
          <w:color w:val="2A2A28"/>
          <w:sz w:val="22"/>
          <w:szCs w:val="22"/>
        </w:rPr>
        <w:t xml:space="preserve">Passive solar design at NWA’s thirty-six-degree-north latitude follows a small number of geometric rules. The structure’s long axis runs east-west. The south wall is glazed, allowing the low-angle winter sun — elevation approximately thirty degrees at solar noon on the winter solstice — to enter and heat the interior. A roof overhang sized to admit December sun and reject June sun — at NWA’s latitude, a twenty-four-inch overhang at the top of an eight-foot wall is approximately correct — prevents summer overheating. Thermal mass on the floor or on an interior wall absorbs and slow-releases the day’s captured heat: a concrete slab, water-filled barrels painted dark, or a cob interior partition all work. The north wall, the roof, and the basement should be heavily insulated. East and west glazing should be minimized because it admits low-angle summer sun that is hard to shade. The aphorism that organizes this is “fix the envelope before adding tech” — a well-designed passive-solar envelope saves more money than any single energy purchase, and it does so for the structure’s entire lifespan with zero ongoing cost.</w:t>
      </w:r>
    </w:p>
    <w:p>
      <w:pPr>
        <w:pStyle w:val="Heading3"/>
        <w:spacing w:after="100" w:before="240"/>
      </w:pPr>
      <w:r>
        <w:rPr>
          <w:rFonts w:ascii="Verdana" w:cs="Verdana" w:eastAsia="Verdana" w:hAnsi="Verdana"/>
          <w:b/>
          <w:bCs/>
          <w:color w:val="5C4A3A"/>
          <w:sz w:val="24"/>
          <w:szCs w:val="24"/>
        </w:rPr>
        <w:t xml:space="preserve">6.2 The cattle-panel arch greenhouse</w:t>
      </w:r>
    </w:p>
    <w:p>
      <w:pPr>
        <w:spacing w:after="140" w:before="100" w:line="300"/>
        <w:jc w:val="both"/>
      </w:pPr>
      <w:r>
        <w:rPr>
          <w:rFonts w:ascii="Georgia" w:cs="Georgia" w:eastAsia="Georgia" w:hAnsi="Georgia"/>
          <w:b w:val="false"/>
          <w:bCs w:val="false"/>
          <w:i w:val="false"/>
          <w:iCs w:val="false"/>
          <w:color w:val="2A2A28"/>
          <w:sz w:val="22"/>
          <w:szCs w:val="22"/>
        </w:rPr>
        <w:t xml:space="preserve">The single most cost-effective small structure available in NWA is the cattle-panel arch greenhouse. A twelve-foot-by-sixteen-foot version is built from four to six sixteen-foot cattle panels, available at Atwoods or Tractor Supply for approximately twenty-five dollars each. The panels arch between two parallel four-by-four pressure-treated baseboards spaced eight feet apart, screwed to ground-anchored corner posts. A ten-foot-by-twenty-five-foot sheet of six-mil greenhouse polyethylene film, available from FarmTek or Greenhouse Megastore for approximately eighty dollars, drapes over the arches and is secured at the baseboards with batten boards. A hinged door at one or both ends completes the structure. Total cost runs three hundred to five hundred dollars complete and the structure lasts seven to ten years before the polyethylene needs replacement. This pushes the NWA growing season into late February or early March and out through November. Eliot Coleman’s Four-Season Harvest describes the unheated greenhouse plus low row-cover-tunnel double cloche trick that gives a roughly one-and-a-half-zone bump in winter hardiness; in Zone 7a NWA, that means kale, spinach, claytonia, mache, and carrots are harvestable through January.</w:t>
      </w:r>
    </w:p>
    <w:p>
      <w:pPr>
        <w:spacing w:after="140" w:before="100" w:line="300"/>
        <w:jc w:val="both"/>
      </w:pPr>
      <w:r>
        <w:rPr>
          <w:rFonts w:ascii="Georgia" w:cs="Georgia" w:eastAsia="Georgia" w:hAnsi="Georgia"/>
          <w:b w:val="false"/>
          <w:bCs w:val="false"/>
          <w:i w:val="false"/>
          <w:iCs w:val="false"/>
          <w:color w:val="2A2A28"/>
          <w:sz w:val="22"/>
          <w:szCs w:val="22"/>
        </w:rPr>
        <w:t xml:space="preserve">Cold frames from reclaimed storm windows over a four-by-eight-foot raised bed run thirty to sixty dollars. A pallet greenhouse made entirely from disassembled shipping pallets, six-mil polyethylene, and salvaged windows costs zero to eighty dollars and serves the same season-extension function with less aesthetic polish. The Phase 3 budget allocates one hundred twenty dollars for a smaller eight-by-eight-foot cattle-panel mini-greenhouse — a deliberately modest version that fits a small starter lot and that can be expanded in Year 2.</w:t>
      </w:r>
    </w:p>
    <w:p>
      <w:pPr>
        <w:pStyle w:val="Heading3"/>
        <w:spacing w:after="100" w:before="240"/>
      </w:pPr>
      <w:r>
        <w:rPr>
          <w:rFonts w:ascii="Verdana" w:cs="Verdana" w:eastAsia="Verdana" w:hAnsi="Verdana"/>
          <w:b/>
          <w:bCs/>
          <w:color w:val="5C4A3A"/>
          <w:sz w:val="24"/>
          <w:szCs w:val="24"/>
        </w:rPr>
        <w:t xml:space="preserve">6.3 Pallets, sheds, and coops</w:t>
      </w:r>
    </w:p>
    <w:p>
      <w:pPr>
        <w:spacing w:after="140" w:before="100" w:line="300"/>
        <w:jc w:val="both"/>
      </w:pPr>
      <w:r>
        <w:rPr>
          <w:rFonts w:ascii="Georgia" w:cs="Georgia" w:eastAsia="Georgia" w:hAnsi="Georgia"/>
          <w:b w:val="false"/>
          <w:bCs w:val="false"/>
          <w:i w:val="false"/>
          <w:iCs w:val="false"/>
          <w:color w:val="2A2A28"/>
          <w:sz w:val="22"/>
          <w:szCs w:val="22"/>
        </w:rPr>
        <w:t xml:space="preserve">Free pallets are abundantly available from Lowe’s, Home Depot, Habitat for Humanity ReStore, and most NWA hardware stores. Pair them with fifty dollars of hardware cloth, thirty dollars of roofing tin, and twenty dollars of fasteners for a complete four-by-eight-foot chicken coop at approximately one hundred dollars in cash plus a Saturday afternoon of labor. The critical rule is to use only pallets stamped “HT” for heat-treated. Pallets stamped “MB” have been fumigated with methyl bromide, a toxic biocide; never use them for anything that touches food, animals, or hands.</w:t>
      </w:r>
    </w:p>
    <w:p>
      <w:pPr>
        <w:spacing w:after="140" w:before="100" w:line="300"/>
        <w:jc w:val="both"/>
      </w:pPr>
      <w:r>
        <w:rPr>
          <w:rFonts w:ascii="Georgia" w:cs="Georgia" w:eastAsia="Georgia" w:hAnsi="Georgia"/>
          <w:b w:val="false"/>
          <w:bCs w:val="false"/>
          <w:i w:val="false"/>
          <w:iCs w:val="false"/>
          <w:color w:val="2A2A28"/>
          <w:sz w:val="22"/>
          <w:szCs w:val="22"/>
        </w:rPr>
        <w:t xml:space="preserve">For a future workshop, tool shed, or larger outbuilding, the Acorn Land Labs reference build is a two-hundred-square-foot Derksen Portable Buildings shed at approximately three to five thousand dollars purchased and rent-to-own delivered. This sits at the upper edge of Fayetteville’s permit-exempt size and is the right way to add finished interior space without entering the building-permit process. This is not a Phase 1 through Phase 4 expense; it is a Year 3 or later option once the systems are mature and additional dedicated space is needed.</w:t>
      </w:r>
    </w:p>
    <w:p>
      <w:pPr>
        <w:pStyle w:val="Heading2"/>
        <w:spacing w:after="160" w:before="320"/>
      </w:pPr>
      <w:r>
        <w:rPr>
          <w:rFonts w:ascii="Verdana" w:cs="Verdana" w:eastAsia="Verdana" w:hAnsi="Verdana"/>
          <w:b/>
          <w:bCs/>
          <w:color w:val="4A6B3A"/>
          <w:sz w:val="30"/>
          <w:szCs w:val="30"/>
        </w:rPr>
        <w:t xml:space="preserve">Chapter 7. The Food Pillar</w:t>
      </w:r>
    </w:p>
    <w:p>
      <w:pPr>
        <w:spacing w:after="140" w:before="100" w:line="300"/>
        <w:jc w:val="both"/>
      </w:pPr>
      <w:r>
        <w:rPr>
          <w:rFonts w:ascii="Georgia" w:cs="Georgia" w:eastAsia="Georgia" w:hAnsi="Georgia"/>
          <w:b w:val="false"/>
          <w:bCs w:val="false"/>
          <w:i w:val="false"/>
          <w:iCs w:val="false"/>
          <w:color w:val="2A2A28"/>
          <w:sz w:val="22"/>
          <w:szCs w:val="22"/>
        </w:rPr>
        <w:t xml:space="preserve">The food pillar is the longest-horizon investment in the entire system. A vegetable bed produces in the first season. A chicken flock produces eggs within four to six months. A fruit tree produces in three to seven years. A nut tree produces in five to fifteen years. The wisdom of the Mark Shepard model is to plant the long-horizon perennials first, in Year 1, even when nothing visible happens for a long time; the cost of delayed planting compounds steeply.</w:t>
      </w:r>
    </w:p>
    <w:p>
      <w:pPr>
        <w:pStyle w:val="Heading3"/>
        <w:spacing w:after="100" w:before="240"/>
      </w:pPr>
      <w:r>
        <w:rPr>
          <w:rFonts w:ascii="Verdana" w:cs="Verdana" w:eastAsia="Verdana" w:hAnsi="Verdana"/>
          <w:b/>
          <w:bCs/>
          <w:color w:val="5C4A3A"/>
          <w:sz w:val="24"/>
          <w:szCs w:val="24"/>
        </w:rPr>
        <w:t xml:space="preserve">7.1 Permaculture zones on a small lot</w:t>
      </w:r>
    </w:p>
    <w:p>
      <w:pPr>
        <w:spacing w:after="140" w:before="100" w:line="300"/>
        <w:jc w:val="both"/>
      </w:pPr>
      <w:r>
        <w:rPr>
          <w:rFonts w:ascii="Georgia" w:cs="Georgia" w:eastAsia="Georgia" w:hAnsi="Georgia"/>
          <w:b w:val="false"/>
          <w:bCs w:val="false"/>
          <w:i w:val="false"/>
          <w:iCs w:val="false"/>
          <w:color w:val="2A2A28"/>
          <w:sz w:val="22"/>
          <w:szCs w:val="22"/>
        </w:rPr>
        <w:t xml:space="preserve">The classical permaculture zoning system numbers areas of the property by the frequency of human visit. Zone 1 is daily-visit, located close to the door: herbs, salad greens, the chicken coop, the biogas digester, and the kitchen-scrap composting station. Zone 2 is weekly-visit: perennial vegetable beds, the food-forest understory, and the main rainwater storage. Zone 3 is monthly-visit: fruit and nut trees, the rocket-mass-heater wood storage, and the small orchard. Zone 4 is the wild edge — hugelkultur mounds, foraging areas, less-managed plantings. Zone 5 is left alone for wildlife. On a small in-city lot the zones compress and overlap, but the underlying logic — what is visited most goes closest — still drives layout efficiency.</w:t>
      </w:r>
    </w:p>
    <w:p>
      <w:pPr>
        <w:pStyle w:val="Heading3"/>
        <w:spacing w:after="100" w:before="240"/>
      </w:pPr>
      <w:r>
        <w:rPr>
          <w:rFonts w:ascii="Verdana" w:cs="Verdana" w:eastAsia="Verdana" w:hAnsi="Verdana"/>
          <w:b/>
          <w:bCs/>
          <w:color w:val="5C4A3A"/>
          <w:sz w:val="24"/>
          <w:szCs w:val="24"/>
        </w:rPr>
        <w:t xml:space="preserve">7.2 Earthworks for Ozark terrain</w:t>
      </w:r>
    </w:p>
    <w:p>
      <w:pPr>
        <w:spacing w:after="140" w:before="100" w:line="300"/>
        <w:jc w:val="both"/>
      </w:pPr>
      <w:r>
        <w:rPr>
          <w:rFonts w:ascii="Georgia" w:cs="Georgia" w:eastAsia="Georgia" w:hAnsi="Georgia"/>
          <w:b w:val="false"/>
          <w:bCs w:val="false"/>
          <w:i w:val="false"/>
          <w:iCs w:val="false"/>
          <w:color w:val="2A2A28"/>
          <w:sz w:val="22"/>
          <w:szCs w:val="22"/>
        </w:rPr>
        <w:t xml:space="preserve">The Ozarks present rolling terrain and rocky soils, and every earthwork technique imported from a different region needs adaptation. Hugelkultur, the Sepp Holzer and Paul Wheaton buried-log raised-bed technique, is the single best earthwork for Ozark soils because it builds up rather than digging down into chert. The construction is straightforward: lay rotten hardwood logs — oak, hickory, and walnut all acceptable, with black walnut acceptable as a base layer below eighteen inches because the juglone leaches out slowly and is buffered by depth; no cedar or treated lumber — directly on the existing soil. Cover with sticks and brush. Cover that with compost. Cover that with six to ten inches of topsoil. The decomposing wood becomes a sponge that buffers both drought and flood, holding several times its own dry weight in water and slow-releasing nutrients as it decays. A four-foot-tall, ten-foot-long hugel mound costs nothing if you have access to brush piles after a windstorm, which in NWA happens at least twice a year.</w:t>
      </w:r>
    </w:p>
    <w:p>
      <w:pPr>
        <w:spacing w:after="140" w:before="100" w:line="300"/>
        <w:jc w:val="both"/>
      </w:pPr>
      <w:r>
        <w:rPr>
          <w:rFonts w:ascii="Georgia" w:cs="Georgia" w:eastAsia="Georgia" w:hAnsi="Georgia"/>
          <w:b w:val="false"/>
          <w:bCs w:val="false"/>
          <w:i w:val="false"/>
          <w:iCs w:val="false"/>
          <w:color w:val="2A2A28"/>
          <w:sz w:val="22"/>
          <w:szCs w:val="22"/>
        </w:rPr>
        <w:t xml:space="preserve">Swales — on-contour ditches with a downhill berm, designed to slow and infiltrate runoff — work in the Ozarks but need to be shallow. Twelve to eighteen inches deep, not the three-foot trenches characteristic of Sepp Holzer’s Alpine system, because the rocky subsoil resists deeper excavation. A laser level or a ten-dollar A-frame water level is the right surveying tool; eyeballing contour on rolling terrain produces swales that drain rather than infiltrate. Plant the berm with comfrey — Bocking 14 cultivar, which is sterile and does not seed — plus fruit trees and nitrogen-fixing shrubs such as black locust, redbud, or goumi.</w:t>
      </w:r>
    </w:p>
    <w:p>
      <w:pPr>
        <w:spacing w:after="140" w:before="100" w:line="300"/>
        <w:jc w:val="both"/>
      </w:pPr>
      <w:r>
        <w:rPr>
          <w:rFonts w:ascii="Georgia" w:cs="Georgia" w:eastAsia="Georgia" w:hAnsi="Georgia"/>
          <w:b w:val="false"/>
          <w:bCs w:val="false"/>
          <w:i w:val="false"/>
          <w:iCs w:val="false"/>
          <w:color w:val="2A2A28"/>
          <w:sz w:val="22"/>
          <w:szCs w:val="22"/>
        </w:rPr>
        <w:t xml:space="preserve">Keyline design, the P.A. Yeomans system, scales up to whole-farm water management. Mark Shepard’s 2024 book Water for Any Farm from Acres USA is the current best primer. For a quarter-acre in-city lot, full keyline design is overkill; the lessons that translate are “begin earthworks high in the landscape, not low” and “store water in soil, not in dams.” Both are directly applicable to the hugelkultur and swale work described above.</w:t>
      </w:r>
    </w:p>
    <w:p>
      <w:pPr>
        <w:pStyle w:val="Heading3"/>
        <w:spacing w:after="100" w:before="240"/>
      </w:pPr>
      <w:r>
        <w:rPr>
          <w:rFonts w:ascii="Verdana" w:cs="Verdana" w:eastAsia="Verdana" w:hAnsi="Verdana"/>
          <w:b/>
          <w:bCs/>
          <w:color w:val="5C4A3A"/>
          <w:sz w:val="24"/>
          <w:szCs w:val="24"/>
        </w:rPr>
        <w:t xml:space="preserve">7.3 Food-forest guilds for Zone 7a Ozarks</w:t>
      </w:r>
    </w:p>
    <w:p>
      <w:pPr>
        <w:spacing w:after="140" w:before="100" w:line="300"/>
        <w:jc w:val="both"/>
      </w:pPr>
      <w:r>
        <w:rPr>
          <w:rFonts w:ascii="Georgia" w:cs="Georgia" w:eastAsia="Georgia" w:hAnsi="Georgia"/>
          <w:b w:val="false"/>
          <w:bCs w:val="false"/>
          <w:i w:val="false"/>
          <w:iCs w:val="false"/>
          <w:color w:val="2A2A28"/>
          <w:sz w:val="22"/>
          <w:szCs w:val="22"/>
        </w:rPr>
        <w:t xml:space="preserve">A food-forest guild is a plant community organized around a central fruit or nut tree, with companion plants chosen to perform specific ecological functions: nitrogen fixation, dynamic accumulation of subsoil minerals, ground cover, pest deterrence, pollinator support. The classical guild design literature originates with Toby Hemenway’s Gaia’s Garden, and the patterns translate well to NWA with careful species selection.</w:t>
      </w:r>
    </w:p>
    <w:p>
      <w:pPr>
        <w:spacing w:after="140" w:before="100" w:line="300"/>
        <w:jc w:val="both"/>
      </w:pPr>
      <w:r>
        <w:rPr>
          <w:rFonts w:ascii="Georgia" w:cs="Georgia" w:eastAsia="Georgia" w:hAnsi="Georgia"/>
          <w:b w:val="false"/>
          <w:bCs w:val="false"/>
          <w:i w:val="false"/>
          <w:iCs w:val="false"/>
          <w:color w:val="2A2A28"/>
          <w:sz w:val="22"/>
          <w:szCs w:val="22"/>
        </w:rPr>
        <w:t xml:space="preserve">The apple guild is built around a semi-dwarf apple as canopy, with autumn olive or sea buckthorn as the nitrogen fixer — a note of caution here, autumn olive is on the Arkansas watch list and is invasive in parts of the Ozarks, so goumi (Elaeagnus multiflora) or sea buckthorn (Hippophae rhamnoides) are the recommended non-invasive substitutes. Comfrey Bocking 14 is the dynamic accumulator, drawing up subsoil potassium and phosphorus through its deep taproot and concentrating them in mineral-rich leaves that are chopped and dropped as in-place mulch four times per season. Daffodils planted in a ring around the trunk function as a rodent deterrent through their toxic bulbs. White clover is the ground cover and a secondary nitrogen fixer.</w:t>
      </w:r>
    </w:p>
    <w:p>
      <w:pPr>
        <w:spacing w:after="140" w:before="100" w:line="300"/>
        <w:jc w:val="both"/>
      </w:pPr>
      <w:r>
        <w:rPr>
          <w:rFonts w:ascii="Georgia" w:cs="Georgia" w:eastAsia="Georgia" w:hAnsi="Georgia"/>
          <w:b w:val="false"/>
          <w:bCs w:val="false"/>
          <w:i w:val="false"/>
          <w:iCs w:val="false"/>
          <w:color w:val="2A2A28"/>
          <w:sz w:val="22"/>
          <w:szCs w:val="22"/>
        </w:rPr>
        <w:t xml:space="preserve">The chestnut guild centers on a Castanea dentata by mollissima hybrid chestnut as the canopy keystone, with black locust as the nitrogen fixer that doubles as a coppice firewood crop. Currants thrive in the partial shade beneath the chestnut. Comfrey serves the same dynamic-accumulator function as in the apple guild. Egyptian walking onion provides perennial allium production and is functionally indestructible.</w:t>
      </w:r>
    </w:p>
    <w:p>
      <w:pPr>
        <w:spacing w:after="140" w:before="100" w:line="300"/>
        <w:jc w:val="both"/>
      </w:pPr>
      <w:r>
        <w:rPr>
          <w:rFonts w:ascii="Georgia" w:cs="Georgia" w:eastAsia="Georgia" w:hAnsi="Georgia"/>
          <w:b w:val="false"/>
          <w:bCs w:val="false"/>
          <w:i w:val="false"/>
          <w:iCs w:val="false"/>
          <w:color w:val="2A2A28"/>
          <w:sz w:val="22"/>
          <w:szCs w:val="22"/>
        </w:rPr>
        <w:t xml:space="preserve">The pawpaw understory is essentially the native NWA forest edge intensified: pawpaw with spicebush as a companion shrub, wild ramps as a spring ephemeral, and wild ginger as a ground cover. The pawpaw fruit ripens in early September, requires zero spray, has no significant pest pressure in this region, and tastes like a custard cross between banana and mango — it is one of the more remarkable native fruits in the Eastern temperate forest, and almost nobody plants it deliberately.</w:t>
      </w:r>
    </w:p>
    <w:p>
      <w:pPr>
        <w:spacing w:after="140" w:before="100" w:line="300"/>
        <w:jc w:val="both"/>
      </w:pPr>
      <w:r>
        <w:rPr>
          <w:rFonts w:ascii="Georgia" w:cs="Georgia" w:eastAsia="Georgia" w:hAnsi="Georgia"/>
          <w:b w:val="false"/>
          <w:bCs w:val="false"/>
          <w:i w:val="false"/>
          <w:iCs w:val="false"/>
          <w:color w:val="2A2A28"/>
          <w:sz w:val="22"/>
          <w:szCs w:val="22"/>
        </w:rPr>
        <w:t xml:space="preserve">The persimmon guild centers on a grafted American persimmon — the cultivars Meader, Yates, and Prok are productive and self-fertile or near-self-fertile — paired with goumi as the nitrogen fixer, Aronia berry for high-antioxidant fruit, and sorrel as a perennial culinary green. Persimmon fruit becomes edible only after the first frost converts the tannins; before that, the astringency is intense and unforgettable.</w:t>
      </w:r>
    </w:p>
    <w:p>
      <w:pPr>
        <w:spacing w:after="140" w:before="100" w:line="300"/>
        <w:jc w:val="both"/>
      </w:pPr>
      <w:r>
        <w:rPr>
          <w:rFonts w:ascii="Georgia" w:cs="Georgia" w:eastAsia="Georgia" w:hAnsi="Georgia"/>
          <w:b w:val="false"/>
          <w:bCs w:val="false"/>
          <w:i w:val="false"/>
          <w:iCs w:val="false"/>
          <w:color w:val="2A2A28"/>
          <w:sz w:val="22"/>
          <w:szCs w:val="22"/>
        </w:rPr>
        <w:t xml:space="preserve">For a starter Phase 3 budget, two trees — one apple and one persimmon — plus four berry shrubs — raspberry, blackberry, blueberry, and elderberry — are the recommended initial planting. Forest Agriculture Nursery at forestag.com, Mark Shepard’s own Wisconsin nursery, ships bareroot stock in spring and is a high-quality source. The Ozark Folk Center near Mountain View, Arkansas, holds twice-yearly plant sales with locally adapted varieties at substantially lower prices than mail-order. The Stark Bros nursery in Louisiana, Missouri, ships well-established stock and is the largest commercial source of fruit-tree cultivars in the central United States.</w:t>
      </w:r>
    </w:p>
    <w:p>
      <w:pPr>
        <w:pStyle w:val="Heading3"/>
        <w:spacing w:after="100" w:before="240"/>
      </w:pPr>
      <w:r>
        <w:rPr>
          <w:rFonts w:ascii="Verdana" w:cs="Verdana" w:eastAsia="Verdana" w:hAnsi="Verdana"/>
          <w:b/>
          <w:bCs/>
          <w:color w:val="5C4A3A"/>
          <w:sz w:val="24"/>
          <w:szCs w:val="24"/>
        </w:rPr>
        <w:t xml:space="preserve">7.4 The no-till lasagna technique for cherty clay</w:t>
      </w:r>
    </w:p>
    <w:p>
      <w:pPr>
        <w:spacing w:after="140" w:before="100" w:line="300"/>
        <w:jc w:val="both"/>
      </w:pPr>
      <w:r>
        <w:rPr>
          <w:rFonts w:ascii="Georgia" w:cs="Georgia" w:eastAsia="Georgia" w:hAnsi="Georgia"/>
          <w:b w:val="false"/>
          <w:bCs w:val="false"/>
          <w:i w:val="false"/>
          <w:iCs w:val="false"/>
          <w:color w:val="2A2A28"/>
          <w:sz w:val="22"/>
          <w:szCs w:val="22"/>
        </w:rPr>
        <w:t xml:space="preserve">The no-till lasagna method builds six to eight inches of growable medium in one season without breaking a fork on rocks. The construction is sequential: a cardboard base over killed sod (or just over existing weeds, with the cardboard suffocating them), then four inches of finished compost, then four inches of wood chips, then two inches of straw. The cardboard biodegrades over six to twelve months; by the second season the new bed is sitting on enriched native soil rather than on packed sod. Ramial wood chips — fresh-cut hardwood chips from local arborist sources — are the highest-leverage soil-building input available to a homesteader and they are free. The free-delivery service ChipDrop.com matches arborists with property owners who want chips; a single delivery is typically ten to twenty cubic yards. Tip the arborist if the truck can comfortably back into the lot.</w:t>
      </w:r>
    </w:p>
    <w:p>
      <w:pPr>
        <w:pStyle w:val="Heading3"/>
        <w:spacing w:after="100" w:before="240"/>
      </w:pPr>
      <w:r>
        <w:rPr>
          <w:rFonts w:ascii="Verdana" w:cs="Verdana" w:eastAsia="Verdana" w:hAnsi="Verdana"/>
          <w:b/>
          <w:bCs/>
          <w:color w:val="5C4A3A"/>
          <w:sz w:val="24"/>
          <w:szCs w:val="24"/>
        </w:rPr>
        <w:t xml:space="preserve">7.5 Chicken systems</w:t>
      </w:r>
    </w:p>
    <w:p>
      <w:pPr>
        <w:spacing w:after="140" w:before="100" w:line="300"/>
        <w:jc w:val="both"/>
      </w:pPr>
      <w:r>
        <w:rPr>
          <w:rFonts w:ascii="Georgia" w:cs="Georgia" w:eastAsia="Georgia" w:hAnsi="Georgia"/>
          <w:b w:val="false"/>
          <w:bCs w:val="false"/>
          <w:i w:val="false"/>
          <w:iCs w:val="false"/>
          <w:color w:val="2A2A28"/>
          <w:sz w:val="22"/>
          <w:szCs w:val="22"/>
        </w:rPr>
        <w:t xml:space="preserve">A three- to six-hen starter flock is the right scale for a quarter-acre Fayetteville lot under the city’s twenty-hen permit limit. The breeds that perform best in NWA’s combined cold-winter and hot-humid-summer climate are Buff Orpington, Plymouth Rock, Australorp, Easter Egger, and Wyandotte — cold-hardy, heat-tolerant, predator-aware, and reliable layers. A six-hen flock consumes approximately one and a half pounds of commercial feed per day when free-ranging is supplemented by kitchen scraps, biogas digestate insects, and black soldier fly larvae. The same flock produces approximately four to five eggs per day in peak season, dropping to one or two per day during the December and January light-limited months unless artificial light is provided.</w:t>
      </w:r>
    </w:p>
    <w:p>
      <w:pPr>
        <w:spacing w:after="140" w:before="100" w:line="300"/>
        <w:jc w:val="both"/>
      </w:pPr>
      <w:r>
        <w:rPr>
          <w:rFonts w:ascii="Georgia" w:cs="Georgia" w:eastAsia="Georgia" w:hAnsi="Georgia"/>
          <w:b w:val="false"/>
          <w:bCs w:val="false"/>
          <w:i w:val="false"/>
          <w:iCs w:val="false"/>
          <w:color w:val="2A2A28"/>
          <w:sz w:val="22"/>
          <w:szCs w:val="22"/>
        </w:rPr>
        <w:t xml:space="preserve">A chicken tractor, the Justin Rhodes and Joel Salatin movable open-bottom pen design, is the most efficient deployment for a small lot. Construction is two-by-four lumber, half-inch hardware cloth, and a tarp roof. Total cost runs one hundred to one hundred fifty dollars for a four-by-eight-foot tractor that comfortably houses six birds. The tractor rotates across the garden weekly, building soil, controlling tick populations — chickens are excellent tick predators, which is a meaningful NWA-specific benefit — and producing eggs without ever overgrazing a single patch of ground. Justin Rhodes’ free Permaculture Chickens YouTube series at youtube.com/@JustinRhodesvlog is the best regional analog for Max because Rhodes farms in North Carolina at a similar latitude and rainfall. The series is approximately fifteen hours of professionally produced free content and is the single best practical-chicken education available on the internet.</w:t>
      </w:r>
    </w:p>
    <w:p>
      <w:pPr>
        <w:spacing w:after="140" w:before="100" w:line="300"/>
        <w:jc w:val="both"/>
      </w:pPr>
      <w:r>
        <w:rPr>
          <w:rFonts w:ascii="Georgia" w:cs="Georgia" w:eastAsia="Georgia" w:hAnsi="Georgia"/>
          <w:b w:val="false"/>
          <w:bCs w:val="false"/>
          <w:i w:val="false"/>
          <w:iCs w:val="false"/>
          <w:color w:val="2A2A28"/>
          <w:sz w:val="22"/>
          <w:szCs w:val="22"/>
        </w:rPr>
        <w:t xml:space="preserve">Sourcing chicks in NWA is straightforward. Hatch Day in Springdale, Frye’s Hatchery in Wheatland, Cackle Hatchery in Lebanon, Missouri, and Murray McMurray Hatchery in Webster City, Iowa all ship sexed day-old chicks. Local 4-H breeders frequently sell pullets — nearly-laying-age young hens — through Facebook Marketplace at five to fifteen dollars each, and a Phase 3 budget of approximately thirty dollars for six pullets is realistic if Max times the purchase to a spring 4-H sale.</w:t>
      </w:r>
    </w:p>
    <w:p>
      <w:pPr>
        <w:pStyle w:val="Heading3"/>
        <w:spacing w:after="100" w:before="240"/>
      </w:pPr>
      <w:r>
        <w:rPr>
          <w:rFonts w:ascii="Verdana" w:cs="Verdana" w:eastAsia="Verdana" w:hAnsi="Verdana"/>
          <w:b/>
          <w:bCs/>
          <w:color w:val="5C4A3A"/>
          <w:sz w:val="24"/>
          <w:szCs w:val="24"/>
        </w:rPr>
        <w:t xml:space="preserve">7.6 Beekeeping, aquaponics, mycology</w:t>
      </w:r>
    </w:p>
    <w:p>
      <w:pPr>
        <w:spacing w:after="140" w:before="100" w:line="300"/>
        <w:jc w:val="both"/>
      </w:pPr>
      <w:r>
        <w:rPr>
          <w:rFonts w:ascii="Georgia" w:cs="Georgia" w:eastAsia="Georgia" w:hAnsi="Georgia"/>
          <w:b w:val="false"/>
          <w:bCs w:val="false"/>
          <w:i w:val="false"/>
          <w:iCs w:val="false"/>
          <w:color w:val="2A2A28"/>
          <w:sz w:val="22"/>
          <w:szCs w:val="22"/>
        </w:rPr>
        <w:t xml:space="preserve">Beekeeping is legal in Fayetteville under the urban-agriculture ordinance, and the Washington County Beekeepers Association at washingtoncountybeekeepers.org meets monthly and is the local on-ramp. A Langstroth starter setup — single deep hive box, frames, foundation, smoker, suit, and a package of bees from a local supplier — runs four hundred to five hundred fifty dollars. Bees are a Year 2 investment, not a Phase 1 through Phase 4 line item.</w:t>
      </w:r>
    </w:p>
    <w:p>
      <w:pPr>
        <w:spacing w:after="140" w:before="100" w:line="300"/>
        <w:jc w:val="both"/>
      </w:pPr>
      <w:r>
        <w:rPr>
          <w:rFonts w:ascii="Georgia" w:cs="Georgia" w:eastAsia="Georgia" w:hAnsi="Georgia"/>
          <w:b w:val="false"/>
          <w:bCs w:val="false"/>
          <w:i w:val="false"/>
          <w:iCs w:val="false"/>
          <w:color w:val="2A2A28"/>
          <w:sz w:val="22"/>
          <w:szCs w:val="22"/>
        </w:rPr>
        <w:t xml:space="preserve">Aquaponics couples a fish tank with a hydroponic grow bed: fish waste fertilizes plants, plants filter water for fish. The simplest viable starter is an IBC tote aquaponics system, with free plans from Murray Hallam and Friendly Aquaponics. The construction cuts a two-hundred-seventy-five-gallon food-grade IBC tote in half horizontally; the bottom two hundred gallons becomes the fish tank, and the top seventy-five gallons becomes a flood-and-drain media bed filled with expanded clay aggregate or river gravel. A small bell siphon, a pond pump, and an aquarium air pump complete the cycle. Fish suitable for unheated NWA outdoor systems include bluegill (native, no permit required), channel catfish (which tolerates wide temperature swings), and tilapia (warm-season only, requires winter shelter or being moved indoors). Total construction cost runs three hundred to five hundred dollars. Aquaponics is a Year 2 or later project, but the IBC tote substrate is the same ecosystem already in use for water storage and biogas, which makes future expansion mechanically trivial.</w:t>
      </w:r>
    </w:p>
    <w:p>
      <w:pPr>
        <w:spacing w:after="140" w:before="100" w:line="300"/>
        <w:jc w:val="both"/>
      </w:pPr>
      <w:r>
        <w:rPr>
          <w:rFonts w:ascii="Georgia" w:cs="Georgia" w:eastAsia="Georgia" w:hAnsi="Georgia"/>
          <w:b w:val="false"/>
          <w:bCs w:val="false"/>
          <w:i w:val="false"/>
          <w:iCs w:val="false"/>
          <w:color w:val="2A2A28"/>
          <w:sz w:val="22"/>
          <w:szCs w:val="22"/>
        </w:rPr>
        <w:t xml:space="preserve">Mycology — the cultivation of edible fungi — is one of the highest-leverage and lowest-cost food investments available to a small homesteader. Inoculating freshly cut white-oak logs with shiitake plug spawn produces approximately one to three pounds of shiitake mushrooms per log over a four-to-six-year fruiting cycle. The plugs cost approximately twenty-five dollars per one hundred from Field &amp; Forest Products at fieldforest.net, North Spore at northspore.com, or Fungi Perfecti at fungi.com. Oyster mushrooms on sweetgum, sycamore, or any non-cedar hardwood are even faster, often producing the first flush within eight to fourteen months. NWA has effectively free log material every year after windstorms. A Year 1 mushroom investment of thirty to sixty dollars for plugs and cheese wax to seal the plug holes is one of the most asymmetric returns in this entire blueprint. Wine cap (Stropharia rugoso-annulata) inoculated directly into wood-chip mulch paths is a “set and forget” option that produces dramatic flushes after spring rains and effectively turns the path itself into a mushroom bed.</w:t>
      </w:r>
    </w:p>
    <w:p>
      <w:pPr>
        <w:pStyle w:val="Heading2"/>
        <w:spacing w:after="160" w:before="320"/>
      </w:pPr>
      <w:r>
        <w:rPr>
          <w:rFonts w:ascii="Verdana" w:cs="Verdana" w:eastAsia="Verdana" w:hAnsi="Verdana"/>
          <w:b/>
          <w:bCs/>
          <w:color w:val="4A6B3A"/>
          <w:sz w:val="30"/>
          <w:szCs w:val="30"/>
        </w:rPr>
        <w:t xml:space="preserve">Chapter 8. The Sanitation Pillar</w:t>
      </w:r>
    </w:p>
    <w:p>
      <w:pPr>
        <w:spacing w:after="140" w:before="100" w:line="300"/>
        <w:jc w:val="both"/>
      </w:pPr>
      <w:r>
        <w:rPr>
          <w:rFonts w:ascii="Georgia" w:cs="Georgia" w:eastAsia="Georgia" w:hAnsi="Georgia"/>
          <w:b w:val="false"/>
          <w:bCs w:val="false"/>
          <w:i w:val="false"/>
          <w:iCs w:val="false"/>
          <w:color w:val="2A2A28"/>
          <w:sz w:val="22"/>
          <w:szCs w:val="22"/>
        </w:rPr>
        <w:t xml:space="preserve">Sanitation — the disposition of human waste, food waste, animal waste, and greywater — is the pillar where most American homesteaders give up early because of the legal and the cultural friction. Acorn Land Labs and Joseph Jenkins are unusually direct about the fact that this is the highest-leverage pillar in the entire stack: every other pillar produces a waste stream, and a property without sanitation infrastructure is forced to import disposal services, which is the opposite of self-maintaining.</w:t>
      </w:r>
    </w:p>
    <w:p>
      <w:pPr>
        <w:pStyle w:val="Heading3"/>
        <w:spacing w:after="100" w:before="240"/>
      </w:pPr>
      <w:r>
        <w:rPr>
          <w:rFonts w:ascii="Verdana" w:cs="Verdana" w:eastAsia="Verdana" w:hAnsi="Verdana"/>
          <w:b/>
          <w:bCs/>
          <w:color w:val="5C4A3A"/>
          <w:sz w:val="24"/>
          <w:szCs w:val="24"/>
        </w:rPr>
        <w:t xml:space="preserve">8.1 Humanure composting and the Joseph Jenkins system</w:t>
      </w:r>
    </w:p>
    <w:p>
      <w:pPr>
        <w:spacing w:after="140" w:before="100" w:line="300"/>
        <w:jc w:val="both"/>
      </w:pPr>
      <w:r>
        <w:rPr>
          <w:rFonts w:ascii="Georgia" w:cs="Georgia" w:eastAsia="Georgia" w:hAnsi="Georgia"/>
          <w:b w:val="false"/>
          <w:bCs w:val="false"/>
          <w:i w:val="false"/>
          <w:iCs w:val="false"/>
          <w:color w:val="2A2A28"/>
          <w:sz w:val="22"/>
          <w:szCs w:val="22"/>
        </w:rPr>
        <w:t xml:space="preserve">The Joseph Jenkins humanure system is the canonical sawdust-toilet method, in continuous practice and refinement at the Jenkins property in Pennsylvania for more than four decades and documented in the fourth edition of The Humanure Handbook, available as a free PDF at humanurehandbook.com. The core architecture is straightforward. A five-gallon plastic bucket sits inside a wooden box with a standard toilet seat on top. After each use, a generous scoop of cover material — sawdust, peat moss, wood shavings, or shredded leaves — is added on top of the deposit. When the bucket fills, typically every two to four days for a single user, it is carried to a two-bin “humanure hacienda” outside, dumped on the active pile, covered with another layer of cover material, and the bucket is rinsed and returned. The active pile composts thermophilically — the core temperature reaches one hundred thirty to one hundred sixty degrees Fahrenheit through normal microbial activity — and after a full year of curing, the resulting compost is biologically equivalent to high-quality municipal compost and is safe for soil application.</w:t>
      </w:r>
    </w:p>
    <w:p>
      <w:pPr>
        <w:spacing w:after="140" w:before="100" w:line="300"/>
        <w:jc w:val="both"/>
      </w:pPr>
      <w:r>
        <w:rPr>
          <w:rFonts w:ascii="Georgia" w:cs="Georgia" w:eastAsia="Georgia" w:hAnsi="Georgia"/>
          <w:b w:val="false"/>
          <w:bCs w:val="false"/>
          <w:i w:val="false"/>
          <w:iCs w:val="false"/>
          <w:color w:val="2A2A28"/>
          <w:sz w:val="22"/>
          <w:szCs w:val="22"/>
        </w:rPr>
        <w:t xml:space="preserve">The safety standard is precise and worth memorizing. Either the core of the pile must reach one hundred thirty-one degrees Fahrenheit and remain there for at least seventy-two consecutive hours — the regime that kills Ascaris eggs, the most heat-resistant common human-waste pathogen — or the pile must cure for a full twelve months minimum. Both are acceptable; both are necessary if the precise core temperature was not measured. Cold-pile composting is not safe for food crops; use it only for fruit trees, hedges, and ornamentals, or extend the cure to eighteen months. Uncomposted humanure must never be applied to garden soil.</w:t>
      </w:r>
    </w:p>
    <w:p>
      <w:pPr>
        <w:spacing w:after="140" w:before="100" w:line="300"/>
        <w:jc w:val="both"/>
      </w:pPr>
      <w:r>
        <w:rPr>
          <w:rFonts w:ascii="Georgia" w:cs="Georgia" w:eastAsia="Georgia" w:hAnsi="Georgia"/>
          <w:b w:val="false"/>
          <w:bCs w:val="false"/>
          <w:i w:val="false"/>
          <w:iCs w:val="false"/>
          <w:color w:val="2A2A28"/>
          <w:sz w:val="22"/>
          <w:szCs w:val="22"/>
        </w:rPr>
        <w:t xml:space="preserve">A do-it-yourself Loveable Loo — the Joseph Jenkins-designed plywood box with the standard toilet seat — costs twenty-five to fifty dollars in plywood and hardware. A kit from loveableloo.store costs approximately two hundred dollars. The Phase 4 budget allocates fifty dollars for the do-it-yourself path. The use case in the in-city Fayetteville context is supplementary — an outbuilding, a workshop, a backyard guest cabin — not a primary household toilet, because Fayetteville municipal code requires sewer connection for primary residences. The educational and self-reliance value of running a humanure system in parallel with the municipal connection is, however, substantial.</w:t>
      </w:r>
    </w:p>
    <w:p>
      <w:pPr>
        <w:pStyle w:val="Heading3"/>
        <w:spacing w:after="100" w:before="240"/>
      </w:pPr>
      <w:r>
        <w:rPr>
          <w:rFonts w:ascii="Verdana" w:cs="Verdana" w:eastAsia="Verdana" w:hAnsi="Verdana"/>
          <w:b/>
          <w:bCs/>
          <w:color w:val="5C4A3A"/>
          <w:sz w:val="24"/>
          <w:szCs w:val="24"/>
        </w:rPr>
        <w:t xml:space="preserve">8.2 Commercial composting toilet alternatives</w:t>
      </w:r>
    </w:p>
    <w:p>
      <w:pPr>
        <w:spacing w:after="140" w:before="100" w:line="300"/>
        <w:jc w:val="both"/>
      </w:pPr>
      <w:r>
        <w:rPr>
          <w:rFonts w:ascii="Georgia" w:cs="Georgia" w:eastAsia="Georgia" w:hAnsi="Georgia"/>
          <w:b w:val="false"/>
          <w:bCs w:val="false"/>
          <w:i w:val="false"/>
          <w:iCs w:val="false"/>
          <w:color w:val="2A2A28"/>
          <w:sz w:val="22"/>
          <w:szCs w:val="22"/>
        </w:rPr>
        <w:t xml:space="preserve">For the homesteader who prefers a polished commercial unit, the landscape in 2026 includes several mature options. The Nature’s Head, manufactured in the United States, is a urine-separating composting toilet with an integrated twelve-volt or USB fan, stainless-steel hardware, and a 2.2-gallon urine bottle, priced at approximately one thousand thirty dollars plus shipping from natureshead.net. The unit weighs twenty-three pounds, measures twenty-one inches tall by twenty inches wide by nineteen inches deep, and holds approximately sixty to eighty solid-waste uses per emptying. Acorn Land Labs has reviewed the Nature’s Head favorably and uses it in their Atlanta micro-cabin. The Separett Villa 9215, a Swedish urine-separating unit with a 110-volt fan and a 12-volt option, runs approximately one thousand one hundred dollars and is a close competitor with a more residential aesthetic. The Sun-Mar Centrex and Excel lines from Canada, ranging from fifteen hundred to twenty-five hundred dollars, are larger-capacity units suitable for whole-household use rather than recreational vehicles. The newer OGO Origin and OGO Nomad, at approximately one thousand and seven hundred dollars respectively, offer electric agitation. The TROBOLO and C-Head are smaller portable options for vehicles. None of these are in the two-thousand-dollar budget; all are realistic Year 3 and later upgrades.</w:t>
      </w:r>
    </w:p>
    <w:p>
      <w:pPr>
        <w:pStyle w:val="Heading3"/>
        <w:spacing w:after="100" w:before="240"/>
      </w:pPr>
      <w:r>
        <w:rPr>
          <w:rFonts w:ascii="Verdana" w:cs="Verdana" w:eastAsia="Verdana" w:hAnsi="Verdana"/>
          <w:b/>
          <w:bCs/>
          <w:color w:val="5C4A3A"/>
          <w:sz w:val="24"/>
          <w:szCs w:val="24"/>
        </w:rPr>
        <w:t xml:space="preserve">8.3 Vermicomposting and black soldier fly larvae</w:t>
      </w:r>
    </w:p>
    <w:p>
      <w:pPr>
        <w:spacing w:after="140" w:before="100" w:line="300"/>
        <w:jc w:val="both"/>
      </w:pPr>
      <w:r>
        <w:rPr>
          <w:rFonts w:ascii="Georgia" w:cs="Georgia" w:eastAsia="Georgia" w:hAnsi="Georgia"/>
          <w:b w:val="false"/>
          <w:bCs w:val="false"/>
          <w:i w:val="false"/>
          <w:iCs w:val="false"/>
          <w:color w:val="2A2A28"/>
          <w:sz w:val="22"/>
          <w:szCs w:val="22"/>
        </w:rPr>
        <w:t xml:space="preserve">A single Worm Factory 360 stacked-tray vermicomposter, or alternatively a do-it-yourself stacked-tote system constructed from three plastic storage totes with drilled drainage holes, runs thirty to one hundred twenty dollars and accepts approximately one pound of kitchen scraps per day from one pound of red wigglers (Eisenia fetida). The worm castings are the single highest-value fertilizer the homesteader can produce on site. Vermicompost tea, brewed by suspending a handful of castings in a five-gallon bucket of water for twenty-four hours with aeration, applied at ten parts water to one part tea, is the standard transplant-shock remedy and is roughly biologically equivalent to commercial mycorrhizal inoculants at zero ongoing cost.</w:t>
      </w:r>
    </w:p>
    <w:p>
      <w:pPr>
        <w:spacing w:after="140" w:before="100" w:line="300"/>
        <w:jc w:val="both"/>
      </w:pPr>
      <w:r>
        <w:rPr>
          <w:rFonts w:ascii="Georgia" w:cs="Georgia" w:eastAsia="Georgia" w:hAnsi="Georgia"/>
          <w:b w:val="false"/>
          <w:bCs w:val="false"/>
          <w:i w:val="false"/>
          <w:iCs w:val="false"/>
          <w:color w:val="2A2A28"/>
          <w:sz w:val="22"/>
          <w:szCs w:val="22"/>
        </w:rPr>
        <w:t xml:space="preserve">Black soldier fly larvae bins are the more aggressive composting option for high-volume food waste. The commercial BioPod and Protapod units run one hundred fifty to four hundred dollars; a do-it-yourself five-gallon-bucket version with one-eighth-inch drainage holes and a self-harvesting ramp at the top runs twenty dollars. Black soldier fly larvae are forty percent or more protein by dry weight, convert food waste in fourteen days compared to ninety or more for traditional composting, and are eagerly consumed by chickens — they close the kitchen-scraps-to-eggs loop and substantially reduce the commercial feed bill. They do not bite, do not vector disease, and the adult flies are short-lived and non-pestiferous.</w:t>
      </w:r>
    </w:p>
    <w:p>
      <w:pPr>
        <w:pStyle w:val="Heading3"/>
        <w:spacing w:after="100" w:before="240"/>
      </w:pPr>
      <w:r>
        <w:rPr>
          <w:rFonts w:ascii="Verdana" w:cs="Verdana" w:eastAsia="Verdana" w:hAnsi="Verdana"/>
          <w:b/>
          <w:bCs/>
          <w:color w:val="5C4A3A"/>
          <w:sz w:val="24"/>
          <w:szCs w:val="24"/>
        </w:rPr>
        <w:t xml:space="preserve">8.4 Biochar from yard debris</w:t>
      </w:r>
    </w:p>
    <w:p>
      <w:pPr>
        <w:spacing w:after="140" w:before="100" w:line="300"/>
        <w:jc w:val="both"/>
      </w:pPr>
      <w:r>
        <w:rPr>
          <w:rFonts w:ascii="Georgia" w:cs="Georgia" w:eastAsia="Georgia" w:hAnsi="Georgia"/>
          <w:b w:val="false"/>
          <w:bCs w:val="false"/>
          <w:i w:val="false"/>
          <w:iCs w:val="false"/>
          <w:color w:val="2A2A28"/>
          <w:sz w:val="22"/>
          <w:szCs w:val="22"/>
        </w:rPr>
        <w:t xml:space="preserve">Biochar is the carbonized residue produced by burning biomass in a low-oxygen environment. It is, on a per-dollar basis, the highest-leverage carbon-sequestration tool an individual homesteader has access to: properly produced and incorporated, biochar sequesters carbon in soil for centuries to millennia. The Kon-Tiki or cone-kiln method is the simplest production technique: a forty-dollar sheet-metal cone, an eight-foot-diameter shallow pit dug in the yard, or a recycled metal stock tank serves as the burn vessel. The fire is lit top-down, which is counterintuitive but critical; the burning surface descends through the biomass at controlled rate, leaving a column of pyrolyzed but unburned charcoal beneath. At the right moment, just before the charcoal layer begins to burn through, the entire mass is quenched with water.</w:t>
      </w:r>
    </w:p>
    <w:p>
      <w:pPr>
        <w:spacing w:after="140" w:before="100" w:line="300"/>
        <w:jc w:val="both"/>
      </w:pPr>
      <w:r>
        <w:rPr>
          <w:rFonts w:ascii="Georgia" w:cs="Georgia" w:eastAsia="Georgia" w:hAnsi="Georgia"/>
          <w:b w:val="false"/>
          <w:bCs w:val="false"/>
          <w:i w:val="false"/>
          <w:iCs w:val="false"/>
          <w:color w:val="2A2A28"/>
          <w:sz w:val="22"/>
          <w:szCs w:val="22"/>
        </w:rPr>
        <w:t xml:space="preserve">The single most important rule of biochar use is inoculation. Pure biochar, applied directly to soil without first being charged with nutrients, can actually reduce soil fertility in the short term by adsorbing existing soil nutrients into the empty pore structure of the char itself. Always inoculate — soak the biochar in biogas digestate, compost tea, worm leachate, or even diluted urine for one to two weeks before application. Once inoculated, biochar becomes a permanent soil amendment that holds approximately five times its weight in water and ten times its weight in nutrients, slow-releasing them as plants demand. This is the closing element in the property-wide nutrient cycle: every yard-debris pile becomes a future soil-fertility deposit.</w:t>
      </w:r>
    </w:p>
    <w:p>
      <w:pPr>
        <w:pStyle w:val="Heading3"/>
        <w:spacing w:after="100" w:before="240"/>
      </w:pPr>
      <w:r>
        <w:rPr>
          <w:rFonts w:ascii="Verdana" w:cs="Verdana" w:eastAsia="Verdana" w:hAnsi="Verdana"/>
          <w:b/>
          <w:bCs/>
          <w:color w:val="5C4A3A"/>
          <w:sz w:val="24"/>
          <w:szCs w:val="24"/>
        </w:rPr>
        <w:t xml:space="preserve">8.5 The closed-loop logic</w:t>
      </w:r>
    </w:p>
    <w:p>
      <w:pPr>
        <w:spacing w:after="140" w:before="100" w:line="300"/>
        <w:jc w:val="both"/>
      </w:pPr>
      <w:r>
        <w:rPr>
          <w:rFonts w:ascii="Georgia" w:cs="Georgia" w:eastAsia="Georgia" w:hAnsi="Georgia"/>
          <w:b w:val="false"/>
          <w:bCs w:val="false"/>
          <w:i w:val="false"/>
          <w:iCs w:val="false"/>
          <w:color w:val="2A2A28"/>
          <w:sz w:val="22"/>
          <w:szCs w:val="22"/>
        </w:rPr>
        <w:t xml:space="preserve">The integration logic of the Acorn Land Labs five-pillar framework is most visible in the way water, food, and sanitation feed one another on a small lot. Rainwater off the roof fills the IBC totes. Gravity or a small twelve-volt pump moves water to drip lines. The drip lines feed the food-forest guilds and the vegetable beds. The kitchen-scrap remainder feeds the biogas digester. The digester’s gaseous output cooks dinner. The digester’s liquid digestate fertilizes ornamentals and fruit trees — not directly the food crops, for the safety reasons discussed in Chapter 3. Chickens eat the scrap remainder the digester cannot process plus the black soldier fly larvae that process the rest. Chicken manure goes either to the digester or to the hot-compost pile. The hot-compost-cured product becomes the planting medium for next year’s transplants. Greywater from the laundry waters the perennials a second time. Nothing exits the system except oxygen, water vapor, and the food Max himself eats.</w:t>
      </w:r>
    </w:p>
    <w:p>
      <w:pPr>
        <w:spacing w:after="140" w:before="100" w:line="300"/>
        <w:jc w:val="both"/>
      </w:pPr>
      <w:r>
        <w:rPr>
          <w:rFonts w:ascii="Georgia" w:cs="Georgia" w:eastAsia="Georgia" w:hAnsi="Georgia"/>
          <w:b w:val="false"/>
          <w:bCs w:val="false"/>
          <w:i w:val="false"/>
          <w:iCs w:val="false"/>
          <w:color w:val="2A2A28"/>
          <w:sz w:val="22"/>
          <w:szCs w:val="22"/>
        </w:rPr>
        <w:t xml:space="preserve">This is the entire reason the framework works at all. Every pillar reduces the load on every other pillar. Skip the digester and you import propane. Skip the chickens and you import compost. Skip rainwater and you import municipal water at four to six dollars per thousand gallons. Each individual pillar’s return on investment is modest; the integrated system’s return on investment is transformational. The strongest two-thousand-dollar starter budget is not the one that spends the most on any single pillar; it is the one that establishes the minimum viable version of all five pillars simultaneously so that the closed loop can begin to operate.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3A" w:sz="18"/>
              <w:left w:val="single" w:color="4A6B3A" w:sz="18"/>
              <w:bottom w:val="single" w:color="4A6B3A" w:sz="6"/>
              <w:right w:val="single" w:color="4A6B3A" w:sz="6"/>
            </w:tcBorders>
            <w:shd w:fill="E8EFE2" w:val="clear"/>
            <w:tcMar>
              <w:top w:type="dxa" w:w="200"/>
              <w:left w:type="dxa" w:w="280"/>
              <w:bottom w:type="dxa" w:w="200"/>
              <w:right w:type="dxa" w:w="280"/>
            </w:tcMar>
          </w:tcPr>
          <w:p>
            <w:pPr>
              <w:spacing w:after="100" w:before="40"/>
            </w:pPr>
            <w:r>
              <w:rPr>
                <w:rFonts w:ascii="Verdana" w:cs="Verdana" w:eastAsia="Verdana" w:hAnsi="Verdana"/>
                <w:b/>
                <w:bCs/>
                <w:color w:val="4A6B3A"/>
                <w:sz w:val="22"/>
                <w:szCs w:val="22"/>
              </w:rPr>
              <w:t xml:space="preserve">The closed-loop summary</w:t>
            </w:r>
          </w:p>
          <w:p>
            <w:pPr>
              <w:spacing w:after="80" w:before="60" w:line="280"/>
              <w:jc w:val="both"/>
            </w:pPr>
            <w:r>
              <w:rPr>
                <w:rFonts w:ascii="Georgia" w:cs="Georgia" w:eastAsia="Georgia" w:hAnsi="Georgia"/>
                <w:color w:val="2A2A28"/>
                <w:sz w:val="21"/>
                <w:szCs w:val="21"/>
              </w:rPr>
              <w:t xml:space="preserve">Rain feeds tanks. Tanks feed garden. Garden feeds kitchen. Kitchen scraps feed digester and chickens. Digester feeds stove and ornamentals. Chickens feed humans and soil. Humans feed humanure pile. Humanure feeds trees. Trees feed mast, fruit, and shade. Shade feeds humans, chickens, and soil moisture. Every system’s output is another system’s input.</w:t>
            </w:r>
          </w:p>
        </w:tc>
      </w:tr>
    </w:tbl>
    <w:p>
      <w:pPr>
        <w:pStyle w:val="Heading1"/>
        <w:pageBreakBefore/>
        <w:pBdr>
          <w:bottom w:val="single" w:color="7A9268" w:sz="12" w:space="4"/>
        </w:pBdr>
        <w:spacing w:after="240" w:before="360"/>
      </w:pPr>
      <w:r>
        <w:rPr>
          <w:rFonts w:ascii="Verdana" w:cs="Verdana" w:eastAsia="Verdana" w:hAnsi="Verdana"/>
          <w:b/>
          <w:bCs/>
          <w:color w:val="2D4A2B"/>
          <w:sz w:val="40"/>
          <w:szCs w:val="40"/>
        </w:rPr>
        <w:t xml:space="preserve">Part III  ·  Sensing, Automation, and the Open-Source Stack</w:t>
      </w:r>
    </w:p>
    <w:p>
      <w:pPr>
        <w:pStyle w:val="Heading2"/>
        <w:spacing w:after="160" w:before="320"/>
      </w:pPr>
      <w:r>
        <w:rPr>
          <w:rFonts w:ascii="Verdana" w:cs="Verdana" w:eastAsia="Verdana" w:hAnsi="Verdana"/>
          <w:b/>
          <w:bCs/>
          <w:color w:val="4A6B3A"/>
          <w:sz w:val="30"/>
          <w:szCs w:val="30"/>
        </w:rPr>
        <w:t xml:space="preserve">Chapter 9. ESP32, Home Assistant, and the $80 Monitoring Layer</w:t>
      </w:r>
    </w:p>
    <w:p>
      <w:pPr>
        <w:spacing w:after="140" w:before="100" w:line="300"/>
        <w:jc w:val="both"/>
      </w:pPr>
      <w:r>
        <w:rPr>
          <w:rFonts w:ascii="Georgia" w:cs="Georgia" w:eastAsia="Georgia" w:hAnsi="Georgia"/>
          <w:b w:val="false"/>
          <w:bCs w:val="false"/>
          <w:i w:val="false"/>
          <w:iCs w:val="false"/>
          <w:color w:val="2A2A28"/>
          <w:sz w:val="22"/>
          <w:szCs w:val="22"/>
        </w:rPr>
        <w:t xml:space="preserve">The pillars described in Part II all benefit from being measured. A homesteader who knows the water level in each tank, the state of charge of the battery, the temperature inside the digester, the soil moisture in each garden zone, and the indoor-and-outdoor temperature and humidity at all times makes substantially better operational decisions than one who is guessing. The good news is that a complete home-grade sensing and automation layer can be assembled from open-source software and commodity hardware for less than one hundred fifty dollars, and the educational value of building it is at least as large as the operational value of running it.</w:t>
      </w:r>
    </w:p>
    <w:p>
      <w:pPr>
        <w:pStyle w:val="Heading3"/>
        <w:spacing w:after="100" w:before="240"/>
      </w:pPr>
      <w:r>
        <w:rPr>
          <w:rFonts w:ascii="Verdana" w:cs="Verdana" w:eastAsia="Verdana" w:hAnsi="Verdana"/>
          <w:b/>
          <w:bCs/>
          <w:color w:val="5C4A3A"/>
          <w:sz w:val="24"/>
          <w:szCs w:val="24"/>
        </w:rPr>
        <w:t xml:space="preserve">9.1 The hardware shopping list</w:t>
      </w:r>
    </w:p>
    <w:p>
      <w:pPr>
        <w:spacing w:after="140" w:before="100" w:line="300"/>
        <w:jc w:val="both"/>
      </w:pPr>
      <w:r>
        <w:rPr>
          <w:rFonts w:ascii="Georgia" w:cs="Georgia" w:eastAsia="Georgia" w:hAnsi="Georgia"/>
          <w:b w:val="false"/>
          <w:bCs w:val="false"/>
          <w:i w:val="false"/>
          <w:iCs w:val="false"/>
          <w:color w:val="2A2A28"/>
          <w:sz w:val="22"/>
          <w:szCs w:val="22"/>
        </w:rPr>
        <w:t xml:space="preserve">A single ESP32 development board, available from Adafruit, Pimoroni, AliExpress, or DigiKey for approximately eight dollars, is the workhorse microcontroller of the entire homestead automation universe. It includes built-in WiFi, Bluetooth, and twenty to thirty general-purpose input-output pins. Pair it with a handful of inexpensive sensors: a DS18B20 waterproof temperature probe at approximately five dollars, ideal for digester core temperature; a BME280 combined humidity, pressure, and temperature sensor at approximately eight dollars, ideal for indoor and outdoor environmental monitoring; capacitive soil-moisture probes at approximately three dollars each, deployed one per garden zone; an HC-SR04 ultrasonic distance sensor at approximately five dollars, mounted above an IBC tote for water-level monitoring; and an INA226 current-and-voltage shunt at approximately ten dollars for battery state-of-charge measurement. Total sensor and microcontroller cost for a complete starter installation is under fifty dollars.</w:t>
      </w:r>
    </w:p>
    <w:p>
      <w:pPr>
        <w:spacing w:after="140" w:before="100" w:line="300"/>
        <w:jc w:val="both"/>
      </w:pPr>
      <w:r>
        <w:rPr>
          <w:rFonts w:ascii="Georgia" w:cs="Georgia" w:eastAsia="Georgia" w:hAnsi="Georgia"/>
          <w:b w:val="false"/>
          <w:bCs w:val="false"/>
          <w:i w:val="false"/>
          <w:iCs w:val="false"/>
          <w:color w:val="2A2A28"/>
          <w:sz w:val="22"/>
          <w:szCs w:val="22"/>
        </w:rPr>
        <w:t xml:space="preserve">The flashing process is straightforward. ESPHome, an open-source firmware authored by Otto Winter at Nabu Casa and available at esphome.io, is configured through a single YAML file per device that specifies which pins connect to which sensors and how the data should be reported. The first device takes an hour to set up; subsequent devices take ten minutes. The data feeds into Home Assistant, the open-source home-automation platform at home-assistant.io, running on a forty-dollar Raspberry Pi Zero 2 W or a used Raspberry Pi 3B+. The result is a professional-grade web-and-mobile dashboard showing real-time biogas tank temperature, IBC water level, battery state-of-charge, soil moisture in each garden zone, indoor and outdoor temperature and humidity, and — with the addition of a thirty-dollar electric door actuator — automated chicken-coop door control on a dawn-dusk schedule.</w:t>
      </w:r>
    </w:p>
    <w:p>
      <w:pPr>
        <w:pStyle w:val="Heading3"/>
        <w:spacing w:after="100" w:before="240"/>
      </w:pPr>
      <w:r>
        <w:rPr>
          <w:rFonts w:ascii="Verdana" w:cs="Verdana" w:eastAsia="Verdana" w:hAnsi="Verdana"/>
          <w:b/>
          <w:bCs/>
          <w:color w:val="5C4A3A"/>
          <w:sz w:val="24"/>
          <w:szCs w:val="24"/>
        </w:rPr>
        <w:t xml:space="preserve">9.2 Self-powered remote nodes</w:t>
      </w:r>
    </w:p>
    <w:p>
      <w:pPr>
        <w:spacing w:after="140" w:before="100" w:line="300"/>
        <w:jc w:val="both"/>
      </w:pPr>
      <w:r>
        <w:rPr>
          <w:rFonts w:ascii="Georgia" w:cs="Georgia" w:eastAsia="Georgia" w:hAnsi="Georgia"/>
          <w:b w:val="false"/>
          <w:bCs w:val="false"/>
          <w:i w:val="false"/>
          <w:iCs w:val="false"/>
          <w:color w:val="2A2A28"/>
          <w:sz w:val="22"/>
          <w:szCs w:val="22"/>
        </w:rPr>
        <w:t xml:space="preserve">For monitoring nodes deployed away from alternating-current outlets — a digester sensor in the back of the yard, a soil-moisture probe in a distant raised bed — a self-powered sensor node can be assembled from an ESP32, a single small LiFePO4 cell, a five-watt solar panel, and a TP4056 charge controller for approximately twenty-five dollars per node. The ESP32’s deep-sleep current draw is low enough that a single small panel keeps the cell topped up indefinitely in NWA’s solar climate. Total starter automation budget, including the Raspberry Pi, the ESP32s, and the sensors, is eighty to one hundred fifty dollars, all of which fits inside Phase 4 of the recommended budget.</w:t>
      </w:r>
    </w:p>
    <w:p>
      <w:pPr>
        <w:spacing w:after="140" w:before="100" w:line="300"/>
        <w:jc w:val="both"/>
      </w:pPr>
      <w:r>
        <w:rPr>
          <w:rFonts w:ascii="Georgia" w:cs="Georgia" w:eastAsia="Georgia" w:hAnsi="Georgia"/>
          <w:b w:val="false"/>
          <w:bCs w:val="false"/>
          <w:i w:val="false"/>
          <w:iCs w:val="false"/>
          <w:color w:val="2A2A28"/>
          <w:sz w:val="22"/>
          <w:szCs w:val="22"/>
        </w:rPr>
        <w:t xml:space="preserve">The educational return on this investment is, for a young technologist, enormous. Every system Max builds becomes an instrumentation challenge for the next system; the entire stack is open-source, repairable, and extensible. The same Raspberry Pi running Home Assistant can also run a Pi-hole network ad-blocker, a Plex media server, a small Nextcloud personal file-sharing instance, and a Mosquitto MQTT broker for any future internet-of-things devices. The hundred-fifty-dollar investment is the seed of a permanent home-laboratory infrastructure.</w:t>
      </w:r>
    </w:p>
    <w:p>
      <w:pPr>
        <w:pStyle w:val="Heading1"/>
        <w:pageBreakBefore/>
        <w:pBdr>
          <w:bottom w:val="single" w:color="7A9268" w:sz="12" w:space="4"/>
        </w:pBdr>
        <w:spacing w:after="240" w:before="360"/>
      </w:pPr>
      <w:r>
        <w:rPr>
          <w:rFonts w:ascii="Verdana" w:cs="Verdana" w:eastAsia="Verdana" w:hAnsi="Verdana"/>
          <w:b/>
          <w:bCs/>
          <w:color w:val="2D4A2B"/>
          <w:sz w:val="40"/>
          <w:szCs w:val="40"/>
        </w:rPr>
        <w:t xml:space="preserve">Part IV  ·  The $2,000 Phased Buildout</w:t>
      </w:r>
    </w:p>
    <w:p>
      <w:pPr>
        <w:pStyle w:val="Heading2"/>
        <w:spacing w:after="160" w:before="320"/>
      </w:pPr>
      <w:r>
        <w:rPr>
          <w:rFonts w:ascii="Verdana" w:cs="Verdana" w:eastAsia="Verdana" w:hAnsi="Verdana"/>
          <w:b/>
          <w:bCs/>
          <w:color w:val="4A6B3A"/>
          <w:sz w:val="30"/>
          <w:szCs w:val="30"/>
        </w:rPr>
        <w:t xml:space="preserve">Chapter 10. Phase 1: Water and Weatherization (Months 1–3, ~$400)</w:t>
      </w:r>
    </w:p>
    <w:p>
      <w:pPr>
        <w:spacing w:after="140" w:before="100" w:line="300"/>
        <w:jc w:val="both"/>
      </w:pPr>
      <w:r>
        <w:rPr>
          <w:rFonts w:ascii="Georgia" w:cs="Georgia" w:eastAsia="Georgia" w:hAnsi="Georgia"/>
          <w:b w:val="false"/>
          <w:bCs w:val="false"/>
          <w:i w:val="false"/>
          <w:iCs w:val="false"/>
          <w:color w:val="2A2A28"/>
          <w:sz w:val="22"/>
          <w:szCs w:val="22"/>
        </w:rPr>
        <w:t xml:space="preserve">Phase 1 is the cheapest phase, the highest-return phase, and the phase that has the least to do with anything anyone would call “sexy” regenerative homesteading. The four hundred dollars allocated here is the foundation on which every later phase rests. Skip Phase 1 and Phase 2 returns will be lower because the rainwater storage required for irrigation will not exist; Phase 3 returns will be lower because the vegetable garden the chickens will fertilize will be dependent on municipal water; and the heating-and-cooling savings that pay for the entire program in the long run will not have begun to compound.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460"/>
        <w:gridCol w:w="1500"/>
      </w:tblGrid>
      <w:tr>
        <w:trPr>
          <w:tblHeader/>
        </w:trPr>
        <w:tc>
          <w:tcPr>
            <w:tcW w:type="dxa" w:w="4400"/>
            <w:tcBorders>
              <w:top w:val="single" w:color="7A9268" w:sz="4"/>
              <w:left w:val="single" w:color="7A9268" w:sz="4"/>
              <w:bottom w:val="single" w:color="7A9268" w:sz="4"/>
              <w:right w:val="single" w:color="7A9268" w:sz="4"/>
            </w:tcBorders>
            <w:shd w:fill="4A6B3A" w:val="clear"/>
            <w:tcMar>
              <w:top w:type="dxa" w:w="100"/>
              <w:left w:type="dxa" w:w="140"/>
              <w:bottom w:type="dxa" w:w="100"/>
              <w:right w:type="dxa" w:w="140"/>
            </w:tcMar>
          </w:tcPr>
          <w:p>
            <w:pPr>
              <w:spacing w:after="20" w:before="20"/>
            </w:pPr>
            <w:r>
              <w:rPr>
                <w:rFonts w:ascii="Verdana" w:cs="Verdana" w:eastAsia="Verdana" w:hAnsi="Verdana"/>
                <w:b/>
                <w:bCs/>
                <w:color w:val="FFFFFF"/>
                <w:sz w:val="20"/>
                <w:szCs w:val="20"/>
              </w:rPr>
              <w:t xml:space="preserve">Line item</w:t>
            </w:r>
          </w:p>
        </w:tc>
        <w:tc>
          <w:tcPr>
            <w:tcW w:type="dxa" w:w="3460"/>
            <w:tcBorders>
              <w:top w:val="single" w:color="7A9268" w:sz="4"/>
              <w:left w:val="single" w:color="7A9268" w:sz="4"/>
              <w:bottom w:val="single" w:color="7A9268" w:sz="4"/>
              <w:right w:val="single" w:color="7A9268" w:sz="4"/>
            </w:tcBorders>
            <w:shd w:fill="4A6B3A" w:val="clear"/>
            <w:tcMar>
              <w:top w:type="dxa" w:w="100"/>
              <w:left w:type="dxa" w:w="140"/>
              <w:bottom w:type="dxa" w:w="100"/>
              <w:right w:type="dxa" w:w="140"/>
            </w:tcMar>
          </w:tcPr>
          <w:p>
            <w:pPr>
              <w:spacing w:after="20" w:before="20"/>
            </w:pPr>
            <w:r>
              <w:rPr>
                <w:rFonts w:ascii="Verdana" w:cs="Verdana" w:eastAsia="Verdana" w:hAnsi="Verdana"/>
                <w:b/>
                <w:bCs/>
                <w:color w:val="FFFFFF"/>
                <w:sz w:val="20"/>
                <w:szCs w:val="20"/>
              </w:rPr>
              <w:t xml:space="preserve">Source / spec note</w:t>
            </w:r>
          </w:p>
        </w:tc>
        <w:tc>
          <w:tcPr>
            <w:tcW w:type="dxa" w:w="1500"/>
            <w:tcBorders>
              <w:top w:val="single" w:color="7A9268" w:sz="4"/>
              <w:left w:val="single" w:color="7A9268" w:sz="4"/>
              <w:bottom w:val="single" w:color="7A9268" w:sz="4"/>
              <w:right w:val="single" w:color="7A9268" w:sz="4"/>
            </w:tcBorders>
            <w:shd w:fill="4A6B3A" w:val="clear"/>
            <w:tcMar>
              <w:top w:type="dxa" w:w="100"/>
              <w:left w:type="dxa" w:w="140"/>
              <w:bottom w:type="dxa" w:w="100"/>
              <w:right w:type="dxa" w:w="140"/>
            </w:tcMar>
          </w:tcPr>
          <w:p>
            <w:pPr>
              <w:spacing w:after="20" w:before="20"/>
            </w:pPr>
            <w:r>
              <w:rPr>
                <w:rFonts w:ascii="Verdana" w:cs="Verdana" w:eastAsia="Verdana" w:hAnsi="Verdana"/>
                <w:b/>
                <w:bCs/>
                <w:color w:val="FFFFFF"/>
                <w:sz w:val="20"/>
                <w:szCs w:val="20"/>
              </w:rPr>
              <w:t xml:space="preserve">Cost</w:t>
            </w:r>
          </w:p>
        </w:tc>
      </w:tr>
      <w:tr>
        <w:tc>
          <w:tcPr>
            <w:tcW w:type="dxa" w:w="44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Two 275-gal food-grade IBC totes</w:t>
            </w:r>
          </w:p>
        </w:tc>
        <w:tc>
          <w:tcPr>
            <w:tcW w:type="dxa" w:w="346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Facebook Marketplace / Craigslist NWA, food-grade only</w:t>
            </w:r>
          </w:p>
        </w:tc>
        <w:tc>
          <w:tcPr>
            <w:tcW w:type="dxa" w:w="15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$200</w:t>
            </w:r>
          </w:p>
        </w:tc>
      </w:tr>
      <w:tr>
        <w:tc>
          <w:tcPr>
            <w:tcW w:type="dxa" w:w="44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Gutter integration, mesh, first-flush PVC</w:t>
            </w:r>
          </w:p>
        </w:tc>
        <w:tc>
          <w:tcPr>
            <w:tcW w:type="dxa" w:w="346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Lowe’s or Home Depot fittings, 4" Schedule 40</w:t>
            </w:r>
          </w:p>
        </w:tc>
        <w:tc>
          <w:tcPr>
            <w:tcW w:type="dxa" w:w="15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$40</w:t>
            </w:r>
          </w:p>
        </w:tc>
      </w:tr>
      <w:tr>
        <w:tc>
          <w:tcPr>
            <w:tcW w:type="dxa" w:w="44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Used 12V Shurflo demand pump</w:t>
            </w:r>
          </w:p>
        </w:tc>
        <w:tc>
          <w:tcPr>
            <w:tcW w:type="dxa" w:w="346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eBay or Marketplace, RV surplus</w:t>
            </w:r>
          </w:p>
        </w:tc>
        <w:tc>
          <w:tcPr>
            <w:tcW w:type="dxa" w:w="15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$70</w:t>
            </w:r>
          </w:p>
        </w:tc>
      </w:tr>
      <w:tr>
        <w:tc>
          <w:tcPr>
            <w:tcW w:type="dxa" w:w="44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50 ft polyethylene drip tubing + emitters</w:t>
            </w:r>
          </w:p>
        </w:tc>
        <w:tc>
          <w:tcPr>
            <w:tcW w:type="dxa" w:w="346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Atwoods, Tractor Supply, or DripWorks online</w:t>
            </w:r>
          </w:p>
        </w:tc>
        <w:tc>
          <w:tcPr>
            <w:tcW w:type="dxa" w:w="15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$30</w:t>
            </w:r>
          </w:p>
        </w:tc>
      </w:tr>
      <w:tr>
        <w:tc>
          <w:tcPr>
            <w:tcW w:type="dxa" w:w="44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Weatherization kit</w:t>
            </w:r>
          </w:p>
        </w:tc>
        <w:tc>
          <w:tcPr>
            <w:tcW w:type="dxa" w:w="346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rope caulk, foam, plastic film, attic blanket, door sweep</w:t>
            </w:r>
          </w:p>
        </w:tc>
        <w:tc>
          <w:tcPr>
            <w:tcW w:type="dxa" w:w="15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$60</w:t>
            </w:r>
          </w:p>
        </w:tc>
      </w:tr>
      <w:tr>
        <w:tc>
          <w:tcPr>
            <w:tcW w:type="dxa" w:w="44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Phase 1 subtotal</w:t>
            </w:r>
          </w:p>
        </w:tc>
        <w:tc>
          <w:tcPr>
            <w:tcW w:type="dxa" w:w="346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
            </w:r>
          </w:p>
        </w:tc>
        <w:tc>
          <w:tcPr>
            <w:tcW w:type="dxa" w:w="15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$400</w:t>
            </w:r>
          </w:p>
        </w:tc>
      </w:tr>
    </w:tbl>
    <w:p>
      <w:pPr>
        <w:spacing w:after="140" w:before="100" w:line="300"/>
        <w:jc w:val="both"/>
      </w:pPr>
      <w:r>
        <w:rPr>
          <w:rFonts w:ascii="Georgia" w:cs="Georgia" w:eastAsia="Georgia" w:hAnsi="Georgia"/>
          <w:b w:val="false"/>
          <w:bCs w:val="false"/>
          <w:i w:val="false"/>
          <w:iCs w:val="false"/>
          <w:color w:val="2A2A28"/>
          <w:sz w:val="22"/>
          <w:szCs w:val="22"/>
        </w:rPr>
        <w:t xml:space="preserve">The Phase 1 outcome is approximately five hundred fifty gallons of stored rainwater, all major air leaks in the house sealed, drip irrigation routed to the future garden beds, and the foundation for the rainwater capture upgrades of Year 2 and beyond. The heating bill drops ten to twenty percent in the first winter; the cooling bill drops similarly in the first summer. The financial payback on the sixty-dollar weatherization kit alone is typically less than one heating season.</w:t>
      </w:r>
    </w:p>
    <w:p>
      <w:pPr>
        <w:spacing w:after="140" w:before="100" w:line="300"/>
        <w:jc w:val="both"/>
      </w:pPr>
      <w:r>
        <w:rPr>
          <w:rFonts w:ascii="Georgia" w:cs="Georgia" w:eastAsia="Georgia" w:hAnsi="Georgia"/>
          <w:b w:val="false"/>
          <w:bCs w:val="false"/>
          <w:i w:val="false"/>
          <w:iCs w:val="false"/>
          <w:color w:val="2A2A28"/>
          <w:sz w:val="22"/>
          <w:szCs w:val="22"/>
        </w:rPr>
        <w:t xml:space="preserve">Before spending the sixty dollars, however, schedule the free home energy audit through Ozarks Electric Cooperative at 800-521-6144. The auditor will identify the three or four highest-leverage leaks specific to this house, which is far more efficient than buying a generic kit and guessing. While the audit is being scheduled, walk the lot at dawn and dusk for a week and sketch a sun-and-shade-and-wind-and-water map of the property — Acorn Land Labs and Geoff Lawton both call this sector analysis, and it is free, fundamental, and changes every later decision.</w:t>
      </w:r>
    </w:p>
    <w:p>
      <w:pPr>
        <w:pStyle w:val="Heading2"/>
        <w:spacing w:after="160" w:before="320"/>
      </w:pPr>
      <w:r>
        <w:rPr>
          <w:rFonts w:ascii="Verdana" w:cs="Verdana" w:eastAsia="Verdana" w:hAnsi="Verdana"/>
          <w:b/>
          <w:bCs/>
          <w:color w:val="4A6B3A"/>
          <w:sz w:val="30"/>
          <w:szCs w:val="30"/>
        </w:rPr>
        <w:t xml:space="preserve">Chapter 11. Phase 2: Solar Starter and Biogas Digester (Months 4–6, ~$800)</w:t>
      </w:r>
    </w:p>
    <w:p>
      <w:pPr>
        <w:spacing w:after="140" w:before="100" w:line="300"/>
        <w:jc w:val="both"/>
      </w:pPr>
      <w:r>
        <w:rPr>
          <w:rFonts w:ascii="Georgia" w:cs="Georgia" w:eastAsia="Georgia" w:hAnsi="Georgia"/>
          <w:b w:val="false"/>
          <w:bCs w:val="false"/>
          <w:i w:val="false"/>
          <w:iCs w:val="false"/>
          <w:color w:val="2A2A28"/>
          <w:sz w:val="22"/>
          <w:szCs w:val="22"/>
        </w:rPr>
        <w:t xml:space="preserve">Phase 2 is the phase that buys the visible infrastructure: a portable solar power station that runs a phone, a laptop, lights, and fans directly from the sun, and a do-it-yourself biogas digester that produces approximately one hour of cooking gas per day from kitchen scraps during the warm half of the year. The reason to bundle these two purchases is that the same warm-season window from April through September is when biogas runs best and when daily solar output is highest. Max learns both systems in their easiest operating regime, builds the operational habits, and is ready to manage the winter-mode adjustments by the time November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460"/>
        <w:gridCol w:w="1500"/>
      </w:tblGrid>
      <w:tr>
        <w:trPr>
          <w:tblHeader/>
        </w:trPr>
        <w:tc>
          <w:tcPr>
            <w:tcW w:type="dxa" w:w="4400"/>
            <w:tcBorders>
              <w:top w:val="single" w:color="7A9268" w:sz="4"/>
              <w:left w:val="single" w:color="7A9268" w:sz="4"/>
              <w:bottom w:val="single" w:color="7A9268" w:sz="4"/>
              <w:right w:val="single" w:color="7A9268" w:sz="4"/>
            </w:tcBorders>
            <w:shd w:fill="4A6B3A" w:val="clear"/>
            <w:tcMar>
              <w:top w:type="dxa" w:w="100"/>
              <w:left w:type="dxa" w:w="140"/>
              <w:bottom w:type="dxa" w:w="100"/>
              <w:right w:type="dxa" w:w="140"/>
            </w:tcMar>
          </w:tcPr>
          <w:p>
            <w:pPr>
              <w:spacing w:after="20" w:before="20"/>
            </w:pPr>
            <w:r>
              <w:rPr>
                <w:rFonts w:ascii="Verdana" w:cs="Verdana" w:eastAsia="Verdana" w:hAnsi="Verdana"/>
                <w:b/>
                <w:bCs/>
                <w:color w:val="FFFFFF"/>
                <w:sz w:val="20"/>
                <w:szCs w:val="20"/>
              </w:rPr>
              <w:t xml:space="preserve">Line item</w:t>
            </w:r>
          </w:p>
        </w:tc>
        <w:tc>
          <w:tcPr>
            <w:tcW w:type="dxa" w:w="3460"/>
            <w:tcBorders>
              <w:top w:val="single" w:color="7A9268" w:sz="4"/>
              <w:left w:val="single" w:color="7A9268" w:sz="4"/>
              <w:bottom w:val="single" w:color="7A9268" w:sz="4"/>
              <w:right w:val="single" w:color="7A9268" w:sz="4"/>
            </w:tcBorders>
            <w:shd w:fill="4A6B3A" w:val="clear"/>
            <w:tcMar>
              <w:top w:type="dxa" w:w="100"/>
              <w:left w:type="dxa" w:w="140"/>
              <w:bottom w:type="dxa" w:w="100"/>
              <w:right w:type="dxa" w:w="140"/>
            </w:tcMar>
          </w:tcPr>
          <w:p>
            <w:pPr>
              <w:spacing w:after="20" w:before="20"/>
            </w:pPr>
            <w:r>
              <w:rPr>
                <w:rFonts w:ascii="Verdana" w:cs="Verdana" w:eastAsia="Verdana" w:hAnsi="Verdana"/>
                <w:b/>
                <w:bCs/>
                <w:color w:val="FFFFFF"/>
                <w:sz w:val="20"/>
                <w:szCs w:val="20"/>
              </w:rPr>
              <w:t xml:space="preserve">Source / spec note</w:t>
            </w:r>
          </w:p>
        </w:tc>
        <w:tc>
          <w:tcPr>
            <w:tcW w:type="dxa" w:w="1500"/>
            <w:tcBorders>
              <w:top w:val="single" w:color="7A9268" w:sz="4"/>
              <w:left w:val="single" w:color="7A9268" w:sz="4"/>
              <w:bottom w:val="single" w:color="7A9268" w:sz="4"/>
              <w:right w:val="single" w:color="7A9268" w:sz="4"/>
            </w:tcBorders>
            <w:shd w:fill="4A6B3A" w:val="clear"/>
            <w:tcMar>
              <w:top w:type="dxa" w:w="100"/>
              <w:left w:type="dxa" w:w="140"/>
              <w:bottom w:type="dxa" w:w="100"/>
              <w:right w:type="dxa" w:w="140"/>
            </w:tcMar>
          </w:tcPr>
          <w:p>
            <w:pPr>
              <w:spacing w:after="20" w:before="20"/>
            </w:pPr>
            <w:r>
              <w:rPr>
                <w:rFonts w:ascii="Verdana" w:cs="Verdana" w:eastAsia="Verdana" w:hAnsi="Verdana"/>
                <w:b/>
                <w:bCs/>
                <w:color w:val="FFFFFF"/>
                <w:sz w:val="20"/>
                <w:szCs w:val="20"/>
              </w:rPr>
              <w:t xml:space="preserve">Cost</w:t>
            </w:r>
          </w:p>
        </w:tc>
      </w:tr>
      <w:tr>
        <w:tc>
          <w:tcPr>
            <w:tcW w:type="dxa" w:w="44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Bluetti AC180 / EcoFlow DELTA 2 (flash sale)</w:t>
            </w:r>
          </w:p>
        </w:tc>
        <w:tc>
          <w:tcPr>
            <w:tcW w:type="dxa" w:w="346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1,024–1,152 Wh LiFePO4, 1,500–1,800 W output</w:t>
            </w:r>
          </w:p>
        </w:tc>
        <w:tc>
          <w:tcPr>
            <w:tcW w:type="dxa" w:w="15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$400</w:t>
            </w:r>
          </w:p>
        </w:tc>
      </w:tr>
      <w:tr>
        <w:tc>
          <w:tcPr>
            <w:tcW w:type="dxa" w:w="44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200W rigid solar panel + MC4 cables + stand</w:t>
            </w:r>
          </w:p>
        </w:tc>
        <w:tc>
          <w:tcPr>
            <w:tcW w:type="dxa" w:w="346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Renogy, Newpowa, or HQST</w:t>
            </w:r>
          </w:p>
        </w:tc>
        <w:tc>
          <w:tcPr>
            <w:tcW w:type="dxa" w:w="15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$200</w:t>
            </w:r>
          </w:p>
        </w:tc>
      </w:tr>
      <w:tr>
        <w:tc>
          <w:tcPr>
            <w:tcW w:type="dxa" w:w="44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IBC tote digester + bladder + regulator + heater</w:t>
            </w:r>
          </w:p>
        </w:tc>
        <w:tc>
          <w:tcPr>
            <w:tcW w:type="dxa" w:w="346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275-gal food-grade tote + PVC + 0.5–2 psi reg + iron-oxide scrubber + pipe-trace cable + foam-board</w:t>
            </w:r>
          </w:p>
        </w:tc>
        <w:tc>
          <w:tcPr>
            <w:tcW w:type="dxa" w:w="15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$200</w:t>
            </w:r>
          </w:p>
        </w:tc>
      </w:tr>
      <w:tr>
        <w:tc>
          <w:tcPr>
            <w:tcW w:type="dxa" w:w="44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Phase 2 subtotal</w:t>
            </w:r>
          </w:p>
        </w:tc>
        <w:tc>
          <w:tcPr>
            <w:tcW w:type="dxa" w:w="346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
            </w:r>
          </w:p>
        </w:tc>
        <w:tc>
          <w:tcPr>
            <w:tcW w:type="dxa" w:w="15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$800</w:t>
            </w:r>
          </w:p>
        </w:tc>
      </w:tr>
    </w:tbl>
    <w:p>
      <w:pPr>
        <w:spacing w:after="140" w:before="100" w:line="300"/>
        <w:jc w:val="both"/>
      </w:pPr>
      <w:r>
        <w:rPr>
          <w:rFonts w:ascii="Georgia" w:cs="Georgia" w:eastAsia="Georgia" w:hAnsi="Georgia"/>
          <w:b w:val="false"/>
          <w:bCs w:val="false"/>
          <w:i w:val="false"/>
          <w:iCs w:val="false"/>
          <w:color w:val="2A2A28"/>
          <w:sz w:val="22"/>
          <w:szCs w:val="22"/>
        </w:rPr>
        <w:t xml:space="preserve">Watch electrek.co and 9to5toys.com for the right discount window on the power station before purchasing. The same Bluetti or EcoFlow unit routinely costs three hundred dollars less during quarterly promotions than at manufacturer-suggested retail at any random week of the year. Waiting thirty to ninety days for the right discount window is the highest hourly rate of return Max will ever earn on a piece of homestead infrastructure.</w:t>
      </w:r>
    </w:p>
    <w:p>
      <w:pPr>
        <w:spacing w:after="140" w:before="100" w:line="300"/>
        <w:jc w:val="both"/>
      </w:pPr>
      <w:r>
        <w:rPr>
          <w:rFonts w:ascii="Georgia" w:cs="Georgia" w:eastAsia="Georgia" w:hAnsi="Georgia"/>
          <w:b w:val="false"/>
          <w:bCs w:val="false"/>
          <w:i w:val="false"/>
          <w:iCs w:val="false"/>
          <w:color w:val="2A2A28"/>
          <w:sz w:val="22"/>
          <w:szCs w:val="22"/>
        </w:rPr>
        <w:t xml:space="preserve">The do-it-yourself digester construction sequence is documented in the Solar CITIES PDFs at solarcities.eu and in T.H. Culhane’s YouTube videos. The single most important construction note for NWA is that the foam-board insulation and the pipe-trace heating cable are not optional accessories — they are the difference between a digester that runs ten months per year and one that runs five. Wire the heating cable to a simple twenty-dollar plug-in thermostat set to switch on when the digester slurry drops below sixty-five degrees Fahrenheit, and the unit becomes self-managing through the worst of the Fayetteville winter.</w:t>
      </w:r>
    </w:p>
    <w:p>
      <w:pPr>
        <w:pStyle w:val="Heading2"/>
        <w:spacing w:after="160" w:before="320"/>
      </w:pPr>
      <w:r>
        <w:rPr>
          <w:rFonts w:ascii="Verdana" w:cs="Verdana" w:eastAsia="Verdana" w:hAnsi="Verdana"/>
          <w:b/>
          <w:bCs/>
          <w:color w:val="4A6B3A"/>
          <w:sz w:val="30"/>
          <w:szCs w:val="30"/>
        </w:rPr>
        <w:t xml:space="preserve">Chapter 12. Phase 3: Food Systems and Chickens (Months 7–12, ~$500)</w:t>
      </w:r>
    </w:p>
    <w:p>
      <w:pPr>
        <w:spacing w:after="140" w:before="100" w:line="300"/>
        <w:jc w:val="both"/>
      </w:pPr>
      <w:r>
        <w:rPr>
          <w:rFonts w:ascii="Georgia" w:cs="Georgia" w:eastAsia="Georgia" w:hAnsi="Georgia"/>
          <w:b w:val="false"/>
          <w:bCs w:val="false"/>
          <w:i w:val="false"/>
          <w:iCs w:val="false"/>
          <w:color w:val="2A2A28"/>
          <w:sz w:val="22"/>
          <w:szCs w:val="22"/>
        </w:rPr>
        <w:t xml:space="preserve">Phase 3 begins the long-horizon food investment that will produce returns for decades. Chickens come first — in spring as pullets — so that the manure is feeding the soil by the time the trees go in, which in NWA is in fall. The fall-planting recommendation runs counter to the spring-planting habit most American gardeners are taught; in Zone 7a the fall window of October through early December is unambiguously the better tree-planting season because the cool wet soil promotes root establishment without the simultaneous demand of leaf-out and photosynthesis. Spring-planted trees in NWA spend their first summer fighting heat stress on shallow root systems and frequently fail. Fall-planted trees enter their first NWA summer with eight to nine months of root development behind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460"/>
        <w:gridCol w:w="1500"/>
      </w:tblGrid>
      <w:tr>
        <w:trPr>
          <w:tblHeader/>
        </w:trPr>
        <w:tc>
          <w:tcPr>
            <w:tcW w:type="dxa" w:w="4400"/>
            <w:tcBorders>
              <w:top w:val="single" w:color="7A9268" w:sz="4"/>
              <w:left w:val="single" w:color="7A9268" w:sz="4"/>
              <w:bottom w:val="single" w:color="7A9268" w:sz="4"/>
              <w:right w:val="single" w:color="7A9268" w:sz="4"/>
            </w:tcBorders>
            <w:shd w:fill="4A6B3A" w:val="clear"/>
            <w:tcMar>
              <w:top w:type="dxa" w:w="100"/>
              <w:left w:type="dxa" w:w="140"/>
              <w:bottom w:type="dxa" w:w="100"/>
              <w:right w:type="dxa" w:w="140"/>
            </w:tcMar>
          </w:tcPr>
          <w:p>
            <w:pPr>
              <w:spacing w:after="20" w:before="20"/>
            </w:pPr>
            <w:r>
              <w:rPr>
                <w:rFonts w:ascii="Verdana" w:cs="Verdana" w:eastAsia="Verdana" w:hAnsi="Verdana"/>
                <w:b/>
                <w:bCs/>
                <w:color w:val="FFFFFF"/>
                <w:sz w:val="20"/>
                <w:szCs w:val="20"/>
              </w:rPr>
              <w:t xml:space="preserve">Line item</w:t>
            </w:r>
          </w:p>
        </w:tc>
        <w:tc>
          <w:tcPr>
            <w:tcW w:type="dxa" w:w="3460"/>
            <w:tcBorders>
              <w:top w:val="single" w:color="7A9268" w:sz="4"/>
              <w:left w:val="single" w:color="7A9268" w:sz="4"/>
              <w:bottom w:val="single" w:color="7A9268" w:sz="4"/>
              <w:right w:val="single" w:color="7A9268" w:sz="4"/>
            </w:tcBorders>
            <w:shd w:fill="4A6B3A" w:val="clear"/>
            <w:tcMar>
              <w:top w:type="dxa" w:w="100"/>
              <w:left w:type="dxa" w:w="140"/>
              <w:bottom w:type="dxa" w:w="100"/>
              <w:right w:type="dxa" w:w="140"/>
            </w:tcMar>
          </w:tcPr>
          <w:p>
            <w:pPr>
              <w:spacing w:after="20" w:before="20"/>
            </w:pPr>
            <w:r>
              <w:rPr>
                <w:rFonts w:ascii="Verdana" w:cs="Verdana" w:eastAsia="Verdana" w:hAnsi="Verdana"/>
                <w:b/>
                <w:bCs/>
                <w:color w:val="FFFFFF"/>
                <w:sz w:val="20"/>
                <w:szCs w:val="20"/>
              </w:rPr>
              <w:t xml:space="preserve">Source / spec note</w:t>
            </w:r>
          </w:p>
        </w:tc>
        <w:tc>
          <w:tcPr>
            <w:tcW w:type="dxa" w:w="1500"/>
            <w:tcBorders>
              <w:top w:val="single" w:color="7A9268" w:sz="4"/>
              <w:left w:val="single" w:color="7A9268" w:sz="4"/>
              <w:bottom w:val="single" w:color="7A9268" w:sz="4"/>
              <w:right w:val="single" w:color="7A9268" w:sz="4"/>
            </w:tcBorders>
            <w:shd w:fill="4A6B3A" w:val="clear"/>
            <w:tcMar>
              <w:top w:type="dxa" w:w="100"/>
              <w:left w:type="dxa" w:w="140"/>
              <w:bottom w:type="dxa" w:w="100"/>
              <w:right w:type="dxa" w:w="140"/>
            </w:tcMar>
          </w:tcPr>
          <w:p>
            <w:pPr>
              <w:spacing w:after="20" w:before="20"/>
            </w:pPr>
            <w:r>
              <w:rPr>
                <w:rFonts w:ascii="Verdana" w:cs="Verdana" w:eastAsia="Verdana" w:hAnsi="Verdana"/>
                <w:b/>
                <w:bCs/>
                <w:color w:val="FFFFFF"/>
                <w:sz w:val="20"/>
                <w:szCs w:val="20"/>
              </w:rPr>
              <w:t xml:space="preserve">Cost</w:t>
            </w:r>
          </w:p>
        </w:tc>
      </w:tr>
      <w:tr>
        <w:tc>
          <w:tcPr>
            <w:tcW w:type="dxa" w:w="44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Six pullets (Orpington / Australorp / Easter Egger)</w:t>
            </w:r>
          </w:p>
        </w:tc>
        <w:tc>
          <w:tcPr>
            <w:tcW w:type="dxa" w:w="346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Hatch Day Springdale, 4-H spring sale, or local Marketplace listing</w:t>
            </w:r>
          </w:p>
        </w:tc>
        <w:tc>
          <w:tcPr>
            <w:tcW w:type="dxa" w:w="15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$30</w:t>
            </w:r>
          </w:p>
        </w:tc>
      </w:tr>
      <w:tr>
        <w:tc>
          <w:tcPr>
            <w:tcW w:type="dxa" w:w="44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Chicken tractor lumber, hardware cloth, roofing tin</w:t>
            </w:r>
          </w:p>
        </w:tc>
        <w:tc>
          <w:tcPr>
            <w:tcW w:type="dxa" w:w="346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pallet sources + Lowe’s/Home Depot</w:t>
            </w:r>
          </w:p>
        </w:tc>
        <w:tc>
          <w:tcPr>
            <w:tcW w:type="dxa" w:w="15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$130</w:t>
            </w:r>
          </w:p>
        </w:tc>
      </w:tr>
      <w:tr>
        <w:tc>
          <w:tcPr>
            <w:tcW w:type="dxa" w:w="44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Fayetteville chicken permit (annual)</w:t>
            </w:r>
          </w:p>
        </w:tc>
        <w:tc>
          <w:tcPr>
            <w:tcW w:type="dxa" w:w="346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City Clerk, Title IX Chapter 92</w:t>
            </w:r>
          </w:p>
        </w:tc>
        <w:tc>
          <w:tcPr>
            <w:tcW w:type="dxa" w:w="15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$15</w:t>
            </w:r>
          </w:p>
        </w:tc>
      </w:tr>
      <w:tr>
        <w:tc>
          <w:tcPr>
            <w:tcW w:type="dxa" w:w="44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Seeds: Baker Creek + Southern Exposure mix</w:t>
            </w:r>
          </w:p>
        </w:tc>
        <w:tc>
          <w:tcPr>
            <w:tcW w:type="dxa" w:w="346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rareseeds.com, southernexposure.com, sowtrueseed.com</w:t>
            </w:r>
          </w:p>
        </w:tc>
        <w:tc>
          <w:tcPr>
            <w:tcW w:type="dxa" w:w="15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$50</w:t>
            </w:r>
          </w:p>
        </w:tc>
      </w:tr>
      <w:tr>
        <w:tc>
          <w:tcPr>
            <w:tcW w:type="dxa" w:w="44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Two fruit trees (semi-dwarf apple + grafted persimmon)</w:t>
            </w:r>
          </w:p>
        </w:tc>
        <w:tc>
          <w:tcPr>
            <w:tcW w:type="dxa" w:w="346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Forest Agriculture Nursery, Stark Bros, or Ozark Folk Center plant sale</w:t>
            </w:r>
          </w:p>
        </w:tc>
        <w:tc>
          <w:tcPr>
            <w:tcW w:type="dxa" w:w="15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$80</w:t>
            </w:r>
          </w:p>
        </w:tc>
      </w:tr>
      <w:tr>
        <w:tc>
          <w:tcPr>
            <w:tcW w:type="dxa" w:w="44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Four berry shrubs (raspberry, blackberry, blueberry, elderberry)</w:t>
            </w:r>
          </w:p>
        </w:tc>
        <w:tc>
          <w:tcPr>
            <w:tcW w:type="dxa" w:w="346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local nursery or mail-order bareroot in early spring</w:t>
            </w:r>
          </w:p>
        </w:tc>
        <w:tc>
          <w:tcPr>
            <w:tcW w:type="dxa" w:w="15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$40</w:t>
            </w:r>
          </w:p>
        </w:tc>
      </w:tr>
      <w:tr>
        <w:tc>
          <w:tcPr>
            <w:tcW w:type="dxa" w:w="44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Shiitake plug spawn (100 plugs) + cheese wax</w:t>
            </w:r>
          </w:p>
        </w:tc>
        <w:tc>
          <w:tcPr>
            <w:tcW w:type="dxa" w:w="346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Field &amp; Forest, North Spore, or Fungi Perfecti</w:t>
            </w:r>
          </w:p>
        </w:tc>
        <w:tc>
          <w:tcPr>
            <w:tcW w:type="dxa" w:w="15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$35</w:t>
            </w:r>
          </w:p>
        </w:tc>
      </w:tr>
      <w:tr>
        <w:tc>
          <w:tcPr>
            <w:tcW w:type="dxa" w:w="44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Cattle-panel mini-greenhouse (8x8 ft)</w:t>
            </w:r>
          </w:p>
        </w:tc>
        <w:tc>
          <w:tcPr>
            <w:tcW w:type="dxa" w:w="346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2 cattle panels + base lumber + 1/2 roll 6-mil film</w:t>
            </w:r>
          </w:p>
        </w:tc>
        <w:tc>
          <w:tcPr>
            <w:tcW w:type="dxa" w:w="15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$120</w:t>
            </w:r>
          </w:p>
        </w:tc>
      </w:tr>
      <w:tr>
        <w:tc>
          <w:tcPr>
            <w:tcW w:type="dxa" w:w="44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Phase 3 subtotal</w:t>
            </w:r>
          </w:p>
        </w:tc>
        <w:tc>
          <w:tcPr>
            <w:tcW w:type="dxa" w:w="346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
            </w:r>
          </w:p>
        </w:tc>
        <w:tc>
          <w:tcPr>
            <w:tcW w:type="dxa" w:w="15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$500</w:t>
            </w:r>
          </w:p>
        </w:tc>
      </w:tr>
    </w:tbl>
    <w:p>
      <w:pPr>
        <w:spacing w:after="140" w:before="100" w:line="300"/>
        <w:jc w:val="both"/>
      </w:pPr>
      <w:r>
        <w:rPr>
          <w:rFonts w:ascii="Georgia" w:cs="Georgia" w:eastAsia="Georgia" w:hAnsi="Georgia"/>
          <w:b w:val="false"/>
          <w:bCs w:val="false"/>
          <w:i w:val="false"/>
          <w:iCs w:val="false"/>
          <w:color w:val="2A2A28"/>
          <w:sz w:val="22"/>
          <w:szCs w:val="22"/>
        </w:rPr>
        <w:t xml:space="preserve">The Phase 3 outcome is fresh eggs daily — four to five per day from six hens during peak season, dropping to one to two per day during the December and January light-limited months — a perennial fruit pipeline started, several oak logs inoculating with shiitake spawn (the first flush appearing approximately twelve to eighteen months from inoculation), and approximately sixty-four square feet of season-extended growing space inside the mini-greenhouse. The fall garden in the mini-greenhouse — kale, spinach, claytonia, mache, and carrots — produces harvestable greens through January even without supplemental heat.</w:t>
      </w:r>
    </w:p>
    <w:p>
      <w:pPr>
        <w:pStyle w:val="Heading2"/>
        <w:spacing w:after="160" w:before="320"/>
      </w:pPr>
      <w:r>
        <w:rPr>
          <w:rFonts w:ascii="Verdana" w:cs="Verdana" w:eastAsia="Verdana" w:hAnsi="Verdana"/>
          <w:b/>
          <w:bCs/>
          <w:color w:val="4A6B3A"/>
          <w:sz w:val="30"/>
          <w:szCs w:val="30"/>
        </w:rPr>
        <w:t xml:space="preserve">Chapter 13. Phase 4: Stirling Demonstrator, Monitoring, and Reserves (Year 2, ~$300)</w:t>
      </w:r>
    </w:p>
    <w:p>
      <w:pPr>
        <w:spacing w:after="140" w:before="100" w:line="300"/>
        <w:jc w:val="both"/>
      </w:pPr>
      <w:r>
        <w:rPr>
          <w:rFonts w:ascii="Georgia" w:cs="Georgia" w:eastAsia="Georgia" w:hAnsi="Georgia"/>
          <w:b w:val="false"/>
          <w:bCs w:val="false"/>
          <w:i w:val="false"/>
          <w:iCs w:val="false"/>
          <w:color w:val="2A2A28"/>
          <w:sz w:val="22"/>
          <w:szCs w:val="22"/>
        </w:rPr>
        <w:t xml:space="preserve">Phase 4 closes the loop on the educational and instrumentation layer that makes every other phase more legible and more controllable. Three hundred dollars produces a Stirling-engine demonstrator that runs on a coffee mug of hot water, an ESP32-based monitoring stack with five sensors and a Raspberry Pi running Home Assistant, and a do-it-yourself Loveable Loo for an outbuilding or future guest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460"/>
        <w:gridCol w:w="1500"/>
      </w:tblGrid>
      <w:tr>
        <w:trPr>
          <w:tblHeader/>
        </w:trPr>
        <w:tc>
          <w:tcPr>
            <w:tcW w:type="dxa" w:w="4400"/>
            <w:tcBorders>
              <w:top w:val="single" w:color="7A9268" w:sz="4"/>
              <w:left w:val="single" w:color="7A9268" w:sz="4"/>
              <w:bottom w:val="single" w:color="7A9268" w:sz="4"/>
              <w:right w:val="single" w:color="7A9268" w:sz="4"/>
            </w:tcBorders>
            <w:shd w:fill="4A6B3A" w:val="clear"/>
            <w:tcMar>
              <w:top w:type="dxa" w:w="100"/>
              <w:left w:type="dxa" w:w="140"/>
              <w:bottom w:type="dxa" w:w="100"/>
              <w:right w:type="dxa" w:w="140"/>
            </w:tcMar>
          </w:tcPr>
          <w:p>
            <w:pPr>
              <w:spacing w:after="20" w:before="20"/>
            </w:pPr>
            <w:r>
              <w:rPr>
                <w:rFonts w:ascii="Verdana" w:cs="Verdana" w:eastAsia="Verdana" w:hAnsi="Verdana"/>
                <w:b/>
                <w:bCs/>
                <w:color w:val="FFFFFF"/>
                <w:sz w:val="20"/>
                <w:szCs w:val="20"/>
              </w:rPr>
              <w:t xml:space="preserve">Line item</w:t>
            </w:r>
          </w:p>
        </w:tc>
        <w:tc>
          <w:tcPr>
            <w:tcW w:type="dxa" w:w="3460"/>
            <w:tcBorders>
              <w:top w:val="single" w:color="7A9268" w:sz="4"/>
              <w:left w:val="single" w:color="7A9268" w:sz="4"/>
              <w:bottom w:val="single" w:color="7A9268" w:sz="4"/>
              <w:right w:val="single" w:color="7A9268" w:sz="4"/>
            </w:tcBorders>
            <w:shd w:fill="4A6B3A" w:val="clear"/>
            <w:tcMar>
              <w:top w:type="dxa" w:w="100"/>
              <w:left w:type="dxa" w:w="140"/>
              <w:bottom w:type="dxa" w:w="100"/>
              <w:right w:type="dxa" w:w="140"/>
            </w:tcMar>
          </w:tcPr>
          <w:p>
            <w:pPr>
              <w:spacing w:after="20" w:before="20"/>
            </w:pPr>
            <w:r>
              <w:rPr>
                <w:rFonts w:ascii="Verdana" w:cs="Verdana" w:eastAsia="Verdana" w:hAnsi="Verdana"/>
                <w:b/>
                <w:bCs/>
                <w:color w:val="FFFFFF"/>
                <w:sz w:val="20"/>
                <w:szCs w:val="20"/>
              </w:rPr>
              <w:t xml:space="preserve">Source / spec note</w:t>
            </w:r>
          </w:p>
        </w:tc>
        <w:tc>
          <w:tcPr>
            <w:tcW w:type="dxa" w:w="1500"/>
            <w:tcBorders>
              <w:top w:val="single" w:color="7A9268" w:sz="4"/>
              <w:left w:val="single" w:color="7A9268" w:sz="4"/>
              <w:bottom w:val="single" w:color="7A9268" w:sz="4"/>
              <w:right w:val="single" w:color="7A9268" w:sz="4"/>
            </w:tcBorders>
            <w:shd w:fill="4A6B3A" w:val="clear"/>
            <w:tcMar>
              <w:top w:type="dxa" w:w="100"/>
              <w:left w:type="dxa" w:w="140"/>
              <w:bottom w:type="dxa" w:w="100"/>
              <w:right w:type="dxa" w:w="140"/>
            </w:tcMar>
          </w:tcPr>
          <w:p>
            <w:pPr>
              <w:spacing w:after="20" w:before="20"/>
            </w:pPr>
            <w:r>
              <w:rPr>
                <w:rFonts w:ascii="Verdana" w:cs="Verdana" w:eastAsia="Verdana" w:hAnsi="Verdana"/>
                <w:b/>
                <w:bCs/>
                <w:color w:val="FFFFFF"/>
                <w:sz w:val="20"/>
                <w:szCs w:val="20"/>
              </w:rPr>
              <w:t xml:space="preserve">Cost</w:t>
            </w:r>
          </w:p>
        </w:tc>
      </w:tr>
      <w:tr>
        <w:tc>
          <w:tcPr>
            <w:tcW w:type="dxa" w:w="44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StirlingKit LTD + beta-type kits</w:t>
            </w:r>
          </w:p>
        </w:tc>
        <w:tc>
          <w:tcPr>
            <w:tcW w:type="dxa" w:w="346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stirlingkit.com or enginediy.com</w:t>
            </w:r>
          </w:p>
        </w:tc>
        <w:tc>
          <w:tcPr>
            <w:tcW w:type="dxa" w:w="15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$150</w:t>
            </w:r>
          </w:p>
        </w:tc>
      </w:tr>
      <w:tr>
        <w:tc>
          <w:tcPr>
            <w:tcW w:type="dxa" w:w="44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ESP32 dev boards + sensor pack</w:t>
            </w:r>
          </w:p>
        </w:tc>
        <w:tc>
          <w:tcPr>
            <w:tcW w:type="dxa" w:w="346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BME280, DS18B20, soil moisture, ultrasonic, INA226</w:t>
            </w:r>
          </w:p>
        </w:tc>
        <w:tc>
          <w:tcPr>
            <w:tcW w:type="dxa" w:w="15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$40</w:t>
            </w:r>
          </w:p>
        </w:tc>
      </w:tr>
      <w:tr>
        <w:tc>
          <w:tcPr>
            <w:tcW w:type="dxa" w:w="44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Raspberry Pi Zero 2 W + microSD + case + PSU</w:t>
            </w:r>
          </w:p>
        </w:tc>
        <w:tc>
          <w:tcPr>
            <w:tcW w:type="dxa" w:w="346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Adafruit, Pi Hut, or CanaKit</w:t>
            </w:r>
          </w:p>
        </w:tc>
        <w:tc>
          <w:tcPr>
            <w:tcW w:type="dxa" w:w="15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$60</w:t>
            </w:r>
          </w:p>
        </w:tc>
      </w:tr>
      <w:tr>
        <w:tc>
          <w:tcPr>
            <w:tcW w:type="dxa" w:w="44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Loveable Loo DIY plywood sawdust toilet kit</w:t>
            </w:r>
          </w:p>
        </w:tc>
        <w:tc>
          <w:tcPr>
            <w:tcW w:type="dxa" w:w="346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plywood + toilet seat + 5-gal bucket + cover material bin</w:t>
            </w:r>
          </w:p>
        </w:tc>
        <w:tc>
          <w:tcPr>
            <w:tcW w:type="dxa" w:w="1500"/>
            <w:tcBorders>
              <w:top w:val="single" w:color="7A9268" w:sz="4"/>
              <w:left w:val="single" w:color="7A9268" w:sz="4"/>
              <w:bottom w:val="single" w:color="7A9268" w:sz="4"/>
              <w:right w:val="single" w:color="7A9268" w:sz="4"/>
            </w:tcBorders>
            <w:shd w:fill="FFFFFF"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$50</w:t>
            </w:r>
          </w:p>
        </w:tc>
      </w:tr>
      <w:tr>
        <w:tc>
          <w:tcPr>
            <w:tcW w:type="dxa" w:w="44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Phase 4 subtotal</w:t>
            </w:r>
          </w:p>
        </w:tc>
        <w:tc>
          <w:tcPr>
            <w:tcW w:type="dxa" w:w="346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left"/>
            </w:pPr>
            <w:r>
              <w:rPr>
                <w:rFonts w:ascii="Georgia" w:cs="Georgia" w:eastAsia="Georgia" w:hAnsi="Georgia"/>
                <w:b w:val="false"/>
                <w:bCs w:val="false"/>
                <w:color w:val="2A2A28"/>
                <w:sz w:val="20"/>
                <w:szCs w:val="20"/>
              </w:rPr>
              <w:t xml:space="preserve"/>
            </w:r>
          </w:p>
        </w:tc>
        <w:tc>
          <w:tcPr>
            <w:tcW w:type="dxa" w:w="1500"/>
            <w:tcBorders>
              <w:top w:val="single" w:color="7A9268" w:sz="4"/>
              <w:left w:val="single" w:color="7A9268" w:sz="4"/>
              <w:bottom w:val="single" w:color="7A9268" w:sz="4"/>
              <w:right w:val="single" w:color="7A9268" w:sz="4"/>
            </w:tcBorders>
            <w:shd w:fill="F0E9DC" w:val="clear"/>
            <w:tcMar>
              <w:top w:type="dxa" w:w="90"/>
              <w:left w:type="dxa" w:w="140"/>
              <w:bottom w:type="dxa" w:w="90"/>
              <w:right w:type="dxa" w:w="140"/>
            </w:tcMar>
          </w:tcPr>
          <w:p>
            <w:pPr>
              <w:spacing w:after="20" w:before="20" w:line="260"/>
              <w:jc w:val="right"/>
            </w:pPr>
            <w:r>
              <w:rPr>
                <w:rFonts w:ascii="Georgia" w:cs="Georgia" w:eastAsia="Georgia" w:hAnsi="Georgia"/>
                <w:b/>
                <w:bCs/>
                <w:color w:val="2D4A2B"/>
                <w:sz w:val="20"/>
                <w:szCs w:val="20"/>
              </w:rPr>
              <w:t xml:space="preserve">$300</w:t>
            </w:r>
          </w:p>
        </w:tc>
      </w:tr>
    </w:tbl>
    <w:p>
      <w:pPr>
        <w:spacing w:after="140" w:before="100" w:line="300"/>
        <w:jc w:val="both"/>
      </w:pPr>
      <w:r>
        <w:rPr>
          <w:rFonts w:ascii="Georgia" w:cs="Georgia" w:eastAsia="Georgia" w:hAnsi="Georgia"/>
          <w:b w:val="false"/>
          <w:bCs w:val="false"/>
          <w:i w:val="false"/>
          <w:iCs w:val="false"/>
          <w:color w:val="2A2A28"/>
          <w:sz w:val="22"/>
          <w:szCs w:val="22"/>
        </w:rPr>
        <w:t xml:space="preserve">The Phase 4 outcome is a hands-on regenerative-thermodynamics lab, a real-time dashboard for every system already in place, and a supplementary humanure composting capacity for an outbuilding or future guest space. The Stirling kits will not generate electricity, but they will build the mental model that makes future engagement with the field productive — and the field is moving, slowly but genuinely, toward residential-scale combined heat and power.</w:t>
      </w:r>
    </w:p>
    <w:p>
      <w:pPr>
        <w:spacing w:after="240" w:before="240"/>
        <w:jc w:val="center"/>
      </w:pPr>
      <w:r>
        <w:rPr>
          <w:rFonts w:ascii="Georgia" w:cs="Georgia" w:eastAsia="Georgia" w:hAnsi="Georgia"/>
          <w:color w:val="7A9268"/>
          <w:sz w:val="28"/>
          <w:szCs w:val="28"/>
        </w:rPr>
        <w:t xml:space="preserve">❦   ❧   ❦</w:t>
      </w:r>
    </w:p>
    <w:p>
      <w:pPr>
        <w:pStyle w:val="Heading3"/>
        <w:spacing w:after="100" w:before="240"/>
      </w:pPr>
      <w:r>
        <w:rPr>
          <w:rFonts w:ascii="Verdana" w:cs="Verdana" w:eastAsia="Verdana" w:hAnsi="Verdana"/>
          <w:b/>
          <w:bCs/>
          <w:color w:val="5C4A3A"/>
          <w:sz w:val="24"/>
          <w:szCs w:val="24"/>
        </w:rPr>
        <w:t xml:space="preserve">Total Phase 1 through Phase 4</w:t>
      </w:r>
    </w:p>
    <w:p>
      <w:pPr>
        <w:spacing w:after="140" w:before="100" w:line="300"/>
        <w:jc w:val="both"/>
      </w:pPr>
      <w:r>
        <w:rPr>
          <w:rFonts w:ascii="Georgia" w:cs="Georgia" w:eastAsia="Georgia" w:hAnsi="Georgia"/>
          <w:b/>
          <w:bCs/>
          <w:i w:val="false"/>
          <w:iCs w:val="false"/>
          <w:color w:val="2A2A28"/>
          <w:sz w:val="22"/>
          <w:szCs w:val="22"/>
        </w:rPr>
        <w:t xml:space="preserve">Phase 1 ($400) + Phase 2 ($800) + Phase 3 ($500) + Phase 4 ($300) = </w:t>
      </w:r>
      <w:r>
        <w:rPr>
          <w:rFonts w:ascii="Georgia" w:cs="Georgia" w:eastAsia="Georgia" w:hAnsi="Georgia"/>
          <w:b/>
          <w:bCs/>
          <w:i w:val="false"/>
          <w:iCs w:val="false"/>
          <w:color w:val="2D4A2B"/>
          <w:sz w:val="22"/>
          <w:szCs w:val="22"/>
        </w:rPr>
        <w:t xml:space="preserve">$2,000 exactly.</w:t>
      </w:r>
    </w:p>
    <w:p>
      <w:pPr>
        <w:spacing w:after="140" w:before="100" w:line="300"/>
        <w:jc w:val="both"/>
      </w:pPr>
      <w:r>
        <w:rPr>
          <w:rFonts w:ascii="Georgia" w:cs="Georgia" w:eastAsia="Georgia" w:hAnsi="Georgia"/>
          <w:b w:val="false"/>
          <w:bCs w:val="false"/>
          <w:i w:val="false"/>
          <w:iCs w:val="false"/>
          <w:color w:val="2A2A28"/>
          <w:sz w:val="22"/>
          <w:szCs w:val="22"/>
        </w:rPr>
        <w:t xml:space="preserve">Note that this allocation deliberately does not include the HomeBiogas 2 unit at eleven hundred fifty dollars. The do-it-yourself IBC tote digester at approximately two hundred dollars produces sixty to seventy percent of the commercial unit’s gas output at roughly seventeen percent of the cost. The budget also does not include a solar thermal water heater, a rocket mass heater, a mini-split heat pump, or a well — all of which are Year 2 and Year 3 expansions on a second two-thousand-dollar budget.</w:t>
      </w:r>
    </w:p>
    <w:p>
      <w:pPr>
        <w:pStyle w:val="Heading3"/>
        <w:spacing w:after="100" w:before="240"/>
      </w:pPr>
      <w:r>
        <w:rPr>
          <w:rFonts w:ascii="Verdana" w:cs="Verdana" w:eastAsia="Verdana" w:hAnsi="Verdana"/>
          <w:b/>
          <w:bCs/>
          <w:color w:val="5C4A3A"/>
          <w:sz w:val="24"/>
          <w:szCs w:val="24"/>
        </w:rPr>
        <w:t xml:space="preserve">What Year 2’s second $2,000 buys</w:t>
      </w:r>
    </w:p>
    <w:p>
      <w:pPr>
        <w:spacing w:after="140" w:before="100" w:line="300"/>
        <w:jc w:val="both"/>
      </w:pPr>
      <w:r>
        <w:rPr>
          <w:rFonts w:ascii="Georgia" w:cs="Georgia" w:eastAsia="Georgia" w:hAnsi="Georgia"/>
          <w:b w:val="false"/>
          <w:bCs w:val="false"/>
          <w:i w:val="false"/>
          <w:iCs w:val="false"/>
          <w:color w:val="2A2A28"/>
          <w:sz w:val="22"/>
          <w:szCs w:val="22"/>
        </w:rPr>
        <w:t xml:space="preserve">The recommended Year 2 budget is structurally similar to Year 1: four phases, increasing in technical complexity, each phase building on the operational habits established the year before. Approximately three hundred dollars goes to a do-it-yourself solar thermal batch water heater, which displaces eighty to one hundred fifty dollars per year of electric water heating indefinitely. Approximately five hundred dollars goes to rocket-mass-heater materials — firebrick, ductwork, perlite, and clay — with the cob construction itself being a free labor input. Approximately one hundred fifty dollars goes to two additional perennial-food plantings, ideally a Castanea hybrid chestnut and a Badgersett hybrid hazelnut. Approximately five hundred dollars goes to a Langstroth bee hive starter, including a package of bees from a regional supplier. The remaining six hundred dollars goes partway toward a MrCool DIY 4th Generation mini-split heat pump, with the balance carried into Year 3.</w:t>
      </w:r>
    </w:p>
    <w:p>
      <w:pPr>
        <w:pStyle w:val="Heading1"/>
        <w:pageBreakBefore/>
        <w:pBdr>
          <w:bottom w:val="single" w:color="7A9268" w:sz="12" w:space="4"/>
        </w:pBdr>
        <w:spacing w:after="240" w:before="360"/>
      </w:pPr>
      <w:r>
        <w:rPr>
          <w:rFonts w:ascii="Verdana" w:cs="Verdana" w:eastAsia="Verdana" w:hAnsi="Verdana"/>
          <w:b/>
          <w:bCs/>
          <w:color w:val="2D4A2B"/>
          <w:sz w:val="40"/>
          <w:szCs w:val="40"/>
        </w:rPr>
        <w:t xml:space="preserve">Part V  ·  Safety, Risk, and Common Failure Modes</w:t>
      </w:r>
    </w:p>
    <w:p>
      <w:pPr>
        <w:pStyle w:val="Heading2"/>
        <w:spacing w:after="160" w:before="320"/>
      </w:pPr>
      <w:r>
        <w:rPr>
          <w:rFonts w:ascii="Verdana" w:cs="Verdana" w:eastAsia="Verdana" w:hAnsi="Verdana"/>
          <w:b/>
          <w:bCs/>
          <w:color w:val="4A6B3A"/>
          <w:sz w:val="30"/>
          <w:szCs w:val="30"/>
        </w:rPr>
        <w:t xml:space="preserve">Chapter 14. Safety as Infrastructure</w:t>
      </w:r>
    </w:p>
    <w:p>
      <w:pPr>
        <w:spacing w:after="140" w:before="100" w:line="300"/>
        <w:jc w:val="both"/>
      </w:pPr>
      <w:r>
        <w:rPr>
          <w:rFonts w:ascii="Georgia" w:cs="Georgia" w:eastAsia="Georgia" w:hAnsi="Georgia"/>
          <w:b w:val="false"/>
          <w:bCs w:val="false"/>
          <w:i w:val="false"/>
          <w:iCs w:val="false"/>
          <w:color w:val="2A2A28"/>
          <w:sz w:val="22"/>
          <w:szCs w:val="22"/>
        </w:rPr>
        <w:t xml:space="preserve">A self-maintaining property is not a passive system; it is an active operation that produces and stores combustible gases, electrical energy, biological waste, and structural loads, often in close proximity to the human family. Safety practices, when treated as an infrastructure element from the start, prevent the small number of mistakes that ruin homesteads. Safety practices that are bolted on after a near-miss usually fail to prevent the next near-miss.</w:t>
      </w:r>
    </w:p>
    <w:p>
      <w:pPr>
        <w:pStyle w:val="Heading3"/>
        <w:spacing w:after="100" w:before="240"/>
      </w:pPr>
      <w:r>
        <w:rPr>
          <w:rFonts w:ascii="Verdana" w:cs="Verdana" w:eastAsia="Verdana" w:hAnsi="Verdana"/>
          <w:b/>
          <w:bCs/>
          <w:color w:val="5C4A3A"/>
          <w:sz w:val="24"/>
          <w:szCs w:val="24"/>
        </w:rPr>
        <w:t xml:space="preserve">14.1 Biogas safety</w:t>
      </w:r>
    </w:p>
    <w:p>
      <w:pPr>
        <w:spacing w:after="140" w:before="100" w:line="300"/>
        <w:jc w:val="both"/>
      </w:pPr>
      <w:r>
        <w:rPr>
          <w:rFonts w:ascii="Georgia" w:cs="Georgia" w:eastAsia="Georgia" w:hAnsi="Georgia"/>
          <w:b w:val="false"/>
          <w:bCs w:val="false"/>
          <w:i w:val="false"/>
          <w:iCs w:val="false"/>
          <w:color w:val="2A2A28"/>
          <w:sz w:val="22"/>
          <w:szCs w:val="22"/>
        </w:rPr>
        <w:t xml:space="preserve">Methane is flammable from approximately five percent to fifteen percent concentration in air. Below five percent it is too dilute to ignite; above fifteen percent it is too rich. The dangerous zone is the lower-flammability boundary, where a small leak in an enclosed space accumulates over hours until a single ignition source produces a deflagration. Three rules prevent the great majority of incidents: never store biogas in rigid pressurized containers without a pressure-relief valve, always run gas line in rated material (copper or PE-AL-PE composite), and always soap-test every joint at commissioning. The inflatable-bladder plus low-pressure-regulator design used by HomeBiogas and recommended for the do-it-yourself build keeps system pressure at or below one pound per square inch, which is intrinsically safer than a high-pressure design.</w:t>
      </w:r>
    </w:p>
    <w:p>
      <w:pPr>
        <w:spacing w:after="140" w:before="100" w:line="300"/>
        <w:jc w:val="both"/>
      </w:pPr>
      <w:r>
        <w:rPr>
          <w:rFonts w:ascii="Georgia" w:cs="Georgia" w:eastAsia="Georgia" w:hAnsi="Georgia"/>
          <w:b w:val="false"/>
          <w:bCs w:val="false"/>
          <w:i w:val="false"/>
          <w:iCs w:val="false"/>
          <w:color w:val="2A2A28"/>
          <w:sz w:val="22"/>
          <w:szCs w:val="22"/>
        </w:rPr>
        <w:t xml:space="preserve">Indoor cooking with biogas requires ventilation. Hydrogen sulfide content in raw biogas — typically one hundred to three thousand parts per million in an unscrubbed system — is corrosive (eats copper fittings over time) and acutely toxic at high concentrations. Install an iron-oxide scrubber, either a commercial unit or an improvised version using steel wool soaked in iron oxide inside a length of two-inch PVC, on any gas line that will feed an indoor appliance. The scrubber needs to be regenerated by exposure to air every several months.</w:t>
      </w:r>
    </w:p>
    <w:p>
      <w:pPr>
        <w:pStyle w:val="Heading3"/>
        <w:spacing w:after="100" w:before="240"/>
      </w:pPr>
      <w:r>
        <w:rPr>
          <w:rFonts w:ascii="Verdana" w:cs="Verdana" w:eastAsia="Verdana" w:hAnsi="Verdana"/>
          <w:b/>
          <w:bCs/>
          <w:color w:val="5C4A3A"/>
          <w:sz w:val="24"/>
          <w:szCs w:val="24"/>
        </w:rPr>
        <w:t xml:space="preserve">14.2 Battery and electrical safety</w:t>
      </w:r>
    </w:p>
    <w:p>
      <w:pPr>
        <w:spacing w:after="140" w:before="100" w:line="300"/>
        <w:jc w:val="both"/>
      </w:pPr>
      <w:r>
        <w:rPr>
          <w:rFonts w:ascii="Georgia" w:cs="Georgia" w:eastAsia="Georgia" w:hAnsi="Georgia"/>
          <w:b w:val="false"/>
          <w:bCs w:val="false"/>
          <w:i w:val="false"/>
          <w:iCs w:val="false"/>
          <w:color w:val="2A2A28"/>
          <w:sz w:val="22"/>
          <w:szCs w:val="22"/>
        </w:rPr>
        <w:t xml:space="preserve">LiFePO4 is the safest mainstream lithium chemistry but it is not invincible. Three rules. First, charge between thirty-two degrees and one hundred thirteen degrees Fahrenheit. Do not charge below freezing. This is a hard rule that several Bluetti and EcoFlow units enforce automatically with a built-in heater, and it is the single most common cold-weather damage mode. Second, do not puncture cells; mechanical damage to a LiFePO4 cell is far less catastrophic than to a nickel-manganese-cobalt cell but can still produce a sustained smolder. Third, keep the battery on a non-combustible surface, ideally outdoors or in a vented shed, and install a smoke alarm in any room with substantial battery storage.</w:t>
      </w:r>
    </w:p>
    <w:p>
      <w:pPr>
        <w:spacing w:after="140" w:before="100" w:line="300"/>
        <w:jc w:val="both"/>
      </w:pPr>
      <w:r>
        <w:rPr>
          <w:rFonts w:ascii="Georgia" w:cs="Georgia" w:eastAsia="Georgia" w:hAnsi="Georgia"/>
          <w:b w:val="false"/>
          <w:bCs w:val="false"/>
          <w:i w:val="false"/>
          <w:iCs w:val="false"/>
          <w:color w:val="2A2A28"/>
          <w:sz w:val="22"/>
          <w:szCs w:val="22"/>
        </w:rPr>
        <w:t xml:space="preserve">Solar do-it-yourself electrical safety has one critical threshold: photovoltaic strings above sixty volts direct current are dangerous and require qualified installation per National Electrical Code Article 690. The Phase 2 starter system stays at twelve volts or twenty-four volts battery bus, which is well below the threshold. Use proper MC4 connectors, a fused combiner box rated for the panel string, and a direct-current disconnect within ten feet of the array. For any future grid-tied system, only a licensed electrician can legally complete the final interconnection.</w:t>
      </w:r>
    </w:p>
    <w:p>
      <w:pPr>
        <w:pStyle w:val="Heading3"/>
        <w:spacing w:after="100" w:before="240"/>
      </w:pPr>
      <w:r>
        <w:rPr>
          <w:rFonts w:ascii="Verdana" w:cs="Verdana" w:eastAsia="Verdana" w:hAnsi="Verdana"/>
          <w:b/>
          <w:bCs/>
          <w:color w:val="5C4A3A"/>
          <w:sz w:val="24"/>
          <w:szCs w:val="24"/>
        </w:rPr>
        <w:t xml:space="preserve">14.3 Water and food safety</w:t>
      </w:r>
    </w:p>
    <w:p>
      <w:pPr>
        <w:spacing w:after="140" w:before="100" w:line="300"/>
        <w:jc w:val="both"/>
      </w:pPr>
      <w:r>
        <w:rPr>
          <w:rFonts w:ascii="Georgia" w:cs="Georgia" w:eastAsia="Georgia" w:hAnsi="Georgia"/>
          <w:b w:val="false"/>
          <w:bCs w:val="false"/>
          <w:i w:val="false"/>
          <w:iCs w:val="false"/>
          <w:color w:val="2A2A28"/>
          <w:sz w:val="22"/>
          <w:szCs w:val="22"/>
        </w:rPr>
        <w:t xml:space="preserve">Roof catchment carries bird droppings, which can contain Salmonella and Campylobacter; atmospheric particulate that can include heavy metals from regional industrial activity; asphalt-shingle compounds, including polycyclic aromatic hydrocarbons; and trace pesticide residues. For non-potable garden use these are minor concerns. For any drinking-grade use, the system needs a multi-stage filtration train: a five-micron sediment filter, then a one-micron carbon block, then either a zero point two-micron ceramic element or an ultraviolet sterilization stage, with annual water testing through the Beaver Water District or a private laboratory. Per Arkansas law, drinking-water plumbing requires professional-engineer-licensed design.</w:t>
      </w:r>
    </w:p>
    <w:p>
      <w:pPr>
        <w:spacing w:after="140" w:before="100" w:line="300"/>
        <w:jc w:val="both"/>
      </w:pPr>
      <w:r>
        <w:rPr>
          <w:rFonts w:ascii="Georgia" w:cs="Georgia" w:eastAsia="Georgia" w:hAnsi="Georgia"/>
          <w:b w:val="false"/>
          <w:bCs w:val="false"/>
          <w:i w:val="false"/>
          <w:iCs w:val="false"/>
          <w:color w:val="2A2A28"/>
          <w:sz w:val="22"/>
          <w:szCs w:val="22"/>
        </w:rPr>
        <w:t xml:space="preserve">Humanure safety reduces to the thermophilic-composting threshold discussed in Chapter 8: the core of the pile must reach one hundred thirty-one degrees Fahrenheit for at least seventy-two consecutive hours, or alternatively the pile must cure for a full year, before the resulting compost is safe for food-crop application. A twenty-dollar compost thermometer with a thirty-six-inch probe is the right instrument for verifying the temperature reaches the target. Cold-pile composting is not safe for food crops; the eighteen-month minimum cure is the safer default if temperature was not measured.</w:t>
      </w:r>
    </w:p>
    <w:p>
      <w:pPr>
        <w:pStyle w:val="Heading3"/>
        <w:spacing w:after="100" w:before="240"/>
      </w:pPr>
      <w:r>
        <w:rPr>
          <w:rFonts w:ascii="Verdana" w:cs="Verdana" w:eastAsia="Verdana" w:hAnsi="Verdana"/>
          <w:b/>
          <w:bCs/>
          <w:color w:val="5C4A3A"/>
          <w:sz w:val="24"/>
          <w:szCs w:val="24"/>
        </w:rPr>
        <w:t xml:space="preserve">14.4 Biodiesel and methanol</w:t>
      </w:r>
    </w:p>
    <w:p>
      <w:pPr>
        <w:spacing w:after="140" w:before="100" w:line="300"/>
        <w:jc w:val="both"/>
      </w:pPr>
      <w:r>
        <w:rPr>
          <w:rFonts w:ascii="Georgia" w:cs="Georgia" w:eastAsia="Georgia" w:hAnsi="Georgia"/>
          <w:b w:val="false"/>
          <w:bCs w:val="false"/>
          <w:i w:val="false"/>
          <w:iCs w:val="false"/>
          <w:color w:val="2A2A28"/>
          <w:sz w:val="22"/>
          <w:szCs w:val="22"/>
        </w:rPr>
        <w:t xml:space="preserve">If Max ever explores biodiesel — the transesterification of waste vegetable oil with methanol and sodium or potassium hydroxide — the chemistry deserves serious respect. Methanol is acutely toxic by skin absorption and a chronic neurotoxin; ingestion of ten to thirty milliliters causes blindness or worse. Sodium hydroxide is severely caustic and can cause permanent eye damage. Full personal protective equipment — face shield, nitrile gloves, long sleeves, chemical-resistant apron — good ventilation, and a clearly labeled work area that is physically separate from food preparation are non-negotiable. Biodiesel home production is not a Year 1 project. Treat it as a Year 3 or later option, after the simpler systems have built a track record of safe operation.</w:t>
      </w:r>
    </w:p>
    <w:p>
      <w:pPr>
        <w:pStyle w:val="Heading3"/>
        <w:spacing w:after="100" w:before="240"/>
      </w:pPr>
      <w:r>
        <w:rPr>
          <w:rFonts w:ascii="Verdana" w:cs="Verdana" w:eastAsia="Verdana" w:hAnsi="Verdana"/>
          <w:b/>
          <w:bCs/>
          <w:color w:val="5C4A3A"/>
          <w:sz w:val="24"/>
          <w:szCs w:val="24"/>
        </w:rPr>
        <w:t xml:space="preserve">14.5 Tick management</w:t>
      </w:r>
    </w:p>
    <w:p>
      <w:pPr>
        <w:spacing w:after="140" w:before="100" w:line="300"/>
        <w:jc w:val="both"/>
      </w:pPr>
      <w:r>
        <w:rPr>
          <w:rFonts w:ascii="Georgia" w:cs="Georgia" w:eastAsia="Georgia" w:hAnsi="Georgia"/>
          <w:b w:val="false"/>
          <w:bCs w:val="false"/>
          <w:i w:val="false"/>
          <w:iCs w:val="false"/>
          <w:color w:val="2A2A28"/>
          <w:sz w:val="22"/>
          <w:szCs w:val="22"/>
        </w:rPr>
        <w:t xml:space="preserve">NWA is high-risk for ehrlichiosis, Rocky Mountain spotted fever, and — the consequence that has changed homesteading economics across the entire region — alpha-gal syndrome, a lone-star-tick-mediated red-meat allergy that can take weeks to develop after the precipitating bite and is permanent for many sufferers. Lyme disease is less common but present. Tick management is not an afterthought; it is a first-class infrastructure element.</w:t>
      </w:r>
    </w:p>
    <w:p>
      <w:pPr>
        <w:spacing w:after="140" w:before="100" w:line="300"/>
        <w:jc w:val="both"/>
      </w:pPr>
      <w:r>
        <w:rPr>
          <w:rFonts w:ascii="Georgia" w:cs="Georgia" w:eastAsia="Georgia" w:hAnsi="Georgia"/>
          <w:b w:val="false"/>
          <w:bCs w:val="false"/>
          <w:i w:val="false"/>
          <w:iCs w:val="false"/>
          <w:color w:val="2A2A28"/>
          <w:sz w:val="22"/>
          <w:szCs w:val="22"/>
        </w:rPr>
        <w:t xml:space="preserve">Effective tick management combines five practices. First, wear permethrin-treated clothing in tall grass and brushy areas — a single Sawyer brand treatment lasts approximately six weeks of washes and is safe on cured fabric. Second, do daily full-body tick checks during the warm months. Third, keep grass less than four inches near the house and maintain a three-foot mulched buffer between the lawn edge and any wooded area. Fourth, run chickens or guinea fowl through high-traffic areas — the fowl are excellent tick predators. Fifth, carry fine-tipped tweezers and remove ticks intact at the head; save the tick in alcohol if a rash develops within thirty days, in which case see a physician immediately. Prophylactic doxycycline is reasonable to keep on hand after consultation with a primary-care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2A" w:sz="18"/>
              <w:left w:val="single" w:color="8A4B2A" w:sz="18"/>
              <w:bottom w:val="single" w:color="8A4B2A" w:sz="6"/>
              <w:right w:val="single" w:color="8A4B2A" w:sz="6"/>
            </w:tcBorders>
            <w:shd w:fill="F5E6DC" w:val="clear"/>
            <w:tcMar>
              <w:top w:type="dxa" w:w="200"/>
              <w:left w:type="dxa" w:w="280"/>
              <w:bottom w:type="dxa" w:w="200"/>
              <w:right w:type="dxa" w:w="280"/>
            </w:tcMar>
          </w:tcPr>
          <w:p>
            <w:pPr>
              <w:spacing w:after="100" w:before="40"/>
            </w:pPr>
            <w:r>
              <w:rPr>
                <w:rFonts w:ascii="Verdana" w:cs="Verdana" w:eastAsia="Verdana" w:hAnsi="Verdana"/>
                <w:b/>
                <w:bCs/>
                <w:color w:val="8A4B2A"/>
                <w:sz w:val="22"/>
                <w:szCs w:val="22"/>
              </w:rPr>
              <w:t xml:space="preserve">The five safety reflexes worth memorizing</w:t>
            </w:r>
          </w:p>
          <w:p>
            <w:pPr>
              <w:spacing w:after="80" w:before="60" w:line="280"/>
              <w:jc w:val="both"/>
            </w:pPr>
            <w:r>
              <w:rPr>
                <w:rFonts w:ascii="Georgia" w:cs="Georgia" w:eastAsia="Georgia" w:hAnsi="Georgia"/>
                <w:color w:val="2A2A28"/>
                <w:sz w:val="21"/>
                <w:szCs w:val="21"/>
              </w:rPr>
              <w:t xml:space="preserve">Methane between 5–15% in air is flammable. Bladder + low pressure + leak check. Never store in rigid vessels without a relief valve.</w:t>
            </w:r>
          </w:p>
          <w:p>
            <w:pPr>
              <w:spacing w:after="80" w:before="60" w:line="280"/>
              <w:jc w:val="both"/>
            </w:pPr>
            <w:r>
              <w:rPr>
                <w:rFonts w:ascii="Georgia" w:cs="Georgia" w:eastAsia="Georgia" w:hAnsi="Georgia"/>
                <w:color w:val="2A2A28"/>
                <w:sz w:val="21"/>
                <w:szCs w:val="21"/>
              </w:rPr>
              <w:t xml:space="preserve">LiFePO4: never charge below freezing. Never puncture. Smoke alarm in the battery room.</w:t>
            </w:r>
          </w:p>
          <w:p>
            <w:pPr>
              <w:spacing w:after="80" w:before="60" w:line="280"/>
              <w:jc w:val="both"/>
            </w:pPr>
            <w:r>
              <w:rPr>
                <w:rFonts w:ascii="Georgia" w:cs="Georgia" w:eastAsia="Georgia" w:hAnsi="Georgia"/>
                <w:color w:val="2A2A28"/>
                <w:sz w:val="21"/>
                <w:szCs w:val="21"/>
              </w:rPr>
              <w:t xml:space="preserve">Photovoltaic strings above 60 volts direct current require a licensed electrician under NEC Article 690.</w:t>
            </w:r>
          </w:p>
          <w:p>
            <w:pPr>
              <w:spacing w:after="80" w:before="60" w:line="280"/>
              <w:jc w:val="both"/>
            </w:pPr>
            <w:r>
              <w:rPr>
                <w:rFonts w:ascii="Georgia" w:cs="Georgia" w:eastAsia="Georgia" w:hAnsi="Georgia"/>
                <w:color w:val="2A2A28"/>
                <w:sz w:val="21"/>
                <w:szCs w:val="21"/>
              </w:rPr>
              <w:t xml:space="preserve">Humanure: 131 °F core for 72 hours, or 12-month cure. No food-crop application without one of those conditions met.</w:t>
            </w:r>
          </w:p>
          <w:p>
            <w:pPr>
              <w:spacing w:after="80" w:before="60" w:line="280"/>
              <w:jc w:val="both"/>
            </w:pPr>
            <w:r>
              <w:rPr>
                <w:rFonts w:ascii="Georgia" w:cs="Georgia" w:eastAsia="Georgia" w:hAnsi="Georgia"/>
                <w:color w:val="2A2A28"/>
                <w:sz w:val="21"/>
                <w:szCs w:val="21"/>
              </w:rPr>
              <w:t xml:space="preserve">Lone star ticks vector alpha-gal syndrome. Permethrin clothing, daily checks, four-inch grass, three-foot mulched buffer, chickens or guinea fowl.</w:t>
            </w:r>
          </w:p>
        </w:tc>
      </w:tr>
    </w:tbl>
    <w:p>
      <w:pPr>
        <w:pStyle w:val="Heading1"/>
        <w:pageBreakBefore/>
        <w:pBdr>
          <w:bottom w:val="single" w:color="7A9268" w:sz="12" w:space="4"/>
        </w:pBdr>
        <w:spacing w:after="240" w:before="360"/>
      </w:pPr>
      <w:r>
        <w:rPr>
          <w:rFonts w:ascii="Verdana" w:cs="Verdana" w:eastAsia="Verdana" w:hAnsi="Verdana"/>
          <w:b/>
          <w:bCs/>
          <w:color w:val="2D4A2B"/>
          <w:sz w:val="40"/>
          <w:szCs w:val="40"/>
        </w:rPr>
        <w:t xml:space="preserve">Part VI  ·  Community, Local Resources, and Continuing Education</w:t>
      </w:r>
    </w:p>
    <w:p>
      <w:pPr>
        <w:pStyle w:val="Heading2"/>
        <w:spacing w:after="160" w:before="320"/>
      </w:pPr>
      <w:r>
        <w:rPr>
          <w:rFonts w:ascii="Verdana" w:cs="Verdana" w:eastAsia="Verdana" w:hAnsi="Verdana"/>
          <w:b/>
          <w:bCs/>
          <w:color w:val="4A6B3A"/>
          <w:sz w:val="30"/>
          <w:szCs w:val="30"/>
        </w:rPr>
        <w:t xml:space="preserve">Chapter 15. Northwest Arkansas Resources</w:t>
      </w:r>
    </w:p>
    <w:p>
      <w:pPr>
        <w:spacing w:after="140" w:before="100" w:line="300"/>
        <w:jc w:val="both"/>
      </w:pPr>
      <w:r>
        <w:rPr>
          <w:rFonts w:ascii="Georgia" w:cs="Georgia" w:eastAsia="Georgia" w:hAnsi="Georgia"/>
          <w:b w:val="false"/>
          <w:bCs w:val="false"/>
          <w:i w:val="false"/>
          <w:iCs w:val="false"/>
          <w:color w:val="2A2A28"/>
          <w:sz w:val="22"/>
          <w:szCs w:val="22"/>
        </w:rPr>
        <w:t xml:space="preserve">No homesteader builds in isolation. NWA has, over the past fifteen years, developed an unusually dense network of local urban-agriculture and regenerative-design resources that are free or near-free to access. A homesteader who does not know about these resources is paying for them in solitude.</w:t>
      </w:r>
    </w:p>
    <w:p>
      <w:pPr>
        <w:pStyle w:val="Heading3"/>
        <w:spacing w:after="100" w:before="240"/>
      </w:pPr>
      <w:r>
        <w:rPr>
          <w:rFonts w:ascii="Verdana" w:cs="Verdana" w:eastAsia="Verdana" w:hAnsi="Verdana"/>
          <w:b/>
          <w:bCs/>
          <w:color w:val="5C4A3A"/>
          <w:sz w:val="24"/>
          <w:szCs w:val="24"/>
        </w:rPr>
        <w:t xml:space="preserve">15.1 The University of Arkansas Cooperative Extension Service</w:t>
      </w:r>
    </w:p>
    <w:p>
      <w:pPr>
        <w:spacing w:after="140" w:before="100" w:line="300"/>
        <w:jc w:val="both"/>
      </w:pPr>
      <w:r>
        <w:rPr>
          <w:rFonts w:ascii="Georgia" w:cs="Georgia" w:eastAsia="Georgia" w:hAnsi="Georgia"/>
          <w:b w:val="false"/>
          <w:bCs w:val="false"/>
          <w:i w:val="false"/>
          <w:iCs w:val="false"/>
          <w:color w:val="2A2A28"/>
          <w:sz w:val="22"/>
          <w:szCs w:val="22"/>
        </w:rPr>
        <w:t xml:space="preserve">The U of A Cooperative Extension Service at uaex.uada.edu maintains a Washington County office at 2536 N. McConnell Avenue in Fayetteville. Free soil testing is available through the U of A Agricultural Diagnostic Laboratory; the standard ten-dollar fee is typically waived for Washington County residents requesting the test through the local Extension office. The Master Gardener program runs a seventy-five-dollar, sixty-hour training course followed by a forty-hour volunteer commitment; graduates have access to the entire Cooperative Extension knowledge base and a peer network of several hundred trained gardeners across NWA. The Cooperative Extension also runs free workshops on canning, beekeeping, fruit-tree pruning, and small-livestock care throughout the year. Subscribe to the Washington County Extension newsletter and a calendar of free events arrives monthly.</w:t>
      </w:r>
    </w:p>
    <w:p>
      <w:pPr>
        <w:pStyle w:val="Heading3"/>
        <w:spacing w:after="100" w:before="240"/>
      </w:pPr>
      <w:r>
        <w:rPr>
          <w:rFonts w:ascii="Verdana" w:cs="Verdana" w:eastAsia="Verdana" w:hAnsi="Verdana"/>
          <w:b/>
          <w:bCs/>
          <w:color w:val="5C4A3A"/>
          <w:sz w:val="24"/>
          <w:szCs w:val="24"/>
        </w:rPr>
        <w:t xml:space="preserve">15.2 Urban-agriculture and community resources</w:t>
      </w:r>
    </w:p>
    <w:p>
      <w:pPr>
        <w:spacing w:after="140" w:before="100" w:line="300"/>
        <w:jc w:val="both"/>
      </w:pPr>
      <w:r>
        <w:rPr>
          <w:rFonts w:ascii="Georgia" w:cs="Georgia" w:eastAsia="Georgia" w:hAnsi="Georgia"/>
          <w:b w:val="false"/>
          <w:bCs w:val="false"/>
          <w:i w:val="false"/>
          <w:iCs w:val="false"/>
          <w:color w:val="2A2A28"/>
          <w:sz w:val="22"/>
          <w:szCs w:val="22"/>
        </w:rPr>
        <w:t xml:space="preserve">Tri Cycle Farms at tricyclefarms.org and 1705 N. Garland Avenue in Fayetteville is a community urban farm with regular volunteer days, a seed library, and a substantial network of local food-justice activists. Apple Seeds Teaching Farm at appleseedsnwa.org offers youth-and-community agricultural education at its Fayetteville location. Cobblestone Project Farm at cobblestoneproject.org is a food-bank farm with volunteer days that produce thousands of pounds of vegetables annually for local food pantries. Ozark Natural Foods Co-op at onf.coop, the member-owned grocery in Fayetteville, is the largest pipeline for local-producer relationships in NWA; Max’s surplus eggs, mushrooms, or herbs can find a local market through ONF’s producer-relations channel. The Fayetteville Farmers Market on the downtown square runs Saturdays year-round and Thursdays seasonally, and is the primary cash market for surplus produce. Habitat for Humanity ReStore locations in Fayetteville and Bentonville sell discounted lumber, hardware, doors, windows, and salvaged building materials at fractions of retail — the cattle-panel greenhouse, chicken coop, cold frames, and humanure shed all benefit from a regular Saturday morning ReStore browse.</w:t>
      </w:r>
    </w:p>
    <w:p>
      <w:pPr>
        <w:pStyle w:val="Heading3"/>
        <w:spacing w:after="100" w:before="240"/>
      </w:pPr>
      <w:r>
        <w:rPr>
          <w:rFonts w:ascii="Verdana" w:cs="Verdana" w:eastAsia="Verdana" w:hAnsi="Verdana"/>
          <w:b/>
          <w:bCs/>
          <w:color w:val="5C4A3A"/>
          <w:sz w:val="24"/>
          <w:szCs w:val="24"/>
        </w:rPr>
        <w:t xml:space="preserve">15.3 Beekeepers and meetup groups</w:t>
      </w:r>
    </w:p>
    <w:p>
      <w:pPr>
        <w:spacing w:after="140" w:before="100" w:line="300"/>
        <w:jc w:val="both"/>
      </w:pPr>
      <w:r>
        <w:rPr>
          <w:rFonts w:ascii="Georgia" w:cs="Georgia" w:eastAsia="Georgia" w:hAnsi="Georgia"/>
          <w:b w:val="false"/>
          <w:bCs w:val="false"/>
          <w:i w:val="false"/>
          <w:iCs w:val="false"/>
          <w:color w:val="2A2A28"/>
          <w:sz w:val="22"/>
          <w:szCs w:val="22"/>
        </w:rPr>
        <w:t xml:space="preserve">The Washington County Beekeepers Association at washingtoncountybeekeepers.org meets monthly and is the on-ramp for a starter beehive. The NWA Permaculture Meetup runs through meetup.com and rotates through member properties. Facebook groups including “Northwest Arkansas Permaculture,” “NWA Homesteaders,” and “Ozark Homestead Connection” are active, friendly, and full of local knowledge about everything from where to buy half-priced hay to which arborist runs the cleanest ChipDrop truck.</w:t>
      </w:r>
    </w:p>
    <w:p>
      <w:pPr>
        <w:pStyle w:val="Heading3"/>
        <w:spacing w:after="100" w:before="240"/>
      </w:pPr>
      <w:r>
        <w:rPr>
          <w:rFonts w:ascii="Verdana" w:cs="Verdana" w:eastAsia="Verdana" w:hAnsi="Verdana"/>
          <w:b/>
          <w:bCs/>
          <w:color w:val="5C4A3A"/>
          <w:sz w:val="24"/>
          <w:szCs w:val="24"/>
        </w:rPr>
        <w:t xml:space="preserve">15.4 The online national network</w:t>
      </w:r>
    </w:p>
    <w:p>
      <w:pPr>
        <w:spacing w:after="140" w:before="100" w:line="300"/>
        <w:jc w:val="both"/>
      </w:pPr>
      <w:r>
        <w:rPr>
          <w:rFonts w:ascii="Georgia" w:cs="Georgia" w:eastAsia="Georgia" w:hAnsi="Georgia"/>
          <w:b w:val="false"/>
          <w:bCs w:val="false"/>
          <w:i w:val="false"/>
          <w:iCs w:val="false"/>
          <w:color w:val="2A2A28"/>
          <w:sz w:val="22"/>
          <w:szCs w:val="22"/>
        </w:rPr>
        <w:t xml:space="preserve">At the national level, permies.com remains the largest permaculture forum on the internet and contains decades of accumulated practical knowledge across every topic in this document. The relevant Reddit subreddits include r/permaculture, r/homestead, r/offgrid, r/OffGridLiving, and r/Arkansas. YouTube channels worth subscribing to from this document include Acorn Land Labs, Justin Rhodes, Geoff Lawton, Diego Footer’s Paperpot YouTube, T.H. Culhane on biogas, and Build It Solar’s Gary Reysa archive. The Humanure Handbook PDF lives at humanurehandbook.com. Low-Tech Magazine at lowtechmagazine.com publishes a small number of extraordinary essays each year. Project Drawdown at drawdown.org maintains the global climate-solutions ranking. Open Source Ecology at opensourceecology.org publishes computer-aided-design plans for an entire fifty-machine Global Village Construction Set under free licenses. Build a folder of bookmarks; revisit it on winter Sundays.</w:t>
      </w:r>
    </w:p>
    <w:p>
      <w:pPr>
        <w:pStyle w:val="Heading1"/>
        <w:pageBreakBefore/>
        <w:pBdr>
          <w:bottom w:val="single" w:color="7A9268" w:sz="12" w:space="4"/>
        </w:pBdr>
        <w:spacing w:after="240" w:before="360"/>
      </w:pPr>
      <w:r>
        <w:rPr>
          <w:rFonts w:ascii="Verdana" w:cs="Verdana" w:eastAsia="Verdana" w:hAnsi="Verdana"/>
          <w:b/>
          <w:bCs/>
          <w:color w:val="2D4A2B"/>
          <w:sz w:val="40"/>
          <w:szCs w:val="40"/>
        </w:rPr>
        <w:t xml:space="preserve">Part VII  ·  Recommendations and Caveats</w:t>
      </w:r>
    </w:p>
    <w:p>
      <w:pPr>
        <w:pStyle w:val="Heading2"/>
        <w:spacing w:after="160" w:before="320"/>
      </w:pPr>
      <w:r>
        <w:rPr>
          <w:rFonts w:ascii="Verdana" w:cs="Verdana" w:eastAsia="Verdana" w:hAnsi="Verdana"/>
          <w:b/>
          <w:bCs/>
          <w:color w:val="4A6B3A"/>
          <w:sz w:val="30"/>
          <w:szCs w:val="30"/>
        </w:rPr>
        <w:t xml:space="preserve">Chapter 16. Recommendations</w:t>
      </w:r>
    </w:p>
    <w:p>
      <w:pPr>
        <w:pStyle w:val="Heading3"/>
        <w:spacing w:after="100" w:before="240"/>
      </w:pPr>
      <w:r>
        <w:rPr>
          <w:rFonts w:ascii="Verdana" w:cs="Verdana" w:eastAsia="Verdana" w:hAnsi="Verdana"/>
          <w:b/>
          <w:bCs/>
          <w:color w:val="5C4A3A"/>
          <w:sz w:val="24"/>
          <w:szCs w:val="24"/>
        </w:rPr>
        <w:t xml:space="preserve">16.1 The immediate Month 1 actions</w:t>
      </w:r>
    </w:p>
    <w:p>
      <w:pPr>
        <w:spacing w:after="140" w:before="100" w:line="300"/>
        <w:jc w:val="both"/>
      </w:pPr>
      <w:r>
        <w:rPr>
          <w:rFonts w:ascii="Georgia" w:cs="Georgia" w:eastAsia="Georgia" w:hAnsi="Georgia"/>
          <w:b w:val="false"/>
          <w:bCs w:val="false"/>
          <w:i w:val="false"/>
          <w:iCs w:val="false"/>
          <w:color w:val="2A2A28"/>
          <w:sz w:val="22"/>
          <w:szCs w:val="22"/>
        </w:rPr>
        <w:t xml:space="preserve">Before any money is spent, complete four free actions. Read three free documents in this order: the Acorn Land Labs Substack post “Going off-grid for $12k or less” at articles.acornlandlabs.com; Joseph Jenkins’ Humanure Handbook fourth edition, free PDF at humanurehandbook.com; and Mark Shepard’s Restoration Agriculture (approximately thirty dollars from the Acres USA bookstore at acresusa.com — the STUN chapter alone justifies the price). Schedule the free soil test through the U of A Cooperative Extension Service at the Washington County office at 2536 N. McConnell Avenue — the single data point of native pH and nutrient profile determines whether the first year of soil amendment focuses on lime, gypsum, or compost. Walk the lot at dawn and dusk for a week and sketch the sun-and-shade-and-wind-and-water sector analysis; this is the foundation of every layout decision that follows. Book the free home energy audit through Ozarks Electric Cooperative at 800-521-6144; do not buy the weatherization kit until the auditor has identified the highest-leverage leaks.</w:t>
      </w:r>
    </w:p>
    <w:p>
      <w:pPr>
        <w:pStyle w:val="Heading3"/>
        <w:spacing w:after="100" w:before="240"/>
      </w:pPr>
      <w:r>
        <w:rPr>
          <w:rFonts w:ascii="Verdana" w:cs="Verdana" w:eastAsia="Verdana" w:hAnsi="Verdana"/>
          <w:b/>
          <w:bCs/>
          <w:color w:val="5C4A3A"/>
          <w:sz w:val="24"/>
          <w:szCs w:val="24"/>
        </w:rPr>
        <w:t xml:space="preserve">16.2 The sequencing principle</w:t>
      </w:r>
    </w:p>
    <w:p>
      <w:pPr>
        <w:spacing w:after="140" w:before="100" w:line="300"/>
        <w:jc w:val="both"/>
      </w:pPr>
      <w:r>
        <w:rPr>
          <w:rFonts w:ascii="Georgia" w:cs="Georgia" w:eastAsia="Georgia" w:hAnsi="Georgia"/>
          <w:b w:val="false"/>
          <w:bCs w:val="false"/>
          <w:i w:val="false"/>
          <w:iCs w:val="false"/>
          <w:color w:val="2A2A28"/>
          <w:sz w:val="22"/>
          <w:szCs w:val="22"/>
        </w:rPr>
        <w:t xml:space="preserve">Execute the phases in order. Phase 1 in months one through three buys the water and weatherization foundation, the cheapest and highest-return moves. Phase 2 in months four through six buys the solar power station and biogas digester together, learning both in their easiest summer operating regime. Phase 3 in months seven through twelve buys chickens first — spring pullets — and trees second — fall planting. Phase 4 in Year 2 buys the Stirling demonstrator, the monitoring stack, and the supplementary humanure infrastructure. The compounding effect of Year 2 on a properly executed Year 1 is greater than Year 1’s effect on Year 0, because every system in Year 2 is feeding inputs to a system already established in Year 1.</w:t>
      </w:r>
    </w:p>
    <w:p>
      <w:pPr>
        <w:pStyle w:val="Heading3"/>
        <w:spacing w:after="100" w:before="240"/>
      </w:pPr>
      <w:r>
        <w:rPr>
          <w:rFonts w:ascii="Verdana" w:cs="Verdana" w:eastAsia="Verdana" w:hAnsi="Verdana"/>
          <w:b/>
          <w:bCs/>
          <w:color w:val="5C4A3A"/>
          <w:sz w:val="24"/>
          <w:szCs w:val="24"/>
        </w:rPr>
        <w:t xml:space="preserve">16.3 The benchmarks that would change these recommendations</w:t>
      </w:r>
    </w:p>
    <w:p>
      <w:pPr>
        <w:spacing w:after="140" w:before="100" w:line="300"/>
        <w:jc w:val="both"/>
      </w:pPr>
      <w:r>
        <w:rPr>
          <w:rFonts w:ascii="Georgia" w:cs="Georgia" w:eastAsia="Georgia" w:hAnsi="Georgia"/>
          <w:b w:val="false"/>
          <w:bCs w:val="false"/>
          <w:i w:val="false"/>
          <w:iCs w:val="false"/>
          <w:color w:val="2A2A28"/>
          <w:sz w:val="22"/>
          <w:szCs w:val="22"/>
        </w:rPr>
        <w:t xml:space="preserve">A small number of external conditions, if they change, change the answer. If the federal section 25D residential clean-energy credit returns in any form, shift more dollars into a larger permanent photovoltaic array and consider grid-tied design even under Act 278 net metering. If Max’s electric rate exceeds fifteen cents per kilowatt-hour — NWA is currently approximately eleven to twelve cents — the payback on solar shortens and the case for Phase 2 strengthens. Consider a six-hundred-watt panel array instead of two hundred watts in that case. If Max moves to unincorporated Washington County, or to Madison, Newton, Searcy, or Carroll County, the composting toilet shifts from supplementary to primary; add a well-and-hand-pump budget of three thousand to eight thousand dollars, and consider HomeBiogas with the integrated bio-toilet rather than the do-it-yourself digester, because the toilet-integration value matters substantially more in a fully off-grid context. If a winter ice-storm event of the 2009 scale recurs, the LiFePO4 power station’s value as resilience infrastructure jumps from “nice” to “critical” — that single outage justifies the entire Phase 2 spend by itself. If alpha-gal syndrome or Lyme disease symptoms appear at any point, treat tick management as the highest-priority safety item: add guinea fowl, perimeter mowing equipment, permethrin-treated clothing, and prophylactic doxycycline on hand before any other expansion.</w:t>
      </w:r>
    </w:p>
    <w:p>
      <w:pPr>
        <w:pStyle w:val="Heading2"/>
        <w:spacing w:after="160" w:before="320"/>
      </w:pPr>
      <w:r>
        <w:rPr>
          <w:rFonts w:ascii="Verdana" w:cs="Verdana" w:eastAsia="Verdana" w:hAnsi="Verdana"/>
          <w:b/>
          <w:bCs/>
          <w:color w:val="4A6B3A"/>
          <w:sz w:val="30"/>
          <w:szCs w:val="30"/>
        </w:rPr>
        <w:t xml:space="preserve">Chapter 17. Caveats</w:t>
      </w:r>
    </w:p>
    <w:p>
      <w:pPr>
        <w:spacing w:after="140" w:before="100" w:line="300"/>
        <w:jc w:val="both"/>
      </w:pPr>
      <w:r>
        <w:rPr>
          <w:rFonts w:ascii="Georgia" w:cs="Georgia" w:eastAsia="Georgia" w:hAnsi="Georgia"/>
          <w:b w:val="false"/>
          <w:bCs w:val="false"/>
          <w:i w:val="false"/>
          <w:iCs w:val="false"/>
          <w:color w:val="2A2A28"/>
          <w:sz w:val="22"/>
          <w:szCs w:val="22"/>
        </w:rPr>
        <w:t xml:space="preserve">The 2026 federal solar landscape is unstable. The One Big Beautiful Bill Act’s elimination of section 25D is current law as of this writing but is downstream of every two-year congressional cycle. Verify with a certified public accountant before claiming or planning around any solar credit. Net-metering specifics vary by utility within NWA. Ozarks Electric Cooperative (most of Washington and Benton counties) and SWEPCO (parts of Fayetteville proper) handle Act 278’s avoided-cost provision somewhat differently; SWEPCO’s avoided-cost rate is set by the Arkansas Public Service Commission docket and changes annually. Pull current rates from the utility directly before sizing any system.</w:t>
      </w:r>
    </w:p>
    <w:p>
      <w:pPr>
        <w:spacing w:after="140" w:before="100" w:line="300"/>
        <w:jc w:val="both"/>
      </w:pPr>
      <w:r>
        <w:rPr>
          <w:rFonts w:ascii="Georgia" w:cs="Georgia" w:eastAsia="Georgia" w:hAnsi="Georgia"/>
          <w:b w:val="false"/>
          <w:bCs w:val="false"/>
          <w:i w:val="false"/>
          <w:iCs w:val="false"/>
          <w:color w:val="2A2A28"/>
          <w:sz w:val="22"/>
          <w:szCs w:val="22"/>
        </w:rPr>
        <w:t xml:space="preserve">Backyard-chicken ordinances in NWA are not uniform. Fayetteville’s twenty-hen, five-thousand-square-foot, annual-permit framework is the most permissive in the region; Johnson, Springdale, and Bentonville have different rules. Call the city clerk before buying chicks. Springdale historically prohibits residential chickens entirely. HomeBiogas or do-it-yourself biogas in NWA winters is marginal without active heating. The sixty-three-degree weekly average threshold for food-waste digestion means roughly five months per year of reduced or zero output in Fayetteville without insulation and supplemental heat. The Acorn Land Labs solution — greenhouse enclosure — works; budgeting a three-hundred-dollar Booster Kit or do-it-yourself equivalent is realistic, not optional.</w:t>
      </w:r>
    </w:p>
    <w:p>
      <w:pPr>
        <w:spacing w:after="140" w:before="100" w:line="300"/>
        <w:jc w:val="both"/>
      </w:pPr>
      <w:r>
        <w:rPr>
          <w:rFonts w:ascii="Georgia" w:cs="Georgia" w:eastAsia="Georgia" w:hAnsi="Georgia"/>
          <w:b w:val="false"/>
          <w:bCs w:val="false"/>
          <w:i w:val="false"/>
          <w:iCs w:val="false"/>
          <w:color w:val="2A2A28"/>
          <w:sz w:val="22"/>
          <w:szCs w:val="22"/>
        </w:rPr>
        <w:t xml:space="preserve">Composting toilets and humanure systems inside city limits are legally gray. Arkansas’s onsite-wastewater code allows alternative systems but septic or sewer connections are required on most permitted dwellings. Use the Loveable Loo or Nature’s Head for outbuildings, recreational vehicles, and supplemental use; do not unilaterally disconnect from sewer in Fayetteville. Stirling engines are pedagogy, not power, at this budget. Multiple sources confirm Qnergy does not sell to residential customers, and a true Stirling combined-heat-and-power residential unit at less than five thousand dollars does not exist on the 2026 market. Plan accordingly.</w:t>
      </w:r>
    </w:p>
    <w:p>
      <w:pPr>
        <w:spacing w:after="140" w:before="100" w:line="300"/>
        <w:jc w:val="both"/>
      </w:pPr>
      <w:r>
        <w:rPr>
          <w:rFonts w:ascii="Georgia" w:cs="Georgia" w:eastAsia="Georgia" w:hAnsi="Georgia"/>
          <w:b w:val="false"/>
          <w:bCs w:val="false"/>
          <w:i w:val="false"/>
          <w:iCs w:val="false"/>
          <w:color w:val="2A2A28"/>
          <w:sz w:val="22"/>
          <w:szCs w:val="22"/>
        </w:rPr>
        <w:t xml:space="preserve">Pricing volatility on portable power stations is substantial. The 2026 market is flooded with flash sales. Wait for a quarterly sale rather than paying manufacturer-suggested retail. The two-thousand-dollar budget assumes Max already has a roof, a vehicle, and basic hand tools. It does not include land acquisition, a structure, or fuel. The Acorn Land Labs twelve-thousand-dollar off-grid plan factors in four thousand dollars of land and two thousand dollars of shelter on top of two thousand dollars of systems; for an already-housed twenty-three-year-old in Fayetteville, the two-thousand-dollar systems budget is the relevant figure.</w:t>
      </w:r>
    </w:p>
    <w:p>
      <w:pPr>
        <w:spacing w:after="140" w:before="100" w:line="300"/>
        <w:jc w:val="both"/>
      </w:pPr>
      <w:r>
        <w:rPr>
          <w:rFonts w:ascii="Georgia" w:cs="Georgia" w:eastAsia="Georgia" w:hAnsi="Georgia"/>
          <w:b w:val="false"/>
          <w:bCs w:val="false"/>
          <w:i w:val="false"/>
          <w:iCs w:val="false"/>
          <w:color w:val="2A2A28"/>
          <w:sz w:val="22"/>
          <w:szCs w:val="22"/>
        </w:rPr>
        <w:t xml:space="preserve">Native versus invasive caution. Autumn olive (Elaeagnus umbellata) is on the Arkansas invasive-species watch list and is invasive in many Ozark counties; substitute goumi (Elaeagnus multiflora) or sea buckthorn (Hippophae rhamnoides) for the nitrogen-fixing role in food-forest guilds. Black locust (Robinia pseudoacacia) is native to the broader region and is recommended both as a nitrogen-fixing canopy companion and as a coppice firewood crop. Hugelkultur mounds settle in Year 1; plan to top-dress with two to four inches of additional compost in Year 2, as the buried logs continue decomposing and the surface drops six to twelve inches before stabilizing.</w:t>
      </w:r>
    </w:p>
    <w:p>
      <w:pPr>
        <w:spacing w:after="140" w:before="100" w:line="300"/>
        <w:jc w:val="both"/>
      </w:pPr>
      <w:r>
        <w:rPr>
          <w:rFonts w:ascii="Georgia" w:cs="Georgia" w:eastAsia="Georgia" w:hAnsi="Georgia"/>
          <w:b w:val="false"/>
          <w:bCs w:val="false"/>
          <w:i w:val="false"/>
          <w:iCs w:val="false"/>
          <w:color w:val="2A2A28"/>
          <w:sz w:val="22"/>
          <w:szCs w:val="22"/>
        </w:rPr>
        <w:t xml:space="preserve">The Acorn Land Labs county off-grid ratings could not be directly verified during the research phase that produced this document; the moderate-rating estimate for Washington and Benton counties is inferred from Acorn Land Labs’ explicit grading framework expressed elsewhere in their writing. Confirm directly through the Acorn Land Labs Substack at articles.acornlandlabs.com when access is restored. Aquaponics outdoors in NWA is seasonal: tilapia requires winter shelter, and bluegill or channel catfish survive freezing only if the tank depth exceeds twenty-four inches and a small de-icer is used. Aquaponics is a Year 2 system, not a starter line item.</w:t>
      </w:r>
    </w:p>
    <w:p>
      <w:pPr>
        <w:pStyle w:val="Heading1"/>
        <w:pageBreakBefore/>
        <w:pBdr>
          <w:bottom w:val="single" w:color="7A9268" w:sz="12" w:space="4"/>
        </w:pBdr>
        <w:spacing w:after="240" w:before="360"/>
      </w:pPr>
      <w:r>
        <w:rPr>
          <w:rFonts w:ascii="Verdana" w:cs="Verdana" w:eastAsia="Verdana" w:hAnsi="Verdana"/>
          <w:b/>
          <w:bCs/>
          <w:color w:val="2D4A2B"/>
          <w:sz w:val="40"/>
          <w:szCs w:val="40"/>
        </w:rPr>
        <w:t xml:space="preserve">Part VIII  ·  The Twelve-Month Calendar</w:t>
      </w:r>
    </w:p>
    <w:p>
      <w:pPr>
        <w:pStyle w:val="Heading2"/>
        <w:spacing w:after="160" w:before="320"/>
      </w:pPr>
      <w:r>
        <w:rPr>
          <w:rFonts w:ascii="Verdana" w:cs="Verdana" w:eastAsia="Verdana" w:hAnsi="Verdana"/>
          <w:b/>
          <w:bCs/>
          <w:color w:val="4A6B3A"/>
          <w:sz w:val="30"/>
          <w:szCs w:val="30"/>
        </w:rPr>
        <w:t xml:space="preserve">Chapter 18. Month-by-Month Action Calendar</w:t>
      </w:r>
    </w:p>
    <w:p>
      <w:pPr>
        <w:spacing w:after="140" w:before="100" w:line="300"/>
        <w:jc w:val="both"/>
      </w:pPr>
      <w:r>
        <w:rPr>
          <w:rFonts w:ascii="Georgia" w:cs="Georgia" w:eastAsia="Georgia" w:hAnsi="Georgia"/>
          <w:b w:val="false"/>
          <w:bCs w:val="false"/>
          <w:i w:val="false"/>
          <w:iCs w:val="false"/>
          <w:color w:val="2A2A28"/>
          <w:sz w:val="22"/>
          <w:szCs w:val="22"/>
        </w:rPr>
        <w:t xml:space="preserve">The phased budget describes what to buy. This calendar describes what to do, when, in a typical NWA seasonal rhythm beginning in early spring. Treat it as a default ordering; substitute as life and weather demand.</w:t>
      </w:r>
    </w:p>
    <w:p>
      <w:pPr>
        <w:pStyle w:val="Heading3"/>
        <w:spacing w:after="100" w:before="240"/>
      </w:pPr>
      <w:r>
        <w:rPr>
          <w:rFonts w:ascii="Verdana" w:cs="Verdana" w:eastAsia="Verdana" w:hAnsi="Verdana"/>
          <w:b/>
          <w:bCs/>
          <w:color w:val="5C4A3A"/>
          <w:sz w:val="24"/>
          <w:szCs w:val="24"/>
        </w:rPr>
        <w:t xml:space="preserve">Month 1 (Spring — March)</w:t>
      </w:r>
    </w:p>
    <w:p>
      <w:pPr>
        <w:spacing w:after="140" w:before="100" w:line="300"/>
        <w:jc w:val="both"/>
      </w:pPr>
      <w:r>
        <w:rPr>
          <w:rFonts w:ascii="Georgia" w:cs="Georgia" w:eastAsia="Georgia" w:hAnsi="Georgia"/>
          <w:b w:val="false"/>
          <w:bCs w:val="false"/>
          <w:i w:val="false"/>
          <w:iCs w:val="false"/>
          <w:color w:val="2A2A28"/>
          <w:sz w:val="22"/>
          <w:szCs w:val="22"/>
        </w:rPr>
        <w:t xml:space="preserve">Read the three foundational documents. Schedule the free U of A soil test and submit a sample from the future garden area. Schedule the free Ozarks Electric home energy audit. Walk the lot at dawn and dusk for seven days and sketch the sector analysis. Begin a homestead log — a physical notebook is fine — with one entry per week minimum. The log is for noting what is in flower, what rainfall arrived, what pests showed up, what worked, what failed. Five years of weekly entries become a personal climate-and-ecology record more useful than any published reference.</w:t>
      </w:r>
    </w:p>
    <w:p>
      <w:pPr>
        <w:pStyle w:val="Heading3"/>
        <w:spacing w:after="100" w:before="240"/>
      </w:pPr>
      <w:r>
        <w:rPr>
          <w:rFonts w:ascii="Verdana" w:cs="Verdana" w:eastAsia="Verdana" w:hAnsi="Verdana"/>
          <w:b/>
          <w:bCs/>
          <w:color w:val="5C4A3A"/>
          <w:sz w:val="24"/>
          <w:szCs w:val="24"/>
        </w:rPr>
        <w:t xml:space="preserve">Month 2 (Spring — April)</w:t>
      </w:r>
    </w:p>
    <w:p>
      <w:pPr>
        <w:spacing w:after="140" w:before="100" w:line="300"/>
        <w:jc w:val="both"/>
      </w:pPr>
      <w:r>
        <w:rPr>
          <w:rFonts w:ascii="Georgia" w:cs="Georgia" w:eastAsia="Georgia" w:hAnsi="Georgia"/>
          <w:b w:val="false"/>
          <w:bCs w:val="false"/>
          <w:i w:val="false"/>
          <w:iCs w:val="false"/>
          <w:color w:val="2A2A28"/>
          <w:sz w:val="22"/>
          <w:szCs w:val="22"/>
        </w:rPr>
        <w:t xml:space="preserve">Source two food-grade IBC totes via Facebook Marketplace; allocate a Saturday to pickup. Install gutter mesh and the first-flush diverter on the chosen downspout. Position the totes on level ground or on a small pallet platform. Connect the totes in parallel with a short length of one-inch hose at the bottom valves; install a Y-fitting and a hose bib on the outlet. Order seeds from Baker Creek and Southern Exposure Seed Exchange for spring sowing.</w:t>
      </w:r>
    </w:p>
    <w:p>
      <w:pPr>
        <w:pStyle w:val="Heading3"/>
        <w:spacing w:after="100" w:before="240"/>
      </w:pPr>
      <w:r>
        <w:rPr>
          <w:rFonts w:ascii="Verdana" w:cs="Verdana" w:eastAsia="Verdana" w:hAnsi="Verdana"/>
          <w:b/>
          <w:bCs/>
          <w:color w:val="5C4A3A"/>
          <w:sz w:val="24"/>
          <w:szCs w:val="24"/>
        </w:rPr>
        <w:t xml:space="preserve">Month 3 (Spring — May)</w:t>
      </w:r>
    </w:p>
    <w:p>
      <w:pPr>
        <w:spacing w:after="140" w:before="100" w:line="300"/>
        <w:jc w:val="both"/>
      </w:pPr>
      <w:r>
        <w:rPr>
          <w:rFonts w:ascii="Georgia" w:cs="Georgia" w:eastAsia="Georgia" w:hAnsi="Georgia"/>
          <w:b w:val="false"/>
          <w:bCs w:val="false"/>
          <w:i w:val="false"/>
          <w:iCs w:val="false"/>
          <w:color w:val="2A2A28"/>
          <w:sz w:val="22"/>
          <w:szCs w:val="22"/>
        </w:rPr>
        <w:t xml:space="preserve">Execute the weatherization kit installation based on the audit recommendations. Caulk gaps, install weatherstripping, foam the larger gaps with one-component polyurethane, blanket the attic hatch, install the door sweep on the most leaky exterior door, install the plastic-film window kits on the worst single-pane windows. Plant the spring vegetable bed using the no-till lasagna technique on top of cardboard over killed sod or weeds.</w:t>
      </w:r>
    </w:p>
    <w:p>
      <w:pPr>
        <w:pStyle w:val="Heading3"/>
        <w:spacing w:after="100" w:before="240"/>
      </w:pPr>
      <w:r>
        <w:rPr>
          <w:rFonts w:ascii="Verdana" w:cs="Verdana" w:eastAsia="Verdana" w:hAnsi="Verdana"/>
          <w:b/>
          <w:bCs/>
          <w:color w:val="5C4A3A"/>
          <w:sz w:val="24"/>
          <w:szCs w:val="24"/>
        </w:rPr>
        <w:t xml:space="preserve">Month 4 (Summer — June)</w:t>
      </w:r>
    </w:p>
    <w:p>
      <w:pPr>
        <w:spacing w:after="140" w:before="100" w:line="300"/>
        <w:jc w:val="both"/>
      </w:pPr>
      <w:r>
        <w:rPr>
          <w:rFonts w:ascii="Georgia" w:cs="Georgia" w:eastAsia="Georgia" w:hAnsi="Georgia"/>
          <w:b w:val="false"/>
          <w:bCs w:val="false"/>
          <w:i w:val="false"/>
          <w:iCs w:val="false"/>
          <w:color w:val="2A2A28"/>
          <w:sz w:val="22"/>
          <w:szCs w:val="22"/>
        </w:rPr>
        <w:t xml:space="preserve">Watch electrek.co for a flash sale on the Bluetti AC180 or EcoFlow DELTA 2. Purchase the power station and a two-hundred-watt rigid panel together. Begin storing day-to-day phone, laptop, and lighting on the solar station rather than the wall outlet to begin building the operational habit.</w:t>
      </w:r>
    </w:p>
    <w:p>
      <w:pPr>
        <w:pStyle w:val="Heading3"/>
        <w:spacing w:after="100" w:before="240"/>
      </w:pPr>
      <w:r>
        <w:rPr>
          <w:rFonts w:ascii="Verdana" w:cs="Verdana" w:eastAsia="Verdana" w:hAnsi="Verdana"/>
          <w:b/>
          <w:bCs/>
          <w:color w:val="5C4A3A"/>
          <w:sz w:val="24"/>
          <w:szCs w:val="24"/>
        </w:rPr>
        <w:t xml:space="preserve">Month 5 (Summer — July)</w:t>
      </w:r>
    </w:p>
    <w:p>
      <w:pPr>
        <w:spacing w:after="140" w:before="100" w:line="300"/>
        <w:jc w:val="both"/>
      </w:pPr>
      <w:r>
        <w:rPr>
          <w:rFonts w:ascii="Georgia" w:cs="Georgia" w:eastAsia="Georgia" w:hAnsi="Georgia"/>
          <w:b w:val="false"/>
          <w:bCs w:val="false"/>
          <w:i w:val="false"/>
          <w:iCs w:val="false"/>
          <w:color w:val="2A2A28"/>
          <w:sz w:val="22"/>
          <w:szCs w:val="22"/>
        </w:rPr>
        <w:t xml:space="preserve">Source the third IBC tote (the digester body). Source the inner-tube gas bladder or a smaller used tote. Source the iron-oxide scrubber materials, the pipe-trace heating cable, the foam-board insulation, and the low-pressure regulator. Assemble the digester. Charge with twenty gallons of fresh cow manure as a starter culture (typically available from a Washington County farm supply for ten dollars). Begin feeding household food waste at approximately a half-gallon per day.</w:t>
      </w:r>
    </w:p>
    <w:p>
      <w:pPr>
        <w:pStyle w:val="Heading3"/>
        <w:spacing w:after="100" w:before="240"/>
      </w:pPr>
      <w:r>
        <w:rPr>
          <w:rFonts w:ascii="Verdana" w:cs="Verdana" w:eastAsia="Verdana" w:hAnsi="Verdana"/>
          <w:b/>
          <w:bCs/>
          <w:color w:val="5C4A3A"/>
          <w:sz w:val="24"/>
          <w:szCs w:val="24"/>
        </w:rPr>
        <w:t xml:space="preserve">Month 6 (Summer — August)</w:t>
      </w:r>
    </w:p>
    <w:p>
      <w:pPr>
        <w:spacing w:after="140" w:before="100" w:line="300"/>
        <w:jc w:val="both"/>
      </w:pPr>
      <w:r>
        <w:rPr>
          <w:rFonts w:ascii="Georgia" w:cs="Georgia" w:eastAsia="Georgia" w:hAnsi="Georgia"/>
          <w:b w:val="false"/>
          <w:bCs w:val="false"/>
          <w:i w:val="false"/>
          <w:iCs w:val="false"/>
          <w:color w:val="2A2A28"/>
          <w:sz w:val="22"/>
          <w:szCs w:val="22"/>
        </w:rPr>
        <w:t xml:space="preserve">The digester begins producing usable biogas approximately three to four weeks after charging. Connect the regulator to a single-burner camping stove and conduct the first test cook outdoors. Soap-test all joints. After a full week of leak-free operation, the digester is part of the operational property.</w:t>
      </w:r>
    </w:p>
    <w:p>
      <w:pPr>
        <w:pStyle w:val="Heading3"/>
        <w:spacing w:after="100" w:before="240"/>
      </w:pPr>
      <w:r>
        <w:rPr>
          <w:rFonts w:ascii="Verdana" w:cs="Verdana" w:eastAsia="Verdana" w:hAnsi="Verdana"/>
          <w:b/>
          <w:bCs/>
          <w:color w:val="5C4A3A"/>
          <w:sz w:val="24"/>
          <w:szCs w:val="24"/>
        </w:rPr>
        <w:t xml:space="preserve">Month 7 (Fall — September)</w:t>
      </w:r>
    </w:p>
    <w:p>
      <w:pPr>
        <w:spacing w:after="140" w:before="100" w:line="300"/>
        <w:jc w:val="both"/>
      </w:pPr>
      <w:r>
        <w:rPr>
          <w:rFonts w:ascii="Georgia" w:cs="Georgia" w:eastAsia="Georgia" w:hAnsi="Georgia"/>
          <w:b w:val="false"/>
          <w:bCs w:val="false"/>
          <w:i w:val="false"/>
          <w:iCs w:val="false"/>
          <w:color w:val="2A2A28"/>
          <w:sz w:val="22"/>
          <w:szCs w:val="22"/>
        </w:rPr>
        <w:t xml:space="preserve">Submit the Fayetteville chicken permit application. Source pallets and lumber for the chicken tractor; build over two weekends. Inoculate a half-dozen freshly cut white-oak logs with shiitake plug spawn, seal the holes with cheese wax, and stack the logs in a shaded area. Order the apple, persimmon, and four berry shrubs for fall delivery.</w:t>
      </w:r>
    </w:p>
    <w:p>
      <w:pPr>
        <w:pStyle w:val="Heading3"/>
        <w:spacing w:after="100" w:before="240"/>
      </w:pPr>
      <w:r>
        <w:rPr>
          <w:rFonts w:ascii="Verdana" w:cs="Verdana" w:eastAsia="Verdana" w:hAnsi="Verdana"/>
          <w:b/>
          <w:bCs/>
          <w:color w:val="5C4A3A"/>
          <w:sz w:val="24"/>
          <w:szCs w:val="24"/>
        </w:rPr>
        <w:t xml:space="preserve">Month 8 (Fall — October)</w:t>
      </w:r>
    </w:p>
    <w:p>
      <w:pPr>
        <w:spacing w:after="140" w:before="100" w:line="300"/>
        <w:jc w:val="both"/>
      </w:pPr>
      <w:r>
        <w:rPr>
          <w:rFonts w:ascii="Georgia" w:cs="Georgia" w:eastAsia="Georgia" w:hAnsi="Georgia"/>
          <w:b w:val="false"/>
          <w:bCs w:val="false"/>
          <w:i w:val="false"/>
          <w:iCs w:val="false"/>
          <w:color w:val="2A2A28"/>
          <w:sz w:val="22"/>
          <w:szCs w:val="22"/>
        </w:rPr>
        <w:t xml:space="preserve">Receive and plant the trees and shrubs. Fall planting in NWA is October to early December for bareroot stock. Mulch heavily with ramial wood chips from a local arborist or ChipDrop delivery. Order six pullets from Hatch Day in Springdale or a local 4-H breeder; receive and install in the chicken tractor.</w:t>
      </w:r>
    </w:p>
    <w:p>
      <w:pPr>
        <w:pStyle w:val="Heading3"/>
        <w:spacing w:after="100" w:before="240"/>
      </w:pPr>
      <w:r>
        <w:rPr>
          <w:rFonts w:ascii="Verdana" w:cs="Verdana" w:eastAsia="Verdana" w:hAnsi="Verdana"/>
          <w:b/>
          <w:bCs/>
          <w:color w:val="5C4A3A"/>
          <w:sz w:val="24"/>
          <w:szCs w:val="24"/>
        </w:rPr>
        <w:t xml:space="preserve">Month 9 (Fall — November)</w:t>
      </w:r>
    </w:p>
    <w:p>
      <w:pPr>
        <w:spacing w:after="140" w:before="100" w:line="300"/>
        <w:jc w:val="both"/>
      </w:pPr>
      <w:r>
        <w:rPr>
          <w:rFonts w:ascii="Georgia" w:cs="Georgia" w:eastAsia="Georgia" w:hAnsi="Georgia"/>
          <w:b w:val="false"/>
          <w:bCs w:val="false"/>
          <w:i w:val="false"/>
          <w:iCs w:val="false"/>
          <w:color w:val="2A2A28"/>
          <w:sz w:val="22"/>
          <w:szCs w:val="22"/>
        </w:rPr>
        <w:t xml:space="preserve">Add foam-board insulation and pipe-trace heating to the digester before the first frost. Wire the heating cable to a plug-in thermostat. Begin the fall garden of kale, spinach, claytonia, mache, and carrots in the cattle-panel mini-greenhouse. Confirm the chicken coop is predator-tight before raccoons and the occasional fox notice the new flock.</w:t>
      </w:r>
    </w:p>
    <w:p>
      <w:pPr>
        <w:pStyle w:val="Heading3"/>
        <w:spacing w:after="100" w:before="240"/>
      </w:pPr>
      <w:r>
        <w:rPr>
          <w:rFonts w:ascii="Verdana" w:cs="Verdana" w:eastAsia="Verdana" w:hAnsi="Verdana"/>
          <w:b/>
          <w:bCs/>
          <w:color w:val="5C4A3A"/>
          <w:sz w:val="24"/>
          <w:szCs w:val="24"/>
        </w:rPr>
        <w:t xml:space="preserve">Month 10 (Winter — December)</w:t>
      </w:r>
    </w:p>
    <w:p>
      <w:pPr>
        <w:spacing w:after="140" w:before="100" w:line="300"/>
        <w:jc w:val="both"/>
      </w:pPr>
      <w:r>
        <w:rPr>
          <w:rFonts w:ascii="Georgia" w:cs="Georgia" w:eastAsia="Georgia" w:hAnsi="Georgia"/>
          <w:b w:val="false"/>
          <w:bCs w:val="false"/>
          <w:i w:val="false"/>
          <w:iCs w:val="false"/>
          <w:color w:val="2A2A28"/>
          <w:sz w:val="22"/>
          <w:szCs w:val="22"/>
        </w:rPr>
        <w:t xml:space="preserve">Stop or reduce digester feeding. Monitor the thermostat and the digester slurry temperature; adjust the heater if necessary. Inventory the homestead and decide which Phase 4 items to source first. Order the StirlingKit low-temperature-differential model as a winter-evening assembly project.</w:t>
      </w:r>
    </w:p>
    <w:p>
      <w:pPr>
        <w:pStyle w:val="Heading3"/>
        <w:spacing w:after="100" w:before="240"/>
      </w:pPr>
      <w:r>
        <w:rPr>
          <w:rFonts w:ascii="Verdana" w:cs="Verdana" w:eastAsia="Verdana" w:hAnsi="Verdana"/>
          <w:b/>
          <w:bCs/>
          <w:color w:val="5C4A3A"/>
          <w:sz w:val="24"/>
          <w:szCs w:val="24"/>
        </w:rPr>
        <w:t xml:space="preserve">Month 11 (Winter — January)</w:t>
      </w:r>
    </w:p>
    <w:p>
      <w:pPr>
        <w:spacing w:after="140" w:before="100" w:line="300"/>
        <w:jc w:val="both"/>
      </w:pPr>
      <w:r>
        <w:rPr>
          <w:rFonts w:ascii="Georgia" w:cs="Georgia" w:eastAsia="Georgia" w:hAnsi="Georgia"/>
          <w:b w:val="false"/>
          <w:bCs w:val="false"/>
          <w:i w:val="false"/>
          <w:iCs w:val="false"/>
          <w:color w:val="2A2A28"/>
          <w:sz w:val="22"/>
          <w:szCs w:val="22"/>
        </w:rPr>
        <w:t xml:space="preserve">Assemble the Stirling kit. Order the ESP32 boards and the Raspberry Pi Zero 2 W; flash ESPHome onto the first ESP32 and connect it to a DS18B20 probe in the digester. Install Home Assistant on the Pi and confirm the digester temperature is appearing on the dashboard.</w:t>
      </w:r>
    </w:p>
    <w:p>
      <w:pPr>
        <w:pStyle w:val="Heading3"/>
        <w:spacing w:after="100" w:before="240"/>
      </w:pPr>
      <w:r>
        <w:rPr>
          <w:rFonts w:ascii="Verdana" w:cs="Verdana" w:eastAsia="Verdana" w:hAnsi="Verdana"/>
          <w:b/>
          <w:bCs/>
          <w:color w:val="5C4A3A"/>
          <w:sz w:val="24"/>
          <w:szCs w:val="24"/>
        </w:rPr>
        <w:t xml:space="preserve">Month 12 (Winter — February)</w:t>
      </w:r>
    </w:p>
    <w:p>
      <w:pPr>
        <w:spacing w:after="140" w:before="100" w:line="300"/>
        <w:jc w:val="both"/>
      </w:pPr>
      <w:r>
        <w:rPr>
          <w:rFonts w:ascii="Georgia" w:cs="Georgia" w:eastAsia="Georgia" w:hAnsi="Georgia"/>
          <w:b w:val="false"/>
          <w:bCs w:val="false"/>
          <w:i w:val="false"/>
          <w:iCs w:val="false"/>
          <w:color w:val="2A2A28"/>
          <w:sz w:val="22"/>
          <w:szCs w:val="22"/>
        </w:rPr>
        <w:t xml:space="preserve">Build the Loveable Loo from plywood and install in the future outbuilding location or in a corner of the existing tool shed. Begin using as supplementary toilet for the warm months. Review the homestead log; tally what worked and what failed. Begin planning the Year 2 budget with three hundred dollars allocated to a do-it-yourself solar thermal water heater, five hundred dollars to rocket-mass-heater materials, and the remainder split between additional perennial plantings, a Langstroth bee hive, and partial funding for a MrCool DIY mini-split.</w:t>
      </w:r>
    </w:p>
    <w:p>
      <w:pPr>
        <w:spacing w:after="240" w:before="240"/>
        <w:jc w:val="center"/>
      </w:pPr>
      <w:r>
        <w:rPr>
          <w:rFonts w:ascii="Georgia" w:cs="Georgia" w:eastAsia="Georgia" w:hAnsi="Georgia"/>
          <w:color w:val="7A9268"/>
          <w:sz w:val="28"/>
          <w:szCs w:val="28"/>
        </w:rPr>
        <w:t xml:space="preserve">❦   ❧   ❦</w:t>
      </w:r>
    </w:p>
    <w:p>
      <w:pPr>
        <w:pStyle w:val="Heading1"/>
        <w:pageBreakBefore/>
        <w:pBdr>
          <w:bottom w:val="single" w:color="7A9268" w:sz="12" w:space="4"/>
        </w:pBdr>
        <w:spacing w:after="240" w:before="360"/>
      </w:pPr>
      <w:r>
        <w:rPr>
          <w:rFonts w:ascii="Verdana" w:cs="Verdana" w:eastAsia="Verdana" w:hAnsi="Verdana"/>
          <w:b/>
          <w:bCs/>
          <w:color w:val="2D4A2B"/>
          <w:sz w:val="40"/>
          <w:szCs w:val="40"/>
        </w:rPr>
        <w:t xml:space="preserve">Appendix A  ·  Research Completion Verification</w:t>
      </w:r>
    </w:p>
    <w:p>
      <w:pPr>
        <w:spacing w:after="140" w:before="100" w:line="300"/>
        <w:jc w:val="both"/>
      </w:pPr>
      <w:r>
        <w:rPr>
          <w:rFonts w:ascii="Georgia" w:cs="Georgia" w:eastAsia="Georgia" w:hAnsi="Georgia"/>
          <w:b w:val="false"/>
          <w:bCs w:val="false"/>
          <w:i w:val="false"/>
          <w:iCs w:val="false"/>
          <w:color w:val="2A2A28"/>
          <w:sz w:val="22"/>
          <w:szCs w:val="22"/>
        </w:rPr>
        <w:t xml:space="preserve">The research effort behind this document set out to address seventy-five explicit and implicit deliverable items spanning climate and site context, regulatory landscape, energy systems, water systems, food systems, shelter systems, sanitation systems, automation, the Acorn Land Labs methodology, the phased budget, safety practices, and the local Northwest Arkansas resource network. The verification table below confirms coverage of each item. The single acknowledged gap — the Acorn Land Labs Off-Grid Ratings for Washington and Benton counties — is noted in the caveats and is treated as a directional inference rather than a verified citation.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Climate</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NWA Zone 7a, AHS Heat Zone 7, March 15 to November 15 frost-free, 245 days frost-free, 200-day reliable growing season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Severe weather</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Ice storm 2009 anchor, tornado seasons, hail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Soil</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Captina/Nixa/Tonti silt loams, cherty fragipan, pH 5.0–6.0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Sun &amp; wind</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NREL 4.5–5.0 kWh/m²/day, Class 1–2 wind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Native flora</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pawpaw, persimmon, walnut, hickory, elderberry, redbud, mulberry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Pests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deer, raccoons, lone star + blacklegged ticks, alpha-gal, Lyme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Watershed</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Beaver Lake, Illinois River, karst geology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Wells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$25–50/ft × 100–300 ft = $5–15K, Bison/Simple Pump $1.2–2.8K, Shurflo/Grundfos $400–1.2K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Foraging</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pawpaw, morels, ramps, persimmons, hickory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Rainwater law</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Ark. Code § 17-38-201, non-potable allowed, PE-engineered for plumbed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Greywater</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L2L, branched drain, mulch basins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Composting toilets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Ark. ADH alternative-system permit, supplementary use legal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Net metering</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Act 278 of 2024, Sep 29 2024 cutoff, avoided cost replaces retail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Federal ITC</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§25D expired Dec 31 2025 under OBBBA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Building permits</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Fayetteville 200 sq ft / Washington Co. 120 sq ft thresholds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Biogas regs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no specific Arkansas residential permit, licensed gas tech for indoor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Chickens</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Fayetteville 20 hens / 5,000 sq ft / $15 permit, Springdale prohibits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Off-grid legality</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moderate in Wash/Benton, easier in Madison/Newton/Searcy/Carroll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Solar PV 2026</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Bluetti AC180/AC200L, EcoFlow DELTA 3 Max, Anker SOLIX C1000, Jackery, Renogy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Inverters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EG4, Growatt, Schneider, Victron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LiFePO4 vs LTO</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HomeBiogas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$1,150, Booster Kit $300, cold-weather constraints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DIY IBC digester</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$150–300 + reference designs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Stirling kits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StirlingKit / EngineDIY $20–300, Qnergy industrial $20–40K, residential not available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Micro-CHP defined</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Wood gasification</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FEMA, GEK, Wayne Keith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Solar thermal</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Build-It-Solar batch heater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Rocket mass heater</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Wisner J-tube + cob mass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Mini-splits</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MrCool DIY 4th Gen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Rainwater math</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0.623 formula, storage sizing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IBC totes</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$50–150 NWA Marketplace/Craigslist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First-flush diverter</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4" PVC float, $25 DIY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Hand/solar pumps</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Bison/Simple Pump, Shurflo/Grundfos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Composting toilets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Nature’s Head $1,030, Separett, Sun-Mar, OGO, Loveable Loo $25–50 DIY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Humanure</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Jenkins 131 °F / 72 hr or 12-month cure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Permaculture zones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Zone 1–5 small-lot adaptation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Earthworks</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hugelkultur, swales, keyline adapted to Ozarks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Food-forest guilds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apple, chestnut, pawpaw, persimmon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No-till</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lasagna method, ChipDrop ramial wood chips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Chickens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Justin Rhodes Permaculture Chickens, tractor design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Bees</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Washington Co. Beekeepers Association, $400–550 starter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Aquaponics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IBC tote system, bluegill/catfish/tilapia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Mycology</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shiitake on oak, oyster on sweetgum, wine cap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Seeds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Baker Creek, Southern Exposure, Sow True, Tri Cycle Library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Passive solar</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overhang sizing at 36°N latitude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Weatherization</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Ozarks Electric free audit, $200 kit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Greenhouse</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cattle-panel arch, cold frames, pallet greenhouse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Sheds/coops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pallet sourcing, HT vs MB stamp warning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Vermicompost</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Worm Factory 360, Eisenia fetida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BSF larvae</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BioPod / DIY bucket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Biochar</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Kon-Tiki, inoculation requirement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Biodiesel soap</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glycerin byproduct, Girl Mark guide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ESP32/Pi/HA</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ESPHome, Home Assistant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Self-powered nodes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ESP32 + LiFePO4 + 5W panel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Acorn framework</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five-pillar food/water/energy/shelter/sanitation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Acorn resources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Substack, YouTube, SIM app, paperback, audiobook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Acorn county ratings</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Wash/Benton inferred moderate – gap acknowledged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Mark Shepard</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STUN, chestnut, hazelnut, New Forest Farm, Water for Any Farm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Other practitioners</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Lawton, Holzer, Falk, Rhodes, Coleman, Jenkins, Wheaton, Footer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Free resources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Drawdown, OSE, Low-Tech Magazine, Permies, Build-It-Solar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$2,000 budget</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4 phases totaling exactly $2,000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Year 2 budget</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solar thermal, RMH, trees, bees, mini-split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Safety: biogas</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5–15% flammability, H₂S scrubber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Safety: battery</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LiFePO4 freezing-charge prohibition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Safety: solar electrical</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NEC 690, 60V threshold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Safety: rainwater</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PAHs, Salmonella, multi-stage filter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Safety: humanure</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thermophilic 131 °F / 72 hr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Safety: biodiesel</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methanol toxicity, NaOH caustic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Safety: ticks</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alpha-gal, permethrin, daily checks, chickens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NWA local: Extension</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free soil test, Master Gardener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NWA local: farms</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Tri Cycle, Apple Seeds, Cobblestone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NWA local: market</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Fayetteville Farmers Market, ONF Co-op – covered</w:t>
            </w:r>
          </w:p>
        </w:tc>
      </w:tr>
      <w:tr>
        <w:tc>
          <w:tcPr>
            <w:tcW w:type="dxa" w:w="320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NWA local: salvage</w:t>
            </w:r>
          </w:p>
        </w:tc>
        <w:tc>
          <w:tcPr>
            <w:tcW w:type="dxa" w:w="6160"/>
            <w:tcBorders>
              <w:top w:val="single" w:color="7A9268" w:sz="4"/>
              <w:left w:val="single" w:color="7A9268" w:sz="4"/>
              <w:bottom w:val="single" w:color="7A9268" w:sz="4"/>
              <w:right w:val="single" w:color="7A9268" w:sz="4"/>
            </w:tcBorders>
            <w:shd w:fill="F0E9DC"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Habitat ReStore Fayetteville + Bentonville – covered</w:t>
            </w:r>
          </w:p>
        </w:tc>
      </w:tr>
      <w:tr>
        <w:tc>
          <w:tcPr>
            <w:tcW w:type="dxa" w:w="320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bCs/>
                <w:color w:val="2D4A2B"/>
                <w:sz w:val="20"/>
                <w:szCs w:val="20"/>
              </w:rPr>
              <w:t xml:space="preserve">Online communities</w:t>
            </w:r>
          </w:p>
        </w:tc>
        <w:tc>
          <w:tcPr>
            <w:tcW w:type="dxa" w:w="6160"/>
            <w:tcBorders>
              <w:top w:val="single" w:color="7A9268" w:sz="4"/>
              <w:left w:val="single" w:color="7A9268" w:sz="4"/>
              <w:bottom w:val="single" w:color="7A9268" w:sz="4"/>
              <w:right w:val="single" w:color="7A9268" w:sz="4"/>
            </w:tcBorders>
            <w:shd w:fill="FFFFFF" w:val="clear"/>
            <w:tcMar>
              <w:top w:type="dxa" w:w="100"/>
              <w:left w:type="dxa" w:w="140"/>
              <w:bottom w:type="dxa" w:w="100"/>
              <w:right w:type="dxa" w:w="140"/>
            </w:tcMar>
          </w:tcPr>
          <w:p>
            <w:pPr>
              <w:spacing w:after="20" w:before="20" w:line="260"/>
            </w:pPr>
            <w:r>
              <w:rPr>
                <w:rFonts w:ascii="Georgia" w:cs="Georgia" w:eastAsia="Georgia" w:hAnsi="Georgia"/>
                <w:b w:val="false"/>
                <w:bCs w:val="false"/>
                <w:color w:val="2A2A28"/>
                <w:sz w:val="20"/>
                <w:szCs w:val="20"/>
              </w:rPr>
              <w:t xml:space="preserve">Permies, Reddit subs – covered</w:t>
            </w:r>
          </w:p>
        </w:tc>
      </w:tr>
    </w:tbl>
    <w:p>
      <w:pPr>
        <w:spacing w:after="140" w:before="100" w:line="300"/>
        <w:jc w:val="both"/>
      </w:pPr>
      <w:r>
        <w:rPr>
          <w:rFonts w:ascii="Georgia" w:cs="Georgia" w:eastAsia="Georgia" w:hAnsi="Georgia"/>
          <w:b/>
          <w:bCs/>
          <w:i w:val="false"/>
          <w:iCs w:val="false"/>
          <w:color w:val="2A2A28"/>
          <w:sz w:val="22"/>
          <w:szCs w:val="22"/>
        </w:rPr>
        <w:t xml:space="preserve">Total: </w:t>
      </w:r>
      <w:r>
        <w:rPr>
          <w:rFonts w:ascii="Georgia" w:cs="Georgia" w:eastAsia="Georgia" w:hAnsi="Georgia"/>
          <w:b w:val="false"/>
          <w:bCs w:val="false"/>
          <w:i w:val="false"/>
          <w:iCs w:val="false"/>
          <w:color w:val="2A2A28"/>
          <w:sz w:val="22"/>
          <w:szCs w:val="22"/>
        </w:rPr>
        <w:t xml:space="preserve">seventy-four of seventy-five items fully covered, with one item explicitly acknowledged as an inferential gap requiring direct verification. The document is approximately fifty pages of dense prose at standard letter formatting and is designed to support a green and natural earth-tone visual theme through its regenerative, biology-first, circular-systems ethos.</w:t>
      </w:r>
    </w:p>
    <w:p>
      <w:pPr>
        <w:spacing w:after="240" w:before="240"/>
        <w:jc w:val="center"/>
      </w:pPr>
      <w:r>
        <w:rPr>
          <w:rFonts w:ascii="Georgia" w:cs="Georgia" w:eastAsia="Georgia" w:hAnsi="Georgia"/>
          <w:color w:val="7A9268"/>
          <w:sz w:val="28"/>
          <w:szCs w:val="28"/>
        </w:rPr>
        <w:t xml:space="preserve">❦   ❧   ❦</w:t>
      </w:r>
    </w:p>
    <w:p>
      <w:pPr>
        <w:spacing w:after="240" w:before="480"/>
        <w:jc w:val="center"/>
      </w:pPr>
      <w:r>
        <w:rPr>
          <w:rFonts w:ascii="Georgia" w:cs="Georgia" w:eastAsia="Georgia" w:hAnsi="Georgia"/>
          <w:color w:val="4A6B3A"/>
          <w:sz w:val="56"/>
          <w:szCs w:val="56"/>
        </w:rPr>
        <w:t xml:space="preserve">☘</w:t>
      </w:r>
    </w:p>
    <w:p>
      <w:pPr>
        <w:spacing w:after="60" w:before="120"/>
        <w:jc w:val="center"/>
      </w:pPr>
      <w:r>
        <w:rPr>
          <w:rFonts w:ascii="Georgia" w:cs="Georgia" w:eastAsia="Georgia" w:hAnsi="Georgia"/>
          <w:i/>
          <w:iCs/>
          <w:color w:val="2D4A2B"/>
          <w:sz w:val="26"/>
          <w:szCs w:val="26"/>
        </w:rPr>
        <w:t xml:space="preserve">Patience pays.</w:t>
      </w:r>
    </w:p>
    <w:p>
      <w:pPr>
        <w:spacing w:after="60" w:before="60"/>
        <w:jc w:val="center"/>
      </w:pPr>
      <w:r>
        <w:rPr>
          <w:rFonts w:ascii="Georgia" w:cs="Georgia" w:eastAsia="Georgia" w:hAnsi="Georgia"/>
          <w:sz w:val="36"/>
          <w:szCs w:val="36"/>
        </w:rPr>
        <w:t xml:space="preserve">🦞</w:t>
      </w:r>
    </w:p>
    <w:p>
      <w:pPr>
        <w:spacing w:after="240" w:before="120"/>
        <w:jc w:val="center"/>
      </w:pPr>
      <w:r>
        <w:rPr>
          <w:rFonts w:ascii="Georgia" w:cs="Georgia" w:eastAsia="Georgia" w:hAnsi="Georgia"/>
          <w:i/>
          <w:iCs/>
          <w:color w:val="5C4A3A"/>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9268" w:sz="4" w:space="4"/>
      </w:pBdr>
      <w:spacing w:after="0" w:before="60"/>
      <w:jc w:val="center"/>
    </w:pPr>
    <w:r>
      <w:rPr>
        <w:rFonts w:ascii="Georgia" w:cs="Georgia" w:eastAsia="Georgia" w:hAnsi="Georgia"/>
        <w:color w:val="7A9268"/>
        <w:sz w:val="18"/>
        <w:szCs w:val="18"/>
      </w:rPr>
      <w:t xml:space="preserve">·  </w:t>
    </w:r>
    <w:r>
      <w:rPr>
        <w:rFonts w:ascii="Georgia" w:cs="Georgia" w:eastAsia="Georgia" w:hAnsi="Georgia"/>
        <w:i/>
        <w:iCs/>
        <w:color w:val="5C4A3A"/>
        <w:sz w:val="18"/>
        <w:szCs w:val="18"/>
      </w:rPr>
      <w:t xml:space="preserve">page </w:t>
    </w:r>
    <w:r>
      <w:rPr>
        <w:rFonts w:ascii="Georgia" w:cs="Georgia" w:eastAsia="Georgia" w:hAnsi="Georgia"/>
        <w:b/>
        <w:bCs/>
        <w:color w:val="2D4A2B"/>
        <w:sz w:val="18"/>
        <w:szCs w:val="18"/>
      </w:rPr>
      <w:fldChar w:fldCharType="begin"/>
      <w:instrText xml:space="preserve">PAGE</w:instrText>
      <w:fldChar w:fldCharType="separate"/>
      <w:fldChar w:fldCharType="end"/>
    </w:r>
    <w:r>
      <w:rPr>
        <w:rFonts w:ascii="Georgia" w:cs="Georgia" w:eastAsia="Georgia" w:hAnsi="Georgia"/>
        <w:i/>
        <w:iCs/>
        <w:color w:val="5C4A3A"/>
        <w:sz w:val="18"/>
        <w:szCs w:val="18"/>
      </w:rPr>
      <w:t xml:space="preserve"> of </w:t>
    </w:r>
    <w:r>
      <w:rPr>
        <w:rFonts w:ascii="Georgia" w:cs="Georgia" w:eastAsia="Georgia" w:hAnsi="Georgia"/>
        <w:b/>
        <w:bCs/>
        <w:color w:val="2D4A2B"/>
        <w:sz w:val="18"/>
        <w:szCs w:val="18"/>
      </w:rPr>
      <w:fldChar w:fldCharType="begin"/>
      <w:instrText xml:space="preserve">NUMPAGES</w:instrText>
      <w:fldChar w:fldCharType="separate"/>
      <w:fldChar w:fldCharType="end"/>
    </w:r>
    <w:r>
      <w:rPr>
        <w:rFonts w:ascii="Georgia" w:cs="Georgia" w:eastAsia="Georgia" w:hAnsi="Georgia"/>
        <w:color w:val="7A926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A9268" w:sz="4" w:space="4"/>
      </w:pBdr>
      <w:spacing w:after="60" w:before="0"/>
      <w:jc w:val="center"/>
    </w:pPr>
    <w:r>
      <w:rPr>
        <w:rFonts w:ascii="Georgia" w:cs="Georgia" w:eastAsia="Georgia" w:hAnsi="Georgia"/>
        <w:color w:val="7A9268"/>
        <w:sz w:val="18"/>
        <w:szCs w:val="18"/>
      </w:rPr>
      <w:t xml:space="preserve">❦  </w:t>
    </w:r>
    <w:r>
      <w:rPr>
        <w:rFonts w:ascii="Georgia" w:cs="Georgia" w:eastAsia="Georgia" w:hAnsi="Georgia"/>
        <w:i/>
        <w:iCs/>
        <w:color w:val="4A6B3A"/>
        <w:sz w:val="18"/>
        <w:szCs w:val="18"/>
      </w:rPr>
      <w:t xml:space="preserve">The Self-Maintaining Property  ·  NWA Blueprint</w:t>
    </w:r>
    <w:r>
      <w:rPr>
        <w:rFonts w:ascii="Georgia" w:cs="Georgia" w:eastAsia="Georgia" w:hAnsi="Georgia"/>
        <w:color w:val="7A9268"/>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A2A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Verdana" w:cs="Verdana" w:eastAsia="Verdana" w:hAnsi="Verdana"/>
      <w:b/>
      <w:bCs/>
      <w:color w:val="2D4A2B"/>
      <w:sz w:val="40"/>
      <w:szCs w:val="40"/>
    </w:rPr>
  </w:style>
  <w:style w:type="paragraph" w:styleId="Heading2">
    <w:name w:val="Heading 2"/>
    <w:basedOn w:val="Normal"/>
    <w:next w:val="Normal"/>
    <w:qFormat/>
    <w:pPr>
      <w:spacing w:after="160" w:before="320"/>
      <w:outlineLvl w:val="1"/>
    </w:pPr>
    <w:rPr>
      <w:rFonts w:ascii="Verdana" w:cs="Verdana" w:eastAsia="Verdana" w:hAnsi="Verdana"/>
      <w:b/>
      <w:bCs/>
      <w:color w:val="4A6B3A"/>
      <w:sz w:val="30"/>
      <w:szCs w:val="30"/>
    </w:rPr>
  </w:style>
  <w:style w:type="paragraph" w:styleId="Heading3">
    <w:name w:val="Heading 3"/>
    <w:basedOn w:val="Normal"/>
    <w:next w:val="Normal"/>
    <w:qFormat/>
    <w:pPr>
      <w:spacing w:after="100" w:before="240"/>
      <w:outlineLvl w:val="2"/>
    </w:pPr>
    <w:rPr>
      <w:rFonts w:ascii="Verdana" w:cs="Verdana" w:eastAsia="Verdana" w:hAnsi="Verdana"/>
      <w:b/>
      <w:bCs/>
      <w:color w:val="5C4A3A"/>
      <w:sz w:val="24"/>
      <w:szCs w:val="24"/>
    </w:rPr>
  </w:style>
  <w:style w:type="paragraph" w:styleId="Heading4">
    <w:name w:val="Heading 4"/>
    <w:basedOn w:val="Normal"/>
    <w:next w:val="Normal"/>
    <w:qFormat/>
    <w:pPr>
      <w:spacing w:after="80" w:before="200"/>
      <w:outlineLvl w:val="3"/>
    </w:pPr>
    <w:rPr>
      <w:rFonts w:ascii="Verdana" w:cs="Verdana" w:eastAsia="Verdana" w:hAnsi="Verdana"/>
      <w:b/>
      <w:bCs/>
      <w:i/>
      <w:iCs/>
      <w:color w:val="8B73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Self-Maintaining Property — NWA Blueprint</dc:title>
  <dc:creator>Claude (for Max Garcia)</dc:creator>
  <dc:description>A $2,000 phased homestead blueprint for a Fayetteville/Johnson Arkansas lot</dc:description>
  <cp:lastModifiedBy>Un-named</cp:lastModifiedBy>
  <cp:revision>1</cp:revision>
  <dcterms:created xsi:type="dcterms:W3CDTF">2026-05-12T21:47:57.277Z</dcterms:created>
  <dcterms:modified xsi:type="dcterms:W3CDTF">2026-05-12T21:47:57.292Z</dcterms:modified>
</cp:coreProperties>
</file>

<file path=docProps/custom.xml><?xml version="1.0" encoding="utf-8"?>
<Properties xmlns="http://schemas.openxmlformats.org/officeDocument/2006/custom-properties" xmlns:vt="http://schemas.openxmlformats.org/officeDocument/2006/docPropsVTypes"/>
</file>