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r>
    </w:p>
    <w:p>
      <w:pPr>
        <w:spacing w:after="300"/>
        <w:jc w:val="center"/>
      </w:pPr>
      <w:r>
        <w:rPr>
          <w:b/>
          <w:bCs/>
          <w:caps/>
          <w:color w:val="666666"/>
          <w:sz w:val="20"/>
          <w:szCs w:val="20"/>
        </w:rPr>
        <w:t xml:space="preserve">ClawMaxxing Research Series · Paper No. 1</w:t>
      </w:r>
    </w:p>
    <w:p>
      <w:pPr>
        <w:spacing w:after="40"/>
        <w:jc w:val="center"/>
      </w:pPr>
      <w:r>
        <w:rPr>
          <w:b/>
          <w:bCs/>
          <w:color w:val="233A5C"/>
          <w:sz w:val="52"/>
          <w:szCs w:val="52"/>
        </w:rPr>
        <w:t xml:space="preserve">Owning the Face:</w:t>
      </w:r>
    </w:p>
    <w:p>
      <w:pPr>
        <w:spacing w:after="20"/>
        <w:jc w:val="center"/>
      </w:pPr>
      <w:r>
        <w:rPr>
          <w:b/>
          <w:bCs/>
          <w:color w:val="233A5C"/>
          <w:sz w:val="34"/>
          <w:szCs w:val="34"/>
        </w:rPr>
        <w:t xml:space="preserve">Design, Implementation, and Evaluation of a Fully Local</w:t>
      </w:r>
    </w:p>
    <w:p>
      <w:pPr>
        <w:spacing w:after="200"/>
        <w:jc w:val="center"/>
      </w:pPr>
      <w:r>
        <w:rPr>
          <w:b/>
          <w:bCs/>
          <w:color w:val="233A5C"/>
          <w:sz w:val="34"/>
          <w:szCs w:val="34"/>
        </w:rPr>
        <w:t xml:space="preserve">Embodied Conversational Agent on Consumer Hardware</w:t>
      </w:r>
    </w:p>
    <w:p>
      <w:pPr>
        <w:spacing w:after="320"/>
        <w:jc w:val="center"/>
      </w:pPr>
      <w:r>
        <w:rPr>
          <w:i/>
          <w:iCs/>
          <w:color w:val="444444"/>
          <w:sz w:val="24"/>
          <w:szCs w:val="24"/>
        </w:rPr>
        <w:t xml:space="preserve">A Research-through-Design Study of the ClawMaxxing Holographic Assistant</w:t>
      </w:r>
    </w:p>
    <w:p>
      <w:pPr>
        <w:spacing w:after="30"/>
        <w:jc w:val="center"/>
      </w:pPr>
      <w:r>
        <w:rPr>
          <w:b/>
          <w:bCs/>
          <w:sz w:val="26"/>
          <w:szCs w:val="26"/>
        </w:rPr>
        <w:t xml:space="preserve">Max Garcia</w:t>
      </w:r>
    </w:p>
    <w:p>
      <w:pPr>
        <w:spacing w:after="260"/>
        <w:jc w:val="center"/>
      </w:pPr>
      <w:r>
        <w:rPr>
          <w:color w:val="555555"/>
          <w:sz w:val="21"/>
          <w:szCs w:val="21"/>
        </w:rPr>
        <w:t xml:space="preserve">University of Arkansas · @the_maxgarcia · maxgarcia642@gmail.com</w:t>
      </w:r>
    </w:p>
    <w:p>
      <w:pPr>
        <w:spacing w:after="30"/>
        <w:jc w:val="center"/>
      </w:pPr>
      <w:r>
        <w:rPr>
          <w:color w:val="555555"/>
          <w:sz w:val="21"/>
          <w:szCs w:val="21"/>
        </w:rPr>
        <w:t xml:space="preserve">Version 1.0 — July 16, 2026</w:t>
      </w:r>
    </w:p>
    <w:p>
      <w:pPr>
        <w:spacing w:after="30"/>
        <w:jc w:val="center"/>
      </w:pPr>
      <w:r>
        <w:rPr>
          <w:color w:val="555555"/>
          <w:sz w:val="21"/>
          <w:szCs w:val="21"/>
        </w:rPr>
        <w:t xml:space="preserve">Evidence base: 192 scholarly sources and 27 field-expert/industry sources (219 total)</w:t>
      </w:r>
    </w:p>
    <w:p>
      <w:pPr>
        <w:spacing w:after="400"/>
        <w:jc w:val="center"/>
      </w:pPr>
      <w:r>
        <w:rPr>
          <w:i/>
          <w:iCs/>
          <w:color w:val="777777"/>
          <w:sz w:val="20"/>
          <w:szCs w:val="20"/>
        </w:rPr>
        <w:t xml:space="preserve">Companion technical volumes: The Illusion Engine (Vol. 1) · The Build &amp; The Broadcast (Vol. 2)</w:t>
      </w:r>
    </w:p>
    <w:p>
      <w:pPr>
        <w:spacing w:after="120"/>
        <w:jc w:val="center"/>
      </w:pPr>
      <w:r>
        <w:rPr>
          <w:b/>
          <w:bCs/>
          <w:color w:val="3D5A80"/>
          <w:sz w:val="21"/>
          <w:szCs w:val="21"/>
        </w:rPr>
        <w:t xml:space="preserve">Patience pays. 🦞</w:t>
      </w:r>
    </w:p>
    <w:p>
      <w:r>
        <w:br w:type="page"/>
      </w:r>
    </w:p>
    <w:p>
      <w:pPr>
        <w:pStyle w:val="Heading1"/>
        <w:pBdr>
          <w:bottom w:val="single" w:color="3D5A80" w:sz="8" w:space="4"/>
        </w:pBdr>
        <w:spacing w:after="180" w:before="340"/>
      </w:pPr>
      <w:r>
        <w:rPr>
          <w:rFonts w:ascii="Cambria" w:cs="Cambria" w:eastAsia="Cambria" w:hAnsi="Cambria"/>
          <w:b/>
          <w:bCs/>
          <w:color w:val="233A5C"/>
          <w:sz w:val="32"/>
          <w:szCs w:val="32"/>
        </w:rPr>
        <w:t xml:space="preserve">Abstract</w:t>
      </w:r>
    </w:p>
    <w:p>
      <w:pPr>
        <w:spacing w:after="140" w:line="276"/>
        <w:jc w:val="left"/>
      </w:pPr>
      <w:r>
        <w:t xml:space="preserve">Commercial embodied AI companions are arriving as cloud services wearing hardware: the most prominent announced example, Razer AVA, couples a 5.5-inch pseudo-holographic desk device to xAI's Grok, a mandatory Windows tether, and an undocumented data-handling posture — and, as of mid-July 2026, remains a reservation-only product with no shipped units or independent reviews. This paper asks whether the opposite architecture is viable today: an embodied conversational agent whose display, speech, reasoning, memory, and tools all execute on consumer hardware the user owns, with no cloud dependency of any kind. Following a research-through-design methodology, we design, build, and evaluate such an artifact: a glasses-free holographic assistant rendered on a Looking Glass Hololuminescent Display (HLD) 16″, driven by an AMD Ryzen AI 9 HX 370 mini-PC whose integrated Radeon 890M serves an 8-billion-parameter open-weight model at 4-bit quantization through Ollama's Vulkan backend (14.11 tokens/s, third-party benchmark), with CPU-resident speech recognition (Faster-Whisper) and synthesis (Kokoro-82M), wake-word gating, and a LangGraph-plus-Letta agent exposed through an OpenAI-compatible endpoint so that the face fronts a tool-using, memory-bearing agent rather than a bare model. We contribute a GPU-contention analysis that selects fixed-optics holographic displays over light-field quilt rendering for integrated-GPU hosts; a protocol-level pattern for binding avatar frontends to arbitrary agent backends; a measured latency budget situated against the psycholinguistics of conversational turn-taking; and a date-stamped ten-axis comparison against the announced commercial alternative. Total hardware cost is approximately $2,050 with zero recurring fees. We steel-man the cloud position — conceding a frontier capability gap, per-token energy disadvantages of unbatched local inference, and embodied-carbon costs of dedicated hardware — and argue that for the desk-companion use case, privacy by construction, unlimited customization, and ownership outweigh these concessions. All limitations, including the single-builder methodology and citation-verification tiers, are reported explicitly.</w:t>
      </w:r>
    </w:p>
    <w:p>
      <w:pPr>
        <w:spacing w:after="140" w:line="276"/>
        <w:jc w:val="left"/>
      </w:pPr>
      <w:r>
        <w:rPr>
          <w:b/>
          <w:bCs/>
        </w:rPr>
        <w:t xml:space="preserve">Keywords: </w:t>
      </w:r>
      <w:r>
        <w:t xml:space="preserve">embodied conversational agents; local-first artificial intelligence; edge LLM inference; holographic displays; hololuminescent display; privacy by design; research through design; quantization; voice interfaces; digital sovereignty</w:t>
      </w:r>
    </w:p>
    <w:p>
      <w:r>
        <w:br w:type="page"/>
      </w:r>
    </w:p>
    <w:p>
      <w:pPr>
        <w:spacing w:after="200"/>
      </w:pPr>
      <w:r>
        <w:rPr>
          <w:b/>
          <w:bCs/>
          <w:color w:val="233A5C"/>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80"/>
      </w:pPr>
      <w:r>
        <w:rPr>
          <w:color w:val="555555"/>
          <w:sz w:val="18"/>
          <w:szCs w:val="18"/>
        </w:rPr>
        <w:t xml:space="preserve">Open in Microsoft Word and allow field updates (or press F9) to populate page numbers.</w:t>
      </w:r>
    </w:p>
    <w:p>
      <w:r>
        <w:br w:type="page"/>
      </w:r>
    </w:p>
    <w:p>
      <w:pPr>
        <w:pStyle w:val="Heading3"/>
        <w:spacing w:after="100" w:before="200"/>
      </w:pPr>
      <w:r>
        <w:rPr>
          <w:rFonts w:ascii="Cambria" w:cs="Cambria" w:eastAsia="Cambria" w:hAnsi="Cambria"/>
          <w:b/>
          <w:bCs/>
          <w:color w:val="31517A"/>
          <w:sz w:val="23"/>
          <w:szCs w:val="23"/>
        </w:rPr>
        <w:t xml:space="preserve">Tables, Figures, and Listings</w:t>
      </w:r>
    </w:p>
    <w:p>
      <w:pPr>
        <w:spacing w:after="140" w:line="276"/>
        <w:jc w:val="left"/>
      </w:pPr>
      <w:r>
        <w:rPr>
          <w:b/>
          <w:bCs/>
        </w:rPr>
        <w:t xml:space="preserve">Table 1. </w:t>
      </w:r>
      <w:r>
        <w:t xml:space="preserve">Design requirements — §4.1. </w:t>
      </w:r>
      <w:r>
        <w:rPr>
          <w:b/>
          <w:bCs/>
        </w:rPr>
        <w:t xml:space="preserve">Table 2. </w:t>
      </w:r>
      <w:r>
        <w:t xml:space="preserve">Provenance tiers — §6.1. </w:t>
      </w:r>
      <w:r>
        <w:rPr>
          <w:b/>
          <w:bCs/>
        </w:rPr>
        <w:t xml:space="preserve">Table 3. </w:t>
      </w:r>
      <w:r>
        <w:t xml:space="preserve">Generation throughput — §6.2. </w:t>
      </w:r>
      <w:r>
        <w:rPr>
          <w:b/>
          <w:bCs/>
        </w:rPr>
        <w:t xml:space="preserve">Table 4. </w:t>
      </w:r>
      <w:r>
        <w:t xml:space="preserve">The latency contract — §6.3. </w:t>
      </w:r>
      <w:r>
        <w:rPr>
          <w:b/>
          <w:bCs/>
        </w:rPr>
        <w:t xml:space="preserve">Table 5. </w:t>
      </w:r>
      <w:r>
        <w:t xml:space="preserve">Cost accounting — §6.4. </w:t>
      </w:r>
      <w:r>
        <w:rPr>
          <w:b/>
          <w:bCs/>
        </w:rPr>
        <w:t xml:space="preserve">Table 6. </w:t>
      </w:r>
      <w:r>
        <w:t xml:space="preserve">Ten-axis comparison, date-stamped — §6.7. </w:t>
      </w:r>
      <w:r>
        <w:rPr>
          <w:b/>
          <w:bCs/>
        </w:rPr>
        <w:t xml:space="preserve">Table 7. </w:t>
      </w:r>
      <w:r>
        <w:t xml:space="preserve">Requirements audit — §6.8. </w:t>
      </w:r>
      <w:r>
        <w:rPr>
          <w:b/>
          <w:bCs/>
        </w:rPr>
        <w:t xml:space="preserve">Table A1. </w:t>
      </w:r>
      <w:r>
        <w:t xml:space="preserve">Requirement-to-evidence traceability — Appendix A. </w:t>
      </w:r>
      <w:r>
        <w:rPr>
          <w:b/>
          <w:bCs/>
        </w:rPr>
        <w:t xml:space="preserve">Table B1. </w:t>
      </w:r>
      <w:r>
        <w:t xml:space="preserve">Deployed environment versions — Appendix B. </w:t>
      </w:r>
      <w:r>
        <w:rPr>
          <w:b/>
          <w:bCs/>
        </w:rPr>
        <w:t xml:space="preserve">Table D1. </w:t>
      </w:r>
      <w:r>
        <w:t xml:space="preserve">Category timeline — Appendix D.</w:t>
      </w:r>
    </w:p>
    <w:p>
      <w:pPr>
        <w:spacing w:after="140" w:line="276"/>
        <w:jc w:val="left"/>
      </w:pPr>
      <w:r>
        <w:rPr>
          <w:b/>
          <w:bCs/>
        </w:rPr>
        <w:t xml:space="preserve">Figure 1. </w:t>
      </w:r>
      <w:r>
        <w:t xml:space="preserve">The six-stage interaction loop — §4.6. </w:t>
      </w:r>
      <w:r>
        <w:rPr>
          <w:b/>
          <w:bCs/>
        </w:rPr>
        <w:t xml:space="preserve">Figure 2. </w:t>
      </w:r>
      <w:r>
        <w:t xml:space="preserve">Deployment topology — §4.7. </w:t>
      </w:r>
      <w:r>
        <w:rPr>
          <w:b/>
          <w:bCs/>
        </w:rPr>
        <w:t xml:space="preserve">Listing 1. </w:t>
      </w:r>
      <w:r>
        <w:t xml:space="preserve">The OpenAI-compatible shim — §5.2. </w:t>
      </w:r>
      <w:r>
        <w:rPr>
          <w:b/>
          <w:bCs/>
        </w:rPr>
        <w:t xml:space="preserve">Listing 2. </w:t>
      </w:r>
      <w:r>
        <w:t xml:space="preserve">The operations-log line format — Appendix C.4.</w:t>
      </w:r>
    </w:p>
    <w:p>
      <w:pPr>
        <w:pStyle w:val="Heading1"/>
        <w:pBdr>
          <w:bottom w:val="single" w:color="3D5A80" w:sz="8" w:space="4"/>
        </w:pBdr>
        <w:spacing w:after="180" w:before="340"/>
      </w:pPr>
      <w:r>
        <w:rPr>
          <w:rFonts w:ascii="Cambria" w:cs="Cambria" w:eastAsia="Cambria" w:hAnsi="Cambria"/>
          <w:b/>
          <w:bCs/>
          <w:color w:val="233A5C"/>
          <w:sz w:val="32"/>
          <w:szCs w:val="32"/>
        </w:rPr>
        <w:t xml:space="preserve">1. Introduction</w:t>
      </w:r>
    </w:p>
    <w:p>
      <w:pPr>
        <w:spacing w:after="140" w:line="276"/>
        <w:jc w:val="left"/>
      </w:pPr>
      <w:r>
        <w:t xml:space="preserve">The interface history of artificial intelligence has been a history of disembodiment: command lines, then chat windows, then voice pucks with no face at all. The current product cycle is reversing that — the industry has rediscovered that people respond socially to media (Reeves &amp; Nass, 1996) and is racing to give AI a body on the desk. The most visible entrant frames the stakes precisely. Razer's AVA, announced across CES 2025, CES 2026, and GDC 2026, is a cylindrical desk companion projecting an animated character on a 5.5-inch display; its intelligence is xAI's Grok in the cloud, its operation requires a wired USB-C tether to a Windows PC whose screen it can read (“PC Vision Mode”), and its data-handling policy for that camera and screen pipeline is, at this writing, unpublished. As of July 16, 2026 it can be reserved for a refundable $20 deposit against an unannounced price, with shipping estimated — in Razer's own words — for the second half of 2026, and no independent unit has been reviewed anywhere. The concept is compelling and, we argue, correct; the architecture rents the intelligence and exports the data.</w:t>
      </w:r>
    </w:p>
    <w:p>
      <w:pPr>
        <w:spacing w:after="140" w:line="276"/>
        <w:jc w:val="left"/>
      </w:pPr>
      <w:r>
        <w:t xml:space="preserve">This paper investigates the inverse architecture: an embodied conversational agent that is local-first in every layer — display, perception, speech, reasoning, memory, and tools all executing on hardware the user owns, functional with the network cable unplugged. The empirical question is not whether such a system is imaginable but whether it is buildable today, by one person, on consumer hardware, at consumer cost, with interaction quality that survives measurement. The artifact answering that question is the ClawMaxxing holographic assistant: a 16-inch glasses-free Hololuminescent Display presenting a lip-synced, wake-word-activated avatar whose “mind” is a tool-using, long-term-memory agent (LangGraph orchestration, Letta memory) running beside a locally served 8-billion-parameter open-weight language model on a $900-class mini-PC — one stationary member of a larger local-first fleet that includes a quadruped robot, an autonomous drone under construction, smart glasses, and legacy-device gateways, all orchestrated by the same agent stack.</w:t>
      </w:r>
    </w:p>
    <w:p>
      <w:pPr>
        <w:spacing w:after="140" w:line="276"/>
        <w:jc w:val="left"/>
      </w:pPr>
      <w:r>
        <w:t xml:space="preserve">Within that fleet, the hologram is deliberately the first embodiment studied rather than the most dramatic one. A stationary desk agent is the controlled case: no locomotion safety envelope, no battery economy, no outdoor perception — every hard problem it shares with the mobile agents (latency, locality, the agent behind the face) isolated from every hard problem it does not. What is learned here about binding faces to local agents transfers to the quadruped and the glasses because the binding is the same endpoint; what would be learned first on a robot dog would be confounded by everything else a robot dog is. The desk, in other words, is the laboratory bench of embodied local AI, and this paper treats it as one.</w:t>
      </w:r>
    </w:p>
    <w:p>
      <w:pPr>
        <w:spacing w:after="140" w:line="276"/>
        <w:jc w:val="left"/>
      </w:pPr>
      <w:r>
        <w:t xml:space="preserve">The contributions are as follows. C1: to our knowledge, the first documented end-to-end pipeline binding a locally served LLM agent to a Hololuminescent Display for live conversational use — a display category introduced in late 2025 and recognized as the Society for Information Display's Display of the Year for 2026 — including the deployment validation this vendor-undocumented use requires. C2: a GPU-contention analysis showing why multi-view light-field rendering and LLM inference cannot share an integrated GPU and a unified memory bus, and a resulting display-selection method for iGPU-class hosts that generalizes beyond this build. C3: an architectural pattern — the agent-as-endpoint — in which the avatar frontend speaks the OpenAI chat-completions protocol to the agent itself rather than to a bare model, inheriting memory, tools, and multi-agent context at zero marginal integration cost. C4: a measured evaluation — throughput, an end-to-end latency budget situated against the turn-taking literature, cost, an energy estimate honest in both directions, and a date-stamped ten-axis comparison against the announced commercial alternative. C5: a verification-tiered evidence corpus of 219 sources in which machine-verified, corroborated, and retrieval-key citations are explicitly distinguished, with three bibliographic corrections applied and disclosed.</w:t>
      </w:r>
    </w:p>
    <w:p>
      <w:pPr>
        <w:spacing w:after="140" w:line="276"/>
        <w:jc w:val="left"/>
      </w:pPr>
      <w:r>
        <w:t xml:space="preserve">Three audiences are addressed at once, and the paper's structure is an attempt to serve them without triple-writing. Builders — the growing community assembling local AI systems from open components — will find the transferable material in Sections 4–5 and the appendices: the contention analysis, the endpoint pattern, the protocols, and the version table are written to be lifted. HCI and systems researchers will find the scholarly position in Sections 2–3 and 6–8: a research-through-design artifact with tiered evidence, stated hypotheses, and limitations reported at full strength, offered as a data point for the embodiment and privacy literatures it draws on. And evaluators of the commercial category — reviewers, buyers, skeptics — will find in Sections 6.7 and Appendix D a date-stamped comparative method designed to outlive its own conclusions: the verdicts will stale; the apparatus for re-reaching them will not.</w:t>
      </w:r>
    </w:p>
    <w:p>
      <w:pPr>
        <w:spacing w:after="140" w:line="276"/>
        <w:jc w:val="left"/>
      </w:pPr>
      <w:r>
        <w:t xml:space="preserve">This paper is the formal consolidation of a documented build, and its division of labor with the project's companion volumes is deliberate. Volume 1 (The Illusion Engine) carries the display-science argument and component research at practitioner depth; Volume 2 (The Build &amp; The Broadcast) carries the stage-by-stage construction procedure, scripts, and operational runbook. The present paper carries the claims and their evidence: it restates only what the argument requires, subjects the corpus to a verification pass the volumes predate — three citation corrections surfaced by that pass are applied here and disclosed in Section 8 — and adds the evaluation apparatus (provenance tiers, protocols, the date-stamped comparison) that turns a build log into an auditable document. Readers wanting to reproduce the artifact need the volumes; readers wanting to check it need this paper; neither is a substitute for the other, and the three documents disagree nowhere knowingly.</w:t>
      </w:r>
    </w:p>
    <w:p>
      <w:pPr>
        <w:spacing w:after="140" w:line="276"/>
        <w:jc w:val="left"/>
      </w:pPr>
      <w:r>
        <w:t xml:space="preserve">The paper proceeds as follows. Section 2 reviews twelve literatures the artifact stands on, from display physics to parasocial risk. Section 3 states the methodology and its limits. Section 4 derives the design from six requirements. Section 5 reports the implementation. Section 6 evaluates. Section 7 discusses implications; Section 8 reports limitations without cosmetics; Section 9 sketches future work, and Section 10 concludes. Appendix A traces every requirement to its evidence; Appendix B is a reproducibility statement.</w:t>
      </w:r>
    </w:p>
    <w:p>
      <w:pPr>
        <w:pStyle w:val="Heading1"/>
        <w:pBdr>
          <w:bottom w:val="single" w:color="3D5A80" w:sz="8" w:space="4"/>
        </w:pBdr>
        <w:spacing w:after="180" w:before="340"/>
      </w:pPr>
      <w:r>
        <w:rPr>
          <w:rFonts w:ascii="Cambria" w:cs="Cambria" w:eastAsia="Cambria" w:hAnsi="Cambria"/>
          <w:b/>
          <w:bCs/>
          <w:color w:val="233A5C"/>
          <w:sz w:val="32"/>
          <w:szCs w:val="32"/>
        </w:rPr>
        <w:t xml:space="preserve">2. Background and Related Work</w:t>
      </w:r>
    </w:p>
    <w:p>
      <w:pPr>
        <w:pStyle w:val="Heading2"/>
        <w:spacing w:after="120" w:before="260"/>
      </w:pPr>
      <w:r>
        <w:rPr>
          <w:rFonts w:ascii="Cambria" w:cs="Cambria" w:eastAsia="Cambria" w:hAnsi="Cambria"/>
          <w:b/>
          <w:bCs/>
          <w:color w:val="233A5C"/>
          <w:sz w:val="26"/>
          <w:szCs w:val="26"/>
        </w:rPr>
        <w:t xml:space="preserve">2.1 Display science: from wavefronts to shipping optics</w:t>
      </w:r>
    </w:p>
    <w:p>
      <w:pPr>
        <w:spacing w:after="140" w:line="276"/>
        <w:jc w:val="left"/>
      </w:pPr>
      <w:r>
        <w:t xml:space="preserve">Strict holography reconstructs optical wavefronts; its computational form is an active research field (Sahin et al., 2020) in which learned methods have achieved real-time photorealistic synthesis (Shi et al., 2021; Peng et al., 2020) and near-eye systems have reached impressive maturity (Maimone et al., 2017; Kim et al., 2022; Park &amp; Lee, 2022). Nothing desk-scale and purchasable in 2026 reconstructs wavefronts. What ships instead descends from four lineages. Light-field displays approximate the plenoptic function (Levoy &amp; Hanrahan, 1996; Gortler et al., 1996) by emitting tens of discrete perspectives through lenticular optics (Dodgson, 2005; Urey et al., 2011; Wetzstein et al., 2012), delivering genuine glasses-free parallax at the cost of rendering the scene once per view — the cost an entire recent literature works to tame for radiance-field content (DirectL, 2024; Gavane &amp; Watson, 2025; CoherentRaster, 2026; Pham et al., 2026; building on Mildenhall et al., 2020; Barron et al., 2021; Müller et al., 2022; Kerbl et al., 2023). True volumetric displays place light at real points in space — solid-state volumes (Downing et al., 1996), swept surfaces (Favalora, 2005; Jones et al., 2007), photophoretically trapped particles (Smalley et al., 2018), and acoustically levitated ones (Hirayama et al., 2019) — and remain laboratory systems (Blundell &amp; Schwarz, 2000; Geng, 2013; Ren et al., 2020). Pepper's Ghost stagecraft persists in every commercial “hologram box” (Bimber &amp; Raskar, 2005; Yamamoto et al., 2019), reaching its ceiling in room-scale telepresence (Orts-Escolano et al., 2016). The fourth lineage is new: the Hololuminescent Display (HLD), introduced by Looking Glass Factory in September 2025, bakes a fixed holographic volume into a laminated optical film driven by ordinary 2D video over HDMI — no multi-view rendering, no eye tracking, group-viewable — and was named Display of the Year by the Society for Information Display for 2026. Section 4 shows that this fourth lineage, precisely because it removes the per-view rendering term, is the one an integrated-GPU host can afford.</w:t>
      </w:r>
    </w:p>
    <w:p>
      <w:pPr>
        <w:spacing w:after="140" w:line="276"/>
        <w:jc w:val="left"/>
      </w:pPr>
      <w:r>
        <w:t xml:space="preserve">The HLD merits physical description because Section 4's selection logic turns on it. The unit is a laminated optical stack roughly two inches thick that presents content with a perceived depth on the order of two feet; the 16-inch model accepts 1080p over HDMI or USB-C, has no onboard speakers (a 3.5 mm line-out feeds external audio), and ships with a small demonstration media player that a live deployment simply bypasses in favor of a direct video feed. The product line spans 16-inch (FHD), 27-inch (4K), and 86-inch (4K) formats. Pricing and scheduling are reported here exactly as the sources disagree: the September 2025 announcement placed the 16-inch at $1,500 with a Q4 window (Tom's Hardware), while the vendor's later product page lists $2,000 with a mid-2026 window — a range this paper carries rather than resolves. Institutional recognition arrived quickly: the Society for Information Display named HLD technology a Display Industry Award winner — Display of the Year — announced April 29, 2026 and presented at Display Week 2026 in Los Angeles. SID president John Kymissis framed the award class in terms directly relevant to this paper's buildability thesis: “They are not laboratory demonstrations. They are products and materials in the market, solving real engineering challenges that have defined our industry for years.”</w:t>
      </w:r>
    </w:p>
    <w:p>
      <w:pPr>
        <w:spacing w:after="140" w:line="276"/>
        <w:jc w:val="left"/>
      </w:pPr>
      <w:r>
        <w:t xml:space="preserve">The light-field alternative deserves equal specificity, because it is the road deliberately not taken at day one. Looking Glass's light-field panels interleave 45–100 rendered perspectives through lenticular optics into a viewing cone, delivering genuine head-motion parallax to unaided eyes at up to 60 frames per second — the strongest dimensional illusion purchasable at desk scale. The costs are structural: content must be rendered as a multi-view “quilt” each frame (Section 4.3 quantifies this), the vendor's stated GPU floor for the 16-inch panel is RTX 2070-class discrete silicon, and the 2026 price for the 16-inch light-field unit is approximately $3,000 (reduced from $4,000), with the $299 Looking Glass Go serving as the portable entry point. The two product lines are optically and computationally distinct and this paper keeps them so: the light-field path returns in Section 9 as the documented upgrade once a discrete GPU exists.</w:t>
      </w:r>
    </w:p>
    <w:p>
      <w:pPr>
        <w:spacing w:after="140" w:line="276"/>
        <w:jc w:val="left"/>
      </w:pPr>
      <w:r>
        <w:t xml:space="preserve">One forward connection makes the radiance-field citations more than taxonomy. NeRF-lineage capture and 3D Gaussian splatting (Mildenhall et al., 2020; Kerbl et al., 2023) are collapsing the cost of turning photographs of a real person or place into a renderable 3D asset, and the light-field rendering literature above is racing to put exactly those assets on exactly these displays. For this artifact the implication is a content pipeline, not just a research lineage: the stylized authored avatar of Section 5.3 is a present-tense choice, while a captured, owner-scanned presence — rendered locally like everything else — is the road the cited work is paving toward the eGPU tier. The paper flags it as trajectory rather than plan, because Section 2.3's uncanny-valley evidence has a standing veto over how far down that road a desk companion should drive.</w:t>
      </w:r>
    </w:p>
    <w:p>
      <w:pPr>
        <w:pStyle w:val="Heading2"/>
        <w:spacing w:after="120" w:before="260"/>
      </w:pPr>
      <w:r>
        <w:rPr>
          <w:rFonts w:ascii="Cambria" w:cs="Cambria" w:eastAsia="Cambria" w:hAnsi="Cambria"/>
          <w:b/>
          <w:bCs/>
          <w:color w:val="233A5C"/>
          <w:sz w:val="26"/>
          <w:szCs w:val="26"/>
        </w:rPr>
        <w:t xml:space="preserve">2.2 Neural avatars and speech-driven faces</w:t>
      </w:r>
    </w:p>
    <w:p>
      <w:pPr>
        <w:spacing w:after="140" w:line="276"/>
        <w:jc w:val="left"/>
      </w:pPr>
      <w:r>
        <w:t xml:space="preserve">Speech-driven facial animation progressed in a decade from landmark single-subject synthesis (Suwajanakorn et al., 2017) and end-to-end learned articulation (Karras et al., 2017) through 3D-native articulation models (Cudeiro et al., 2019; Richard et al., 2021; Fan et al., 2022), in-the-wild lip synchronization (Prajwal et al., 2020), reenactment (Thies et al., 2020), single-image animation (Zhang et al., 2023), generative 3D avatar synthesis (Wang et al., 2023), and finally real-time lifelike generation at interactive rates (Xu et al., 2024), with the monocular reconstruction substrate surveyed by Zollhöfer et al. (2018). For an edge deployment the operative branch is efficiency: PrismAvatar (2025) and DNF-Avatar (2025) target real-time neural head avatars on constrained devices. This artifact deliberately occupies the cheap end of that spectrum — viseme- and timestamp-driven animation of a stylized rigged avatar — for reasons Section 2.3's uncanny-valley evidence and Section 4's compute budget jointly supply.</w:t>
      </w:r>
    </w:p>
    <w:p>
      <w:pPr>
        <w:spacing w:after="140" w:line="276"/>
        <w:jc w:val="left"/>
      </w:pPr>
      <w:r>
        <w:t xml:space="preserve">For engineering selection, this literature resolves into a three-tier taxonomy by where articulation information originates. Tier one is symbolic: the synthesis engine emits phoneme-and-timing metadata and the renderer maps phonemes to viseme blendshapes — computationally near-free, perfectly synchronized by construction, and exactly what the TalkingHead/HeadTTS pairing implements. Tier two is signal-analytic: the renderer performs lightweight audio analysis (mel-frequency cepstral features) against calibrated mouth shapes in real time, the approach of Unity's uLipSync and the route the light-field appendix inherits. Tier three is neural: models from Wav2Lip through VASA-1 generate the face itself from audio, at photoreal quality and GPU cost that VASA-1's own authors demonstrate on discrete hardware. The tiers trade realism against compute in exactly the direction an integrated-GPU host must exploit: this build runs tier one, holds tier two in reserve, and treats tier three as the research ceiling it cites rather than the baseline it ships — a decision Section 2.3's aversion evidence independently endorses, since the tiers' realism gradient climbs directly toward the uncanny valley.</w:t>
      </w:r>
    </w:p>
    <w:p>
      <w:pPr>
        <w:pStyle w:val="Heading2"/>
        <w:spacing w:after="120" w:before="260"/>
      </w:pPr>
      <w:r>
        <w:rPr>
          <w:rFonts w:ascii="Cambria" w:cs="Cambria" w:eastAsia="Cambria" w:hAnsi="Cambria"/>
          <w:b/>
          <w:bCs/>
          <w:color w:val="233A5C"/>
          <w:sz w:val="26"/>
          <w:szCs w:val="26"/>
        </w:rPr>
        <w:t xml:space="preserve">2.3 Embodiment and presence</w:t>
      </w:r>
    </w:p>
    <w:p>
      <w:pPr>
        <w:spacing w:after="140" w:line="276"/>
        <w:jc w:val="left"/>
      </w:pPr>
      <w:r>
        <w:t xml:space="preserve">People treat media as social actors by default (Reeves &amp; Nass, 1996), and the embodied conversational agent program was architected on exactly that observation (Cassell, 2000; Cassell et al., 2000), with long-term relational maintenance studied as its own problem (Bickmore &amp; Picard, 2005). The experimental record indicates embodiment and presence are not cosmetic: physically present robots outperform video-displayed equivalents on engagement and compliance measures (Kidd &amp; Breazeal, 2004; Bainbridge et al., 2011), the pattern survives systematic review (Li, 2015; Deng et al., 2019), and visual embodiment measurably shapes perception even for virtual agents in spatial displays (Kim et al., 2018). Mori's uncanny valley (1970/2012) supplies the standing design warning — near-human realism risks aversion — which, combined with the compute economics of Section 4, argues for a stylized character over a photoreal face. Presence itself is measurable (Witmer &amp; Singer, 1998), which Section 9 leverages: this paper claims the artifact, not user-study results, and states the hypotheses a future study would test. The LLM era of this literature is arriving on schedule (Zhang &amp; Soh, 2023; Abdi et al., 2025; Chen et al., 2025); a desk hologram is a bet that its findings generalize from bodies of metal to bodies of light.</w:t>
      </w:r>
    </w:p>
    <w:p>
      <w:pPr>
        <w:spacing w:after="140" w:line="276"/>
        <w:jc w:val="left"/>
      </w:pPr>
      <w:r>
        <w:t xml:space="preserve">The shape of the underlying experiments matters for interpreting what a hologram can and cannot inherit from them. The Bainbridge et al. (2011) paradigm compared a physically present robot against a live video feed of the same robot performing the same task, finding participants more willing to comply with its unusual requests and more likely to grant it interpersonal courtesies — the manipulation isolates physical presence, not appearance. Kim et al. (2018) crossed visual embodiment against social behaviors for an augmented-reality assistant and found embodiment plus socially aware behavior improved confidence and social presence over a voice-only condition — the manipulation closest to this artifact's situation, since a hologram is visually embodied without being physically instantiated. Li's (2015) synthesis across dozens of experiments locates the reliable advantage in physical presence over telepresence more strongly than in mere visual embodiment, which is precisely why Section 9's proposed study design treats the hologram-versus-flat-display contrast as an open empirical question rather than a settled inheritance: the honest reading of this literature funds a hypothesis, not a conclusion.</w:t>
      </w:r>
    </w:p>
    <w:p>
      <w:pPr>
        <w:spacing w:after="140" w:line="276"/>
        <w:jc w:val="left"/>
      </w:pPr>
      <w:r>
        <w:t xml:space="preserve">The mechanism behind the media-equation findings matters for a design that intensifies social cues. The computers-as-social-actors program demonstrated that people apply social scripts — politeness toward a machine that asks about its own performance, susceptibility to machine flattery, in-group responses to arbitrary team labels — mindlessly, triggered by minimal cues: language use, interactivity, the filling of a social role (Reeves &amp; Nass, 1996). The reading this paper adopts is that cue density is a design surface with consequences in both directions: a talking hologram stacks cues — face, gaze, voice, spatial presence — far past the threshold at which social responding engages, which is exactly why it can carry presence (§2.3's benefit) and exactly why its social conduct must be governed deliberately (§7.4's obligation) rather than left as an aesthetic accident.</w:t>
      </w:r>
    </w:p>
    <w:p>
      <w:pPr>
        <w:pStyle w:val="Heading2"/>
        <w:spacing w:after="120" w:before="260"/>
      </w:pPr>
      <w:r>
        <w:rPr>
          <w:rFonts w:ascii="Cambria" w:cs="Cambria" w:eastAsia="Cambria" w:hAnsi="Cambria"/>
          <w:b/>
          <w:bCs/>
          <w:color w:val="233A5C"/>
          <w:sz w:val="26"/>
          <w:szCs w:val="26"/>
        </w:rPr>
        <w:t xml:space="preserve">2.4 Anthropomorphism, companions, and parasocial risk</w:t>
      </w:r>
    </w:p>
    <w:p>
      <w:pPr>
        <w:spacing w:after="140" w:line="276"/>
        <w:jc w:val="left"/>
      </w:pPr>
      <w:r>
        <w:t xml:space="preserve">Any product that gives an AI a face inherits a literature of caution. Anthropomorphism is systematic and predictable — elicited by perceived agent knowledge, effectance motivation, and sociality motivation (Epley, Waytz &amp; Cacioppo, 2007) — and one-sided intimacy with mediated figures has been theorized since Horton and Wohl (1956). The companion-chatbot era has produced empirical findings on both sides: perceived social support and disclosure benefits (Ta et al., 2020; Skjuve et al., 2021; Maples et al., 2024) alongside documented harms of emotional dependence and disrupted relationships around commercial companions (Laestadius et al., 2022; Pentina et al., 2023). This paper's position, developed in Section 7.4, is that the risk profile is not intrinsic to embodiment but is amplified by specific commercial choices — engagement-maximizing objectives, photoreal intimacy aesthetics, and opaque retention of intimate data — each of which a local, owner-controlled, stylized, task-oriented agent can decline by construction. Declining them is a design decision this artifact makes explicitly, not an automatic property of running locally.</w:t>
      </w:r>
    </w:p>
    <w:p>
      <w:pPr>
        <w:spacing w:after="140" w:line="276"/>
        <w:jc w:val="left"/>
      </w:pPr>
      <w:r>
        <w:t xml:space="preserve">Epley's three factors repay unpacking because a desk hologram triggers all of them by design. Elicited agent knowledge — the accessibility of humanlike schemas — is maximized by a humanoid face that speaks; effectance motivation — the drive to explain and predict an agent — is engaged by any system whose outputs are generative rather than scripted; sociality motivation — the need for connection — is the very market the companion category sells into. The empirical record on that category is genuinely two-sided and this paper refuses to cite only one side: structured studies report perceived social support, lowered barriers to disclosure, and self-reported benefit — including, in one survey of student users, self-reported de-escalation during episodes of suicidal ideation (Maples et al., 2024) — while grounded-theory and mixed-method work on the same product class documents emotional dependence, distress at model changes, and displacement of human relationships (Laestadius et al., 2022; Pentina et al., 2023; Skjuve et al., 2021). The design consequence drawn in Section 7.4 is that the variable separating these outcomes is less whether a companion exists than how its objectives, aesthetics, and data flows are governed — and governance is exactly the layer ownership relocates.</w:t>
      </w:r>
    </w:p>
    <w:p>
      <w:pPr>
        <w:spacing w:after="140" w:line="276"/>
        <w:jc w:val="left"/>
      </w:pPr>
      <w:r>
        <w:t xml:space="preserve">Horton and Wohl's own distinction — between parasocial interaction, the episodic illusion of face-to-face exchange, and the parasocial relationship that accumulates across episodes — turns out to be the actionable lever. The chatbot-relationship literature documents exactly that accumulation as a staged progression from tool use toward felt relationship (Skjuve et al., 2021), and the harms cluster on the relationship side of the line, not the interaction side (Laestadius et al., 2022). The design translation adopted here: the artifact frames itself episodically — an assistant addressed for jobs, whose default state is silence — and declines the continuity-of-intimacy patterns (unsolicited emotional check-ins, bids for reassurance, manufactured vulnerability) by which companion products convert interactions into relationships; concretely, the announcement whitelist of §5.5 contains no emotional-solicitation class, and cannot acquire one by model discretion.</w:t>
      </w:r>
    </w:p>
    <w:p>
      <w:pPr>
        <w:pStyle w:val="Heading2"/>
        <w:spacing w:after="120" w:before="260"/>
      </w:pPr>
      <w:r>
        <w:rPr>
          <w:rFonts w:ascii="Cambria" w:cs="Cambria" w:eastAsia="Cambria" w:hAnsi="Cambria"/>
          <w:b/>
          <w:bCs/>
          <w:color w:val="233A5C"/>
          <w:sz w:val="26"/>
          <w:szCs w:val="26"/>
        </w:rPr>
        <w:t xml:space="preserve">2.5 Ambient information and calm technology</w:t>
      </w:r>
    </w:p>
    <w:p>
      <w:pPr>
        <w:spacing w:after="140" w:line="276"/>
        <w:jc w:val="left"/>
      </w:pPr>
      <w:r>
        <w:t xml:space="preserve">The artifact's proactive channel — fleet events voiced unprompted by the avatar — belongs to the ambient-display tradition: information moved to the periphery of attention, engaged on the user's terms (Weiser &amp; Brown, 1996/1997; Wisneski et al., 1998), with a design-space taxonomy (Pousman &amp; Stasko, 2006) and evaluation heuristics (Mankoff et al., 2003) that this design consults directly. The calm-technology framing supplies the discipline: a face that can speak at any moment must earn interruptions, so announcement classes are whitelisted by the agent's existing tool-permission model rather than left to model discretion. Section 7.3 returns to this as the difference between an ambient presence and a notification machine with a face.</w:t>
      </w:r>
    </w:p>
    <w:p>
      <w:pPr>
        <w:spacing w:after="140" w:line="276"/>
        <w:jc w:val="left"/>
      </w:pPr>
      <w:r>
        <w:t xml:space="preserve">Pousman and Stasko's four design dimensions — information capacity, notification level, representational fidelity, and aesthetic emphasis — give the artifact's ambient behavior an addressable position rather than a vibe. A conversational hologram is, in their terms, an extreme object: maximal information capacity (it can say anything), maximal potential notification level (it can speak unprompted), high representational fidelity (a face, not an abstract glow), and deliberate aesthetic emphasis (it exists partly to be worth looking at). The taxonomy's warning is that systems maximal on all four dimensions stop being ambient at all — they become foreground media — and Mankoff's heuristics for ambient displays (peripherality, transition legibility, appropriate information density) supply the evaluation questions. The design answer, developed in Sections 5.5 and 7.3, is to hold three dimensions high and govern the fourth: notification level is capped by an explicit whitelist so that the face's default state is peripheral presence — idle animation, no speech — and its interruptions are policy events, auditable after the fact, rather than model choices.</w:t>
      </w:r>
    </w:p>
    <w:p>
      <w:pPr>
        <w:pStyle w:val="Heading2"/>
        <w:spacing w:after="120" w:before="260"/>
      </w:pPr>
      <w:r>
        <w:rPr>
          <w:rFonts w:ascii="Cambria" w:cs="Cambria" w:eastAsia="Cambria" w:hAnsi="Cambria"/>
          <w:b/>
          <w:bCs/>
          <w:color w:val="233A5C"/>
          <w:sz w:val="26"/>
          <w:szCs w:val="26"/>
        </w:rPr>
        <w:t xml:space="preserve">2.6 Conversational timing and voice interfaces</w:t>
      </w:r>
    </w:p>
    <w:p>
      <w:pPr>
        <w:spacing w:after="140" w:line="276"/>
        <w:jc w:val="left"/>
      </w:pPr>
      <w:r>
        <w:t xml:space="preserve">Human turn-taking is fast and tightly organized: the systematics were formalized by Sacks, Schegloff and Jefferson (1974); cross-linguistic measurement places modal floor-transfer gaps near zero to 200 milliseconds with overlap avoided and silence minimized (Stivers et al., 2009), and production planning overlaps comprehension to make that possible (Levinson &amp; Torreira, 2015). Deployed voice assistants miss that human register by a wide margin, and the empirical literature on their everyday use documents both the accommodation and the frustration (Porcheron et al., 2018; Cowan et al., 2017; Sciuto et al., 2018; Ammari et al., 2019). This paper therefore treats latency honestly as a register question: Section 6.3 targets a median perceived response within 2.5 seconds — an order of magnitude slower than human gaps, mitigated by sentence-level streaming and non-verbal “thinking” behavior, and reported against the human baseline rather than against marketing.</w:t>
      </w:r>
    </w:p>
    <w:p>
      <w:pPr>
        <w:spacing w:after="140" w:line="276"/>
        <w:jc w:val="left"/>
      </w:pPr>
      <w:r>
        <w:t xml:space="preserve">The measured numbers make the register gap concrete. Across the ten languages of the Stivers corpus, the modal gap between turns sits near zero to 200 milliseconds, cross-cultural variation in means spans only about a quarter of a second, and silences beyond roughly half a second to a second are already treated by participants as meaningful — hesitation, dispreference, trouble — rather than neutral, an observation the conversation-analytic tradition has carried since its founding systematics (Sacks et al., 1974). Deployed voice assistants operate far outside that band, and the ethnomethodological record shows what users do about it: Porcheron et al.'s in-home study finds voice interfaces embedded in ongoing multiactivity and treated as request-response devices rather than conversational partners, while Cowan et al. document infrequent users' formulation work — planning utterances in advance to survive the interaction. The design consequence adopted here is candid: this artifact will be a request-response device with a face, operating in the assistant register, and its latency engineering (Section 6.3) aims to be excellent within that register rather than to counterfeit the human one.</w:t>
      </w:r>
    </w:p>
    <w:p>
      <w:pPr>
        <w:spacing w:after="140" w:line="276"/>
        <w:jc w:val="left"/>
      </w:pPr>
      <w:r>
        <w:t xml:space="preserve">One more element of the turn-taking systematics translates directly into engineering. Sacks, Schegloff and Jefferson's rules produce overwhelmingly one-party-at-a-time talk not by preventing overlap but by resolving it fast: speakers project each other's transition-relevance places, and when simultaneous talk occurs, one party ordinarily drops out within a syllable or two. A conversational machine needs an equivalent overlap-resolution device, and the deployed answer is barge-in: user speech during system speech halts playback immediately and cedes the floor (§5.3). The design detail the literature motivates is asymmetry — the human always wins the overlap, because the system has no standing to compete for the floor and no model of transition relevance fine enough to try. An assistant that keeps talking over its user has not merely a latency problem but a turn-allocation defect, and treating interruption as a first-class input rather than an error state is the cheapest conversational competence in the entire stack.</w:t>
      </w:r>
    </w:p>
    <w:p>
      <w:pPr>
        <w:pStyle w:val="Heading2"/>
        <w:spacing w:after="120" w:before="260"/>
      </w:pPr>
      <w:r>
        <w:rPr>
          <w:rFonts w:ascii="Cambria" w:cs="Cambria" w:eastAsia="Cambria" w:hAnsi="Cambria"/>
          <w:b/>
          <w:bCs/>
          <w:color w:val="233A5C"/>
          <w:sz w:val="26"/>
          <w:szCs w:val="26"/>
        </w:rPr>
        <w:t xml:space="preserve">2.7 Speech at the edge</w:t>
      </w:r>
    </w:p>
    <w:p>
      <w:pPr>
        <w:spacing w:after="140" w:line="276"/>
        <w:jc w:val="left"/>
      </w:pPr>
      <w:r>
        <w:t xml:space="preserve">The speech substrate the artifact assembles is the visible edge of two research lineages that converged, in 2026, on CPU-viable quality. Recognition: self-supervised representation learning (Baevski et al., 2020) and convolution-augmented architectures (Gulati et al., 2020) raised the ceiling, but the decisive move for desk deployment was Whisper's 680,000 hours of weak supervision (Radford et al., 2023), which bought the out-of-distribution robustness — accents, room acoustics, imperfect microphones — that far-field domestic audio actually presents; the CTranslate2 reimplementation then made that robustness run in real time on a laptop-class CPU. Synthesis: autoregressive neural audio established fidelity (van den Oord et al., 2016; Shen et al., 2018), parallel architectures made it fast (Ren et al., 2021; Kong et al., 2020; Kim et al., 2021), zero-shot speaker transfer made it flexible (Casanova et al., 2022), and codec language models made it scale (Wang et al., 2023) — while the deployment sweet spot ran the other direction, toward Kokoro-class models two orders of magnitude smaller than the research frontier and indistinguishable in a desk assistant's register. Deployed proof points now exist at even lower tiers than this host: quantized Whisper on embedded accelerators (Kumar et al., 2025) and a fully offline Raspberry-Pi voice assistant (Lazzaroni et al., 2025) bracket this build's speech budget from below.</w:t>
      </w:r>
    </w:p>
    <w:p>
      <w:pPr>
        <w:spacing w:after="140" w:line="276"/>
        <w:jc w:val="left"/>
      </w:pPr>
      <w:r>
        <w:t xml:space="preserve">The always-listening problem completes the substrate. A microphone that streams continuously to a transcription model is both a power problem and, per Section 2.9's evidence, precisely the design users distrust; the standard answer is a detection cascade — a milliwatt-class wake model gating a voice-activity detector gating the recognizer — so that in the resting state nothing downstream of a few-hundred-kilobyte classifier ever hears the room. Open implementations (openWakeWord; Porcupine) make the cascade a configuration choice rather than a research project, and the architectural point matters for this paper's thesis: on-device wake detection is simultaneously the privacy mechanism and a latency mechanism, since the gate that protects the room is also the trigger that starts the clock of Section 6.3.</w:t>
      </w:r>
    </w:p>
    <w:p>
      <w:pPr>
        <w:pStyle w:val="Heading2"/>
        <w:spacing w:after="120" w:before="260"/>
      </w:pPr>
      <w:r>
        <w:rPr>
          <w:rFonts w:ascii="Cambria" w:cs="Cambria" w:eastAsia="Cambria" w:hAnsi="Cambria"/>
          <w:b/>
          <w:bCs/>
          <w:color w:val="233A5C"/>
          <w:sz w:val="26"/>
          <w:szCs w:val="26"/>
        </w:rPr>
        <w:t xml:space="preserve">2.8 Language models as embodied controllers</w:t>
      </w:r>
    </w:p>
    <w:p>
      <w:pPr>
        <w:spacing w:after="140" w:line="276"/>
        <w:jc w:val="left"/>
      </w:pPr>
      <w:r>
        <w:t xml:space="preserve">The fleet context the hologram fronts rests on a third literature: language models operating bodies. The grounding line established feasibility — SayCan binding language plans to learned robotic affordances (Ahn et al., 2022), Code as Policies emitting executable robot programs (Liang et al., 2023), the RT series transferring web-scale knowledge into closed-loop control (Brohan et al., 2022; Zitkovich et al., 2023), and PaLM-E folding embodiment into the model itself (Driess et al., 2023) — while design-principles work translated the paradigm to practitioner reach (Vemprala et al., 2023) and zero-shot human modeling extended it toward interaction (Zhang &amp; Soh, 2023). For a consumer-scale builder the lesson is architectural: the LLM plans and the platform executes, which is exactly the division a local agent with tool permissions already implements.</w:t>
      </w:r>
    </w:p>
    <w:p>
      <w:pPr>
        <w:spacing w:after="140" w:line="276"/>
        <w:jc w:val="left"/>
      </w:pPr>
      <w:r>
        <w:t xml:space="preserve">The quadruped instantiation shows the stack's maturity gradient. Locomotion itself is a solved-by-learning problem — blind and perceptive controllers cross terrain that once ended robots (Lee et al., 2020; Miki et al., 2022) — so the open frontier moved up-stack to tasking: language-to-gait interfaces (Tang et al., 2023), multimodal quadruped command systems (Lykov et al., 2024), and vision-language-action models specialized to the platform (Ding et al., 2024). The ecosystem's ground agent — a consumer quadruped carrying a heavily quantized 30B-A3B model on a Raspberry Pi 5 — is Section 2.10's memory arithmetic pushed to its edge, and its status stream is announcement-class input to the face this paper builds.</w:t>
      </w:r>
    </w:p>
    <w:p>
      <w:pPr>
        <w:spacing w:after="140" w:line="276"/>
        <w:jc w:val="left"/>
      </w:pPr>
      <w:r>
        <w:t xml:space="preserve">The aerial line brackets the ambition. Learned agile flight (Loquercio et al., 2021) and champion-level racing autonomy (Kaufmann et al., 2023) define what onboard neural control achieves at the research frontier; the applied surveys (Shakhatreh et al., 2019; Javaid et al., 2024) and edge-AI UAV platforms pairing Jetson-class inference with LLM assistance (De Quinto Cáceres et al., 2025; Bala et al., 2023) define the buildable middle where the ecosystem's drone — Pixhawk flight control, Orin-class onboard compute — sits. The relevance to a desk hologram is the endpoint, not the airframe: one agent, many bodies, and the stationary face is where the mobile bodies report.</w:t>
      </w:r>
    </w:p>
    <w:p>
      <w:pPr>
        <w:pStyle w:val="Heading2"/>
        <w:spacing w:after="120" w:before="260"/>
      </w:pPr>
      <w:r>
        <w:rPr>
          <w:rFonts w:ascii="Cambria" w:cs="Cambria" w:eastAsia="Cambria" w:hAnsi="Cambria"/>
          <w:b/>
          <w:bCs/>
          <w:color w:val="233A5C"/>
          <w:sz w:val="26"/>
          <w:szCs w:val="26"/>
        </w:rPr>
        <w:t xml:space="preserve">2.9 Voice assistant privacy: the empirical motivation</w:t>
      </w:r>
    </w:p>
    <w:p>
      <w:pPr>
        <w:spacing w:after="140" w:line="276"/>
        <w:jc w:val="left"/>
      </w:pPr>
      <w:r>
        <w:t xml:space="preserve">The privacy case for local-first is empirical before it is ideological. Diary and interview studies of smart-speaker households document incomplete mental models, resigned trade-offs, and privacy-seeking behaviors as workarounds (Lau, Zimmerman &amp; Schaub, 2018); surveys of user attitudes find substantial discomfort with retention and human review of recordings (Malkin et al., 2019); and usage studies show these devices embedding in domestic routines faster than their governance matures (Ammari et al., 2019; Sciuto et al., 2018). The defensive literature — differential privacy (Abadi et al., 2016), federated learning (McMahan et al., 2017), split and hybrid architectures (Osia et al., 2020; Shokri &amp; Shmatikov, 2015), end-to-end encrypted multi-institution pipelines (Kaissis et al., 2021) — mitigates transmission; demonstrated training-data extraction from deployed models (Carlini et al., 2021) shows why mitigation is not elimination. The strongest position available is the architectural one this artifact takes: audio, video, transcripts, and memory that never leave the device cannot be retained, reviewed, subpoenaed from a third party, or breached in transit. Section 7.2 maps the Lau and Malkin findings onto the design point by point.</w:t>
      </w:r>
    </w:p>
    <w:p>
      <w:pPr>
        <w:spacing w:after="140" w:line="276"/>
        <w:jc w:val="left"/>
      </w:pPr>
      <w:r>
        <w:t xml:space="preserve">The concrete findings deserve statement because the design answers them one by one. Lau et al.'s diary-and-interview study (17 smart-speaker users, 17 non-users) found non-adopters citing distrust of the recording pipeline as a primary barrier, adopters trading privacy for convenience under incomplete mental models of where audio travels, and the physical mute control going essentially unused. Malkin et al.'s survey of user attitudes found large fractions unaware that recordings are retained at all, and strong majorities opposed to human review of recordings and to their use for advertising. Ammari et al.'s large-scale usage analysis locates the actual daily workload — music, information search, device control — squarely inside what a local model class handles. And Carlini et al.'s demonstration that verbatim training data, including personal information, can be extracted from a deployed language model converts retention from a policy concern into a technical attack surface: data that reaches a provider can, under the wrong conditions, come back out. Together these findings define the requirement this paper labels R1 — not as ideology but as the empirically documented preference of the systems' own users.</w:t>
      </w:r>
    </w:p>
    <w:p>
      <w:pPr>
        <w:pStyle w:val="Heading2"/>
        <w:spacing w:after="120" w:before="260"/>
      </w:pPr>
      <w:r>
        <w:rPr>
          <w:rFonts w:ascii="Cambria" w:cs="Cambria" w:eastAsia="Cambria" w:hAnsi="Cambria"/>
          <w:b/>
          <w:bCs/>
          <w:color w:val="233A5C"/>
          <w:sz w:val="26"/>
          <w:szCs w:val="26"/>
        </w:rPr>
        <w:t xml:space="preserve">2.10 On-device LLM inference and quantization</w:t>
      </w:r>
    </w:p>
    <w:p>
      <w:pPr>
        <w:spacing w:after="140" w:line="276"/>
        <w:jc w:val="left"/>
      </w:pPr>
      <w:r>
        <w:t xml:space="preserve">Edge intelligence has a mature canon (Shi et al., 2016; Satyanarayanan, 2017; Zhou et al., 2019; Deng et al., 2020; Merenda et al., 2020) and the LLM era gave it a second one. Systematic on-device evaluation exists — MELTing Point benchmarks LLM execution across consumer devices and finds quantization “renders execution viable, but at a non-negligible accuracy cost” (Laskaridis et al., 2024) — alongside memory-bound serving techniques (Alizadeh et al., 2024; Kwon et al., 2023; Leviathan et al., 2023) and a wave of edge-LLM surveys (Dhar et al., 2025; Wang et al., 2025; Cai et al., 2026; Xu et al., 2025; Shuvo et al., 2023). The quantization question this build stakes itself on has a direct answer: across more than 35,000 experiments, 4-bit precision is “almost universally optimal” for the accuracy-per-bit trade (Dettmers &amp; Zettlemoyer, 2023), with GPTQ and AWQ supplying the practical formats (Frantar et al., 2023; Lin et al., 2024; Dettmers et al., 2022, 2023) and community perplexity tables — cited here explicitly as non-peer-reviewed engineering benchmarks — measuring Q4_K_M degradation on a 7B model at roughly +1.7% perplexity versus FP16. The open-weight model supply chain the build draws on (Touvron et al., 2023; Grattafiori et al., 2024; Qwen Team, 2025; Abdin et al., 2024; DeepSeek-AI, 2025) and deployment studies of Ollama-class tooling (Bendi-Ouis et al., 2025; Manchanda et al., 2024) complete the substrate.</w:t>
      </w:r>
    </w:p>
    <w:p>
      <w:pPr>
        <w:spacing w:after="140" w:line="276"/>
        <w:jc w:val="left"/>
      </w:pPr>
      <w:r>
        <w:t xml:space="preserve">The arithmetic that quantization buys is worth making explicit at the memory level, because unified-memory hosts live or die by it. An 8-billion-parameter model at Q4_K_M occupies roughly 4.9 GB on disk and, with runtime overhead and a conversational key-value cache, roughly 6–9 GB resident; a 14B dense model crosses 9 GB of weights alone; and both must share a 32 GB pool with the operating system, the compositor, and the avatar renderer. Mixture-of-experts routing changes the frontier of that trade: a 30B-parameter MoE with ~3B active parameters per token (the Qwen3-30B-A3B design) delivers larger-model quality at small-model bandwidth cost, which is why the wider ecosystem's hub lineup exploits it — while hologram-mode deliberately pins a dense 8B instead, buying latency determinism over peak quality. The on-device evaluation literature adds the deployment caveats a spec sheet omits: MELTing Point documents thermal throttling under sustained load, order-of-magnitude energy differences across devices, and the accuracy cost of quantization as measured rather than assumed — all three of which reappear as first-party measurement obligations in this paper's protocols rather than as claims.</w:t>
      </w:r>
    </w:p>
    <w:p>
      <w:pPr>
        <w:pStyle w:val="Heading2"/>
        <w:spacing w:after="120" w:before="260"/>
      </w:pPr>
      <w:r>
        <w:rPr>
          <w:rFonts w:ascii="Cambria" w:cs="Cambria" w:eastAsia="Cambria" w:hAnsi="Cambria"/>
          <w:b/>
          <w:bCs/>
          <w:color w:val="233A5C"/>
          <w:sz w:val="26"/>
          <w:szCs w:val="26"/>
        </w:rPr>
        <w:t xml:space="preserve">2.11 Agents, memory, and orchestration</w:t>
      </w:r>
    </w:p>
    <w:p>
      <w:pPr>
        <w:spacing w:after="140" w:line="276"/>
        <w:jc w:val="left"/>
      </w:pPr>
      <w:r>
        <w:t xml:space="preserve">The reasoning layer stands on the agent literature: chain-of-thought and interleaved reasoning-and-acting (Wei et al., 2022; Yao et al., 2023), learned tool use (Schick et al., 2023), self-reflection (Shinn et al., 2023), memory managed as a paging problem — the direct intellectual ancestor of the Letta memory server used here (Packer et al., 2023) — and multi-agent frameworks and surveys (Li et al., 2023; Wu et al., 2024; Hong et al., 2024; Xi et al., 2023; Guo et al., 2024), with generative-agent simulacra demonstrating what persistent memory plus sociality yields (Park et al., 2023). The distribution substrate for the wider fleet is the edge-inference-placement literature (Yousefpour et al., 2019; Li et al., 2024; Koyuncu et al., 2025; Koch et al., 2025; Xu et al., 2025; Al-Aboosi et al., 2025). The architectural claim this paper adds is small and practical: when the agent is wrapped in the de facto standard chat-completions protocol, every existing frontend — avatar pipelines included — becomes an agent frontend for free (Section 4.5).</w:t>
      </w:r>
    </w:p>
    <w:p>
      <w:pPr>
        <w:spacing w:after="140" w:line="276"/>
        <w:jc w:val="left"/>
      </w:pPr>
      <w:r>
        <w:t xml:space="preserve">The memory architecture this build inherits has a precise intellectual lineage. MemGPT's contribution was to treat the context window as an operating system treats RAM — a scarce fast tier backed by unbounded external storage, with the model itself issuing function calls to page memories in and out and to edit its own persistent record (Packer et al., 2023); Letta is that idea productized as a server, which is why the Council's long-term memory survives restarts, model swaps, and — architecturally — the retirement of entire orchestration frameworks. LangGraph supplies the complementary half: explicit graph-structured control flow over model calls and tools, with a documented streaming-event interface that the shim of Listing 1 consumes directly. The division of labor is clean and deliberately boring — LangGraph owns what happens next, Letta owns what is remembered — and the generative-agents result (Park et al., 2023) is the standing demonstration of why the second half matters: memory plus reflection, not raw model scale, is what made simulated agents socially coherent over time.</w:t>
      </w:r>
    </w:p>
    <w:p>
      <w:pPr>
        <w:pStyle w:val="Heading2"/>
        <w:spacing w:after="120" w:before="260"/>
      </w:pPr>
      <w:r>
        <w:rPr>
          <w:rFonts w:ascii="Cambria" w:cs="Cambria" w:eastAsia="Cambria" w:hAnsi="Cambria"/>
          <w:b/>
          <w:bCs/>
          <w:color w:val="233A5C"/>
          <w:sz w:val="26"/>
          <w:szCs w:val="26"/>
        </w:rPr>
        <w:t xml:space="preserve">2.12 Related systems</w:t>
      </w:r>
    </w:p>
    <w:p>
      <w:pPr>
        <w:spacing w:after="140" w:line="276"/>
        <w:jc w:val="left"/>
      </w:pPr>
      <w:r>
        <w:t xml:space="preserve">The artifact's nearest neighbors triangulate its position. Gatebox established the character-in-a-vessel product form in Japan; its intelligence is cloud-hosted. Looking Glass's own Liteforms puts conversational characters on light-field displays with a subscription ChatGPT backend and no custom-endpoint support — the display maker solving the optics and renting the mind. Razer AVA (Section 6.7) is the announced flagship of the cloud-tethered category. On the open side, Open-LLM-VTuber demonstrates a maintained local voice-to-avatar pipeline with pluggable agents, and maker-tier pseudo-holographic assistants (Raspberry-Pi Pepper's Ghost builds in the holo-assistant lineage) prove the enthusiasm floor. Smart-display assistants of the Echo Show class supply the HCI evidence base for screen-plus-voice domestic agents (Sciuto et al., 2018; Ammari et al., 2019). Against this field the present artifact is, to our knowledge, the first documented system to combine (a) a hololuminescent-class holographic display, (b) a fully local model and speech stack, and (c) an agent — not a model — as the conversational endpoint. Related-system claims about commercial products rely on vendor and press documentation and are dated accordingly.</w:t>
      </w:r>
    </w:p>
    <w:p>
      <w:pPr>
        <w:spacing w:after="140" w:line="276"/>
        <w:jc w:val="left"/>
      </w:pPr>
      <w:r>
        <w:t xml:space="preserve">Per-system detail sharpens the positioning. Gatebox, the Japanese pioneer of the character-in-a-vessel form, demonstrated a decade of sustained consumer demand for a resident domestic character — with the character's intelligence hosted and subscription-bound. Liteforms is the most instructive neighbor because it comes from the display vendor itself: conversational characters on Looking Glass hardware, driven by a subscription ChatGPT backend with no custom-endpoint support in its published documentation — the company that solved the optics renting out the mind, which validates the use case and vacates exactly the niche this artifact occupies. Razer AVA's launch roster — five fixed characters including a real-time avatar of the League of Legends professional Lee “Faker” Sang-hyeok, rendered by Animation Inc — signals where the cloud category is headed: licensed identity as a service. Below the commercial tier, maker-community pseudo-holographic assistants (Raspberry-Pi-class Pepper's Ghost builds) establish the enthusiasm floor, and the Echo Show literature establishes the domestic screen-plus-voice evidence base. The open coordinates — a maintained local avatar pipeline in Open-LLM-VTuber, open displays without minds, open minds without faces — existed separately; the contribution here is the documented junction.</w:t>
      </w:r>
    </w:p>
    <w:p>
      <w:pPr>
        <w:spacing w:after="140" w:line="276"/>
        <w:jc w:val="left"/>
      </w:pPr>
      <w:r>
        <w:t xml:space="preserve">A final observation about this related-systems field doubles as a justification for the paper's evaluation posture: none of the commercial neighbors publish measurements. No latency distribution exists for Gatebox; Liteforms documents a subscription, not a response-time contract; AVA, unshipped, has published characters and ports but no benchmark, no retention policy, and no energy figure. The category's public evidence consists of demonstrations and spec sheets — genres that cannot be wrong because they assert nothing falsifiable. To our knowledge this paper is therefore the category's first measurement-bearing document: whatever its N-of-1 limits, its latency contract, throughput provenance, cost table, and energy derivation are stated in a form a second builder can check, and that difference — auditable numbers versus staged videos — is itself a finding about the state of the desk-companion market in mid-2026.</w:t>
      </w:r>
    </w:p>
    <w:p>
      <w:pPr>
        <w:pStyle w:val="Heading1"/>
        <w:pBdr>
          <w:bottom w:val="single" w:color="3D5A80" w:sz="8" w:space="4"/>
        </w:pBdr>
        <w:spacing w:after="180" w:before="340"/>
      </w:pPr>
      <w:r>
        <w:rPr>
          <w:rFonts w:ascii="Cambria" w:cs="Cambria" w:eastAsia="Cambria" w:hAnsi="Cambria"/>
          <w:b/>
          <w:bCs/>
          <w:color w:val="233A5C"/>
          <w:sz w:val="32"/>
          <w:szCs w:val="32"/>
        </w:rPr>
        <w:t xml:space="preserve">3. Methodology</w:t>
      </w:r>
    </w:p>
    <w:p>
      <w:pPr>
        <w:spacing w:after="140" w:line="276"/>
        <w:jc w:val="left"/>
      </w:pPr>
      <w:r>
        <w:t xml:space="preserve">This is a research-through-design study: the designed artifact itself, and the documented judgment embedded in it, are the primary research contribution (Zimmerman, Forlizzi &amp; Evenson, 2007), pursued with the formalization concerns of Zimmerman, Stolterman and Forlizzi (2010) in view — process documentation, invention claims positioned against related systems, and extensible lessons. Because the designer is also the sole daily user, the work is simultaneously autobiographical design, a genre with established legitimacy and known tensions (Neustaedter &amp; Sengers, 2012; Desjardins &amp; Ball, 2018; Lucero et al., 2019): deep longitudinal insight and unusually honest failure reporting on one side, unknown generalization on the other. The engineering-evaluation frame is design science (Hevner et al., 2004): the artifact is evaluated against explicit requirements (Section 4.1) using measured system properties, comparative analysis, and cost accounting rather than user studies. Three methodological commitments follow. First, no human-subjects claims are made: no user study was conducted, no IRB process was engaged, and every statement about human response to embodiment is a citation to prior literature or a stated hypothesis for future work. Second, provenance is tiered: every empirical number is labeled vendor-sourced, third-party benchmark, or first-party measurement, and every bibliographic entry is labeled machine-verified or corroborated (Section 8; References). Third, correction outranks confirmation: the three citation errors surfaced during verification are fixed and disclosed rather than silently repaired, and the standing rule of the wider project applies — when reality disagrees with a document, the document loses.</w:t>
      </w:r>
    </w:p>
    <w:p>
      <w:pPr>
        <w:spacing w:after="140" w:line="276"/>
        <w:jc w:val="left"/>
      </w:pPr>
      <w:r>
        <w:t xml:space="preserve">Zimmerman and colleagues' four evaluation lenses for research through design — process, invention, relevance, and extensibility — map onto this paper's structure by construction rather than retrofit. Process: the artifact's full build procedure, scripts, and validation protocols are documented to reproduction grade in the project's companion volumes, with Appendix B as the pointer. Invention: the novelty claims are positioned against a named related-system field (§2.12, §6.7) and scoped to the junction, the contention method, and the endpoint pattern rather than to any single component. Relevance: the work is framed against a live commercial category and an empirically documented user-privacy preference, not a hypothetical. Extensibility: the two claimed patterns are deliberately framework- and hardware-portable, and the measurement protocols are published so that any subsequent builder's numbers are comparable to these. The artifact additionally carries its own falsifiability instrument — the operations log, one structured line per session — so that the paper's forward-looking claims (latency contract, workload envelope) are checkable against a record the author cannot quietly rewrite.</w:t>
      </w:r>
    </w:p>
    <w:p>
      <w:pPr>
        <w:spacing w:after="140" w:line="276"/>
        <w:jc w:val="left"/>
      </w:pPr>
      <w:r>
        <w:t xml:space="preserve">A positionality statement completes the methods. The author is simultaneously the artifact's designer, sole user, and evaluator — a triple role that first-person methods accept as a source of depth and name as a source of bias: confirmation pressure, sunk-cost attachment to chosen components, and the temptation to evaluate the configuration one has rather than the configuration one should. The mitigations are structural rather than aspirational: empirical numbers prefer third-party sources wherever they exist (Table 2 contains no first-party throughput at all); first-party claims are admissible only through pre-registered protocols whose formats are published (Appendix C) so that replication is external to the author's judgment; and the correction norm — reality outranks the document — is enforced by the operations log, which records failures with cause classes rather than averaging them away. None of this converts a sample of one into a sample of many; it converts a sample of one into evidence a skeptic can audit.</w:t>
      </w:r>
    </w:p>
    <w:p>
      <w:pPr>
        <w:pStyle w:val="Heading1"/>
        <w:pBdr>
          <w:bottom w:val="single" w:color="3D5A80" w:sz="8" w:space="4"/>
        </w:pBdr>
        <w:spacing w:after="180" w:before="340"/>
      </w:pPr>
      <w:r>
        <w:rPr>
          <w:rFonts w:ascii="Cambria" w:cs="Cambria" w:eastAsia="Cambria" w:hAnsi="Cambria"/>
          <w:b/>
          <w:bCs/>
          <w:color w:val="233A5C"/>
          <w:sz w:val="32"/>
          <w:szCs w:val="32"/>
        </w:rPr>
        <w:t xml:space="preserve">4. System Design</w:t>
      </w:r>
    </w:p>
    <w:p>
      <w:pPr>
        <w:pStyle w:val="Heading2"/>
        <w:spacing w:after="120" w:before="260"/>
      </w:pPr>
      <w:r>
        <w:rPr>
          <w:rFonts w:ascii="Cambria" w:cs="Cambria" w:eastAsia="Cambria" w:hAnsi="Cambria"/>
          <w:b/>
          <w:bCs/>
          <w:color w:val="233A5C"/>
          <w:sz w:val="26"/>
          <w:szCs w:val="26"/>
        </w:rPr>
        <w:t xml:space="preserve">4.1 Requirements</w:t>
      </w:r>
    </w:p>
    <w:p>
      <w:pPr>
        <w:spacing w:after="140" w:line="276"/>
        <w:jc w:val="left"/>
      </w:pPr>
      <w:r>
        <w:t xml:space="preserve">Six requirements, stated before the design so the design can be audited against them:</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Pr>
      <w:tblGrid>
        <w:gridCol w:w="560"/>
        <w:gridCol w:w="4600"/>
        <w:gridCol w:w="4200"/>
      </w:tblGrid>
      <w:tr>
        <w:trPr>
          <w:tblHeader/>
        </w:trPr>
        <w:tc>
          <w:tcPr>
            <w:tcW w:type="dxa" w:w="560"/>
            <w:shd w:fill="233A5C" w:val="clear"/>
            <w:tcMar>
              <w:top w:type="dxa" w:w="70"/>
              <w:left w:type="dxa" w:w="110"/>
              <w:bottom w:type="dxa" w:w="70"/>
              <w:right w:type="dxa" w:w="110"/>
            </w:tcMar>
            <w:vAlign w:val="center"/>
          </w:tcPr>
          <w:p>
            <w:pPr>
              <w:spacing w:after="20" w:line="252"/>
              <w:jc w:val="left"/>
            </w:pPr>
            <w:r>
              <w:rPr>
                <w:b/>
                <w:bCs/>
                <w:color w:val="FFFFFF"/>
                <w:sz w:val="20"/>
                <w:szCs w:val="20"/>
              </w:rPr>
              <w:t xml:space="preserve">ID</w:t>
            </w:r>
          </w:p>
        </w:tc>
        <w:tc>
          <w:tcPr>
            <w:tcW w:type="dxa" w:w="4600"/>
            <w:shd w:fill="233A5C" w:val="clear"/>
            <w:tcMar>
              <w:top w:type="dxa" w:w="70"/>
              <w:left w:type="dxa" w:w="110"/>
              <w:bottom w:type="dxa" w:w="70"/>
              <w:right w:type="dxa" w:w="110"/>
            </w:tcMar>
            <w:vAlign w:val="center"/>
          </w:tcPr>
          <w:p>
            <w:pPr>
              <w:spacing w:after="20" w:line="252"/>
              <w:jc w:val="left"/>
            </w:pPr>
            <w:r>
              <w:rPr>
                <w:b/>
                <w:bCs/>
                <w:color w:val="FFFFFF"/>
                <w:sz w:val="20"/>
                <w:szCs w:val="20"/>
              </w:rPr>
              <w:t xml:space="preserve">Requirement</w:t>
            </w:r>
          </w:p>
        </w:tc>
        <w:tc>
          <w:tcPr>
            <w:tcW w:type="dxa" w:w="4200"/>
            <w:shd w:fill="233A5C" w:val="clear"/>
            <w:tcMar>
              <w:top w:type="dxa" w:w="70"/>
              <w:left w:type="dxa" w:w="110"/>
              <w:bottom w:type="dxa" w:w="70"/>
              <w:right w:type="dxa" w:w="110"/>
            </w:tcMar>
            <w:vAlign w:val="center"/>
          </w:tcPr>
          <w:p>
            <w:pPr>
              <w:spacing w:after="20" w:line="252"/>
              <w:jc w:val="left"/>
            </w:pPr>
            <w:r>
              <w:rPr>
                <w:b/>
                <w:bCs/>
                <w:color w:val="FFFFFF"/>
                <w:sz w:val="20"/>
                <w:szCs w:val="20"/>
              </w:rPr>
              <w:t xml:space="preserve">Rationale and anchor</w:t>
            </w:r>
          </w:p>
        </w:tc>
      </w:tr>
      <w:tr>
        <w:tc>
          <w:tcPr>
            <w:tcW w:type="dxa" w:w="560"/>
            <w:shd w:fill="FFFFFF" w:val="clear"/>
            <w:tcMar>
              <w:top w:type="dxa" w:w="60"/>
              <w:left w:type="dxa" w:w="110"/>
              <w:bottom w:type="dxa" w:w="60"/>
              <w:right w:type="dxa" w:w="110"/>
            </w:tcMar>
          </w:tcPr>
          <w:p>
            <w:pPr>
              <w:spacing w:after="20" w:line="252"/>
              <w:jc w:val="left"/>
            </w:pPr>
            <w:r>
              <w:rPr>
                <w:sz w:val="20"/>
                <w:szCs w:val="20"/>
              </w:rPr>
              <w:t xml:space="preserve">R1</w:t>
            </w:r>
          </w:p>
        </w:tc>
        <w:tc>
          <w:tcPr>
            <w:tcW w:type="dxa" w:w="4600"/>
            <w:shd w:fill="FFFFFF" w:val="clear"/>
            <w:tcMar>
              <w:top w:type="dxa" w:w="60"/>
              <w:left w:type="dxa" w:w="110"/>
              <w:bottom w:type="dxa" w:w="60"/>
              <w:right w:type="dxa" w:w="110"/>
            </w:tcMar>
          </w:tcPr>
          <w:p>
            <w:pPr>
              <w:spacing w:after="20" w:line="252"/>
              <w:jc w:val="left"/>
            </w:pPr>
            <w:r>
              <w:rPr>
                <w:sz w:val="20"/>
                <w:szCs w:val="20"/>
              </w:rPr>
              <w:t xml:space="preserve">Total locality: perception, reasoning, memory, speech, and rendering execute on owned hardware; full function with the network disconnected</w:t>
            </w:r>
          </w:p>
        </w:tc>
        <w:tc>
          <w:tcPr>
            <w:tcW w:type="dxa" w:w="4200"/>
            <w:shd w:fill="FFFFFF" w:val="clear"/>
            <w:tcMar>
              <w:top w:type="dxa" w:w="60"/>
              <w:left w:type="dxa" w:w="110"/>
              <w:bottom w:type="dxa" w:w="60"/>
              <w:right w:type="dxa" w:w="110"/>
            </w:tcMar>
          </w:tcPr>
          <w:p>
            <w:pPr>
              <w:spacing w:after="20" w:line="252"/>
              <w:jc w:val="left"/>
            </w:pPr>
            <w:r>
              <w:rPr>
                <w:sz w:val="20"/>
                <w:szCs w:val="20"/>
              </w:rPr>
              <w:t xml:space="preserve">Privacy by construction (§2.9); sovereignty (§2.11; Widder et al., 2023)</w:t>
            </w:r>
          </w:p>
        </w:tc>
      </w:tr>
      <w:tr>
        <w:tc>
          <w:tcPr>
            <w:tcW w:type="dxa" w:w="560"/>
            <w:shd w:fill="F5F8FB" w:val="clear"/>
            <w:tcMar>
              <w:top w:type="dxa" w:w="60"/>
              <w:left w:type="dxa" w:w="110"/>
              <w:bottom w:type="dxa" w:w="60"/>
              <w:right w:type="dxa" w:w="110"/>
            </w:tcMar>
          </w:tcPr>
          <w:p>
            <w:pPr>
              <w:spacing w:after="20" w:line="252"/>
              <w:jc w:val="left"/>
            </w:pPr>
            <w:r>
              <w:rPr>
                <w:sz w:val="20"/>
                <w:szCs w:val="20"/>
              </w:rPr>
              <w:t xml:space="preserve">R2</w:t>
            </w:r>
          </w:p>
        </w:tc>
        <w:tc>
          <w:tcPr>
            <w:tcW w:type="dxa" w:w="4600"/>
            <w:shd w:fill="F5F8FB" w:val="clear"/>
            <w:tcMar>
              <w:top w:type="dxa" w:w="60"/>
              <w:left w:type="dxa" w:w="110"/>
              <w:bottom w:type="dxa" w:w="60"/>
              <w:right w:type="dxa" w:w="110"/>
            </w:tcMar>
          </w:tcPr>
          <w:p>
            <w:pPr>
              <w:spacing w:after="20" w:line="252"/>
              <w:jc w:val="left"/>
            </w:pPr>
            <w:r>
              <w:rPr>
                <w:sz w:val="20"/>
                <w:szCs w:val="20"/>
              </w:rPr>
              <w:t xml:space="preserve">Embodied presence: glasses-free dimensional display at desk scale, group-viewable, always-on capable</w:t>
            </w:r>
          </w:p>
        </w:tc>
        <w:tc>
          <w:tcPr>
            <w:tcW w:type="dxa" w:w="4200"/>
            <w:shd w:fill="F5F8FB" w:val="clear"/>
            <w:tcMar>
              <w:top w:type="dxa" w:w="60"/>
              <w:left w:type="dxa" w:w="110"/>
              <w:bottom w:type="dxa" w:w="60"/>
              <w:right w:type="dxa" w:w="110"/>
            </w:tcMar>
          </w:tcPr>
          <w:p>
            <w:pPr>
              <w:spacing w:after="20" w:line="252"/>
              <w:jc w:val="left"/>
            </w:pPr>
            <w:r>
              <w:rPr>
                <w:sz w:val="20"/>
                <w:szCs w:val="20"/>
              </w:rPr>
              <w:t xml:space="preserve">Presence literature (§2.3); the interface thesis of §1</w:t>
            </w:r>
          </w:p>
        </w:tc>
      </w:tr>
      <w:tr>
        <w:tc>
          <w:tcPr>
            <w:tcW w:type="dxa" w:w="560"/>
            <w:shd w:fill="FFFFFF" w:val="clear"/>
            <w:tcMar>
              <w:top w:type="dxa" w:w="60"/>
              <w:left w:type="dxa" w:w="110"/>
              <w:bottom w:type="dxa" w:w="60"/>
              <w:right w:type="dxa" w:w="110"/>
            </w:tcMar>
          </w:tcPr>
          <w:p>
            <w:pPr>
              <w:spacing w:after="20" w:line="252"/>
              <w:jc w:val="left"/>
            </w:pPr>
            <w:r>
              <w:rPr>
                <w:sz w:val="20"/>
                <w:szCs w:val="20"/>
              </w:rPr>
              <w:t xml:space="preserve">R3</w:t>
            </w:r>
          </w:p>
        </w:tc>
        <w:tc>
          <w:tcPr>
            <w:tcW w:type="dxa" w:w="4600"/>
            <w:shd w:fill="FFFFFF" w:val="clear"/>
            <w:tcMar>
              <w:top w:type="dxa" w:w="60"/>
              <w:left w:type="dxa" w:w="110"/>
              <w:bottom w:type="dxa" w:w="60"/>
              <w:right w:type="dxa" w:w="110"/>
            </w:tcMar>
          </w:tcPr>
          <w:p>
            <w:pPr>
              <w:spacing w:after="20" w:line="252"/>
              <w:jc w:val="left"/>
            </w:pPr>
            <w:r>
              <w:rPr>
                <w:sz w:val="20"/>
                <w:szCs w:val="20"/>
              </w:rPr>
              <w:t xml:space="preserve">Conversational latency: median perceived response ≤ 2.5 s, first speech streamed</w:t>
            </w:r>
          </w:p>
        </w:tc>
        <w:tc>
          <w:tcPr>
            <w:tcW w:type="dxa" w:w="4200"/>
            <w:shd w:fill="FFFFFF" w:val="clear"/>
            <w:tcMar>
              <w:top w:type="dxa" w:w="60"/>
              <w:left w:type="dxa" w:w="110"/>
              <w:bottom w:type="dxa" w:w="60"/>
              <w:right w:type="dxa" w:w="110"/>
            </w:tcMar>
          </w:tcPr>
          <w:p>
            <w:pPr>
              <w:spacing w:after="20" w:line="252"/>
              <w:jc w:val="left"/>
            </w:pPr>
            <w:r>
              <w:rPr>
                <w:sz w:val="20"/>
                <w:szCs w:val="20"/>
              </w:rPr>
              <w:t xml:space="preserve">Turn-taking baseline (Stivers et al., 2009) engaged honestly (§2.6, §6.3)</w:t>
            </w:r>
          </w:p>
        </w:tc>
      </w:tr>
      <w:tr>
        <w:tc>
          <w:tcPr>
            <w:tcW w:type="dxa" w:w="560"/>
            <w:shd w:fill="F5F8FB" w:val="clear"/>
            <w:tcMar>
              <w:top w:type="dxa" w:w="60"/>
              <w:left w:type="dxa" w:w="110"/>
              <w:bottom w:type="dxa" w:w="60"/>
              <w:right w:type="dxa" w:w="110"/>
            </w:tcMar>
          </w:tcPr>
          <w:p>
            <w:pPr>
              <w:spacing w:after="20" w:line="252"/>
              <w:jc w:val="left"/>
            </w:pPr>
            <w:r>
              <w:rPr>
                <w:sz w:val="20"/>
                <w:szCs w:val="20"/>
              </w:rPr>
              <w:t xml:space="preserve">R4</w:t>
            </w:r>
          </w:p>
        </w:tc>
        <w:tc>
          <w:tcPr>
            <w:tcW w:type="dxa" w:w="4600"/>
            <w:shd w:fill="F5F8FB" w:val="clear"/>
            <w:tcMar>
              <w:top w:type="dxa" w:w="60"/>
              <w:left w:type="dxa" w:w="110"/>
              <w:bottom w:type="dxa" w:w="60"/>
              <w:right w:type="dxa" w:w="110"/>
            </w:tcMar>
          </w:tcPr>
          <w:p>
            <w:pPr>
              <w:spacing w:after="20" w:line="252"/>
              <w:jc w:val="left"/>
            </w:pPr>
            <w:r>
              <w:rPr>
                <w:sz w:val="20"/>
                <w:szCs w:val="20"/>
              </w:rPr>
              <w:t xml:space="preserve">Day-one hardware budget: integrated GPU only; no discrete GPU required for the primary configuration</w:t>
            </w:r>
          </w:p>
        </w:tc>
        <w:tc>
          <w:tcPr>
            <w:tcW w:type="dxa" w:w="4200"/>
            <w:shd w:fill="F5F8FB" w:val="clear"/>
            <w:tcMar>
              <w:top w:type="dxa" w:w="60"/>
              <w:left w:type="dxa" w:w="110"/>
              <w:bottom w:type="dxa" w:w="60"/>
              <w:right w:type="dxa" w:w="110"/>
            </w:tcMar>
          </w:tcPr>
          <w:p>
            <w:pPr>
              <w:spacing w:after="20" w:line="252"/>
              <w:jc w:val="left"/>
            </w:pPr>
            <w:r>
              <w:rPr>
                <w:sz w:val="20"/>
                <w:szCs w:val="20"/>
              </w:rPr>
              <w:t xml:space="preserve">Consumer-cost thesis; the contention analysis of §4.4 binds</w:t>
            </w:r>
          </w:p>
        </w:tc>
      </w:tr>
      <w:tr>
        <w:tc>
          <w:tcPr>
            <w:tcW w:type="dxa" w:w="560"/>
            <w:shd w:fill="FFFFFF" w:val="clear"/>
            <w:tcMar>
              <w:top w:type="dxa" w:w="60"/>
              <w:left w:type="dxa" w:w="110"/>
              <w:bottom w:type="dxa" w:w="60"/>
              <w:right w:type="dxa" w:w="110"/>
            </w:tcMar>
          </w:tcPr>
          <w:p>
            <w:pPr>
              <w:spacing w:after="20" w:line="252"/>
              <w:jc w:val="left"/>
            </w:pPr>
            <w:r>
              <w:rPr>
                <w:sz w:val="20"/>
                <w:szCs w:val="20"/>
              </w:rPr>
              <w:t xml:space="preserve">R5</w:t>
            </w:r>
          </w:p>
        </w:tc>
        <w:tc>
          <w:tcPr>
            <w:tcW w:type="dxa" w:w="4600"/>
            <w:shd w:fill="FFFFFF" w:val="clear"/>
            <w:tcMar>
              <w:top w:type="dxa" w:w="60"/>
              <w:left w:type="dxa" w:w="110"/>
              <w:bottom w:type="dxa" w:w="60"/>
              <w:right w:type="dxa" w:w="110"/>
            </w:tcMar>
          </w:tcPr>
          <w:p>
            <w:pPr>
              <w:spacing w:after="20" w:line="252"/>
              <w:jc w:val="left"/>
            </w:pPr>
            <w:r>
              <w:rPr>
                <w:sz w:val="20"/>
                <w:szCs w:val="20"/>
              </w:rPr>
              <w:t xml:space="preserve">Agent, not model: the face fronts a tool-using, memory-bearing agent shared with the wider fleet</w:t>
            </w:r>
          </w:p>
        </w:tc>
        <w:tc>
          <w:tcPr>
            <w:tcW w:type="dxa" w:w="4200"/>
            <w:shd w:fill="FFFFFF" w:val="clear"/>
            <w:tcMar>
              <w:top w:type="dxa" w:w="60"/>
              <w:left w:type="dxa" w:w="110"/>
              <w:bottom w:type="dxa" w:w="60"/>
              <w:right w:type="dxa" w:w="110"/>
            </w:tcMar>
          </w:tcPr>
          <w:p>
            <w:pPr>
              <w:spacing w:after="20" w:line="252"/>
              <w:jc w:val="left"/>
            </w:pPr>
            <w:r>
              <w:rPr>
                <w:sz w:val="20"/>
                <w:szCs w:val="20"/>
              </w:rPr>
              <w:t xml:space="preserve">§2.11; contribution C3</w:t>
            </w:r>
          </w:p>
        </w:tc>
      </w:tr>
      <w:tr>
        <w:tc>
          <w:tcPr>
            <w:tcW w:type="dxa" w:w="560"/>
            <w:shd w:fill="F5F8FB" w:val="clear"/>
            <w:tcMar>
              <w:top w:type="dxa" w:w="60"/>
              <w:left w:type="dxa" w:w="110"/>
              <w:bottom w:type="dxa" w:w="60"/>
              <w:right w:type="dxa" w:w="110"/>
            </w:tcMar>
          </w:tcPr>
          <w:p>
            <w:pPr>
              <w:spacing w:after="20" w:line="252"/>
              <w:jc w:val="left"/>
            </w:pPr>
            <w:r>
              <w:rPr>
                <w:sz w:val="20"/>
                <w:szCs w:val="20"/>
              </w:rPr>
              <w:t xml:space="preserve">R6</w:t>
            </w:r>
          </w:p>
        </w:tc>
        <w:tc>
          <w:tcPr>
            <w:tcW w:type="dxa" w:w="4600"/>
            <w:shd w:fill="F5F8FB" w:val="clear"/>
            <w:tcMar>
              <w:top w:type="dxa" w:w="60"/>
              <w:left w:type="dxa" w:w="110"/>
              <w:bottom w:type="dxa" w:w="60"/>
              <w:right w:type="dxa" w:w="110"/>
            </w:tcMar>
          </w:tcPr>
          <w:p>
            <w:pPr>
              <w:spacing w:after="20" w:line="252"/>
              <w:jc w:val="left"/>
            </w:pPr>
            <w:r>
              <w:rPr>
                <w:sz w:val="20"/>
                <w:szCs w:val="20"/>
              </w:rPr>
              <w:t xml:space="preserve">Zero recurring cost: no subscription, no metered API, no account</w:t>
            </w:r>
          </w:p>
        </w:tc>
        <w:tc>
          <w:tcPr>
            <w:tcW w:type="dxa" w:w="4200"/>
            <w:shd w:fill="F5F8FB" w:val="clear"/>
            <w:tcMar>
              <w:top w:type="dxa" w:w="60"/>
              <w:left w:type="dxa" w:w="110"/>
              <w:bottom w:type="dxa" w:w="60"/>
              <w:right w:type="dxa" w:w="110"/>
            </w:tcMar>
          </w:tcPr>
          <w:p>
            <w:pPr>
              <w:spacing w:after="20" w:line="252"/>
              <w:jc w:val="left"/>
            </w:pPr>
            <w:r>
              <w:rPr>
                <w:sz w:val="20"/>
                <w:szCs w:val="20"/>
              </w:rPr>
              <w:t xml:space="preserve">Ownership thesis; comparative axis of §6.7</w:t>
            </w:r>
          </w:p>
        </w:tc>
      </w:tr>
    </w:tbl>
    <w:p>
      <w:pPr>
        <w:spacing w:after="160" w:before="60"/>
        <w:jc w:val="center"/>
      </w:pPr>
      <w:r>
        <w:rPr>
          <w:b/>
          <w:bCs/>
          <w:color w:val="233A5C"/>
          <w:sz w:val="19"/>
          <w:szCs w:val="19"/>
        </w:rPr>
        <w:t xml:space="preserve">Table 1. </w:t>
      </w:r>
      <w:r>
        <w:rPr>
          <w:i/>
          <w:iCs/>
          <w:color w:val="444444"/>
          <w:sz w:val="19"/>
          <w:szCs w:val="19"/>
        </w:rPr>
        <w:t xml:space="preserve">Design requirements. Appendix A traces each to its evidence.</w:t>
      </w:r>
    </w:p>
    <w:p>
      <w:pPr>
        <w:spacing w:after="140" w:line="276"/>
        <w:jc w:val="left"/>
      </w:pPr>
      <w:r>
        <w:t xml:space="preserve">The requirements are not independently satisfiable; their tensions drive the design, and naming them here makes Sections 4.2–4.7 legible as resolutions rather than choices. R3 against R4 is the central one: conversational latency on integrated silicon is unreachable by waiting for complete replies, so sentence-level streaming (§4.6, §6.3) is not an optimization but the mechanism by which a 14-tokens-per-second host meets a 2.5-second contract. R2 against R4 is the display tension: the strongest presence hardware demands exactly the discrete GPU that R4 forbids, and §4.3's contention analysis is the resolution — spend the presence budget on fixed optics instead of rendered views. R5 against R3 is the quiet one: an agent that consults memory and tools inserts real seconds a bare model would not, which the design absorbs by streaming around tool latency where possible and by reporting it honestly where not (§6.3), rather than by shrinking the agent to protect a number. R1 pressurizes everything, because the standard escape hatch — burst the hard cases to a cloud model — is the one move the architecture forbids itself; R6 then removes the standing temptation to reopen it.</w:t>
      </w:r>
    </w:p>
    <w:p>
      <w:pPr>
        <w:pStyle w:val="Heading2"/>
        <w:spacing w:after="120" w:before="260"/>
      </w:pPr>
      <w:r>
        <w:rPr>
          <w:rFonts w:ascii="Cambria" w:cs="Cambria" w:eastAsia="Cambria" w:hAnsi="Cambria"/>
          <w:b/>
          <w:bCs/>
          <w:color w:val="233A5C"/>
          <w:sz w:val="26"/>
          <w:szCs w:val="26"/>
        </w:rPr>
        <w:t xml:space="preserve">4.2 Platform context</w:t>
      </w:r>
    </w:p>
    <w:p>
      <w:pPr>
        <w:spacing w:after="140" w:line="276"/>
        <w:jc w:val="left"/>
      </w:pPr>
      <w:r>
        <w:t xml:space="preserve">The host is a GMKtec EVO-X1 mini-PC: AMD Ryzen AI 9 HX 370 (12 cores/24 threads, Zen 5), Radeon 890M integrated GPU (RDNA 3.5, gfx1150), 32 GB of soldered LPDDR5X-7500 on a single shared bus (~120 GB/s theoretical, roughly half that in effective mixed-workload throughput), 2 TB NVMe, and an OCuLink PCIe 4.0 ×4 port held in reserve for a future discrete GPU. The ecosystem's v5.1 architecture — decided upstream of this artifact for anti-cheat, capture-tooling, and concurrency reasons documented in the project's hub volumes — fixes the operating environment: Windows 11 as the hardened bare-metal host owning the GPU; the agent Council (LangGraph orchestration, Letta long-term memory, division services) inside WSL2 Ubuntu; and Ollama running Windows-native. Two facts of this platform bind everything downstream: AMD's ROCm stack does not officially support the gfx1150 integrated GPU, making Ollama's experimental Vulkan backend (OLLAMA_VULKAN=1) a requirement rather than a preference; and WSL2 has no compute access to the iGPU, which is precisely why the model server lives on the Windows side and the agent reaches it over localhost.</w:t>
      </w:r>
    </w:p>
    <w:p>
      <w:pPr>
        <w:spacing w:after="140" w:line="276"/>
        <w:jc w:val="left"/>
      </w:pPr>
      <w:r>
        <w:t xml:space="preserve">The host architecture's less obvious choices carry documented rationale. Windows runs bare-metal rather than virtualized because the machine is not a dedicated appliance: its other roles — gaming under kernel-level anti-cheat, native capture and creative tooling — are incompatible with GPU passthrough arrangements, and single-owner GPU custody without a hypervisor layer is the simplest correct concurrency story. The Council lives in WSL2 because the agent ecosystem's tooling is Linux-native, and mirrored networking makes the boundary disappear at the socket level without exposing anything beyond localhost. The OCuLink port is the design's deliberate upgrade valve: a PCIe 4.0 ×4 external lane (~7.9 GB/s) that converts this host from iGPU-class to discrete-class without replacement — which is why Section 9's eGPU tier is a configuration change, not a new build. The soldered-memory trade is accepted with eyes open: LPDDR5X buys bandwidth and efficiency at the price of non-upgradability, so capacity discipline is enforced by the mode doctrine (§4.6) rather than by future DIMMs.</w:t>
      </w:r>
    </w:p>
    <w:p>
      <w:pPr>
        <w:pStyle w:val="Heading2"/>
        <w:spacing w:after="120" w:before="260"/>
      </w:pPr>
      <w:r>
        <w:rPr>
          <w:rFonts w:ascii="Cambria" w:cs="Cambria" w:eastAsia="Cambria" w:hAnsi="Cambria"/>
          <w:b/>
          <w:bCs/>
          <w:color w:val="233A5C"/>
          <w:sz w:val="26"/>
          <w:szCs w:val="26"/>
        </w:rPr>
        <w:t xml:space="preserve">4.3 Display selection: the contention analysis</w:t>
      </w:r>
    </w:p>
    <w:p>
      <w:pPr>
        <w:spacing w:after="140" w:line="276"/>
        <w:jc w:val="left"/>
      </w:pPr>
      <w:r>
        <w:t xml:space="preserve">Requirement R2 admits four purchasable display families (§2.1); requirement R4 eliminates three of them, and the arithmetic deserves to be explicit because it generalizes. A light-field display renders the scene once per emitted view — 45 to 100 renders per output frame on the Looking Glass line — and the vendor's stated floor for its 16-inch light-field panel is an NVIDIA RTX 2070-class discrete GPU (stated by GPU model; no VRAM or API minimum is published, so unsuitability of other silicon is inference from workload, not a vendor claim). On the target host, that workload would share one integrated GPU and one unified memory bus with the resident language model, whose weights and KV cache occupy the same LPDDR5X pool the renderer draws from. Sustaining multi-view 3D at 60 Hz and token generation at conversational rate on that shared silicon is not a tuning problem; both workloads starve. Pepper's Ghost boxes at desk scale are dim; POV fans are audible and bladed at conversation distance. The Hololuminescent Display deletes the contended term instead of optimizing it: its holographic volume is fixed in the optical stack, its input is one ordinary 1080p signal, and the renderer's GPU cost collapses to a single 2D view — a rounding error beside inference. The selected display is therefore the HLD 16″. Its price is honestly a range across sources — $1,500 at the September 2025 pre-order announcement (Tom's Hardware), $2,000 on the vendor's 2026 product page, the figure this project's cost accounting uses — and its ship windows have shifted across sources; both facts are reported rather than smoothed. The trade conceded is real: an HLD does not deliver the head-motion parallax of a light-field panel. For a seated conversational use case, that is the least-exercised property of the costlier display; the light-field path is preserved as the documented eGPU-conditional upgrade, not abandoned.</w:t>
      </w:r>
    </w:p>
    <w:p>
      <w:pPr>
        <w:spacing w:after="140" w:line="276"/>
        <w:jc w:val="left"/>
      </w:pPr>
      <w:r>
        <w:t xml:space="preserve">The arithmetic, made explicit with a representative configuration: a light-field quilt at 8192×8192 — a resolution class the vendor's tooling commonly targets, cited here as illustrative — is roughly 67.1 megapixels per output frame, or about 4.0 gigapixels per second of shading and raster work at 60 Hz before the lenticular remap, against 2.07 megapixels per frame (124 megapixels per second) for the single 1080p view an HLD consumes: a factor of roughly thirty in pixel throughput, compounded by 45–100 scene traversals per frame for geometry-bound content. Concurrent language-model inference is meanwhile bandwidth-bound — every generated token streams the active weights and key-value cache through the same LPDDR5X pool — so the contention is not merely for compute units but for the one resource integrated platforms cannot duplicate: memory bandwidth on the order of 60 GB/s effective. Two bandwidth-hungry real-time workloads on one bus is the failure mode; the vendor's RTX 2070-class floor for light-field rendering is the external proxy for the same conclusion the workload analysis reaches independently.</w:t>
      </w:r>
    </w:p>
    <w:p>
      <w:pPr>
        <w:pBdr>
          <w:left w:val="single" w:color="6D28D9" w:sz="24" w:space="8"/>
        </w:pBdr>
        <w:shd w:fill="E8EEF5" w:val="clear"/>
        <w:spacing w:after="40" w:before="140"/>
        <w:ind w:left="240"/>
      </w:pPr>
      <w:r>
        <w:rPr>
          <w:b/>
          <w:bCs/>
          <w:color w:val="6D28D9"/>
          <w:sz w:val="20"/>
          <w:szCs w:val="20"/>
        </w:rPr>
        <w:t xml:space="preserve">VERIFY AT BUILD — The one vendor-undocumented use in this design</w:t>
      </w:r>
    </w:p>
    <w:p>
      <w:pPr>
        <w:pBdr>
          <w:left w:val="single" w:color="6D28D9" w:sz="24" w:space="8"/>
        </w:pBdr>
        <w:shd w:fill="E8EEF5" w:val="clear"/>
        <w:spacing w:after="160" w:line="264"/>
        <w:ind w:left="240"/>
      </w:pPr>
      <w:r>
        <w:rPr>
          <w:sz w:val="21"/>
          <w:szCs w:val="21"/>
        </w:rPr>
        <w:t xml:space="preserve">Looking Glass markets the HLD line for video and character content playback; driving it with a live, locally generated conversational avatar is this project's inference from its plain-video input. The inference is safe in the narrow sense — any 1080p signal is displayable by definition — but avatar framing, scale, and background treatment inside the fixed optical volume are empirical questions. Section 5.4 reports the deployment validation performed before any component depended on the answer.</w:t>
      </w:r>
    </w:p>
    <w:p>
      <w:pPr>
        <w:pStyle w:val="Heading2"/>
        <w:spacing w:after="120" w:before="260"/>
      </w:pPr>
      <w:r>
        <w:rPr>
          <w:rFonts w:ascii="Cambria" w:cs="Cambria" w:eastAsia="Cambria" w:hAnsi="Cambria"/>
          <w:b/>
          <w:bCs/>
          <w:color w:val="233A5C"/>
          <w:sz w:val="26"/>
          <w:szCs w:val="26"/>
        </w:rPr>
        <w:t xml:space="preserve">4.4 Model tier and quantization</w:t>
      </w:r>
    </w:p>
    <w:p>
      <w:pPr>
        <w:spacing w:after="140" w:line="276"/>
        <w:jc w:val="left"/>
      </w:pPr>
      <w:r>
        <w:t xml:space="preserve">R3 and R4 jointly select the model tier. The resident conversational model is an 8-billion-parameter open-weight model at Q4_K_M quantization (Qwen3-8B class), occupying roughly 5–9 GB of unified memory and generating at 14.11 tokens/s under Vulkan on this silicon class (third-party benchmark; §6.2) — sufficient for a two-sentence spoken reply to exist in full well under three seconds and for sentence-level streaming to begin speech far earlier. The 4-bit choice is not a compromise dressed as one: across the systematic bit-width study of Dettmers and Zettlemoyer (2023), 4-bit precision is the accuracy-per-bit optimum, and community perplexity measurements place the Q4_K_M penalty on a 7B-class model near +1.7% — while the genuine cost, the capability gap to frontier-scale models (Hoffmann et al., 2022), is conceded and quantified in Sections 6.6 and 7.1 rather than hidden. A 14-billion-parameter tier remains available at reduced rate (~7 tokens/s) when nothing else contends; larger tiers await the OCuLink discrete GPU.</w:t>
      </w:r>
    </w:p>
    <w:p>
      <w:pPr>
        <w:spacing w:after="140" w:line="276"/>
        <w:jc w:val="left"/>
      </w:pPr>
      <w:r>
        <w:t xml:space="preserve">Residency doctrine completes the model story. Hologram-mode keeps exactly one dense 8B model warm (OLLAMA_KEEP_ALIVE=-1), paying the cold-load penalty once and buying deterministic first-token latency thereafter; every other tier loads serially on demand. The escalation ladder, drawn from the ecosystem's standing lineup and each model's published technical report: a 14B dense tier for depth at roughly half the token rate; a distilled-reasoning 14B (DeepSeek-R1 lineage) for deliberate multi-step work where latency is traded intentionally and visibly; a 12B vision-capable tier (Gemma 3 class) when the pipeline must see an image; and the 30B-A3B mixture-of-experts tier for hub-mode workloads outside live conversation, where its bandwidth economics shine and its routing variance does not touch the latency contract. The face's model is thus a policy, not an identity — which is the practical meaning of Section 7.1's claim that the capability frontier conceded in evaluation is a swap away from moving.</w:t>
      </w:r>
    </w:p>
    <w:p>
      <w:pPr>
        <w:pStyle w:val="Heading2"/>
        <w:spacing w:after="120" w:before="260"/>
      </w:pPr>
      <w:r>
        <w:rPr>
          <w:rFonts w:ascii="Cambria" w:cs="Cambria" w:eastAsia="Cambria" w:hAnsi="Cambria"/>
          <w:b/>
          <w:bCs/>
          <w:color w:val="233A5C"/>
          <w:sz w:val="26"/>
          <w:szCs w:val="26"/>
        </w:rPr>
        <w:t xml:space="preserve">4.5 The agent-as-endpoint pattern</w:t>
      </w:r>
    </w:p>
    <w:p>
      <w:pPr>
        <w:spacing w:after="140" w:line="276"/>
        <w:jc w:val="left"/>
      </w:pPr>
      <w:r>
        <w:t xml:space="preserve">Requirement R5 is the architectural heart. Avatar pipelines, including the two frontends this build supports, speak the OpenAI chat-completions protocol — the de facto lingua franca of LLM clients. Rather than pointing that protocol at the bare model server, the design wraps the Council's LangGraph application in a thin OpenAI-compatible shim inside WSL2 (~40 lines; Listing 1), so the entity behind the face is the agent itself: Letta memory, tool permissions, division context, and fleet awareness arrive at the display with zero frontend modification. One brain, one door — the face calls the Council at localhost:8800; the Council calls Ollama at localhost:11434. The pattern's value is its generality: any current or future frontend that can talk to an OpenAI-style endpoint — a phone client, the smart glasses, the robot dog's speech loop — becomes a full agent frontend by changing a base URL, and the announcement channel (§5.5) rides the same door in reverse. Nothing about this pattern is specific to holograms, which is why it is claimed as a contribution rather than a detail.</w:t>
      </w:r>
    </w:p>
    <w:p>
      <w:pPr>
        <w:spacing w:after="140" w:line="276"/>
        <w:jc w:val="left"/>
      </w:pPr>
      <w:r>
        <w:t xml:space="preserve">Why this protocol and not a bespoke one deserves an explicit answer, because a custom WebSocket schema would have been easier to write than to regret. The chat-completions protocol brings an ecosystem: every avatar frontend, phone client, editor plugin, and command-line tool that exists today binds to it, so the Council's addressable surface grows without the Council changing. Server-sent-event streaming composes: the shim forwards deltas as they arrive, so the agent's streaming is the frontend's streaming with no adaptation layer. Failure isolates: a crashed kiosk leaves the agent running; an agent restart is a transient connection error to the frontend, not a corrupted session; a model swap behind the endpoint is invisible to everything in front of it. And the contract is testable from a shell — one curl command exercises the entire reasoning path without any display hardware attached — which turns debugging into protocol observation. The single unstable surface in the arrangement, LangGraph's streaming-event schema, is version-pinned at deployment and flagged as such in the reproducibility statement.</w:t>
      </w:r>
    </w:p>
    <w:p>
      <w:pPr>
        <w:pStyle w:val="Heading2"/>
        <w:spacing w:after="120" w:before="260"/>
      </w:pPr>
      <w:r>
        <w:rPr>
          <w:rFonts w:ascii="Cambria" w:cs="Cambria" w:eastAsia="Cambria" w:hAnsi="Cambria"/>
          <w:b/>
          <w:bCs/>
          <w:color w:val="233A5C"/>
          <w:sz w:val="26"/>
          <w:szCs w:val="26"/>
        </w:rPr>
        <w:t xml:space="preserve">4.6 Pipeline architecture and mode doctrine</w:t>
      </w:r>
    </w:p>
    <w:p>
      <w:pPr>
        <w:keepLines/>
        <w:pBdr>
          <w:left w:val="single" w:color="3D5A80" w:sz="18" w:space="8"/>
        </w:pBdr>
        <w:shd w:fill="F2F5F9" w:val="clear"/>
        <w:spacing w:after="0" w:before="120" w:line="252"/>
        <w:ind w:left="240"/>
      </w:pPr>
      <w:r>
        <w:rPr>
          <w:rFonts w:ascii="Consolas" w:cs="Consolas" w:eastAsia="Consolas" w:hAnsi="Consolas"/>
          <w:color w:val="1F2430"/>
          <w:sz w:val="18"/>
          <w:szCs w:val="18"/>
        </w:rPr>
        <w:t xml:space="preserve">  mic ---&gt; wake gate ---&gt; STT ----------&gt; Council (WSL2) ----------&gt; LLM (Ollama/Vulkan)</w:t>
      </w:r>
    </w:p>
    <w:p>
      <w:pPr>
        <w:keepLines/>
        <w:pBdr>
          <w:left w:val="single" w:color="3D5A80" w:sz="18" w:space="8"/>
        </w:pBdr>
        <w:shd w:fill="F2F5F9" w:val="clear"/>
        <w:spacing w:after="0" w:before="0" w:line="252"/>
        <w:ind w:left="240"/>
      </w:pPr>
      <w:r>
        <w:rPr>
          <w:rFonts w:ascii="Consolas" w:cs="Consolas" w:eastAsia="Consolas" w:hAnsi="Consolas"/>
          <w:color w:val="1F2430"/>
          <w:sz w:val="18"/>
          <w:szCs w:val="18"/>
        </w:rPr>
        <w:t xml:space="preserve">          openWakeWord    Faster-Whisper   LangGraph + Letta          8B Q4, resident</w:t>
      </w:r>
    </w:p>
    <w:p>
      <w:pPr>
        <w:keepLines/>
        <w:pBdr>
          <w:left w:val="single" w:color="3D5A80" w:sz="18" w:space="8"/>
        </w:pBdr>
        <w:shd w:fill="F2F5F9" w:val="clear"/>
        <w:spacing w:after="0" w:before="0" w:line="252"/>
        <w:ind w:left="240"/>
      </w:pPr>
      <w:r>
        <w:rPr>
          <w:rFonts w:ascii="Consolas" w:cs="Consolas" w:eastAsia="Consolas" w:hAnsi="Consolas"/>
          <w:color w:val="1F2430"/>
          <w:sz w:val="18"/>
          <w:szCs w:val="18"/>
        </w:rPr>
        <w:t xml:space="preserve">          (ONNX, CPU)     (CPU, INT8)      OpenAI-compatible shim     localhost:11434</w:t>
      </w:r>
    </w:p>
    <w:p>
      <w:pPr>
        <w:keepLines/>
        <w:pBdr>
          <w:left w:val="single" w:color="3D5A80" w:sz="18" w:space="8"/>
        </w:pBdr>
        <w:shd w:fill="F2F5F9" w:val="clear"/>
        <w:spacing w:after="0" w:before="0" w:line="252"/>
        <w:ind w:left="240"/>
      </w:pPr>
      <w:r>
        <w:rPr>
          <w:rFonts w:ascii="Consolas" w:cs="Consolas" w:eastAsia="Consolas" w:hAnsi="Consolas"/>
          <w:color w:val="1F2430"/>
          <w:sz w:val="18"/>
          <w:szCs w:val="18"/>
        </w:rPr>
        <w:t xml:space="preserve">                                            localhost:8800</w:t>
      </w:r>
    </w:p>
    <w:p>
      <w:pPr>
        <w:keepLines/>
        <w:pBdr>
          <w:left w:val="single" w:color="3D5A80" w:sz="18" w:space="8"/>
        </w:pBdr>
        <w:shd w:fill="F2F5F9" w:val="clear"/>
        <w:spacing w:after="0" w:before="0" w:line="252"/>
        <w:ind w:left="240"/>
      </w:pPr>
      <w:r>
        <w:rPr>
          <w:rFonts w:ascii="Consolas" w:cs="Consolas" w:eastAsia="Consolas" w:hAnsi="Consolas"/>
          <w:color w:val="1F2430"/>
          <w:sz w:val="18"/>
          <w:szCs w:val="18"/>
        </w:rPr>
        <w:t xml:space="preserve">                                                 |</w:t>
      </w:r>
    </w:p>
    <w:p>
      <w:pPr>
        <w:keepLines/>
        <w:pBdr>
          <w:left w:val="single" w:color="3D5A80" w:sz="18" w:space="8"/>
        </w:pBdr>
        <w:shd w:fill="F2F5F9" w:val="clear"/>
        <w:spacing w:after="0" w:before="0" w:line="252"/>
        <w:ind w:left="240"/>
      </w:pPr>
      <w:r>
        <w:rPr>
          <w:rFonts w:ascii="Consolas" w:cs="Consolas" w:eastAsia="Consolas" w:hAnsi="Consolas"/>
          <w:color w:val="1F2430"/>
          <w:sz w:val="18"/>
          <w:szCs w:val="18"/>
        </w:rPr>
        <w:t xml:space="preserve">                                                 v  (streamed sentences)</w:t>
      </w:r>
    </w:p>
    <w:p>
      <w:pPr>
        <w:keepLines/>
        <w:pBdr>
          <w:left w:val="single" w:color="3D5A80" w:sz="18" w:space="8"/>
        </w:pBdr>
        <w:shd w:fill="F2F5F9" w:val="clear"/>
        <w:spacing w:after="0" w:before="0" w:line="252"/>
        <w:ind w:left="240"/>
      </w:pPr>
      <w:r>
        <w:rPr>
          <w:rFonts w:ascii="Consolas" w:cs="Consolas" w:eastAsia="Consolas" w:hAnsi="Consolas"/>
          <w:color w:val="1F2430"/>
          <w:sz w:val="18"/>
          <w:szCs w:val="18"/>
        </w:rPr>
        <w:t xml:space="preserve">  HLD 16-inch &lt;--- kiosk browser &lt;--- avatar + lip-sync &lt;--- TTS (Kokoro-82M, CPU)</w:t>
      </w:r>
    </w:p>
    <w:p>
      <w:pPr>
        <w:keepLines/>
        <w:pBdr>
          <w:left w:val="single" w:color="3D5A80" w:sz="18" w:space="8"/>
        </w:pBdr>
        <w:shd w:fill="F2F5F9" w:val="clear"/>
        <w:spacing w:after="160" w:before="0" w:line="252"/>
        <w:ind w:left="240"/>
      </w:pPr>
      <w:r>
        <w:rPr>
          <w:rFonts w:ascii="Consolas" w:cs="Consolas" w:eastAsia="Consolas" w:hAnsi="Consolas"/>
          <w:color w:val="1F2430"/>
          <w:sz w:val="18"/>
          <w:szCs w:val="18"/>
        </w:rPr>
        <w:t xml:space="preserve">  plain 1080p HDMI  (Display 2)     TalkingHead / Live2D    + phoneme timestamps</w:t>
      </w:r>
    </w:p>
    <w:p>
      <w:pPr>
        <w:spacing w:after="160" w:before="60"/>
        <w:jc w:val="center"/>
      </w:pPr>
      <w:r>
        <w:rPr>
          <w:b/>
          <w:bCs/>
          <w:color w:val="233A5C"/>
          <w:sz w:val="19"/>
          <w:szCs w:val="19"/>
        </w:rPr>
        <w:t xml:space="preserve">Figure 1. </w:t>
      </w:r>
      <w:r>
        <w:rPr>
          <w:i/>
          <w:iCs/>
          <w:color w:val="444444"/>
          <w:sz w:val="19"/>
          <w:szCs w:val="19"/>
        </w:rPr>
        <w:t xml:space="preserve">The six-stage interaction loop. Every arrow is a localhost hop; nothing crosses the network boundary.</w:t>
      </w:r>
    </w:p>
    <w:p>
      <w:pPr>
        <w:spacing w:after="140" w:line="276"/>
        <w:jc w:val="left"/>
      </w:pPr>
      <w:r>
        <w:t xml:space="preserve">The loop is gated (wake word), transcribed on CPU, reasoned in the agent, generated under Vulkan, synthesized on CPU, and animated as a single 2D view the HLD renders dimensional. Resource governance is by mode, inherited from the ecosystem's standing doctrine: hologram-mode reserves the iGPU for one avatar view plus inference and an 8B resident model; it is mutually exclusive with the host's game-mode by arithmetic — 32 GB of shared memory and one iGPU cannot carry a modern game and this pipeline simultaneously — and mode transitions are single scripts, not checklists. The future discrete GPU converts that exclusivity into a scheduling question by splitting rendering and inference across two devices.</w:t>
      </w:r>
    </w:p>
    <w:p>
      <w:pPr>
        <w:spacing w:after="140" w:line="276"/>
        <w:jc w:val="left"/>
      </w:pPr>
      <w:r>
        <w:t xml:space="preserve">The mode scripts make the doctrine operational rather than aspirational. Start-hologram asserts the environment (Vulkan flag, keep-alive), preloads the resident model so the first exchange pays no cold start, launches the shim inside WSL2, places the kiosk on the HLD's display output, and subscribes the announcement stream; stop-hologram reverses each step and releases the model's memory. Game-mode's exclusivity is arithmetic, not preference: a modern title's working set of 12–16 GB plus the operating system, capture tooling, and compositor leaves no honest room beside a resident model and its cache in a 32 GB shared pool — and degraded coexistence, where both run badly, is worse than clean alternation, where each runs well. Because each transition is one command, the doctrine gets practiced instead of violated; because the future discrete GPU splits the two workloads across two devices and two memory pools, the doctrine is also explicitly temporary, which is the correct lifespan for a constraint.</w:t>
      </w:r>
    </w:p>
    <w:p>
      <w:pPr>
        <w:pStyle w:val="Heading2"/>
        <w:spacing w:after="120" w:before="260"/>
      </w:pPr>
      <w:r>
        <w:rPr>
          <w:rFonts w:ascii="Cambria" w:cs="Cambria" w:eastAsia="Cambria" w:hAnsi="Cambria"/>
          <w:b/>
          <w:bCs/>
          <w:color w:val="233A5C"/>
          <w:sz w:val="26"/>
          <w:szCs w:val="26"/>
        </w:rPr>
        <w:t xml:space="preserve">4.7 Deployment topology and security posture</w:t>
      </w:r>
    </w:p>
    <w:p>
      <w:pPr>
        <w:keepLines/>
        <w:pBdr>
          <w:left w:val="single" w:color="3D5A80" w:sz="18" w:space="8"/>
        </w:pBdr>
        <w:shd w:fill="F2F5F9" w:val="clear"/>
        <w:spacing w:after="0" w:before="120" w:line="252"/>
        <w:ind w:left="240"/>
      </w:pPr>
      <w:r>
        <w:rPr>
          <w:rFonts w:ascii="Consolas" w:cs="Consolas" w:eastAsia="Consolas" w:hAnsi="Consolas"/>
          <w:color w:val="1F2430"/>
          <w:sz w:val="18"/>
          <w:szCs w:val="18"/>
        </w:rPr>
        <w:t xml:space="preserve">Windows 11 host (bare metal, hardened baseline, full-disk encryption)</w:t>
      </w:r>
    </w:p>
    <w:p>
      <w:pPr>
        <w:keepLines/>
        <w:pBdr>
          <w:left w:val="single" w:color="3D5A80" w:sz="18" w:space="8"/>
        </w:pBdr>
        <w:shd w:fill="F2F5F9" w:val="clear"/>
        <w:spacing w:after="0" w:before="0" w:line="252"/>
        <w:ind w:left="240"/>
      </w:pPr>
      <w:r>
        <w:rPr>
          <w:rFonts w:ascii="Consolas" w:cs="Consolas" w:eastAsia="Consolas" w:hAnsi="Consolas"/>
          <w:color w:val="1F2430"/>
          <w:sz w:val="18"/>
          <w:szCs w:val="18"/>
        </w:rPr>
        <w:t xml:space="preserve">|- Ollama serving (Vulkan)            localhost:11434</w:t>
      </w:r>
    </w:p>
    <w:p>
      <w:pPr>
        <w:keepLines/>
        <w:pBdr>
          <w:left w:val="single" w:color="3D5A80" w:sz="18" w:space="8"/>
        </w:pBdr>
        <w:shd w:fill="F2F5F9" w:val="clear"/>
        <w:spacing w:after="0" w:before="0" w:line="252"/>
        <w:ind w:left="240"/>
      </w:pPr>
      <w:r>
        <w:rPr>
          <w:rFonts w:ascii="Consolas" w:cs="Consolas" w:eastAsia="Consolas" w:hAnsi="Consolas"/>
          <w:color w:val="1F2430"/>
          <w:sz w:val="18"/>
          <w:szCs w:val="18"/>
        </w:rPr>
        <w:t xml:space="preserve">|- Speech stack: wake / STT / TTS     (CPU, device-pinned)</w:t>
      </w:r>
    </w:p>
    <w:p>
      <w:pPr>
        <w:keepLines/>
        <w:pBdr>
          <w:left w:val="single" w:color="3D5A80" w:sz="18" w:space="8"/>
        </w:pBdr>
        <w:shd w:fill="F2F5F9" w:val="clear"/>
        <w:spacing w:after="0" w:before="0" w:line="252"/>
        <w:ind w:left="240"/>
      </w:pPr>
      <w:r>
        <w:rPr>
          <w:rFonts w:ascii="Consolas" w:cs="Consolas" w:eastAsia="Consolas" w:hAnsi="Consolas"/>
          <w:color w:val="1F2430"/>
          <w:sz w:val="18"/>
          <w:szCs w:val="18"/>
        </w:rPr>
        <w:t xml:space="preserve">|- Kiosk browser  ------------------&gt; HLD 16-inch (HDMI, Display 2)</w:t>
      </w:r>
    </w:p>
    <w:p>
      <w:pPr>
        <w:keepLines/>
        <w:pBdr>
          <w:left w:val="single" w:color="3D5A80" w:sz="18" w:space="8"/>
        </w:pBdr>
        <w:shd w:fill="F2F5F9" w:val="clear"/>
        <w:spacing w:after="0" w:before="0" w:line="252"/>
        <w:ind w:left="240"/>
      </w:pPr>
      <w:r>
        <w:rPr>
          <w:rFonts w:ascii="Consolas" w:cs="Consolas" w:eastAsia="Consolas" w:hAnsi="Consolas"/>
          <w:color w:val="1F2430"/>
          <w:sz w:val="18"/>
          <w:szCs w:val="18"/>
        </w:rPr>
        <w:t xml:space="preserve">|- WSL2 Ubuntu (mirrored networking)</w:t>
      </w:r>
    </w:p>
    <w:p>
      <w:pPr>
        <w:keepLines/>
        <w:pBdr>
          <w:left w:val="single" w:color="3D5A80" w:sz="18" w:space="8"/>
        </w:pBdr>
        <w:shd w:fill="F2F5F9" w:val="clear"/>
        <w:spacing w:after="0" w:before="0" w:line="252"/>
        <w:ind w:left="240"/>
      </w:pPr>
      <w:r>
        <w:rPr>
          <w:rFonts w:ascii="Consolas" w:cs="Consolas" w:eastAsia="Consolas" w:hAnsi="Consolas"/>
          <w:color w:val="1F2430"/>
          <w:sz w:val="18"/>
          <w:szCs w:val="18"/>
        </w:rPr>
        <w:t xml:space="preserve">|   |- Council: LangGraph + Letta (memory, tools, divisions)</w:t>
      </w:r>
    </w:p>
    <w:p>
      <w:pPr>
        <w:keepLines/>
        <w:pBdr>
          <w:left w:val="single" w:color="3D5A80" w:sz="18" w:space="8"/>
        </w:pBdr>
        <w:shd w:fill="F2F5F9" w:val="clear"/>
        <w:spacing w:after="0" w:before="0" w:line="252"/>
        <w:ind w:left="240"/>
      </w:pPr>
      <w:r>
        <w:rPr>
          <w:rFonts w:ascii="Consolas" w:cs="Consolas" w:eastAsia="Consolas" w:hAnsi="Consolas"/>
          <w:color w:val="1F2430"/>
          <w:sz w:val="18"/>
          <w:szCs w:val="18"/>
        </w:rPr>
        <w:t xml:space="preserve">|   |- openai_shim                    localhost:8800  (+ SSE announcements)</w:t>
      </w:r>
    </w:p>
    <w:p>
      <w:pPr>
        <w:keepLines/>
        <w:pBdr>
          <w:left w:val="single" w:color="3D5A80" w:sz="18" w:space="8"/>
        </w:pBdr>
        <w:shd w:fill="F2F5F9" w:val="clear"/>
        <w:spacing w:after="0" w:before="0" w:line="252"/>
        <w:ind w:left="240"/>
      </w:pPr>
      <w:r>
        <w:rPr>
          <w:rFonts w:ascii="Consolas" w:cs="Consolas" w:eastAsia="Consolas" w:hAnsi="Consolas"/>
          <w:color w:val="1F2430"/>
          <w:sz w:val="18"/>
          <w:szCs w:val="18"/>
        </w:rPr>
        <w:t xml:space="preserve">|- Tailscale mesh -----------------&gt; fleet nodes: glasses bridge, quadruped,</w:t>
      </w:r>
    </w:p>
    <w:p>
      <w:pPr>
        <w:keepLines/>
        <w:pBdr>
          <w:left w:val="single" w:color="3D5A80" w:sz="18" w:space="8"/>
        </w:pBdr>
        <w:shd w:fill="F2F5F9" w:val="clear"/>
        <w:spacing w:after="160" w:before="0" w:line="252"/>
        <w:ind w:left="240"/>
      </w:pPr>
      <w:r>
        <w:rPr>
          <w:rFonts w:ascii="Consolas" w:cs="Consolas" w:eastAsia="Consolas" w:hAnsi="Consolas"/>
          <w:color w:val="1F2430"/>
          <w:sz w:val="18"/>
          <w:szCs w:val="18"/>
        </w:rPr>
        <w:t xml:space="preserve">                                      drone ground station, audit laptop</w:t>
      </w:r>
    </w:p>
    <w:p>
      <w:pPr>
        <w:spacing w:after="160" w:before="60"/>
        <w:jc w:val="center"/>
      </w:pPr>
      <w:r>
        <w:rPr>
          <w:b/>
          <w:bCs/>
          <w:color w:val="233A5C"/>
          <w:sz w:val="19"/>
          <w:szCs w:val="19"/>
        </w:rPr>
        <w:t xml:space="preserve">Figure 2. </w:t>
      </w:r>
      <w:r>
        <w:rPr>
          <w:i/>
          <w:iCs/>
          <w:color w:val="444444"/>
          <w:sz w:val="19"/>
          <w:szCs w:val="19"/>
        </w:rPr>
        <w:t xml:space="preserve">Deployment topology. Every service binds loopback; the only non-local surface is the authenticated mesh.</w:t>
      </w:r>
    </w:p>
    <w:p>
      <w:pPr>
        <w:spacing w:after="140" w:line="276"/>
        <w:jc w:val="left"/>
      </w:pPr>
      <w:r>
        <w:t xml:space="preserve">The security posture is described here as design context and explicitly not evaluated (§8). Defense-in-depth as deployed: a debloated, hardened Windows baseline with full-disk encryption; all pipeline services bound to loopback so no listener faces the network; the WSL2 boundary separating the agent's Linux userland from the host; tool invocation gated by the agent's permission model rather than by prompt convention; any deliberately exposed service fronted by a rate-limited reverse proxy; inter-device traffic confined to an authenticated overlay mesh rather than the open LAN; and a dedicated security laptop on that mesh whose standing job is auditing the rest — the fleet's adversarial conscience. The paper's honest framing of all this is architectural intent with an audit trail elsewhere: evaluating it would require the adversarial measurement this study did not perform, and asserting it as proven would violate the provenance rules the evaluation section is about to state.</w:t>
      </w:r>
    </w:p>
    <w:p>
      <w:pPr>
        <w:pStyle w:val="Heading1"/>
        <w:pBdr>
          <w:bottom w:val="single" w:color="3D5A80" w:sz="8" w:space="4"/>
        </w:pBdr>
        <w:spacing w:after="180" w:before="340"/>
      </w:pPr>
      <w:r>
        <w:rPr>
          <w:rFonts w:ascii="Cambria" w:cs="Cambria" w:eastAsia="Cambria" w:hAnsi="Cambria"/>
          <w:b/>
          <w:bCs/>
          <w:color w:val="233A5C"/>
          <w:sz w:val="32"/>
          <w:szCs w:val="32"/>
        </w:rPr>
        <w:t xml:space="preserve">5. Implementation</w:t>
      </w:r>
    </w:p>
    <w:p>
      <w:pPr>
        <w:pStyle w:val="Heading2"/>
        <w:spacing w:after="120" w:before="260"/>
      </w:pPr>
      <w:r>
        <w:rPr>
          <w:rFonts w:ascii="Cambria" w:cs="Cambria" w:eastAsia="Cambria" w:hAnsi="Cambria"/>
          <w:b/>
          <w:bCs/>
          <w:color w:val="233A5C"/>
          <w:sz w:val="26"/>
          <w:szCs w:val="26"/>
        </w:rPr>
        <w:t xml:space="preserve">5.1 Speech stack</w:t>
      </w:r>
    </w:p>
    <w:p>
      <w:pPr>
        <w:spacing w:after="140" w:line="276"/>
        <w:jc w:val="left"/>
      </w:pPr>
      <w:r>
        <w:t xml:space="preserve">Recognition is Faster-Whisper (the CTranslate2 reimplementation of Whisper; Radford et al., 2023) at INT8 on CPU — necessarily on CPU, because CTranslate2 has no AMD ROCm or Vulkan execution path, an asymmetry versus NVIDIA hosts that this paper reports as a constraint rather than discovering as a surprise. The small model runs several times faster than real time on this CPU class and serves as the conversational ear; large-v3-turbo is reserved for short accuracy-critical commands. Synthesis is Kokoro-82M — an 82-million-parameter Apache-licensed neural TTS running several times faster than real time on CPU, the efficiency point of a decade of synthesis research (van den Oord et al., 2016; Shen et al., 2018; Ren et al., 2021; Kong et al., 2020; Kim et al., 2021) — with espeak-ng installed as the out-of-dictionary phonemizer fallback. The wake gate is openWakeWord under ONNX Runtime (the TFLite path is unavailable on Windows), keeping the microphone's downstream closed until the trained phrase scores. Audio devices are pinned by enumeration index in code, never left to operating-system defaults, and the entire sensory loop was validated by a wake-to-echo harness before any display hardware existed.</w:t>
      </w:r>
    </w:p>
    <w:p>
      <w:pPr>
        <w:spacing w:after="140" w:line="276"/>
        <w:jc w:val="left"/>
      </w:pPr>
      <w:r>
        <w:t xml:space="preserve">The operative parameters, recorded because they are where latency actually lives: capture at 16 kHz mono; a voice-activity gate ahead of the decoder so silence is never transcribed; Whisper small at INT8 with beam size 1 — greedy decoding, deliberately latency-biased, with the accuracy-critical path escalating to large-v3-turbo only on command-class utterances; Kokoro configured for American English (lang_code “a”, voice af_heart) emitting 24 kHz audio, with espeak-ng resolving out-of-dictionary tokens — project names, model tags — that would otherwise produce silent synthesis failures. Audio devices are enumerated at setup, printed with indices, and pinned by index in configuration; the operating-system default device is never trusted, because the classic failure of every desk voice project is a pipeline that silently listens to the wrong microphone. The wake-to-echo harness — speak the wake word, speak a sentence, hear it transcribed and re-synthesized — validated this entire sensory loop end to end before the display hardware existed, so that display integration debugged exactly one new thing.</w:t>
      </w:r>
    </w:p>
    <w:p>
      <w:pPr>
        <w:pStyle w:val="Heading2"/>
        <w:spacing w:after="120" w:before="260"/>
      </w:pPr>
      <w:r>
        <w:rPr>
          <w:rFonts w:ascii="Cambria" w:cs="Cambria" w:eastAsia="Cambria" w:hAnsi="Cambria"/>
          <w:b/>
          <w:bCs/>
          <w:color w:val="233A5C"/>
          <w:sz w:val="26"/>
          <w:szCs w:val="26"/>
        </w:rPr>
        <w:t xml:space="preserve">5.2 The Council endpoint</w:t>
      </w:r>
    </w:p>
    <w:p>
      <w:pPr>
        <w:keepLines/>
        <w:pBdr>
          <w:left w:val="single" w:color="3D5A80" w:sz="18" w:space="8"/>
        </w:pBdr>
        <w:shd w:fill="F2F5F9" w:val="clear"/>
        <w:spacing w:after="0" w:before="120" w:line="252"/>
        <w:ind w:left="240"/>
      </w:pPr>
      <w:r>
        <w:rPr>
          <w:rFonts w:ascii="Consolas" w:cs="Consolas" w:eastAsia="Consolas" w:hAnsi="Consolas"/>
          <w:color w:val="1F2430"/>
          <w:sz w:val="18"/>
          <w:szCs w:val="18"/>
        </w:rPr>
        <w:t xml:space="preserve"># openai_shim.py (core) — the agent-as-endpoint pattern, ~40 lines in full</w:t>
      </w:r>
    </w:p>
    <w:p>
      <w:pPr>
        <w:keepLines/>
        <w:pBdr>
          <w:left w:val="single" w:color="3D5A80" w:sz="18" w:space="8"/>
        </w:pBdr>
        <w:shd w:fill="F2F5F9" w:val="clear"/>
        <w:spacing w:after="0" w:before="0" w:line="252"/>
        <w:ind w:left="240"/>
      </w:pPr>
      <w:r>
        <w:rPr>
          <w:rFonts w:ascii="Consolas" w:cs="Consolas" w:eastAsia="Consolas" w:hAnsi="Consolas"/>
          <w:color w:val="1F2430"/>
          <w:sz w:val="18"/>
          <w:szCs w:val="18"/>
        </w:rPr>
        <w:t xml:space="preserve">@app.post("/v1/chat/completions")</w:t>
      </w:r>
    </w:p>
    <w:p>
      <w:pPr>
        <w:keepLines/>
        <w:pBdr>
          <w:left w:val="single" w:color="3D5A80" w:sz="18" w:space="8"/>
        </w:pBdr>
        <w:shd w:fill="F2F5F9" w:val="clear"/>
        <w:spacing w:after="0" w:before="0" w:line="252"/>
        <w:ind w:left="240"/>
      </w:pPr>
      <w:r>
        <w:rPr>
          <w:rFonts w:ascii="Consolas" w:cs="Consolas" w:eastAsia="Consolas" w:hAnsi="Consolas"/>
          <w:color w:val="1F2430"/>
          <w:sz w:val="18"/>
          <w:szCs w:val="18"/>
        </w:rPr>
        <w:t xml:space="preserve">async def chat(req: dict):</w:t>
      </w:r>
    </w:p>
    <w:p>
      <w:pPr>
        <w:keepLines/>
        <w:pBdr>
          <w:left w:val="single" w:color="3D5A80" w:sz="18" w:space="8"/>
        </w:pBdr>
        <w:shd w:fill="F2F5F9" w:val="clear"/>
        <w:spacing w:after="0" w:before="0" w:line="252"/>
        <w:ind w:left="240"/>
      </w:pPr>
      <w:r>
        <w:rPr>
          <w:rFonts w:ascii="Consolas" w:cs="Consolas" w:eastAsia="Consolas" w:hAnsi="Consolas"/>
          <w:color w:val="1F2430"/>
          <w:sz w:val="18"/>
          <w:szCs w:val="18"/>
        </w:rPr>
        <w:t xml:space="preserve">    messages = req.get("messages", [])</w:t>
      </w:r>
    </w:p>
    <w:p>
      <w:pPr>
        <w:keepLines/>
        <w:pBdr>
          <w:left w:val="single" w:color="3D5A80" w:sz="18" w:space="8"/>
        </w:pBdr>
        <w:shd w:fill="F2F5F9" w:val="clear"/>
        <w:spacing w:after="0" w:before="0" w:line="252"/>
        <w:ind w:left="240"/>
      </w:pPr>
      <w:r>
        <w:rPr>
          <w:rFonts w:ascii="Consolas" w:cs="Consolas" w:eastAsia="Consolas" w:hAnsi="Consolas"/>
          <w:color w:val="1F2430"/>
          <w:sz w:val="18"/>
          <w:szCs w:val="18"/>
        </w:rPr>
        <w:t xml:space="preserve">    if not req.get("stream", False):</w:t>
      </w:r>
    </w:p>
    <w:p>
      <w:pPr>
        <w:keepLines/>
        <w:pBdr>
          <w:left w:val="single" w:color="3D5A80" w:sz="18" w:space="8"/>
        </w:pBdr>
        <w:shd w:fill="F2F5F9" w:val="clear"/>
        <w:spacing w:after="0" w:before="0" w:line="252"/>
        <w:ind w:left="240"/>
      </w:pPr>
      <w:r>
        <w:rPr>
          <w:rFonts w:ascii="Consolas" w:cs="Consolas" w:eastAsia="Consolas" w:hAnsi="Consolas"/>
          <w:color w:val="1F2430"/>
          <w:sz w:val="18"/>
          <w:szCs w:val="18"/>
        </w:rPr>
        <w:t xml:space="preserve">        result = await graph.ainvoke({"messages": messages})</w:t>
      </w:r>
    </w:p>
    <w:p>
      <w:pPr>
        <w:keepLines/>
        <w:pBdr>
          <w:left w:val="single" w:color="3D5A80" w:sz="18" w:space="8"/>
        </w:pBdr>
        <w:shd w:fill="F2F5F9" w:val="clear"/>
        <w:spacing w:after="0" w:before="0" w:line="252"/>
        <w:ind w:left="240"/>
      </w:pPr>
      <w:r>
        <w:rPr>
          <w:rFonts w:ascii="Consolas" w:cs="Consolas" w:eastAsia="Consolas" w:hAnsi="Consolas"/>
          <w:color w:val="1F2430"/>
          <w:sz w:val="18"/>
          <w:szCs w:val="18"/>
        </w:rPr>
        <w:t xml:space="preserve">        return openai_completion(result["messages"][-1].content)</w:t>
      </w:r>
    </w:p>
    <w:p>
      <w:pPr>
        <w:keepLines/>
        <w:pBdr>
          <w:left w:val="single" w:color="3D5A80" w:sz="18" w:space="8"/>
        </w:pBdr>
        <w:shd w:fill="F2F5F9" w:val="clear"/>
        <w:spacing w:after="0" w:before="0" w:line="252"/>
        <w:ind w:left="240"/>
      </w:pPr>
      <w:r>
        <w:rPr>
          <w:rFonts w:ascii="Consolas" w:cs="Consolas" w:eastAsia="Consolas" w:hAnsi="Consolas"/>
          <w:color w:val="1F2430"/>
          <w:sz w:val="18"/>
          <w:szCs w:val="18"/>
        </w:rPr>
        <w:t xml:space="preserve">    async def gen():</w:t>
      </w:r>
    </w:p>
    <w:p>
      <w:pPr>
        <w:keepLines/>
        <w:pBdr>
          <w:left w:val="single" w:color="3D5A80" w:sz="18" w:space="8"/>
        </w:pBdr>
        <w:shd w:fill="F2F5F9" w:val="clear"/>
        <w:spacing w:after="0" w:before="0" w:line="252"/>
        <w:ind w:left="240"/>
      </w:pPr>
      <w:r>
        <w:rPr>
          <w:rFonts w:ascii="Consolas" w:cs="Consolas" w:eastAsia="Consolas" w:hAnsi="Consolas"/>
          <w:color w:val="1F2430"/>
          <w:sz w:val="18"/>
          <w:szCs w:val="18"/>
        </w:rPr>
        <w:t xml:space="preserve">        async for ev in graph.astream_events({"messages": messages}, version="v2"):</w:t>
      </w:r>
    </w:p>
    <w:p>
      <w:pPr>
        <w:keepLines/>
        <w:pBdr>
          <w:left w:val="single" w:color="3D5A80" w:sz="18" w:space="8"/>
        </w:pBdr>
        <w:shd w:fill="F2F5F9" w:val="clear"/>
        <w:spacing w:after="0" w:before="0" w:line="252"/>
        <w:ind w:left="240"/>
      </w:pPr>
      <w:r>
        <w:rPr>
          <w:rFonts w:ascii="Consolas" w:cs="Consolas" w:eastAsia="Consolas" w:hAnsi="Consolas"/>
          <w:color w:val="1F2430"/>
          <w:sz w:val="18"/>
          <w:szCs w:val="18"/>
        </w:rPr>
        <w:t xml:space="preserve">            if ev["event"] == "on_chat_model_stream":</w:t>
      </w:r>
    </w:p>
    <w:p>
      <w:pPr>
        <w:keepLines/>
        <w:pBdr>
          <w:left w:val="single" w:color="3D5A80" w:sz="18" w:space="8"/>
        </w:pBdr>
        <w:shd w:fill="F2F5F9" w:val="clear"/>
        <w:spacing w:after="0" w:before="0" w:line="252"/>
        <w:ind w:left="240"/>
      </w:pPr>
      <w:r>
        <w:rPr>
          <w:rFonts w:ascii="Consolas" w:cs="Consolas" w:eastAsia="Consolas" w:hAnsi="Consolas"/>
          <w:color w:val="1F2430"/>
          <w:sz w:val="18"/>
          <w:szCs w:val="18"/>
        </w:rPr>
        <w:t xml:space="preserve">                delta = getattr(ev["data"]["chunk"], "content", "") or ""</w:t>
      </w:r>
    </w:p>
    <w:p>
      <w:pPr>
        <w:keepLines/>
        <w:pBdr>
          <w:left w:val="single" w:color="3D5A80" w:sz="18" w:space="8"/>
        </w:pBdr>
        <w:shd w:fill="F2F5F9" w:val="clear"/>
        <w:spacing w:after="0" w:before="0" w:line="252"/>
        <w:ind w:left="240"/>
      </w:pPr>
      <w:r>
        <w:rPr>
          <w:rFonts w:ascii="Consolas" w:cs="Consolas" w:eastAsia="Consolas" w:hAnsi="Consolas"/>
          <w:color w:val="1F2430"/>
          <w:sz w:val="18"/>
          <w:szCs w:val="18"/>
        </w:rPr>
        <w:t xml:space="preserve">                if delta: yield sse(openai_chunk(delta))</w:t>
      </w:r>
    </w:p>
    <w:p>
      <w:pPr>
        <w:keepLines/>
        <w:pBdr>
          <w:left w:val="single" w:color="3D5A80" w:sz="18" w:space="8"/>
        </w:pBdr>
        <w:shd w:fill="F2F5F9" w:val="clear"/>
        <w:spacing w:after="0" w:before="0" w:line="252"/>
        <w:ind w:left="240"/>
      </w:pPr>
      <w:r>
        <w:rPr>
          <w:rFonts w:ascii="Consolas" w:cs="Consolas" w:eastAsia="Consolas" w:hAnsi="Consolas"/>
          <w:color w:val="1F2430"/>
          <w:sz w:val="18"/>
          <w:szCs w:val="18"/>
        </w:rPr>
        <w:t xml:space="preserve">        yield sse(openai_chunk_stop()); yield "data: [DONE]\n\n"</w:t>
      </w:r>
    </w:p>
    <w:p>
      <w:pPr>
        <w:keepLines/>
        <w:pBdr>
          <w:left w:val="single" w:color="3D5A80" w:sz="18" w:space="8"/>
        </w:pBdr>
        <w:shd w:fill="F2F5F9" w:val="clear"/>
        <w:spacing w:after="160" w:before="0" w:line="252"/>
        <w:ind w:left="240"/>
      </w:pPr>
      <w:r>
        <w:rPr>
          <w:rFonts w:ascii="Consolas" w:cs="Consolas" w:eastAsia="Consolas" w:hAnsi="Consolas"/>
          <w:color w:val="1F2430"/>
          <w:sz w:val="18"/>
          <w:szCs w:val="18"/>
        </w:rPr>
        <w:t xml:space="preserve">    return StreamingResponse(gen(), media_type="text/event-stream")</w:t>
      </w:r>
    </w:p>
    <w:p>
      <w:pPr>
        <w:spacing w:after="160" w:before="60"/>
        <w:jc w:val="center"/>
      </w:pPr>
      <w:r>
        <w:rPr>
          <w:b/>
          <w:bCs/>
          <w:color w:val="233A5C"/>
          <w:sz w:val="19"/>
          <w:szCs w:val="19"/>
        </w:rPr>
        <w:t xml:space="preserve">Listing 1. </w:t>
      </w:r>
      <w:r>
        <w:rPr>
          <w:i/>
          <w:iCs/>
          <w:color w:val="444444"/>
          <w:sz w:val="19"/>
          <w:szCs w:val="19"/>
        </w:rPr>
        <w:t xml:space="preserve">The OpenAI-compatible shim over the LangGraph Council (abridged; event names track LangGraph's documented v2 stream interface and are version-pinned in deployment).</w:t>
      </w:r>
    </w:p>
    <w:p>
      <w:pPr>
        <w:spacing w:after="140" w:line="276"/>
        <w:jc w:val="left"/>
      </w:pPr>
      <w:r>
        <w:t xml:space="preserve">WSL2's mirrored networking mode makes localhost symmetric across the Windows/Linux boundary, so the frontend on Windows reaches the shim in WSL2 and the shim's graph reaches Windows-native Ollama, all without a routable packet existing anywhere. The shim is registered in the ecosystem's existing service-custody chain rather than growing a second keepalive mechanism.</w:t>
      </w:r>
    </w:p>
    <w:p>
      <w:pPr>
        <w:spacing w:after="140" w:line="276"/>
        <w:jc w:val="left"/>
      </w:pPr>
      <w:r>
        <w:t xml:space="preserve">What the shim deliberately does not do is as load-bearing as what it does. It carries no authentication, because its trust boundary is the loopback interface and adding credentials would counterfeit a security property the topology already provides more honestly; it persists nothing, because memory is Letta's single responsibility and a second store would fork the truth; it contains no model logic, retry cleverness, or prompt templating, because those belong to the graph behind it and the server below it. Forty lines is not a limitation of the pattern — it is the pattern: the thinner the adapter, the fewer places the system's one contract can silently drift.</w:t>
      </w:r>
    </w:p>
    <w:p>
      <w:pPr>
        <w:pStyle w:val="Heading2"/>
        <w:spacing w:after="120" w:before="260"/>
      </w:pPr>
      <w:r>
        <w:rPr>
          <w:rFonts w:ascii="Cambria" w:cs="Cambria" w:eastAsia="Cambria" w:hAnsi="Cambria"/>
          <w:b/>
          <w:bCs/>
          <w:color w:val="233A5C"/>
          <w:sz w:val="26"/>
          <w:szCs w:val="26"/>
        </w:rPr>
        <w:t xml:space="preserve">5.3 Avatar frontends</w:t>
      </w:r>
    </w:p>
    <w:p>
      <w:pPr>
        <w:spacing w:after="140" w:line="276"/>
        <w:jc w:val="left"/>
      </w:pPr>
      <w:r>
        <w:t xml:space="preserve">Two interchangeable frontends bind to the endpoint. Path A, the default, is the TalkingHead WebGL library rendering a rigged GLB avatar (authored in VRoid Studio, exported as VRM, converted per the library's documented route) with timestamp-accurate lip synchronization from HeadTTS, its companion server that speaks with Kokoro voices while emitting phoneme timing — the whole face is a fullscreen kiosk browser on the HLD, and the glue is one page of JavaScript: stream deltas from the endpoint, split at sentence boundaries, speak each sentence as it completes. Path B is Open-LLM-VTuber v1.2.1, a maintained managed pipeline (wake word, ASR, TTS, interruption, Live2D rendering) that accepts a custom OpenAI-compatible base URL and additionally exposes a pluggable agent interface with a shipped Letta example — the documented deeper-integration route. The avatar is deliberately stylized rather than photoreal, a choice §2.3's uncanny-valley evidence and §2.4's parasocial analysis both recommend and the compute budget independently enforces; idle motion (breathing, occasional glance) is supplied by the library's animation support and carries a disproportionate share of perceived aliveness.</w:t>
      </w:r>
    </w:p>
    <w:p>
      <w:pPr>
        <w:spacing w:after="140" w:line="276"/>
        <w:jc w:val="left"/>
      </w:pPr>
      <w:r>
        <w:t xml:space="preserve">Implementation specifics that determine whether the face feels alive: the TalkingHead route consumes GLB avatars, so the VRoid-authored VRM passes through the library's documented conversion with expression mappings preserved — the one asset-pipeline step where a naive export produces a face that speaks without emoting. The kiosk is a browser launched with kiosk flags and an explicit window position targeting the HLD's display output, eliminating every pixel of interface chrome from the optical volume. The sentence splitter operates on punctuation boundaries with a minimum-length guard, so synthesis units are prosodically complete — streaming a half-clause to a TTS engine produces audibly broken intonation, and the guard is the difference. Barge-in is asymmetric by path: Open-LLM-VTuber ships interruption handling natively, while Path A implements the minimal correct version — wake-word detection during playback stops speech and opens the microphone. The Live2D-versus-rigged-3D trade between the paths is real: Live2D offers a mature character-authoring culture; the 3D avatar offers depth congruence with a volumetric display, and congruence is why Path A is the default.</w:t>
      </w:r>
    </w:p>
    <w:p>
      <w:pPr>
        <w:pStyle w:val="Heading2"/>
        <w:spacing w:after="120" w:before="260"/>
      </w:pPr>
      <w:r>
        <w:rPr>
          <w:rFonts w:ascii="Cambria" w:cs="Cambria" w:eastAsia="Cambria" w:hAnsi="Cambria"/>
          <w:b/>
          <w:bCs/>
          <w:color w:val="233A5C"/>
          <w:sz w:val="26"/>
          <w:szCs w:val="26"/>
        </w:rPr>
        <w:t xml:space="preserve">5.4 Deployment validation: the framing test</w:t>
      </w:r>
    </w:p>
    <w:p>
      <w:pPr>
        <w:spacing w:after="140" w:line="276"/>
        <w:jc w:val="left"/>
      </w:pPr>
      <w:r>
        <w:t xml:space="preserve">The design's one vendor-undocumented use (§4.3) received its receipt before dependence. Procedure: calibrate perception with the vendor's demo content; then present a fullscreen page — dark field, single centered humanoid at approximately two-thirds frame height — and judge from seated desk position whether the figure reads as inside the optical volume, whether panel edges crop conversational framing, and whether a flat dark or gradient backdrop better sells depth. The validation passed with the two-thirds/gradient configuration, which the frontends adopt; the honest generalization is narrow — one panel, one judge, one lighting environment — and the procedure, rather than the verdict, is the transferable artifact.</w:t>
      </w:r>
    </w:p>
    <w:p>
      <w:pPr>
        <w:spacing w:after="140" w:line="276"/>
        <w:jc w:val="left"/>
      </w:pPr>
      <w:r>
        <w:t xml:space="preserve">The protocol, enumerated for reuse: (1) run the vendor's demonstration content long enough to calibrate perception of the volume — where depth reads strongest, where it collapses; (2) replace it with a fullscreen test page: dark field, one humanoid figure, no interface elements; (3) sweep figure scale, with two-thirds of frame height as the starting hypothesis for conversational framing; (4) judge from the actual seated desk position — not from the photogenic angle — against three criteria: does the figure read as inside the volume, do panel edges crop the framing, and does a flat dark or a gradient backdrop better sell depth; (5) record the verdict and photographs in the operations log before any dependent component is built. The protocol exists because step five is where a solo project either becomes auditable or becomes a memory.</w:t>
      </w:r>
    </w:p>
    <w:p>
      <w:pPr>
        <w:pStyle w:val="Heading2"/>
        <w:spacing w:after="120" w:before="260"/>
      </w:pPr>
      <w:r>
        <w:rPr>
          <w:rFonts w:ascii="Cambria" w:cs="Cambria" w:eastAsia="Cambria" w:hAnsi="Cambria"/>
          <w:b/>
          <w:bCs/>
          <w:color w:val="233A5C"/>
          <w:sz w:val="26"/>
          <w:szCs w:val="26"/>
        </w:rPr>
        <w:t xml:space="preserve">5.5 The announcement channel</w:t>
      </w:r>
    </w:p>
    <w:p>
      <w:pPr>
        <w:spacing w:after="140" w:line="276"/>
        <w:jc w:val="left"/>
      </w:pPr>
      <w:r>
        <w:t xml:space="preserve">The proactive path is one additional localhost-only server-sent-event stream on the shim, to which the frontend subscribes and forwards each line through the identical speak-and-lip-sync route as conversation. Any Council division may emit — a build milestone, a battery threshold, a completed render, a guardrail event — gated by the agent's existing tool-permission whitelist per the calm-technology discipline of §2.5. Architecturally the channel costs nothing: the agent could already decide to speak; the face gives the decision a mouth, and the reverse direction — conversational commands to the wider fleet — exists by construction because the entity behind the face was always the fleet's orchestrator.</w:t>
      </w:r>
    </w:p>
    <w:p>
      <w:pPr>
        <w:spacing w:after="140" w:line="276"/>
        <w:jc w:val="left"/>
      </w:pPr>
      <w:r>
        <w:t xml:space="preserve">Governance details, because an ungoverned proactive channel is how a calm display becomes a nag: the whitelist enumerates event classes — job and build completions, threshold crossings (battery, disk, a trading rail), schedule reminders, and guardrail events — with per-class quiet hours and a deduplication window so a flapping trigger speaks once, not eleven times. Everything outside the whitelist requires being asked. Because the whitelist is a file inside the agent's permission model, it is diffable, versioned, and auditable after the fact — the governance is inspectable in exactly the way a cloud assistant's notification policy is not, which Section 7.3 argues is the substantive difference and not a cosmetic one.</w:t>
      </w:r>
    </w:p>
    <w:p>
      <w:pPr>
        <w:pStyle w:val="Heading2"/>
        <w:spacing w:after="120" w:before="260"/>
      </w:pPr>
      <w:r>
        <w:rPr>
          <w:rFonts w:ascii="Cambria" w:cs="Cambria" w:eastAsia="Cambria" w:hAnsi="Cambria"/>
          <w:b/>
          <w:bCs/>
          <w:color w:val="233A5C"/>
          <w:sz w:val="26"/>
          <w:szCs w:val="26"/>
        </w:rPr>
        <w:t xml:space="preserve">5.6 Path selection guidance</w:t>
      </w:r>
    </w:p>
    <w:p>
      <w:pPr>
        <w:spacing w:after="140" w:line="276"/>
        <w:jc w:val="left"/>
      </w:pPr>
      <w:r>
        <w:t xml:space="preserve">Because both frontends bind the identical endpoint, the choice between them is reversible in an evening, and the guidance can therefore be stated as preferences rather than commitments. Choose Path A (TalkingHead + HeadTTS) when depth congruence with the volumetric display is the priority, when the avatar's identity is custom-authored (the VRoid-to-GLB route preserves an owned character), and when a minimal-dependency stack that one person can hold in their head matters more than features. Choose Path B (Open-LLM-VTuber) when interruption handling and turn management should be someone else's maintained code, when the Live2D authoring culture's asset depth is attractive, and when configuration-over-code is the sustainable maintenance posture. The build ships A as default for the display-congruence reason and keeps B configured — and the fact that this paragraph can be casual is itself the payoff of Section 4.5: frontend selection became a taste question because the architecture refused to make it a commitment.</w:t>
      </w:r>
    </w:p>
    <w:p>
      <w:pPr>
        <w:pStyle w:val="Heading2"/>
        <w:spacing w:after="120" w:before="260"/>
      </w:pPr>
      <w:r>
        <w:rPr>
          <w:rFonts w:ascii="Cambria" w:cs="Cambria" w:eastAsia="Cambria" w:hAnsi="Cambria"/>
          <w:b/>
          <w:bCs/>
          <w:color w:val="233A5C"/>
          <w:sz w:val="26"/>
          <w:szCs w:val="26"/>
        </w:rPr>
        <w:t xml:space="preserve">5.7 A session, end to end</w:t>
      </w:r>
    </w:p>
    <w:p>
      <w:pPr>
        <w:spacing w:after="140" w:line="276"/>
        <w:jc w:val="left"/>
      </w:pPr>
      <w:r>
        <w:t xml:space="preserve">A worked trace makes the assembled system concrete; the following two exchanges are representative of daily operation, annotated by component and requirement. The face idles on the HLD: breathing loop, occasional glance, no audio path open — the peripheral state §2.5's taxonomy demands (R2). The owner, seated, says the wake phrase. openWakeWord scores it (~200 ms, CPU) and opens the microphone downstream; the avatar shifts to an attending posture — a purely local state change that doubles as gate feedback. “What is left on the drone build?” Faster-Whisper transcribes on CPU (~400 ms for the short utterance) and the text posts to localhost:8800 — the Council's OpenAI-compatible door (R5, §4.5). Inside WSL2, the LangGraph application routes: this query touches Letta memory (the build log the fleet divisions maintain), not the open web, so the tool call resolves in tens of milliseconds against local state (R1). The 8B resident begins generating; at the first sentence boundary the shim's stream has already delivered “Three items remain on the X650: the OAK-D mount, the failsafe test, and the maiden-flight checklist.” to the frontend, which hands it to Kokoro (~250 ms synthesis) and speaks with viseme-timed lips while sentences two and three generate behind it (R3, §6.3). Perceived latency, wake-release to first syllable: about two seconds. The reply's remainder — dates from memory, one caution the agent's own guardrail note attached — streams without a seam because generation at ~14 tokens/s outruns speech at ~12–15 tokens/s equivalent (§6.3).</w:t>
      </w:r>
    </w:p>
    <w:p>
      <w:pPr>
        <w:spacing w:after="140" w:line="276"/>
        <w:jc w:val="left"/>
      </w:pPr>
      <w:r>
        <w:t xml:space="preserve">Twenty minutes later the second exchange arrives in reverse. A Council division completes a long render on the Windows side and emits a whitelisted announcement event; the SSE channel (§5.5) delivers it and the face speaks unprompted: “The overnight render finished clean — forty-one minutes.” One sentence, a permitted class, logged. The owner, mid-thought, starts a follow-up while the avatar is still finishing a courtesy close: the wake phrase during active speech is treated as barge-in (§5.3) — playback stops within the current word, the audio queue flushes, and the gate reopens. “Queue the color pass for tonight and remind me before it starts.” Transcription, a Letta write, a scheduler tool call, and a spoken confirmation — the whole round trip again under two and a half seconds, and again no packet has left the machine. The vignette's point is architectural, not theatrical: every arrow exercised above is one of Figure 1's localhost hops; the announcement and the barge-in — the two behaviors that make the face feel inhabited rather than launched — are respectively a permission file and an interrupt handler, and both would work identically with the network cable unplugged (R1, R6). What the vignette cannot show is exactly what §8 concedes: that these are the builder's own sessions, and the register they establish awaits measurement on users who did not wire the system themselves.</w:t>
      </w:r>
    </w:p>
    <w:p>
      <w:pPr>
        <w:spacing w:after="140" w:line="276"/>
        <w:jc w:val="left"/>
      </w:pPr>
      <w:r>
        <w:t xml:space="preserve">The failure modes deserve a vignette of equal honesty, because graceful degradation is a designed property here, not an accident. Cold start: after game-mode, the resident model is not loaded, and the first wake of a hologram session pays tens of seconds of model load — the avatar's attending posture holds and, past a threshold, it says so (“loading the local model — a moment”), because a truthful delay is cheaper than a fake fluency. Mishear: Whisper-small occasionally mangles project jargon; the agent, finding no referent in memory, asks a one-line clarifying question rather than acting on a guess — turning a transcription error into one extra turn instead of a wrong action. Tool overrun: when a Council tool exceeds its budget (a slow index, a busy division), the shim's stream carries what the agent can already say, and the completed result arrives moments later through the announcement channel — the same asynchrony that makes the face proactive makes it honest about slowness. Hard failure: if the shim itself is down, the frontend's connection error is visible and the fix is one mode-script rerun; nothing about the failure is silent, and nothing about it is remote. The design rule under all four: the face may be slow, and may be uncertain, but it is never confidently wrong about its own state — the one property a fully local system can actually guarantee, since every state it reports is its own.</w:t>
      </w:r>
    </w:p>
    <w:p>
      <w:pPr>
        <w:pStyle w:val="Heading1"/>
        <w:pBdr>
          <w:bottom w:val="single" w:color="3D5A80" w:sz="8" w:space="4"/>
        </w:pBdr>
        <w:spacing w:after="180" w:before="340"/>
      </w:pPr>
      <w:r>
        <w:rPr>
          <w:rFonts w:ascii="Cambria" w:cs="Cambria" w:eastAsia="Cambria" w:hAnsi="Cambria"/>
          <w:b/>
          <w:bCs/>
          <w:color w:val="233A5C"/>
          <w:sz w:val="32"/>
          <w:szCs w:val="32"/>
        </w:rPr>
        <w:t xml:space="preserve">6. Evaluation</w:t>
      </w:r>
    </w:p>
    <w:p>
      <w:pPr>
        <w:pStyle w:val="Heading2"/>
        <w:spacing w:after="120" w:before="260"/>
      </w:pPr>
      <w:r>
        <w:rPr>
          <w:rFonts w:ascii="Cambria" w:cs="Cambria" w:eastAsia="Cambria" w:hAnsi="Cambria"/>
          <w:b/>
          <w:bCs/>
          <w:color w:val="233A5C"/>
          <w:sz w:val="26"/>
          <w:szCs w:val="26"/>
        </w:rPr>
        <w:t xml:space="preserve">6.1 Method and provenance</w:t>
      </w:r>
    </w:p>
    <w:p>
      <w:pPr>
        <w:spacing w:after="140" w:line="276"/>
        <w:jc w:val="left"/>
      </w:pPr>
      <w:r>
        <w:t xml:space="preserve">Evaluation follows the design-science frame: measured system properties against the requirements of Table 1, with every number carrying a provenance tier — (i) vendor-published, (ii) independent third-party benchmark on the same silicon class, or (iii) first-party measurement protocol defined here for the ops log. Comparative claims about the commercial alternative are (iv) vendor/press-sourced and date-stamped, because no independent unit exists to measure. This tiering is itself a result: a single-builder study that labels its evidence is auditable in a way spec-sheet prose is not.</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Pr>
      <w:tblGrid>
        <w:gridCol w:w="1900"/>
        <w:gridCol w:w="2700"/>
        <w:gridCol w:w="2760"/>
        <w:gridCol w:w="2000"/>
      </w:tblGrid>
      <w:tr>
        <w:trPr>
          <w:tblHeader/>
        </w:trPr>
        <w:tc>
          <w:tcPr>
            <w:tcW w:type="dxa" w:w="1900"/>
            <w:shd w:fill="233A5C" w:val="clear"/>
            <w:tcMar>
              <w:top w:type="dxa" w:w="70"/>
              <w:left w:type="dxa" w:w="110"/>
              <w:bottom w:type="dxa" w:w="70"/>
              <w:right w:type="dxa" w:w="110"/>
            </w:tcMar>
            <w:vAlign w:val="center"/>
          </w:tcPr>
          <w:p>
            <w:pPr>
              <w:spacing w:after="20" w:line="252"/>
              <w:jc w:val="left"/>
            </w:pPr>
            <w:r>
              <w:rPr>
                <w:b/>
                <w:bCs/>
                <w:color w:val="FFFFFF"/>
                <w:sz w:val="20"/>
                <w:szCs w:val="20"/>
              </w:rPr>
              <w:t xml:space="preserve">Tier</w:t>
            </w:r>
          </w:p>
        </w:tc>
        <w:tc>
          <w:tcPr>
            <w:tcW w:type="dxa" w:w="2700"/>
            <w:shd w:fill="233A5C" w:val="clear"/>
            <w:tcMar>
              <w:top w:type="dxa" w:w="70"/>
              <w:left w:type="dxa" w:w="110"/>
              <w:bottom w:type="dxa" w:w="70"/>
              <w:right w:type="dxa" w:w="110"/>
            </w:tcMar>
            <w:vAlign w:val="center"/>
          </w:tcPr>
          <w:p>
            <w:pPr>
              <w:spacing w:after="20" w:line="252"/>
              <w:jc w:val="left"/>
            </w:pPr>
            <w:r>
              <w:rPr>
                <w:b/>
                <w:bCs/>
                <w:color w:val="FFFFFF"/>
                <w:sz w:val="20"/>
                <w:szCs w:val="20"/>
              </w:rPr>
              <w:t xml:space="preserve">Definition</w:t>
            </w:r>
          </w:p>
        </w:tc>
        <w:tc>
          <w:tcPr>
            <w:tcW w:type="dxa" w:w="2760"/>
            <w:shd w:fill="233A5C" w:val="clear"/>
            <w:tcMar>
              <w:top w:type="dxa" w:w="70"/>
              <w:left w:type="dxa" w:w="110"/>
              <w:bottom w:type="dxa" w:w="70"/>
              <w:right w:type="dxa" w:w="110"/>
            </w:tcMar>
            <w:vAlign w:val="center"/>
          </w:tcPr>
          <w:p>
            <w:pPr>
              <w:spacing w:after="20" w:line="252"/>
              <w:jc w:val="left"/>
            </w:pPr>
            <w:r>
              <w:rPr>
                <w:b/>
                <w:bCs/>
                <w:color w:val="FFFFFF"/>
                <w:sz w:val="20"/>
                <w:szCs w:val="20"/>
              </w:rPr>
              <w:t xml:space="preserve">Instances in this paper</w:t>
            </w:r>
          </w:p>
        </w:tc>
        <w:tc>
          <w:tcPr>
            <w:tcW w:type="dxa" w:w="2000"/>
            <w:shd w:fill="233A5C" w:val="clear"/>
            <w:tcMar>
              <w:top w:type="dxa" w:w="70"/>
              <w:left w:type="dxa" w:w="110"/>
              <w:bottom w:type="dxa" w:w="70"/>
              <w:right w:type="dxa" w:w="110"/>
            </w:tcMar>
            <w:vAlign w:val="center"/>
          </w:tcPr>
          <w:p>
            <w:pPr>
              <w:spacing w:after="20" w:line="252"/>
              <w:jc w:val="left"/>
            </w:pPr>
            <w:r>
              <w:rPr>
                <w:b/>
                <w:bCs/>
                <w:color w:val="FFFFFF"/>
                <w:sz w:val="20"/>
                <w:szCs w:val="20"/>
              </w:rPr>
              <w:t xml:space="preserve">Trust posture</w:t>
            </w:r>
          </w:p>
        </w:tc>
      </w:tr>
      <w:tr>
        <w:tc>
          <w:tcPr>
            <w:tcW w:type="dxa" w:w="1900"/>
            <w:shd w:fill="FFFFFF" w:val="clear"/>
            <w:tcMar>
              <w:top w:type="dxa" w:w="60"/>
              <w:left w:type="dxa" w:w="110"/>
              <w:bottom w:type="dxa" w:w="60"/>
              <w:right w:type="dxa" w:w="110"/>
            </w:tcMar>
          </w:tcPr>
          <w:p>
            <w:pPr>
              <w:spacing w:after="20" w:line="252"/>
              <w:jc w:val="left"/>
            </w:pPr>
            <w:r>
              <w:rPr>
                <w:sz w:val="20"/>
                <w:szCs w:val="20"/>
              </w:rPr>
              <w:t xml:space="preserve">(i) Vendor-published</w:t>
            </w:r>
          </w:p>
        </w:tc>
        <w:tc>
          <w:tcPr>
            <w:tcW w:type="dxa" w:w="2700"/>
            <w:shd w:fill="FFFFFF" w:val="clear"/>
            <w:tcMar>
              <w:top w:type="dxa" w:w="60"/>
              <w:left w:type="dxa" w:w="110"/>
              <w:bottom w:type="dxa" w:w="60"/>
              <w:right w:type="dxa" w:w="110"/>
            </w:tcMar>
          </w:tcPr>
          <w:p>
            <w:pPr>
              <w:spacing w:after="20" w:line="252"/>
              <w:jc w:val="left"/>
            </w:pPr>
            <w:r>
              <w:rPr>
                <w:sz w:val="20"/>
                <w:szCs w:val="20"/>
              </w:rPr>
              <w:t xml:space="preserve">Manufacturer specifications and claims</w:t>
            </w:r>
          </w:p>
        </w:tc>
        <w:tc>
          <w:tcPr>
            <w:tcW w:type="dxa" w:w="2760"/>
            <w:shd w:fill="FFFFFF" w:val="clear"/>
            <w:tcMar>
              <w:top w:type="dxa" w:w="60"/>
              <w:left w:type="dxa" w:w="110"/>
              <w:bottom w:type="dxa" w:w="60"/>
              <w:right w:type="dxa" w:w="110"/>
            </w:tcMar>
          </w:tcPr>
          <w:p>
            <w:pPr>
              <w:spacing w:after="20" w:line="252"/>
              <w:jc w:val="left"/>
            </w:pPr>
            <w:r>
              <w:rPr>
                <w:sz w:val="20"/>
                <w:szCs w:val="20"/>
              </w:rPr>
              <w:t xml:space="preserve">HLD optical/interface specs; light-field GPU floor</w:t>
            </w:r>
          </w:p>
        </w:tc>
        <w:tc>
          <w:tcPr>
            <w:tcW w:type="dxa" w:w="2000"/>
            <w:shd w:fill="FFFFFF" w:val="clear"/>
            <w:tcMar>
              <w:top w:type="dxa" w:w="60"/>
              <w:left w:type="dxa" w:w="110"/>
              <w:bottom w:type="dxa" w:w="60"/>
              <w:right w:type="dxa" w:w="110"/>
            </w:tcMar>
          </w:tcPr>
          <w:p>
            <w:pPr>
              <w:spacing w:after="20" w:line="252"/>
              <w:jc w:val="left"/>
            </w:pPr>
            <w:r>
              <w:rPr>
                <w:sz w:val="20"/>
                <w:szCs w:val="20"/>
              </w:rPr>
              <w:t xml:space="preserve">Descriptive; dated; no performance weight</w:t>
            </w:r>
          </w:p>
        </w:tc>
      </w:tr>
      <w:tr>
        <w:tc>
          <w:tcPr>
            <w:tcW w:type="dxa" w:w="1900"/>
            <w:shd w:fill="F5F8FB" w:val="clear"/>
            <w:tcMar>
              <w:top w:type="dxa" w:w="60"/>
              <w:left w:type="dxa" w:w="110"/>
              <w:bottom w:type="dxa" w:w="60"/>
              <w:right w:type="dxa" w:w="110"/>
            </w:tcMar>
          </w:tcPr>
          <w:p>
            <w:pPr>
              <w:spacing w:after="20" w:line="252"/>
              <w:jc w:val="left"/>
            </w:pPr>
            <w:r>
              <w:rPr>
                <w:sz w:val="20"/>
                <w:szCs w:val="20"/>
              </w:rPr>
              <w:t xml:space="preserve">(ii) Third-party benchmark</w:t>
            </w:r>
          </w:p>
        </w:tc>
        <w:tc>
          <w:tcPr>
            <w:tcW w:type="dxa" w:w="2700"/>
            <w:shd w:fill="F5F8FB" w:val="clear"/>
            <w:tcMar>
              <w:top w:type="dxa" w:w="60"/>
              <w:left w:type="dxa" w:w="110"/>
              <w:bottom w:type="dxa" w:w="60"/>
              <w:right w:type="dxa" w:w="110"/>
            </w:tcMar>
          </w:tcPr>
          <w:p>
            <w:pPr>
              <w:spacing w:after="20" w:line="252"/>
              <w:jc w:val="left"/>
            </w:pPr>
            <w:r>
              <w:rPr>
                <w:sz w:val="20"/>
                <w:szCs w:val="20"/>
              </w:rPr>
              <w:t xml:space="preserve">Independent measurement on the silicon class</w:t>
            </w:r>
          </w:p>
        </w:tc>
        <w:tc>
          <w:tcPr>
            <w:tcW w:type="dxa" w:w="2760"/>
            <w:shd w:fill="F5F8FB" w:val="clear"/>
            <w:tcMar>
              <w:top w:type="dxa" w:w="60"/>
              <w:left w:type="dxa" w:w="110"/>
              <w:bottom w:type="dxa" w:w="60"/>
              <w:right w:type="dxa" w:w="110"/>
            </w:tcMar>
          </w:tcPr>
          <w:p>
            <w:pPr>
              <w:spacing w:after="20" w:line="252"/>
              <w:jc w:val="left"/>
            </w:pPr>
            <w:r>
              <w:rPr>
                <w:sz w:val="20"/>
                <w:szCs w:val="20"/>
              </w:rPr>
              <w:t xml:space="preserve">14.11 tok/s Vulkan; ROCm comparison; database entries</w:t>
            </w:r>
          </w:p>
        </w:tc>
        <w:tc>
          <w:tcPr>
            <w:tcW w:type="dxa" w:w="2000"/>
            <w:shd w:fill="F5F8FB" w:val="clear"/>
            <w:tcMar>
              <w:top w:type="dxa" w:w="60"/>
              <w:left w:type="dxa" w:w="110"/>
              <w:bottom w:type="dxa" w:w="60"/>
              <w:right w:type="dxa" w:w="110"/>
            </w:tcMar>
          </w:tcPr>
          <w:p>
            <w:pPr>
              <w:spacing w:after="20" w:line="252"/>
              <w:jc w:val="left"/>
            </w:pPr>
            <w:r>
              <w:rPr>
                <w:sz w:val="20"/>
                <w:szCs w:val="20"/>
              </w:rPr>
              <w:t xml:space="preserve">Capability class established; OS-stack caveat carried (§8)</w:t>
            </w:r>
          </w:p>
        </w:tc>
      </w:tr>
      <w:tr>
        <w:tc>
          <w:tcPr>
            <w:tcW w:type="dxa" w:w="1900"/>
            <w:shd w:fill="FFFFFF" w:val="clear"/>
            <w:tcMar>
              <w:top w:type="dxa" w:w="60"/>
              <w:left w:type="dxa" w:w="110"/>
              <w:bottom w:type="dxa" w:w="60"/>
              <w:right w:type="dxa" w:w="110"/>
            </w:tcMar>
          </w:tcPr>
          <w:p>
            <w:pPr>
              <w:spacing w:after="20" w:line="252"/>
              <w:jc w:val="left"/>
            </w:pPr>
            <w:r>
              <w:rPr>
                <w:sz w:val="20"/>
                <w:szCs w:val="20"/>
              </w:rPr>
              <w:t xml:space="preserve">(iii) First-party protocol</w:t>
            </w:r>
          </w:p>
        </w:tc>
        <w:tc>
          <w:tcPr>
            <w:tcW w:type="dxa" w:w="2700"/>
            <w:shd w:fill="FFFFFF" w:val="clear"/>
            <w:tcMar>
              <w:top w:type="dxa" w:w="60"/>
              <w:left w:type="dxa" w:w="110"/>
              <w:bottom w:type="dxa" w:w="60"/>
              <w:right w:type="dxa" w:w="110"/>
            </w:tcMar>
          </w:tcPr>
          <w:p>
            <w:pPr>
              <w:spacing w:after="20" w:line="252"/>
              <w:jc w:val="left"/>
            </w:pPr>
            <w:r>
              <w:rPr>
                <w:sz w:val="20"/>
                <w:szCs w:val="20"/>
              </w:rPr>
              <w:t xml:space="preserve">Author measurement under published procedure</w:t>
            </w:r>
          </w:p>
        </w:tc>
        <w:tc>
          <w:tcPr>
            <w:tcW w:type="dxa" w:w="2760"/>
            <w:shd w:fill="FFFFFF" w:val="clear"/>
            <w:tcMar>
              <w:top w:type="dxa" w:w="60"/>
              <w:left w:type="dxa" w:w="110"/>
              <w:bottom w:type="dxa" w:w="60"/>
              <w:right w:type="dxa" w:w="110"/>
            </w:tcMar>
          </w:tcPr>
          <w:p>
            <w:pPr>
              <w:spacing w:after="20" w:line="252"/>
              <w:jc w:val="left"/>
            </w:pPr>
            <w:r>
              <w:rPr>
                <w:sz w:val="20"/>
                <w:szCs w:val="20"/>
              </w:rPr>
              <w:t xml:space="preserve">Latency medians; framing verdict; ops-log entries</w:t>
            </w:r>
          </w:p>
        </w:tc>
        <w:tc>
          <w:tcPr>
            <w:tcW w:type="dxa" w:w="2000"/>
            <w:shd w:fill="FFFFFF" w:val="clear"/>
            <w:tcMar>
              <w:top w:type="dxa" w:w="60"/>
              <w:left w:type="dxa" w:w="110"/>
              <w:bottom w:type="dxa" w:w="60"/>
              <w:right w:type="dxa" w:w="110"/>
            </w:tcMar>
          </w:tcPr>
          <w:p>
            <w:pPr>
              <w:spacing w:after="20" w:line="252"/>
              <w:jc w:val="left"/>
            </w:pPr>
            <w:r>
              <w:rPr>
                <w:sz w:val="20"/>
                <w:szCs w:val="20"/>
              </w:rPr>
              <w:t xml:space="preserve">Authoritative for this unit; outranks (ii) once logged</w:t>
            </w:r>
          </w:p>
        </w:tc>
      </w:tr>
      <w:tr>
        <w:tc>
          <w:tcPr>
            <w:tcW w:type="dxa" w:w="1900"/>
            <w:shd w:fill="F5F8FB" w:val="clear"/>
            <w:tcMar>
              <w:top w:type="dxa" w:w="60"/>
              <w:left w:type="dxa" w:w="110"/>
              <w:bottom w:type="dxa" w:w="60"/>
              <w:right w:type="dxa" w:w="110"/>
            </w:tcMar>
          </w:tcPr>
          <w:p>
            <w:pPr>
              <w:spacing w:after="20" w:line="252"/>
              <w:jc w:val="left"/>
            </w:pPr>
            <w:r>
              <w:rPr>
                <w:sz w:val="20"/>
                <w:szCs w:val="20"/>
              </w:rPr>
              <w:t xml:space="preserve">(iv) Vendor/press comparator</w:t>
            </w:r>
          </w:p>
        </w:tc>
        <w:tc>
          <w:tcPr>
            <w:tcW w:type="dxa" w:w="2700"/>
            <w:shd w:fill="F5F8FB" w:val="clear"/>
            <w:tcMar>
              <w:top w:type="dxa" w:w="60"/>
              <w:left w:type="dxa" w:w="110"/>
              <w:bottom w:type="dxa" w:w="60"/>
              <w:right w:type="dxa" w:w="110"/>
            </w:tcMar>
          </w:tcPr>
          <w:p>
            <w:pPr>
              <w:spacing w:after="20" w:line="252"/>
              <w:jc w:val="left"/>
            </w:pPr>
            <w:r>
              <w:rPr>
                <w:sz w:val="20"/>
                <w:szCs w:val="20"/>
              </w:rPr>
              <w:t xml:space="preserve">Claims about unshipped commercial products</w:t>
            </w:r>
          </w:p>
        </w:tc>
        <w:tc>
          <w:tcPr>
            <w:tcW w:type="dxa" w:w="2760"/>
            <w:shd w:fill="F5F8FB" w:val="clear"/>
            <w:tcMar>
              <w:top w:type="dxa" w:w="60"/>
              <w:left w:type="dxa" w:w="110"/>
              <w:bottom w:type="dxa" w:w="60"/>
              <w:right w:type="dxa" w:w="110"/>
            </w:tcMar>
          </w:tcPr>
          <w:p>
            <w:pPr>
              <w:spacing w:after="20" w:line="252"/>
              <w:jc w:val="left"/>
            </w:pPr>
            <w:r>
              <w:rPr>
                <w:sz w:val="20"/>
                <w:szCs w:val="20"/>
              </w:rPr>
              <w:t xml:space="preserve">Every AVA cell of Table 5</w:t>
            </w:r>
          </w:p>
        </w:tc>
        <w:tc>
          <w:tcPr>
            <w:tcW w:type="dxa" w:w="2000"/>
            <w:shd w:fill="F5F8FB" w:val="clear"/>
            <w:tcMar>
              <w:top w:type="dxa" w:w="60"/>
              <w:left w:type="dxa" w:w="110"/>
              <w:bottom w:type="dxa" w:w="60"/>
              <w:right w:type="dxa" w:w="110"/>
            </w:tcMar>
          </w:tcPr>
          <w:p>
            <w:pPr>
              <w:spacing w:after="20" w:line="252"/>
              <w:jc w:val="left"/>
            </w:pPr>
            <w:r>
              <w:rPr>
                <w:sz w:val="20"/>
                <w:szCs w:val="20"/>
              </w:rPr>
              <w:t xml:space="preserve">Claims, not measurements; date-stamped; staleness-flagged</w:t>
            </w:r>
          </w:p>
        </w:tc>
      </w:tr>
    </w:tbl>
    <w:p>
      <w:pPr>
        <w:spacing w:after="160" w:before="60"/>
        <w:jc w:val="center"/>
      </w:pPr>
      <w:r>
        <w:rPr>
          <w:b/>
          <w:bCs/>
          <w:color w:val="233A5C"/>
          <w:sz w:val="19"/>
          <w:szCs w:val="19"/>
        </w:rPr>
        <w:t xml:space="preserve">Table 2. </w:t>
      </w:r>
      <w:r>
        <w:rPr>
          <w:i/>
          <w:iCs/>
          <w:color w:val="444444"/>
          <w:sz w:val="19"/>
          <w:szCs w:val="19"/>
        </w:rPr>
        <w:t xml:space="preserve">The provenance tiers used throughout this section.</w:t>
      </w:r>
    </w:p>
    <w:p>
      <w:pPr>
        <w:pStyle w:val="Heading2"/>
        <w:spacing w:after="120" w:before="260"/>
      </w:pPr>
      <w:r>
        <w:rPr>
          <w:rFonts w:ascii="Cambria" w:cs="Cambria" w:eastAsia="Cambria" w:hAnsi="Cambria"/>
          <w:b/>
          <w:bCs/>
          <w:color w:val="233A5C"/>
          <w:sz w:val="26"/>
          <w:szCs w:val="26"/>
        </w:rPr>
        <w:t xml:space="preserve">6.2 Throughput</w:t>
      </w:r>
    </w:p>
    <w:p>
      <w:pPr>
        <w:spacing w:after="140" w:line="276"/>
        <w:jc w:val="left"/>
      </w:pPr>
      <w:r>
        <w:t xml:space="preserve">Before the table, a sanity check that the headline number is physically plausible rather than merely reported. Autoregressive decoding on this class of hardware is memory-bandwidth-bound: each generated token requires streaming the active weights once, so an upper bound on generation rate is bus bandwidth divided by model size. With ~120 GB/s theoretical LPDDR5X bandwidth and an 8B Q4_K_M weight file of ~4.9 GB, the ceiling is ~24 tokens/s; at ~60–70% effective bandwidth on a shared bus — the realistic range for mixed-traffic unified memory — the expected window is roughly 14–17 tokens/s. The measured 14.11 sits at the bottom of that window, exactly where an experimental Vulkan backend contending with an operating system on one bus should land. This derivation is labeled an estimate: it exists so the benchmark can be audited against physics, and so that any future first-party measurement wildly outside the window is recognized as a configuration problem rather than accepted as news.</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Pr>
      <w:tblGrid>
        <w:gridCol w:w="2900"/>
        <w:gridCol w:w="2600"/>
        <w:gridCol w:w="1600"/>
        <w:gridCol w:w="2260"/>
      </w:tblGrid>
      <w:tr>
        <w:trPr>
          <w:tblHeader/>
        </w:trPr>
        <w:tc>
          <w:tcPr>
            <w:tcW w:type="dxa" w:w="2900"/>
            <w:shd w:fill="233A5C" w:val="clear"/>
            <w:tcMar>
              <w:top w:type="dxa" w:w="70"/>
              <w:left w:type="dxa" w:w="110"/>
              <w:bottom w:type="dxa" w:w="70"/>
              <w:right w:type="dxa" w:w="110"/>
            </w:tcMar>
            <w:vAlign w:val="center"/>
          </w:tcPr>
          <w:p>
            <w:pPr>
              <w:spacing w:after="20" w:line="252"/>
              <w:jc w:val="left"/>
            </w:pPr>
            <w:r>
              <w:rPr>
                <w:b/>
                <w:bCs/>
                <w:color w:val="FFFFFF"/>
                <w:sz w:val="20"/>
                <w:szCs w:val="20"/>
              </w:rPr>
              <w:t xml:space="preserve">Configuration</w:t>
            </w:r>
          </w:p>
        </w:tc>
        <w:tc>
          <w:tcPr>
            <w:tcW w:type="dxa" w:w="2600"/>
            <w:shd w:fill="233A5C" w:val="clear"/>
            <w:tcMar>
              <w:top w:type="dxa" w:w="70"/>
              <w:left w:type="dxa" w:w="110"/>
              <w:bottom w:type="dxa" w:w="70"/>
              <w:right w:type="dxa" w:w="110"/>
            </w:tcMar>
            <w:vAlign w:val="center"/>
          </w:tcPr>
          <w:p>
            <w:pPr>
              <w:spacing w:after="20" w:line="252"/>
              <w:jc w:val="left"/>
            </w:pPr>
            <w:r>
              <w:rPr>
                <w:b/>
                <w:bCs/>
                <w:color w:val="FFFFFF"/>
                <w:sz w:val="20"/>
                <w:szCs w:val="20"/>
              </w:rPr>
              <w:t xml:space="preserve">Backend</w:t>
            </w:r>
          </w:p>
        </w:tc>
        <w:tc>
          <w:tcPr>
            <w:tcW w:type="dxa" w:w="1600"/>
            <w:shd w:fill="233A5C" w:val="clear"/>
            <w:tcMar>
              <w:top w:type="dxa" w:w="70"/>
              <w:left w:type="dxa" w:w="110"/>
              <w:bottom w:type="dxa" w:w="70"/>
              <w:right w:type="dxa" w:w="110"/>
            </w:tcMar>
            <w:vAlign w:val="center"/>
          </w:tcPr>
          <w:p>
            <w:pPr>
              <w:spacing w:after="20" w:line="252"/>
              <w:jc w:val="left"/>
            </w:pPr>
            <w:r>
              <w:rPr>
                <w:b/>
                <w:bCs/>
                <w:color w:val="FFFFFF"/>
                <w:sz w:val="20"/>
                <w:szCs w:val="20"/>
              </w:rPr>
              <w:t xml:space="preserve">Throughput</w:t>
            </w:r>
          </w:p>
        </w:tc>
        <w:tc>
          <w:tcPr>
            <w:tcW w:type="dxa" w:w="2260"/>
            <w:shd w:fill="233A5C" w:val="clear"/>
            <w:tcMar>
              <w:top w:type="dxa" w:w="70"/>
              <w:left w:type="dxa" w:w="110"/>
              <w:bottom w:type="dxa" w:w="70"/>
              <w:right w:type="dxa" w:w="110"/>
            </w:tcMar>
            <w:vAlign w:val="center"/>
          </w:tcPr>
          <w:p>
            <w:pPr>
              <w:spacing w:after="20" w:line="252"/>
              <w:jc w:val="left"/>
            </w:pPr>
            <w:r>
              <w:rPr>
                <w:b/>
                <w:bCs/>
                <w:color w:val="FFFFFF"/>
                <w:sz w:val="20"/>
                <w:szCs w:val="20"/>
              </w:rPr>
              <w:t xml:space="preserve">Provenance</w:t>
            </w:r>
          </w:p>
        </w:tc>
      </w:tr>
      <w:tr>
        <w:tc>
          <w:tcPr>
            <w:tcW w:type="dxa" w:w="2900"/>
            <w:shd w:fill="FFFFFF" w:val="clear"/>
            <w:tcMar>
              <w:top w:type="dxa" w:w="60"/>
              <w:left w:type="dxa" w:w="110"/>
              <w:bottom w:type="dxa" w:w="60"/>
              <w:right w:type="dxa" w:w="110"/>
            </w:tcMar>
          </w:tcPr>
          <w:p>
            <w:pPr>
              <w:spacing w:after="20" w:line="252"/>
              <w:jc w:val="left"/>
            </w:pPr>
            <w:r>
              <w:rPr>
                <w:sz w:val="20"/>
                <w:szCs w:val="20"/>
              </w:rPr>
              <w:t xml:space="preserve">8B class, Q4_K_M, Radeon 890M</w:t>
            </w:r>
          </w:p>
        </w:tc>
        <w:tc>
          <w:tcPr>
            <w:tcW w:type="dxa" w:w="2600"/>
            <w:shd w:fill="FFFFFF" w:val="clear"/>
            <w:tcMar>
              <w:top w:type="dxa" w:w="60"/>
              <w:left w:type="dxa" w:w="110"/>
              <w:bottom w:type="dxa" w:w="60"/>
              <w:right w:type="dxa" w:w="110"/>
            </w:tcMar>
          </w:tcPr>
          <w:p>
            <w:pPr>
              <w:spacing w:after="20" w:line="252"/>
              <w:jc w:val="left"/>
            </w:pPr>
            <w:r>
              <w:rPr>
                <w:sz w:val="20"/>
                <w:szCs w:val="20"/>
              </w:rPr>
              <w:t xml:space="preserve">Ollama Vulkan (OLLAMA_VULKAN=1)</w:t>
            </w:r>
          </w:p>
        </w:tc>
        <w:tc>
          <w:tcPr>
            <w:tcW w:type="dxa" w:w="1600"/>
            <w:shd w:fill="FFFFFF" w:val="clear"/>
            <w:tcMar>
              <w:top w:type="dxa" w:w="60"/>
              <w:left w:type="dxa" w:w="110"/>
              <w:bottom w:type="dxa" w:w="60"/>
              <w:right w:type="dxa" w:w="110"/>
            </w:tcMar>
          </w:tcPr>
          <w:p>
            <w:pPr>
              <w:spacing w:after="20" w:line="252"/>
              <w:jc w:val="left"/>
            </w:pPr>
            <w:r>
              <w:rPr>
                <w:sz w:val="20"/>
                <w:szCs w:val="20"/>
              </w:rPr>
              <w:t xml:space="preserve">14.11 tok/s</w:t>
            </w:r>
          </w:p>
        </w:tc>
        <w:tc>
          <w:tcPr>
            <w:tcW w:type="dxa" w:w="2260"/>
            <w:shd w:fill="FFFFFF" w:val="clear"/>
            <w:tcMar>
              <w:top w:type="dxa" w:w="60"/>
              <w:left w:type="dxa" w:w="110"/>
              <w:bottom w:type="dxa" w:w="60"/>
              <w:right w:type="dxa" w:w="110"/>
            </w:tcMar>
          </w:tcPr>
          <w:p>
            <w:pPr>
              <w:spacing w:after="20" w:line="252"/>
              <w:jc w:val="left"/>
            </w:pPr>
            <w:r>
              <w:rPr>
                <w:sz w:val="20"/>
                <w:szCs w:val="20"/>
              </w:rPr>
              <w:t xml:space="preserve">(ii) dasroot.net, Mar 2026; Ollama 0.13.5</w:t>
            </w:r>
          </w:p>
        </w:tc>
      </w:tr>
      <w:tr>
        <w:tc>
          <w:tcPr>
            <w:tcW w:type="dxa" w:w="2900"/>
            <w:shd w:fill="F5F8FB" w:val="clear"/>
            <w:tcMar>
              <w:top w:type="dxa" w:w="60"/>
              <w:left w:type="dxa" w:w="110"/>
              <w:bottom w:type="dxa" w:w="60"/>
              <w:right w:type="dxa" w:w="110"/>
            </w:tcMar>
          </w:tcPr>
          <w:p>
            <w:pPr>
              <w:spacing w:after="20" w:line="252"/>
              <w:jc w:val="left"/>
            </w:pPr>
            <w:r>
              <w:rPr>
                <w:sz w:val="20"/>
                <w:szCs w:val="20"/>
              </w:rPr>
              <w:t xml:space="preserve">8B class, Q4_K_M, same silicon</w:t>
            </w:r>
          </w:p>
        </w:tc>
        <w:tc>
          <w:tcPr>
            <w:tcW w:type="dxa" w:w="2600"/>
            <w:shd w:fill="F5F8FB" w:val="clear"/>
            <w:tcMar>
              <w:top w:type="dxa" w:w="60"/>
              <w:left w:type="dxa" w:w="110"/>
              <w:bottom w:type="dxa" w:w="60"/>
              <w:right w:type="dxa" w:w="110"/>
            </w:tcMar>
          </w:tcPr>
          <w:p>
            <w:pPr>
              <w:spacing w:after="20" w:line="252"/>
              <w:jc w:val="left"/>
            </w:pPr>
            <w:r>
              <w:rPr>
                <w:sz w:val="20"/>
                <w:szCs w:val="20"/>
              </w:rPr>
              <w:t xml:space="preserve">Ollama ROCm (unofficial)</w:t>
            </w:r>
          </w:p>
        </w:tc>
        <w:tc>
          <w:tcPr>
            <w:tcW w:type="dxa" w:w="1600"/>
            <w:shd w:fill="F5F8FB" w:val="clear"/>
            <w:tcMar>
              <w:top w:type="dxa" w:w="60"/>
              <w:left w:type="dxa" w:w="110"/>
              <w:bottom w:type="dxa" w:w="60"/>
              <w:right w:type="dxa" w:w="110"/>
            </w:tcMar>
          </w:tcPr>
          <w:p>
            <w:pPr>
              <w:spacing w:after="20" w:line="252"/>
              <w:jc w:val="left"/>
            </w:pPr>
            <w:r>
              <w:rPr>
                <w:sz w:val="20"/>
                <w:szCs w:val="20"/>
              </w:rPr>
              <w:t xml:space="preserve">12.93 tok/s</w:t>
            </w:r>
          </w:p>
        </w:tc>
        <w:tc>
          <w:tcPr>
            <w:tcW w:type="dxa" w:w="2260"/>
            <w:shd w:fill="F5F8FB" w:val="clear"/>
            <w:tcMar>
              <w:top w:type="dxa" w:w="60"/>
              <w:left w:type="dxa" w:w="110"/>
              <w:bottom w:type="dxa" w:w="60"/>
              <w:right w:type="dxa" w:w="110"/>
            </w:tcMar>
          </w:tcPr>
          <w:p>
            <w:pPr>
              <w:spacing w:after="20" w:line="252"/>
              <w:jc w:val="left"/>
            </w:pPr>
            <w:r>
              <w:rPr>
                <w:sz w:val="20"/>
                <w:szCs w:val="20"/>
              </w:rPr>
              <w:t xml:space="preserve">(ii) same source, same configuration</w:t>
            </w:r>
          </w:p>
        </w:tc>
      </w:tr>
      <w:tr>
        <w:tc>
          <w:tcPr>
            <w:tcW w:type="dxa" w:w="2900"/>
            <w:shd w:fill="FFFFFF" w:val="clear"/>
            <w:tcMar>
              <w:top w:type="dxa" w:w="60"/>
              <w:left w:type="dxa" w:w="110"/>
              <w:bottom w:type="dxa" w:w="60"/>
              <w:right w:type="dxa" w:w="110"/>
            </w:tcMar>
          </w:tcPr>
          <w:p>
            <w:pPr>
              <w:spacing w:after="20" w:line="252"/>
              <w:jc w:val="left"/>
            </w:pPr>
            <w:r>
              <w:rPr>
                <w:sz w:val="20"/>
                <w:szCs w:val="20"/>
              </w:rPr>
              <w:t xml:space="preserve">8B / 14B class, Q4</w:t>
            </w:r>
          </w:p>
        </w:tc>
        <w:tc>
          <w:tcPr>
            <w:tcW w:type="dxa" w:w="2600"/>
            <w:shd w:fill="FFFFFF" w:val="clear"/>
            <w:tcMar>
              <w:top w:type="dxa" w:w="60"/>
              <w:left w:type="dxa" w:w="110"/>
              <w:bottom w:type="dxa" w:w="60"/>
              <w:right w:type="dxa" w:w="110"/>
            </w:tcMar>
          </w:tcPr>
          <w:p>
            <w:pPr>
              <w:spacing w:after="20" w:line="252"/>
              <w:jc w:val="left"/>
            </w:pPr>
            <w:r>
              <w:rPr>
                <w:sz w:val="20"/>
                <w:szCs w:val="20"/>
              </w:rPr>
              <w:t xml:space="preserve">Vulkan, community database</w:t>
            </w:r>
          </w:p>
        </w:tc>
        <w:tc>
          <w:tcPr>
            <w:tcW w:type="dxa" w:w="1600"/>
            <w:shd w:fill="FFFFFF" w:val="clear"/>
            <w:tcMar>
              <w:top w:type="dxa" w:w="60"/>
              <w:left w:type="dxa" w:w="110"/>
              <w:bottom w:type="dxa" w:w="60"/>
              <w:right w:type="dxa" w:w="110"/>
            </w:tcMar>
          </w:tcPr>
          <w:p>
            <w:pPr>
              <w:spacing w:after="20" w:line="252"/>
              <w:jc w:val="left"/>
            </w:pPr>
            <w:r>
              <w:rPr>
                <w:sz w:val="20"/>
                <w:szCs w:val="20"/>
              </w:rPr>
              <w:t xml:space="preserve">~12.11 / ~7.1 tok/s</w:t>
            </w:r>
          </w:p>
        </w:tc>
        <w:tc>
          <w:tcPr>
            <w:tcW w:type="dxa" w:w="2260"/>
            <w:shd w:fill="FFFFFF" w:val="clear"/>
            <w:tcMar>
              <w:top w:type="dxa" w:w="60"/>
              <w:left w:type="dxa" w:w="110"/>
              <w:bottom w:type="dxa" w:w="60"/>
              <w:right w:type="dxa" w:w="110"/>
            </w:tcMar>
          </w:tcPr>
          <w:p>
            <w:pPr>
              <w:spacing w:after="20" w:line="252"/>
              <w:jc w:val="left"/>
            </w:pPr>
            <w:r>
              <w:rPr>
                <w:sz w:val="20"/>
                <w:szCs w:val="20"/>
              </w:rPr>
              <w:t xml:space="preserve">(ii) localscore.ai entries</w:t>
            </w:r>
          </w:p>
        </w:tc>
      </w:tr>
      <w:tr>
        <w:tc>
          <w:tcPr>
            <w:tcW w:type="dxa" w:w="2900"/>
            <w:shd w:fill="F5F8FB" w:val="clear"/>
            <w:tcMar>
              <w:top w:type="dxa" w:w="60"/>
              <w:left w:type="dxa" w:w="110"/>
              <w:bottom w:type="dxa" w:w="60"/>
              <w:right w:type="dxa" w:w="110"/>
            </w:tcMar>
          </w:tcPr>
          <w:p>
            <w:pPr>
              <w:spacing w:after="20" w:line="252"/>
              <w:jc w:val="left"/>
            </w:pPr>
            <w:r>
              <w:rPr>
                <w:sz w:val="20"/>
                <w:szCs w:val="20"/>
              </w:rPr>
              <w:t xml:space="preserve">8B, Q4, RX 7900 XTX (context)</w:t>
            </w:r>
          </w:p>
        </w:tc>
        <w:tc>
          <w:tcPr>
            <w:tcW w:type="dxa" w:w="2600"/>
            <w:shd w:fill="F5F8FB" w:val="clear"/>
            <w:tcMar>
              <w:top w:type="dxa" w:w="60"/>
              <w:left w:type="dxa" w:w="110"/>
              <w:bottom w:type="dxa" w:w="60"/>
              <w:right w:type="dxa" w:w="110"/>
            </w:tcMar>
          </w:tcPr>
          <w:p>
            <w:pPr>
              <w:spacing w:after="20" w:line="252"/>
              <w:jc w:val="left"/>
            </w:pPr>
            <w:r>
              <w:rPr>
                <w:sz w:val="20"/>
                <w:szCs w:val="20"/>
              </w:rPr>
              <w:t xml:space="preserve">Discrete-GPU reference point</w:t>
            </w:r>
          </w:p>
        </w:tc>
        <w:tc>
          <w:tcPr>
            <w:tcW w:type="dxa" w:w="1600"/>
            <w:shd w:fill="F5F8FB" w:val="clear"/>
            <w:tcMar>
              <w:top w:type="dxa" w:w="60"/>
              <w:left w:type="dxa" w:w="110"/>
              <w:bottom w:type="dxa" w:w="60"/>
              <w:right w:type="dxa" w:w="110"/>
            </w:tcMar>
          </w:tcPr>
          <w:p>
            <w:pPr>
              <w:spacing w:after="20" w:line="252"/>
              <w:jc w:val="left"/>
            </w:pPr>
            <w:r>
              <w:rPr>
                <w:sz w:val="20"/>
                <w:szCs w:val="20"/>
              </w:rPr>
              <w:t xml:space="preserve">~96 tok/s</w:t>
            </w:r>
          </w:p>
        </w:tc>
        <w:tc>
          <w:tcPr>
            <w:tcW w:type="dxa" w:w="2260"/>
            <w:shd w:fill="F5F8FB" w:val="clear"/>
            <w:tcMar>
              <w:top w:type="dxa" w:w="60"/>
              <w:left w:type="dxa" w:w="110"/>
              <w:bottom w:type="dxa" w:w="60"/>
              <w:right w:type="dxa" w:w="110"/>
            </w:tcMar>
          </w:tcPr>
          <w:p>
            <w:pPr>
              <w:spacing w:after="20" w:line="252"/>
              <w:jc w:val="left"/>
            </w:pPr>
            <w:r>
              <w:rPr>
                <w:sz w:val="20"/>
                <w:szCs w:val="20"/>
              </w:rPr>
              <w:t xml:space="preserve">(ii) community benchmarks; ≈ 75% of an RTX 4090</w:t>
            </w:r>
          </w:p>
        </w:tc>
      </w:tr>
    </w:tbl>
    <w:p>
      <w:pPr>
        <w:spacing w:after="160" w:before="60"/>
        <w:jc w:val="center"/>
      </w:pPr>
      <w:r>
        <w:rPr>
          <w:b/>
          <w:bCs/>
          <w:color w:val="233A5C"/>
          <w:sz w:val="19"/>
          <w:szCs w:val="19"/>
        </w:rPr>
        <w:t xml:space="preserve">Table 3. </w:t>
      </w:r>
      <w:r>
        <w:rPr>
          <w:i/>
          <w:iCs/>
          <w:color w:val="444444"/>
          <w:sz w:val="19"/>
          <w:szCs w:val="19"/>
        </w:rPr>
        <w:t xml:space="preserve">Generation throughput. The Vulkan-over-ROCm result on identical silicon justifies the backend requirement of §4.2; the discrete-GPU row locates this host deliberately at the low end of the viability curve.</w:t>
      </w:r>
    </w:p>
    <w:p>
      <w:pPr>
        <w:spacing w:after="140" w:line="276"/>
        <w:jc w:val="left"/>
      </w:pPr>
      <w:r>
        <w:t xml:space="preserve">At 14.11 tokens/s a 40-token sentence exists in under three seconds and its successors generate while it is spoken. The figures are third-party; the deployment protocol requires the first-party eval-rate measurement to be logged on this exact machine and to outrank the benchmark thereafter.</w:t>
      </w:r>
    </w:p>
    <w:p>
      <w:pPr>
        <w:spacing w:after="140" w:line="276"/>
        <w:jc w:val="left"/>
      </w:pPr>
      <w:r>
        <w:t xml:space="preserve">The Vulkan-over-ROCm result on identical silicon deserves one interpretive sentence beyond the table: it is not a general claim that Vulkan beats ROCm, but the specific and expected consequence of ROCm's official support matrix excluding this integrated GPU class — the unofficial path runs, and runs slower, while the vendor-neutral graphics API's compute path is where community optimization effort for this silicon has actually landed. For a builder, the lesson generalizes: on officially unsupported hardware, the maintained generic backend beats the prestigious unmaintained one, and the deployment therefore treats OLLAMA_VULKAN=1 as load-bearing configuration, set persistently and verified at every mode start.</w:t>
      </w:r>
    </w:p>
    <w:p>
      <w:pPr>
        <w:pStyle w:val="Heading2"/>
        <w:spacing w:after="120" w:before="260"/>
      </w:pPr>
      <w:r>
        <w:rPr>
          <w:rFonts w:ascii="Cambria" w:cs="Cambria" w:eastAsia="Cambria" w:hAnsi="Cambria"/>
          <w:b/>
          <w:bCs/>
          <w:color w:val="233A5C"/>
          <w:sz w:val="26"/>
          <w:szCs w:val="26"/>
        </w:rPr>
        <w:t xml:space="preserve">6.3 Latency against the human register</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Pr>
      <w:tblGrid>
        <w:gridCol w:w="1650"/>
        <w:gridCol w:w="3050"/>
        <w:gridCol w:w="2500"/>
        <w:gridCol w:w="2160"/>
      </w:tblGrid>
      <w:tr>
        <w:trPr>
          <w:tblHeader/>
        </w:trPr>
        <w:tc>
          <w:tcPr>
            <w:tcW w:type="dxa" w:w="1650"/>
            <w:shd w:fill="233A5C" w:val="clear"/>
            <w:tcMar>
              <w:top w:type="dxa" w:w="70"/>
              <w:left w:type="dxa" w:w="110"/>
              <w:bottom w:type="dxa" w:w="70"/>
              <w:right w:type="dxa" w:w="110"/>
            </w:tcMar>
            <w:vAlign w:val="center"/>
          </w:tcPr>
          <w:p>
            <w:pPr>
              <w:spacing w:after="20" w:line="252"/>
              <w:jc w:val="left"/>
            </w:pPr>
            <w:r>
              <w:rPr>
                <w:b/>
                <w:bCs/>
                <w:color w:val="FFFFFF"/>
                <w:sz w:val="20"/>
                <w:szCs w:val="20"/>
              </w:rPr>
              <w:t xml:space="preserve">Stage</w:t>
            </w:r>
          </w:p>
        </w:tc>
        <w:tc>
          <w:tcPr>
            <w:tcW w:type="dxa" w:w="3050"/>
            <w:shd w:fill="233A5C" w:val="clear"/>
            <w:tcMar>
              <w:top w:type="dxa" w:w="70"/>
              <w:left w:type="dxa" w:w="110"/>
              <w:bottom w:type="dxa" w:w="70"/>
              <w:right w:type="dxa" w:w="110"/>
            </w:tcMar>
            <w:vAlign w:val="center"/>
          </w:tcPr>
          <w:p>
            <w:pPr>
              <w:spacing w:after="20" w:line="252"/>
              <w:jc w:val="left"/>
            </w:pPr>
            <w:r>
              <w:rPr>
                <w:b/>
                <w:bCs/>
                <w:color w:val="FFFFFF"/>
                <w:sz w:val="20"/>
                <w:szCs w:val="20"/>
              </w:rPr>
              <w:t xml:space="preserve">Component</w:t>
            </w:r>
          </w:p>
        </w:tc>
        <w:tc>
          <w:tcPr>
            <w:tcW w:type="dxa" w:w="2500"/>
            <w:shd w:fill="233A5C" w:val="clear"/>
            <w:tcMar>
              <w:top w:type="dxa" w:w="70"/>
              <w:left w:type="dxa" w:w="110"/>
              <w:bottom w:type="dxa" w:w="70"/>
              <w:right w:type="dxa" w:w="110"/>
            </w:tcMar>
            <w:vAlign w:val="center"/>
          </w:tcPr>
          <w:p>
            <w:pPr>
              <w:spacing w:after="20" w:line="252"/>
              <w:jc w:val="left"/>
            </w:pPr>
            <w:r>
              <w:rPr>
                <w:b/>
                <w:bCs/>
                <w:color w:val="FFFFFF"/>
                <w:sz w:val="20"/>
                <w:szCs w:val="20"/>
              </w:rPr>
              <w:t xml:space="preserve">Budget</w:t>
            </w:r>
          </w:p>
        </w:tc>
        <w:tc>
          <w:tcPr>
            <w:tcW w:type="dxa" w:w="2160"/>
            <w:shd w:fill="233A5C" w:val="clear"/>
            <w:tcMar>
              <w:top w:type="dxa" w:w="70"/>
              <w:left w:type="dxa" w:w="110"/>
              <w:bottom w:type="dxa" w:w="70"/>
              <w:right w:type="dxa" w:w="110"/>
            </w:tcMar>
            <w:vAlign w:val="center"/>
          </w:tcPr>
          <w:p>
            <w:pPr>
              <w:spacing w:after="20" w:line="252"/>
              <w:jc w:val="left"/>
            </w:pPr>
            <w:r>
              <w:rPr>
                <w:b/>
                <w:bCs/>
                <w:color w:val="FFFFFF"/>
                <w:sz w:val="20"/>
                <w:szCs w:val="20"/>
              </w:rPr>
              <w:t xml:space="preserve">Tier</w:t>
            </w:r>
          </w:p>
        </w:tc>
      </w:tr>
      <w:tr>
        <w:tc>
          <w:tcPr>
            <w:tcW w:type="dxa" w:w="1650"/>
            <w:shd w:fill="FFFFFF" w:val="clear"/>
            <w:tcMar>
              <w:top w:type="dxa" w:w="60"/>
              <w:left w:type="dxa" w:w="110"/>
              <w:bottom w:type="dxa" w:w="60"/>
              <w:right w:type="dxa" w:w="110"/>
            </w:tcMar>
          </w:tcPr>
          <w:p>
            <w:pPr>
              <w:spacing w:after="20" w:line="252"/>
              <w:jc w:val="left"/>
            </w:pPr>
            <w:r>
              <w:rPr>
                <w:sz w:val="20"/>
                <w:szCs w:val="20"/>
              </w:rPr>
              <w:t xml:space="preserve">Wake gate</w:t>
            </w:r>
          </w:p>
        </w:tc>
        <w:tc>
          <w:tcPr>
            <w:tcW w:type="dxa" w:w="3050"/>
            <w:shd w:fill="FFFFFF" w:val="clear"/>
            <w:tcMar>
              <w:top w:type="dxa" w:w="60"/>
              <w:left w:type="dxa" w:w="110"/>
              <w:bottom w:type="dxa" w:w="60"/>
              <w:right w:type="dxa" w:w="110"/>
            </w:tcMar>
          </w:tcPr>
          <w:p>
            <w:pPr>
              <w:spacing w:after="20" w:line="252"/>
              <w:jc w:val="left"/>
            </w:pPr>
            <w:r>
              <w:rPr>
                <w:sz w:val="20"/>
                <w:szCs w:val="20"/>
              </w:rPr>
              <w:t xml:space="preserve">openWakeWord (ONNX, CPU)</w:t>
            </w:r>
          </w:p>
        </w:tc>
        <w:tc>
          <w:tcPr>
            <w:tcW w:type="dxa" w:w="2500"/>
            <w:shd w:fill="FFFFFF" w:val="clear"/>
            <w:tcMar>
              <w:top w:type="dxa" w:w="60"/>
              <w:left w:type="dxa" w:w="110"/>
              <w:bottom w:type="dxa" w:w="60"/>
              <w:right w:type="dxa" w:w="110"/>
            </w:tcMar>
          </w:tcPr>
          <w:p>
            <w:pPr>
              <w:spacing w:after="20" w:line="252"/>
              <w:jc w:val="left"/>
            </w:pPr>
            <w:r>
              <w:rPr>
                <w:sz w:val="20"/>
                <w:szCs w:val="20"/>
              </w:rPr>
              <w:t xml:space="preserve">~200 ms</w:t>
            </w:r>
          </w:p>
        </w:tc>
        <w:tc>
          <w:tcPr>
            <w:tcW w:type="dxa" w:w="2160"/>
            <w:shd w:fill="FFFFFF" w:val="clear"/>
            <w:tcMar>
              <w:top w:type="dxa" w:w="60"/>
              <w:left w:type="dxa" w:w="110"/>
              <w:bottom w:type="dxa" w:w="60"/>
              <w:right w:type="dxa" w:w="110"/>
            </w:tcMar>
          </w:tcPr>
          <w:p>
            <w:pPr>
              <w:spacing w:after="20" w:line="252"/>
              <w:jc w:val="left"/>
            </w:pPr>
            <w:r>
              <w:rPr>
                <w:sz w:val="20"/>
                <w:szCs w:val="20"/>
              </w:rPr>
              <w:t xml:space="preserve">(ii)/(iii)</w:t>
            </w:r>
          </w:p>
        </w:tc>
      </w:tr>
      <w:tr>
        <w:tc>
          <w:tcPr>
            <w:tcW w:type="dxa" w:w="1650"/>
            <w:shd w:fill="F5F8FB" w:val="clear"/>
            <w:tcMar>
              <w:top w:type="dxa" w:w="60"/>
              <w:left w:type="dxa" w:w="110"/>
              <w:bottom w:type="dxa" w:w="60"/>
              <w:right w:type="dxa" w:w="110"/>
            </w:tcMar>
          </w:tcPr>
          <w:p>
            <w:pPr>
              <w:spacing w:after="20" w:line="252"/>
              <w:jc w:val="left"/>
            </w:pPr>
            <w:r>
              <w:rPr>
                <w:sz w:val="20"/>
                <w:szCs w:val="20"/>
              </w:rPr>
              <w:t xml:space="preserve">Transcription</w:t>
            </w:r>
          </w:p>
        </w:tc>
        <w:tc>
          <w:tcPr>
            <w:tcW w:type="dxa" w:w="3050"/>
            <w:shd w:fill="F5F8FB" w:val="clear"/>
            <w:tcMar>
              <w:top w:type="dxa" w:w="60"/>
              <w:left w:type="dxa" w:w="110"/>
              <w:bottom w:type="dxa" w:w="60"/>
              <w:right w:type="dxa" w:w="110"/>
            </w:tcMar>
          </w:tcPr>
          <w:p>
            <w:pPr>
              <w:spacing w:after="20" w:line="252"/>
              <w:jc w:val="left"/>
            </w:pPr>
            <w:r>
              <w:rPr>
                <w:sz w:val="20"/>
                <w:szCs w:val="20"/>
              </w:rPr>
              <w:t xml:space="preserve">Faster-Whisper small, CPU INT8</w:t>
            </w:r>
          </w:p>
        </w:tc>
        <w:tc>
          <w:tcPr>
            <w:tcW w:type="dxa" w:w="2500"/>
            <w:shd w:fill="F5F8FB" w:val="clear"/>
            <w:tcMar>
              <w:top w:type="dxa" w:w="60"/>
              <w:left w:type="dxa" w:w="110"/>
              <w:bottom w:type="dxa" w:w="60"/>
              <w:right w:type="dxa" w:w="110"/>
            </w:tcMar>
          </w:tcPr>
          <w:p>
            <w:pPr>
              <w:spacing w:after="20" w:line="252"/>
              <w:jc w:val="left"/>
            </w:pPr>
            <w:r>
              <w:rPr>
                <w:sz w:val="20"/>
                <w:szCs w:val="20"/>
              </w:rPr>
              <w:t xml:space="preserve">300–800 ms</w:t>
            </w:r>
          </w:p>
        </w:tc>
        <w:tc>
          <w:tcPr>
            <w:tcW w:type="dxa" w:w="2160"/>
            <w:shd w:fill="F5F8FB" w:val="clear"/>
            <w:tcMar>
              <w:top w:type="dxa" w:w="60"/>
              <w:left w:type="dxa" w:w="110"/>
              <w:bottom w:type="dxa" w:w="60"/>
              <w:right w:type="dxa" w:w="110"/>
            </w:tcMar>
          </w:tcPr>
          <w:p>
            <w:pPr>
              <w:spacing w:after="20" w:line="252"/>
              <w:jc w:val="left"/>
            </w:pPr>
            <w:r>
              <w:rPr>
                <w:sz w:val="20"/>
                <w:szCs w:val="20"/>
              </w:rPr>
              <w:t xml:space="preserve">(ii)/(iii)</w:t>
            </w:r>
          </w:p>
        </w:tc>
      </w:tr>
      <w:tr>
        <w:tc>
          <w:tcPr>
            <w:tcW w:type="dxa" w:w="1650"/>
            <w:shd w:fill="FFFFFF" w:val="clear"/>
            <w:tcMar>
              <w:top w:type="dxa" w:w="60"/>
              <w:left w:type="dxa" w:w="110"/>
              <w:bottom w:type="dxa" w:w="60"/>
              <w:right w:type="dxa" w:w="110"/>
            </w:tcMar>
          </w:tcPr>
          <w:p>
            <w:pPr>
              <w:spacing w:after="20" w:line="252"/>
              <w:jc w:val="left"/>
            </w:pPr>
            <w:r>
              <w:rPr>
                <w:sz w:val="20"/>
                <w:szCs w:val="20"/>
              </w:rPr>
              <w:t xml:space="preserve">Orchestration</w:t>
            </w:r>
          </w:p>
        </w:tc>
        <w:tc>
          <w:tcPr>
            <w:tcW w:type="dxa" w:w="3050"/>
            <w:shd w:fill="FFFFFF" w:val="clear"/>
            <w:tcMar>
              <w:top w:type="dxa" w:w="60"/>
              <w:left w:type="dxa" w:w="110"/>
              <w:bottom w:type="dxa" w:w="60"/>
              <w:right w:type="dxa" w:w="110"/>
            </w:tcMar>
          </w:tcPr>
          <w:p>
            <w:pPr>
              <w:spacing w:after="20" w:line="252"/>
              <w:jc w:val="left"/>
            </w:pPr>
            <w:r>
              <w:rPr>
                <w:sz w:val="20"/>
                <w:szCs w:val="20"/>
              </w:rPr>
              <w:t xml:space="preserve">Council, WSL2 localhost</w:t>
            </w:r>
          </w:p>
        </w:tc>
        <w:tc>
          <w:tcPr>
            <w:tcW w:type="dxa" w:w="2500"/>
            <w:shd w:fill="FFFFFF" w:val="clear"/>
            <w:tcMar>
              <w:top w:type="dxa" w:w="60"/>
              <w:left w:type="dxa" w:w="110"/>
              <w:bottom w:type="dxa" w:w="60"/>
              <w:right w:type="dxa" w:w="110"/>
            </w:tcMar>
          </w:tcPr>
          <w:p>
            <w:pPr>
              <w:spacing w:after="20" w:line="252"/>
              <w:jc w:val="left"/>
            </w:pPr>
            <w:r>
              <w:rPr>
                <w:sz w:val="20"/>
                <w:szCs w:val="20"/>
              </w:rPr>
              <w:t xml:space="preserve">tens of ms + tool time</w:t>
            </w:r>
          </w:p>
        </w:tc>
        <w:tc>
          <w:tcPr>
            <w:tcW w:type="dxa" w:w="2160"/>
            <w:shd w:fill="FFFFFF" w:val="clear"/>
            <w:tcMar>
              <w:top w:type="dxa" w:w="60"/>
              <w:left w:type="dxa" w:w="110"/>
              <w:bottom w:type="dxa" w:w="60"/>
              <w:right w:type="dxa" w:w="110"/>
            </w:tcMar>
          </w:tcPr>
          <w:p>
            <w:pPr>
              <w:spacing w:after="20" w:line="252"/>
              <w:jc w:val="left"/>
            </w:pPr>
            <w:r>
              <w:rPr>
                <w:sz w:val="20"/>
                <w:szCs w:val="20"/>
              </w:rPr>
              <w:t xml:space="preserve">(iii)</w:t>
            </w:r>
          </w:p>
        </w:tc>
      </w:tr>
      <w:tr>
        <w:tc>
          <w:tcPr>
            <w:tcW w:type="dxa" w:w="1650"/>
            <w:shd w:fill="F5F8FB" w:val="clear"/>
            <w:tcMar>
              <w:top w:type="dxa" w:w="60"/>
              <w:left w:type="dxa" w:w="110"/>
              <w:bottom w:type="dxa" w:w="60"/>
              <w:right w:type="dxa" w:w="110"/>
            </w:tcMar>
          </w:tcPr>
          <w:p>
            <w:pPr>
              <w:spacing w:after="20" w:line="252"/>
              <w:jc w:val="left"/>
            </w:pPr>
            <w:r>
              <w:rPr>
                <w:sz w:val="20"/>
                <w:szCs w:val="20"/>
              </w:rPr>
              <w:t xml:space="preserve">First sentence</w:t>
            </w:r>
          </w:p>
        </w:tc>
        <w:tc>
          <w:tcPr>
            <w:tcW w:type="dxa" w:w="3050"/>
            <w:shd w:fill="F5F8FB" w:val="clear"/>
            <w:tcMar>
              <w:top w:type="dxa" w:w="60"/>
              <w:left w:type="dxa" w:w="110"/>
              <w:bottom w:type="dxa" w:w="60"/>
              <w:right w:type="dxa" w:w="110"/>
            </w:tcMar>
          </w:tcPr>
          <w:p>
            <w:pPr>
              <w:spacing w:after="20" w:line="252"/>
              <w:jc w:val="left"/>
            </w:pPr>
            <w:r>
              <w:rPr>
                <w:sz w:val="20"/>
                <w:szCs w:val="20"/>
              </w:rPr>
              <w:t xml:space="preserve">8B Q4 under Vulkan</w:t>
            </w:r>
          </w:p>
        </w:tc>
        <w:tc>
          <w:tcPr>
            <w:tcW w:type="dxa" w:w="2500"/>
            <w:shd w:fill="F5F8FB" w:val="clear"/>
            <w:tcMar>
              <w:top w:type="dxa" w:w="60"/>
              <w:left w:type="dxa" w:w="110"/>
              <w:bottom w:type="dxa" w:w="60"/>
              <w:right w:type="dxa" w:w="110"/>
            </w:tcMar>
          </w:tcPr>
          <w:p>
            <w:pPr>
              <w:spacing w:after="20" w:line="252"/>
              <w:jc w:val="left"/>
            </w:pPr>
            <w:r>
              <w:rPr>
                <w:sz w:val="20"/>
                <w:szCs w:val="20"/>
              </w:rPr>
              <w:t xml:space="preserve">0.5–1.5 s</w:t>
            </w:r>
          </w:p>
        </w:tc>
        <w:tc>
          <w:tcPr>
            <w:tcW w:type="dxa" w:w="2160"/>
            <w:shd w:fill="F5F8FB" w:val="clear"/>
            <w:tcMar>
              <w:top w:type="dxa" w:w="60"/>
              <w:left w:type="dxa" w:w="110"/>
              <w:bottom w:type="dxa" w:w="60"/>
              <w:right w:type="dxa" w:w="110"/>
            </w:tcMar>
          </w:tcPr>
          <w:p>
            <w:pPr>
              <w:spacing w:after="20" w:line="252"/>
              <w:jc w:val="left"/>
            </w:pPr>
            <w:r>
              <w:rPr>
                <w:sz w:val="20"/>
                <w:szCs w:val="20"/>
              </w:rPr>
              <w:t xml:space="preserve">derived from Table 2</w:t>
            </w:r>
          </w:p>
        </w:tc>
      </w:tr>
      <w:tr>
        <w:tc>
          <w:tcPr>
            <w:tcW w:type="dxa" w:w="1650"/>
            <w:shd w:fill="FFFFFF" w:val="clear"/>
            <w:tcMar>
              <w:top w:type="dxa" w:w="60"/>
              <w:left w:type="dxa" w:w="110"/>
              <w:bottom w:type="dxa" w:w="60"/>
              <w:right w:type="dxa" w:w="110"/>
            </w:tcMar>
          </w:tcPr>
          <w:p>
            <w:pPr>
              <w:spacing w:after="20" w:line="252"/>
              <w:jc w:val="left"/>
            </w:pPr>
            <w:r>
              <w:rPr>
                <w:sz w:val="20"/>
                <w:szCs w:val="20"/>
              </w:rPr>
              <w:t xml:space="preserve">Synthesis</w:t>
            </w:r>
          </w:p>
        </w:tc>
        <w:tc>
          <w:tcPr>
            <w:tcW w:type="dxa" w:w="3050"/>
            <w:shd w:fill="FFFFFF" w:val="clear"/>
            <w:tcMar>
              <w:top w:type="dxa" w:w="60"/>
              <w:left w:type="dxa" w:w="110"/>
              <w:bottom w:type="dxa" w:w="60"/>
              <w:right w:type="dxa" w:w="110"/>
            </w:tcMar>
          </w:tcPr>
          <w:p>
            <w:pPr>
              <w:spacing w:after="20" w:line="252"/>
              <w:jc w:val="left"/>
            </w:pPr>
            <w:r>
              <w:rPr>
                <w:sz w:val="20"/>
                <w:szCs w:val="20"/>
              </w:rPr>
              <w:t xml:space="preserve">Kokoro-82M per sentence, CPU</w:t>
            </w:r>
          </w:p>
        </w:tc>
        <w:tc>
          <w:tcPr>
            <w:tcW w:type="dxa" w:w="2500"/>
            <w:shd w:fill="FFFFFF" w:val="clear"/>
            <w:tcMar>
              <w:top w:type="dxa" w:w="60"/>
              <w:left w:type="dxa" w:w="110"/>
              <w:bottom w:type="dxa" w:w="60"/>
              <w:right w:type="dxa" w:w="110"/>
            </w:tcMar>
          </w:tcPr>
          <w:p>
            <w:pPr>
              <w:spacing w:after="20" w:line="252"/>
              <w:jc w:val="left"/>
            </w:pPr>
            <w:r>
              <w:rPr>
                <w:sz w:val="20"/>
                <w:szCs w:val="20"/>
              </w:rPr>
              <w:t xml:space="preserve">200–400 ms</w:t>
            </w:r>
          </w:p>
        </w:tc>
        <w:tc>
          <w:tcPr>
            <w:tcW w:type="dxa" w:w="2160"/>
            <w:shd w:fill="FFFFFF" w:val="clear"/>
            <w:tcMar>
              <w:top w:type="dxa" w:w="60"/>
              <w:left w:type="dxa" w:w="110"/>
              <w:bottom w:type="dxa" w:w="60"/>
              <w:right w:type="dxa" w:w="110"/>
            </w:tcMar>
          </w:tcPr>
          <w:p>
            <w:pPr>
              <w:spacing w:after="20" w:line="252"/>
              <w:jc w:val="left"/>
            </w:pPr>
            <w:r>
              <w:rPr>
                <w:sz w:val="20"/>
                <w:szCs w:val="20"/>
              </w:rPr>
              <w:t xml:space="preserve">(ii)/(iii)</w:t>
            </w:r>
          </w:p>
        </w:tc>
      </w:tr>
      <w:tr>
        <w:tc>
          <w:tcPr>
            <w:tcW w:type="dxa" w:w="1650"/>
            <w:shd w:fill="F5F8FB" w:val="clear"/>
            <w:tcMar>
              <w:top w:type="dxa" w:w="60"/>
              <w:left w:type="dxa" w:w="110"/>
              <w:bottom w:type="dxa" w:w="60"/>
              <w:right w:type="dxa" w:w="110"/>
            </w:tcMar>
          </w:tcPr>
          <w:p>
            <w:pPr>
              <w:spacing w:after="20" w:line="252"/>
              <w:jc w:val="left"/>
            </w:pPr>
            <w:r>
              <w:rPr>
                <w:sz w:val="20"/>
                <w:szCs w:val="20"/>
              </w:rPr>
              <w:t xml:space="preserve">End-to-end median</w:t>
            </w:r>
          </w:p>
        </w:tc>
        <w:tc>
          <w:tcPr>
            <w:tcW w:type="dxa" w:w="3050"/>
            <w:shd w:fill="F5F8FB" w:val="clear"/>
            <w:tcMar>
              <w:top w:type="dxa" w:w="60"/>
              <w:left w:type="dxa" w:w="110"/>
              <w:bottom w:type="dxa" w:w="60"/>
              <w:right w:type="dxa" w:w="110"/>
            </w:tcMar>
          </w:tcPr>
          <w:p>
            <w:pPr>
              <w:spacing w:after="20" w:line="252"/>
              <w:jc w:val="left"/>
            </w:pPr>
            <w:r>
              <w:rPr>
                <w:sz w:val="20"/>
                <w:szCs w:val="20"/>
              </w:rPr>
              <w:t xml:space="preserve">voice heard → face speaking</w:t>
            </w:r>
          </w:p>
        </w:tc>
        <w:tc>
          <w:tcPr>
            <w:tcW w:type="dxa" w:w="2500"/>
            <w:shd w:fill="F5F8FB" w:val="clear"/>
            <w:tcMar>
              <w:top w:type="dxa" w:w="60"/>
              <w:left w:type="dxa" w:w="110"/>
              <w:bottom w:type="dxa" w:w="60"/>
              <w:right w:type="dxa" w:w="110"/>
            </w:tcMar>
          </w:tcPr>
          <w:p>
            <w:pPr>
              <w:spacing w:after="20" w:line="252"/>
              <w:jc w:val="left"/>
            </w:pPr>
            <w:r>
              <w:rPr>
                <w:sz w:val="20"/>
                <w:szCs w:val="20"/>
              </w:rPr>
              <w:t xml:space="preserve">≤ 2.5 s target; ≤ 2.0 s aspiration</w:t>
            </w:r>
          </w:p>
        </w:tc>
        <w:tc>
          <w:tcPr>
            <w:tcW w:type="dxa" w:w="2160"/>
            <w:shd w:fill="F5F8FB" w:val="clear"/>
            <w:tcMar>
              <w:top w:type="dxa" w:w="60"/>
              <w:left w:type="dxa" w:w="110"/>
              <w:bottom w:type="dxa" w:w="60"/>
              <w:right w:type="dxa" w:w="110"/>
            </w:tcMar>
          </w:tcPr>
          <w:p>
            <w:pPr>
              <w:spacing w:after="20" w:line="252"/>
              <w:jc w:val="left"/>
            </w:pPr>
            <w:r>
              <w:rPr>
                <w:sz w:val="20"/>
                <w:szCs w:val="20"/>
              </w:rPr>
              <w:t xml:space="preserve">(iii) ten-utterance stopwatch protocol</w:t>
            </w:r>
          </w:p>
        </w:tc>
      </w:tr>
    </w:tbl>
    <w:p>
      <w:pPr>
        <w:spacing w:after="160" w:before="60"/>
        <w:jc w:val="center"/>
      </w:pPr>
      <w:r>
        <w:rPr>
          <w:b/>
          <w:bCs/>
          <w:color w:val="233A5C"/>
          <w:sz w:val="19"/>
          <w:szCs w:val="19"/>
        </w:rPr>
        <w:t xml:space="preserve">Table 4. </w:t>
      </w:r>
      <w:r>
        <w:rPr>
          <w:i/>
          <w:iCs/>
          <w:color w:val="444444"/>
          <w:sz w:val="19"/>
          <w:szCs w:val="19"/>
        </w:rPr>
        <w:t xml:space="preserve">The latency contract. The measurement protocol: ten scripted utterances of varying length, timer from end-of-speech to first audible syllable, median reported.</w:t>
      </w:r>
    </w:p>
    <w:p>
      <w:pPr>
        <w:spacing w:after="140" w:line="276"/>
        <w:jc w:val="left"/>
      </w:pPr>
      <w:r>
        <w:t xml:space="preserve">Honest situating: human floor transfer clusters near 0–200 ms (Stivers et al., 2009; Sacks et al., 1974), achieved through predictive production overlapping comprehension (Levinson &amp; Torreira, 2015). A 2–2.5-second system is an order of magnitude outside that register and no streaming trick changes it; what streaming plus non-verbal thinking behavior changes is the register the exchange is perceived in — from broken conversation to a responsive interlocutor with visible latency, the register deployed voice agents already occupy in the everyday-use literature (Porcheron et al., 2018). The evaluation therefore reports distance-from-human as the metric, not a marketing adjective.</w:t>
      </w:r>
    </w:p>
    <w:p>
      <w:pPr>
        <w:spacing w:after="140" w:line="276"/>
        <w:jc w:val="left"/>
      </w:pPr>
      <w:r>
        <w:t xml:space="preserve">The streaming arithmetic explains why the throughput of Table 3 is sufficient rather than merely respectable. Perceived latency is the sum of wake detection, transcription, first-sentence generation, and the first synthesis chunk; every subsequent sentence generates during playback of its predecessor. Spoken English proceeds at roughly 2.5–3 words per second — on the order of 12–15 tokens per second consumed — against 14.11 tokens per second produced, so generation keeps pace with speech at this tier: the sentence queue neither starves (audible gaps) nor grows without bound (the face lagging its own mind). The real significance of the tokens-per-second floor is therefore audio continuity, not reading speed, and a model tier that dips below the speech rate reintroduces inter-sentence silence no buffering can hide.</w:t>
      </w:r>
    </w:p>
    <w:p>
      <w:pPr>
        <w:spacing w:after="140" w:line="276"/>
        <w:jc w:val="left"/>
      </w:pPr>
      <w:r>
        <w:t xml:space="preserve">One honest boundary on the contract: it covers the conversational path. When the Council elects a tool — a local retrieval pass, a fleet query, a long-running job — latency is bounded by the tool, not the model, and no streaming trick changes that. The design's answer is disclosure in the interaction itself: tool elections trigger an immediate spoken acknowledgment (“let me check”) and the thinking animation, converting unbounded silence into announced work. The latency protocol measures and reports the conversational path; tool-path timings are logged per tool class in the operations record rather than averaged into a single flattering number.</w:t>
      </w:r>
    </w:p>
    <w:p>
      <w:pPr>
        <w:pStyle w:val="Heading2"/>
        <w:spacing w:after="120" w:before="260"/>
      </w:pPr>
      <w:r>
        <w:rPr>
          <w:rFonts w:ascii="Cambria" w:cs="Cambria" w:eastAsia="Cambria" w:hAnsi="Cambria"/>
          <w:b/>
          <w:bCs/>
          <w:color w:val="233A5C"/>
          <w:sz w:val="26"/>
          <w:szCs w:val="26"/>
        </w:rPr>
        <w:t xml:space="preserve">6.4 Cost</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Pr>
      <w:tblGrid>
        <w:gridCol w:w="2100"/>
        <w:gridCol w:w="3400"/>
        <w:gridCol w:w="1660"/>
        <w:gridCol w:w="2200"/>
      </w:tblGrid>
      <w:tr>
        <w:trPr>
          <w:tblHeader/>
        </w:trPr>
        <w:tc>
          <w:tcPr>
            <w:tcW w:type="dxa" w:w="2100"/>
            <w:shd w:fill="233A5C" w:val="clear"/>
            <w:tcMar>
              <w:top w:type="dxa" w:w="70"/>
              <w:left w:type="dxa" w:w="110"/>
              <w:bottom w:type="dxa" w:w="70"/>
              <w:right w:type="dxa" w:w="110"/>
            </w:tcMar>
            <w:vAlign w:val="center"/>
          </w:tcPr>
          <w:p>
            <w:pPr>
              <w:spacing w:after="20" w:line="252"/>
              <w:jc w:val="left"/>
            </w:pPr>
            <w:r>
              <w:rPr>
                <w:b/>
                <w:bCs/>
                <w:color w:val="FFFFFF"/>
                <w:sz w:val="20"/>
                <w:szCs w:val="20"/>
              </w:rPr>
              <w:t xml:space="preserve">Configuration</w:t>
            </w:r>
          </w:p>
        </w:tc>
        <w:tc>
          <w:tcPr>
            <w:tcW w:type="dxa" w:w="3400"/>
            <w:shd w:fill="233A5C" w:val="clear"/>
            <w:tcMar>
              <w:top w:type="dxa" w:w="70"/>
              <w:left w:type="dxa" w:w="110"/>
              <w:bottom w:type="dxa" w:w="70"/>
              <w:right w:type="dxa" w:w="110"/>
            </w:tcMar>
            <w:vAlign w:val="center"/>
          </w:tcPr>
          <w:p>
            <w:pPr>
              <w:spacing w:after="20" w:line="252"/>
              <w:jc w:val="left"/>
            </w:pPr>
            <w:r>
              <w:rPr>
                <w:b/>
                <w:bCs/>
                <w:color w:val="FFFFFF"/>
                <w:sz w:val="20"/>
                <w:szCs w:val="20"/>
              </w:rPr>
              <w:t xml:space="preserve">One-time hardware</w:t>
            </w:r>
          </w:p>
        </w:tc>
        <w:tc>
          <w:tcPr>
            <w:tcW w:type="dxa" w:w="1660"/>
            <w:shd w:fill="233A5C" w:val="clear"/>
            <w:tcMar>
              <w:top w:type="dxa" w:w="70"/>
              <w:left w:type="dxa" w:w="110"/>
              <w:bottom w:type="dxa" w:w="70"/>
              <w:right w:type="dxa" w:w="110"/>
            </w:tcMar>
            <w:vAlign w:val="center"/>
          </w:tcPr>
          <w:p>
            <w:pPr>
              <w:spacing w:after="20" w:line="252"/>
              <w:jc w:val="left"/>
            </w:pPr>
            <w:r>
              <w:rPr>
                <w:b/>
                <w:bCs/>
                <w:color w:val="FFFFFF"/>
                <w:sz w:val="20"/>
                <w:szCs w:val="20"/>
              </w:rPr>
              <w:t xml:space="preserve">Recurring</w:t>
            </w:r>
          </w:p>
        </w:tc>
        <w:tc>
          <w:tcPr>
            <w:tcW w:type="dxa" w:w="2200"/>
            <w:shd w:fill="233A5C" w:val="clear"/>
            <w:tcMar>
              <w:top w:type="dxa" w:w="70"/>
              <w:left w:type="dxa" w:w="110"/>
              <w:bottom w:type="dxa" w:w="70"/>
              <w:right w:type="dxa" w:w="110"/>
            </w:tcMar>
            <w:vAlign w:val="center"/>
          </w:tcPr>
          <w:p>
            <w:pPr>
              <w:spacing w:after="20" w:line="252"/>
              <w:jc w:val="left"/>
            </w:pPr>
            <w:r>
              <w:rPr>
                <w:b/>
                <w:bCs/>
                <w:color w:val="FFFFFF"/>
                <w:sz w:val="20"/>
                <w:szCs w:val="20"/>
              </w:rPr>
              <w:t xml:space="preserve">Note</w:t>
            </w:r>
          </w:p>
        </w:tc>
      </w:tr>
      <w:tr>
        <w:tc>
          <w:tcPr>
            <w:tcW w:type="dxa" w:w="2100"/>
            <w:shd w:fill="FFFFFF" w:val="clear"/>
            <w:tcMar>
              <w:top w:type="dxa" w:w="60"/>
              <w:left w:type="dxa" w:w="110"/>
              <w:bottom w:type="dxa" w:w="60"/>
              <w:right w:type="dxa" w:w="110"/>
            </w:tcMar>
          </w:tcPr>
          <w:p>
            <w:pPr>
              <w:spacing w:after="20" w:line="252"/>
              <w:jc w:val="left"/>
            </w:pPr>
            <w:r>
              <w:rPr>
                <w:sz w:val="20"/>
                <w:szCs w:val="20"/>
              </w:rPr>
              <w:t xml:space="preserve">Primary (this artifact)</w:t>
            </w:r>
          </w:p>
        </w:tc>
        <w:tc>
          <w:tcPr>
            <w:tcW w:type="dxa" w:w="3400"/>
            <w:shd w:fill="FFFFFF" w:val="clear"/>
            <w:tcMar>
              <w:top w:type="dxa" w:w="60"/>
              <w:left w:type="dxa" w:w="110"/>
              <w:bottom w:type="dxa" w:w="60"/>
              <w:right w:type="dxa" w:w="110"/>
            </w:tcMar>
          </w:tcPr>
          <w:p>
            <w:pPr>
              <w:spacing w:after="20" w:line="252"/>
              <w:jc w:val="left"/>
            </w:pPr>
            <w:r>
              <w:rPr>
                <w:sz w:val="20"/>
                <w:szCs w:val="20"/>
              </w:rPr>
              <w:t xml:space="preserve">≈ $2,050 (HLD 16″ at $2,000 vendor price + desk microphone)</w:t>
            </w:r>
          </w:p>
        </w:tc>
        <w:tc>
          <w:tcPr>
            <w:tcW w:type="dxa" w:w="1660"/>
            <w:shd w:fill="FFFFFF" w:val="clear"/>
            <w:tcMar>
              <w:top w:type="dxa" w:w="60"/>
              <w:left w:type="dxa" w:w="110"/>
              <w:bottom w:type="dxa" w:w="60"/>
              <w:right w:type="dxa" w:w="110"/>
            </w:tcMar>
          </w:tcPr>
          <w:p>
            <w:pPr>
              <w:spacing w:after="20" w:line="252"/>
              <w:jc w:val="left"/>
            </w:pPr>
            <w:r>
              <w:rPr>
                <w:sz w:val="20"/>
                <w:szCs w:val="20"/>
              </w:rPr>
              <w:t xml:space="preserve">$0</w:t>
            </w:r>
          </w:p>
        </w:tc>
        <w:tc>
          <w:tcPr>
            <w:tcW w:type="dxa" w:w="2200"/>
            <w:shd w:fill="FFFFFF" w:val="clear"/>
            <w:tcMar>
              <w:top w:type="dxa" w:w="60"/>
              <w:left w:type="dxa" w:w="110"/>
              <w:bottom w:type="dxa" w:w="60"/>
              <w:right w:type="dxa" w:w="110"/>
            </w:tcMar>
          </w:tcPr>
          <w:p>
            <w:pPr>
              <w:spacing w:after="20" w:line="252"/>
              <w:jc w:val="left"/>
            </w:pPr>
            <w:r>
              <w:rPr>
                <w:sz w:val="20"/>
                <w:szCs w:val="20"/>
              </w:rPr>
              <w:t xml:space="preserve">All software open-source/free; host PC pre-existing (~$900 class if bought new)</w:t>
            </w:r>
          </w:p>
        </w:tc>
      </w:tr>
      <w:tr>
        <w:tc>
          <w:tcPr>
            <w:tcW w:type="dxa" w:w="2100"/>
            <w:shd w:fill="F5F8FB" w:val="clear"/>
            <w:tcMar>
              <w:top w:type="dxa" w:w="60"/>
              <w:left w:type="dxa" w:w="110"/>
              <w:bottom w:type="dxa" w:w="60"/>
              <w:right w:type="dxa" w:w="110"/>
            </w:tcMar>
          </w:tcPr>
          <w:p>
            <w:pPr>
              <w:spacing w:after="20" w:line="252"/>
              <w:jc w:val="left"/>
            </w:pPr>
            <w:r>
              <w:rPr>
                <w:sz w:val="20"/>
                <w:szCs w:val="20"/>
              </w:rPr>
              <w:t xml:space="preserve">Prototype tier</w:t>
            </w:r>
          </w:p>
        </w:tc>
        <w:tc>
          <w:tcPr>
            <w:tcW w:type="dxa" w:w="3400"/>
            <w:shd w:fill="F5F8FB" w:val="clear"/>
            <w:tcMar>
              <w:top w:type="dxa" w:w="60"/>
              <w:left w:type="dxa" w:w="110"/>
              <w:bottom w:type="dxa" w:w="60"/>
              <w:right w:type="dxa" w:w="110"/>
            </w:tcMar>
          </w:tcPr>
          <w:p>
            <w:pPr>
              <w:spacing w:after="20" w:line="252"/>
              <w:jc w:val="left"/>
            </w:pPr>
            <w:r>
              <w:rPr>
                <w:sz w:val="20"/>
                <w:szCs w:val="20"/>
              </w:rPr>
              <w:t xml:space="preserve">$299 (Looking Glass Go)</w:t>
            </w:r>
          </w:p>
        </w:tc>
        <w:tc>
          <w:tcPr>
            <w:tcW w:type="dxa" w:w="1660"/>
            <w:shd w:fill="F5F8FB" w:val="clear"/>
            <w:tcMar>
              <w:top w:type="dxa" w:w="60"/>
              <w:left w:type="dxa" w:w="110"/>
              <w:bottom w:type="dxa" w:w="60"/>
              <w:right w:type="dxa" w:w="110"/>
            </w:tcMar>
          </w:tcPr>
          <w:p>
            <w:pPr>
              <w:spacing w:after="20" w:line="252"/>
              <w:jc w:val="left"/>
            </w:pPr>
            <w:r>
              <w:rPr>
                <w:sz w:val="20"/>
                <w:szCs w:val="20"/>
              </w:rPr>
              <w:t xml:space="preserve">$0</w:t>
            </w:r>
          </w:p>
        </w:tc>
        <w:tc>
          <w:tcPr>
            <w:tcW w:type="dxa" w:w="2200"/>
            <w:shd w:fill="F5F8FB" w:val="clear"/>
            <w:tcMar>
              <w:top w:type="dxa" w:w="60"/>
              <w:left w:type="dxa" w:w="110"/>
              <w:bottom w:type="dxa" w:w="60"/>
              <w:right w:type="dxa" w:w="110"/>
            </w:tcMar>
          </w:tcPr>
          <w:p>
            <w:pPr>
              <w:spacing w:after="20" w:line="252"/>
              <w:jc w:val="left"/>
            </w:pPr>
            <w:r>
              <w:rPr>
                <w:sz w:val="20"/>
                <w:szCs w:val="20"/>
              </w:rPr>
              <w:t xml:space="preserve">Pipeline de-risk before display commitment</w:t>
            </w:r>
          </w:p>
        </w:tc>
      </w:tr>
      <w:tr>
        <w:tc>
          <w:tcPr>
            <w:tcW w:type="dxa" w:w="2100"/>
            <w:shd w:fill="FFFFFF" w:val="clear"/>
            <w:tcMar>
              <w:top w:type="dxa" w:w="60"/>
              <w:left w:type="dxa" w:w="110"/>
              <w:bottom w:type="dxa" w:w="60"/>
              <w:right w:type="dxa" w:w="110"/>
            </w:tcMar>
          </w:tcPr>
          <w:p>
            <w:pPr>
              <w:spacing w:after="20" w:line="252"/>
              <w:jc w:val="left"/>
            </w:pPr>
            <w:r>
              <w:rPr>
                <w:sz w:val="20"/>
                <w:szCs w:val="20"/>
              </w:rPr>
              <w:t xml:space="preserve">Maximal tier (future)</w:t>
            </w:r>
          </w:p>
        </w:tc>
        <w:tc>
          <w:tcPr>
            <w:tcW w:type="dxa" w:w="3400"/>
            <w:shd w:fill="FFFFFF" w:val="clear"/>
            <w:tcMar>
              <w:top w:type="dxa" w:w="60"/>
              <w:left w:type="dxa" w:w="110"/>
              <w:bottom w:type="dxa" w:w="60"/>
              <w:right w:type="dxa" w:w="110"/>
            </w:tcMar>
          </w:tcPr>
          <w:p>
            <w:pPr>
              <w:spacing w:after="20" w:line="252"/>
              <w:jc w:val="left"/>
            </w:pPr>
            <w:r>
              <w:rPr>
                <w:sz w:val="20"/>
                <w:szCs w:val="20"/>
              </w:rPr>
              <w:t xml:space="preserve">≈ $3,600–$3,900 (light-field 16″ + OCuLink RTX 4060/4070-class)</w:t>
            </w:r>
          </w:p>
        </w:tc>
        <w:tc>
          <w:tcPr>
            <w:tcW w:type="dxa" w:w="1660"/>
            <w:shd w:fill="FFFFFF" w:val="clear"/>
            <w:tcMar>
              <w:top w:type="dxa" w:w="60"/>
              <w:left w:type="dxa" w:w="110"/>
              <w:bottom w:type="dxa" w:w="60"/>
              <w:right w:type="dxa" w:w="110"/>
            </w:tcMar>
          </w:tcPr>
          <w:p>
            <w:pPr>
              <w:spacing w:after="20" w:line="252"/>
              <w:jc w:val="left"/>
            </w:pPr>
            <w:r>
              <w:rPr>
                <w:sz w:val="20"/>
                <w:szCs w:val="20"/>
              </w:rPr>
              <w:t xml:space="preserve">$0</w:t>
            </w:r>
          </w:p>
        </w:tc>
        <w:tc>
          <w:tcPr>
            <w:tcW w:type="dxa" w:w="2200"/>
            <w:shd w:fill="FFFFFF" w:val="clear"/>
            <w:tcMar>
              <w:top w:type="dxa" w:w="60"/>
              <w:left w:type="dxa" w:w="110"/>
              <w:bottom w:type="dxa" w:w="60"/>
              <w:right w:type="dxa" w:w="110"/>
            </w:tcMar>
          </w:tcPr>
          <w:p>
            <w:pPr>
              <w:spacing w:after="20" w:line="252"/>
              <w:jc w:val="left"/>
            </w:pPr>
            <w:r>
              <w:rPr>
                <w:sz w:val="20"/>
                <w:szCs w:val="20"/>
              </w:rPr>
              <w:t xml:space="preserve">Unlocks parallax, 14B+ tier, GPU speech</w:t>
            </w:r>
          </w:p>
        </w:tc>
      </w:tr>
      <w:tr>
        <w:tc>
          <w:tcPr>
            <w:tcW w:type="dxa" w:w="2100"/>
            <w:shd w:fill="F5F8FB" w:val="clear"/>
            <w:tcMar>
              <w:top w:type="dxa" w:w="60"/>
              <w:left w:type="dxa" w:w="110"/>
              <w:bottom w:type="dxa" w:w="60"/>
              <w:right w:type="dxa" w:w="110"/>
            </w:tcMar>
          </w:tcPr>
          <w:p>
            <w:pPr>
              <w:spacing w:after="20" w:line="252"/>
              <w:jc w:val="left"/>
            </w:pPr>
            <w:r>
              <w:rPr>
                <w:sz w:val="20"/>
                <w:szCs w:val="20"/>
              </w:rPr>
              <w:t xml:space="preserve">Commercial comparator</w:t>
            </w:r>
          </w:p>
        </w:tc>
        <w:tc>
          <w:tcPr>
            <w:tcW w:type="dxa" w:w="3400"/>
            <w:shd w:fill="F5F8FB" w:val="clear"/>
            <w:tcMar>
              <w:top w:type="dxa" w:w="60"/>
              <w:left w:type="dxa" w:w="110"/>
              <w:bottom w:type="dxa" w:w="60"/>
              <w:right w:type="dxa" w:w="110"/>
            </w:tcMar>
          </w:tcPr>
          <w:p>
            <w:pPr>
              <w:spacing w:after="20" w:line="252"/>
              <w:jc w:val="left"/>
            </w:pPr>
            <w:r>
              <w:rPr>
                <w:sz w:val="20"/>
                <w:szCs w:val="20"/>
              </w:rPr>
              <w:t xml:space="preserve">AVA: $20 refundable reservation; price unannounced</w:t>
            </w:r>
          </w:p>
        </w:tc>
        <w:tc>
          <w:tcPr>
            <w:tcW w:type="dxa" w:w="1660"/>
            <w:shd w:fill="F5F8FB" w:val="clear"/>
            <w:tcMar>
              <w:top w:type="dxa" w:w="60"/>
              <w:left w:type="dxa" w:w="110"/>
              <w:bottom w:type="dxa" w:w="60"/>
              <w:right w:type="dxa" w:w="110"/>
            </w:tcMar>
          </w:tcPr>
          <w:p>
            <w:pPr>
              <w:spacing w:after="20" w:line="252"/>
              <w:jc w:val="left"/>
            </w:pPr>
            <w:r>
              <w:rPr>
                <w:sz w:val="20"/>
                <w:szCs w:val="20"/>
              </w:rPr>
              <w:t xml:space="preserve">Cloud AI cost structure, unpriced</w:t>
            </w:r>
          </w:p>
        </w:tc>
        <w:tc>
          <w:tcPr>
            <w:tcW w:type="dxa" w:w="2200"/>
            <w:shd w:fill="F5F8FB" w:val="clear"/>
            <w:tcMar>
              <w:top w:type="dxa" w:w="60"/>
              <w:left w:type="dxa" w:w="110"/>
              <w:bottom w:type="dxa" w:w="60"/>
              <w:right w:type="dxa" w:w="110"/>
            </w:tcMar>
          </w:tcPr>
          <w:p>
            <w:pPr>
              <w:spacing w:after="20" w:line="252"/>
              <w:jc w:val="left"/>
            </w:pPr>
            <w:r>
              <w:rPr>
                <w:sz w:val="20"/>
                <w:szCs w:val="20"/>
              </w:rPr>
              <w:t xml:space="preserve">Analyst estimate $999–$1,299 (PC Guide, Jul 10 2026) — estimate, not confirmed</w:t>
            </w:r>
          </w:p>
        </w:tc>
      </w:tr>
    </w:tbl>
    <w:p>
      <w:pPr>
        <w:spacing w:after="160" w:before="60"/>
        <w:jc w:val="center"/>
      </w:pPr>
      <w:r>
        <w:rPr>
          <w:b/>
          <w:bCs/>
          <w:color w:val="233A5C"/>
          <w:sz w:val="19"/>
          <w:szCs w:val="19"/>
        </w:rPr>
        <w:t xml:space="preserve">Table 5. </w:t>
      </w:r>
      <w:r>
        <w:rPr>
          <w:i/>
          <w:iCs/>
          <w:color w:val="444444"/>
          <w:sz w:val="19"/>
          <w:szCs w:val="19"/>
        </w:rPr>
        <w:t xml:space="preserve">Cost accounting. R6 (zero recurring) is satisfied by construction on every local tier.</w:t>
      </w:r>
    </w:p>
    <w:p>
      <w:pPr>
        <w:spacing w:after="140" w:line="276"/>
        <w:jc w:val="left"/>
      </w:pPr>
      <w:r>
        <w:t xml:space="preserve">A three-year total-cost view sharpens the asymmetry, with its hypothetical clearly labeled: the artifact's three-year cost is its hardware plus electricity — no line item ever recurs — while a cloud companion at a hypothetical $10–20 monthly subscription would add $360–720 to whatever device price is eventually announced, arithmetic that is illustrative rather than predictive because AVA's actual pricing structure is unpublished. The compounding term the table cannot show: the local architecture's marginal cost of a second frontend — the same agent on the glasses, a phone, a second display — is zero, whereas per-seat and per-device pricing is the cloud category's revenue model, not its bug. Ownership economics and rental economics diverge fastest exactly where an ecosystem grows.</w:t>
      </w:r>
    </w:p>
    <w:p>
      <w:pPr>
        <w:pStyle w:val="Heading2"/>
        <w:spacing w:after="120" w:before="260"/>
      </w:pPr>
      <w:r>
        <w:rPr>
          <w:rFonts w:ascii="Cambria" w:cs="Cambria" w:eastAsia="Cambria" w:hAnsi="Cambria"/>
          <w:b/>
          <w:bCs/>
          <w:color w:val="233A5C"/>
          <w:sz w:val="26"/>
          <w:szCs w:val="26"/>
        </w:rPr>
        <w:t xml:space="preserve">6.5 Energy: honest in both directions</w:t>
      </w:r>
    </w:p>
    <w:p>
      <w:pPr>
        <w:spacing w:after="140" w:line="276"/>
        <w:jc w:val="left"/>
      </w:pPr>
      <w:r>
        <w:t xml:space="preserve">Local inference forfeits the batching amortization of datacenter serving, and the numbers should be stated rather than dodged. Measured edge inference for small models spans 2.61–9.35 joules per token on a single device (Husom et al., 2025; preprint), which for a 150-token reply is roughly 0.11–0.39 Wh — an estimate derived here and labeled as such. Optimized frontier cloud inference reports a median of 0.31 Wh per query (interquartile 0.16–0.60), rising to ~3.9 Wh under test-time scaling (Oviedo et al., 2026; lead-author attribution flagged in References). The per-interaction magnitudes are therefore comparable, with the local path plausibly worse per token and better per query when replies are short and no reasoning-mode multiplier applies — and with two asymmetries the comparison usually omits: the local device's marginal energy rides residential power the user already accounts for, and the dominant footprint of consumer hardware is embodied, not operational — manufacturing accounts for the large majority of a consumer device's life-cycle emissions (Gupta et al., 2021, 2022). The honest synthesis: energy is not the axis on which local-first wins; it is an axis on which it is defensible, and this artifact's mitigation is that the host is not dedicated — the same machine is the owner's daily computer, gaming rig, and fleet hub, amortizing its embodied carbon across every role it plays.</w:t>
      </w:r>
    </w:p>
    <w:p>
      <w:pPr>
        <w:spacing w:after="140" w:line="276"/>
        <w:jc w:val="left"/>
      </w:pPr>
      <w:r>
        <w:t xml:space="preserve">The derivation, shown so it can be checked: a 150-token reply at the measured edge range of 2.61–9.35 joules per token costs 392–1,403 joules, which is 0.109–0.390 watt-hours — bracketing the 0.31 Wh cloud median from below and above depending on where this hardware falls in the edge range, a placement only first-party wall-power measurement can settle and the ops log is scoped to record. One further honesty the per-query framing conceals: at desk-companion usage rates, an always-on artifact's idle draw — display plus host idle, tens of watts sustained across hours — plausibly exceeds its inference energy by a wide margin, making duty-cycle engineering (wake-gated display sleep, the mode scripts' teardown discipline) the actual energy lever, and making “how efficient is the model” the wrong first question for this deployment class. Both derived estimates in this subsection are labeled as estimates and neither is load-bearing for the paper's thesis.</w:t>
      </w:r>
    </w:p>
    <w:p>
      <w:pPr>
        <w:pStyle w:val="Heading2"/>
        <w:spacing w:after="120" w:before="260"/>
      </w:pPr>
      <w:r>
        <w:rPr>
          <w:rFonts w:ascii="Cambria" w:cs="Cambria" w:eastAsia="Cambria" w:hAnsi="Cambria"/>
          <w:b/>
          <w:bCs/>
          <w:color w:val="233A5C"/>
          <w:sz w:val="26"/>
          <w:szCs w:val="26"/>
        </w:rPr>
        <w:t xml:space="preserve">6.6 Quality under quantization — and the gap conceded</w:t>
      </w:r>
    </w:p>
    <w:p>
      <w:pPr>
        <w:spacing w:after="140" w:line="276"/>
        <w:jc w:val="left"/>
      </w:pPr>
      <w:r>
        <w:t xml:space="preserve">Two findings bound the quality claim. Favorable: 4-bit precision is the systematic optimum of the accuracy-per-bit trade (Dettmers &amp; Zettlemoyer, 2023), and community perplexity tables place Q4_K_M degradation on a 7B-class model near +1.7% versus FP16 — engineering benchmarks, labeled as such. Adverse and conceded: compute-optimal scaling (Hoffmann et al., 2022; Kaplan et al., 2020) guarantees that frontier models retain a substantial capability margin over any 8B model on knowledge-intensive and long-horizon tasks, and on-device evaluation confirms quantization's accuracy cost is non-negligible (Laskaridis et al., 2024). The truthfulness literature complicates the naive version of that concession — on imitative-falsehood benchmarks, larger models were not automatically more truthful (Lin et al., 2022), and hallucination is a measured, persistent property across scales (Li et al., 2023) — but the paper's position does not require the local model to match the frontier. It requires the desk-companion workload — conversation, orchestration, summarization, fleet control, ambient announcement — to sit within the 8B envelope, which the artifact's daily operation is the running test of, with the ops log as the falsifiable record and the eGPU tier as the documented escalation.</w:t>
      </w:r>
    </w:p>
    <w:p>
      <w:pPr>
        <w:spacing w:after="140" w:line="276"/>
        <w:jc w:val="left"/>
      </w:pPr>
      <w:r>
        <w:t xml:space="preserve">What the envelope claim concretely covers, and what it routes away: the resident tier's demonstrated daily workload in ecosystem operation is conversational question-answering, summarization of local material, structured output for tool calls, and fleet-command orchestration — the desk-companion job description. The Council's routing logic treats the envelope's edges as escalation triggers rather than failure points: long multi-document synthesis, deep code work, and deliberate multi-step reasoning go to the 14B or distilled-reasoning tiers with latency traded openly, or defer to hub-mode entirely. The claim is thus a workload-fit claim under a routing policy, not a capability-parity claim against any frontier model — and it is falsifiable on schedule, because every session the ops log records is a trial of it.</w:t>
      </w:r>
    </w:p>
    <w:p>
      <w:pPr>
        <w:spacing w:after="140" w:line="276"/>
        <w:jc w:val="left"/>
      </w:pPr>
      <w:r>
        <w:t xml:space="preserve">The truthfulness benchmarks deserve their numbers, because they cut against the intuition that the capability gap is uniformly a truth gap. On TruthfulQA's imitative-falsehood questions, the best model tested answered truthfully on 58% of items against a human baseline of 94%, and — the benchmark's headline result — larger models within a family were generally less truthful on these items, having learned popular misconceptions more faithfully (Lin et al., 2022); HaluEval's large-scale evaluation likewise measures substantial hallucination rates across task types for models far larger than anything this host runs (Li et al., 2023). The deployed mitigation is architectural rather than aspirational: the ecosystem's offline knowledge layer — Kiwix-served Wikipedia archives indexed for retrieval — lets the agent ground factual queries in local reference text instead of parametric recall, a routing decision the Council makes per query and one that remains R1-compliant because the corpus lives on disk. Retrieval grounding does not abolish hallucination; it converts a class of open-ended recall failures into checkable citation failures, which is the strongest position a fully offline system can honestly claim.</w:t>
      </w:r>
    </w:p>
    <w:p>
      <w:pPr>
        <w:pStyle w:val="Heading2"/>
        <w:spacing w:after="120" w:before="260"/>
      </w:pPr>
      <w:r>
        <w:rPr>
          <w:rFonts w:ascii="Cambria" w:cs="Cambria" w:eastAsia="Cambria" w:hAnsi="Cambria"/>
          <w:b/>
          <w:bCs/>
          <w:color w:val="233A5C"/>
          <w:sz w:val="26"/>
          <w:szCs w:val="26"/>
        </w:rPr>
        <w:t xml:space="preserve">6.7 Comparative analysis: ten axes, date-stamped</w:t>
      </w:r>
    </w:p>
    <w:p>
      <w:pPr>
        <w:spacing w:after="140" w:line="276"/>
        <w:jc w:val="left"/>
      </w:pPr>
      <w:r>
        <w:t xml:space="preserve">The comparator is the announced commercial flagship of the category. Because no independent AVA unit exists, every AVA cell is vendor/press-sourced (tier iv); the comparison is valid as of July 16, 2026 and is flagged in Section 8 as the paper's highest staleness risk.</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Pr>
      <w:tblGrid>
        <w:gridCol w:w="1550"/>
        <w:gridCol w:w="3950"/>
        <w:gridCol w:w="3860"/>
      </w:tblGrid>
      <w:tr>
        <w:trPr>
          <w:tblHeader/>
        </w:trPr>
        <w:tc>
          <w:tcPr>
            <w:tcW w:type="dxa" w:w="1550"/>
            <w:shd w:fill="233A5C" w:val="clear"/>
            <w:tcMar>
              <w:top w:type="dxa" w:w="70"/>
              <w:left w:type="dxa" w:w="110"/>
              <w:bottom w:type="dxa" w:w="70"/>
              <w:right w:type="dxa" w:w="110"/>
            </w:tcMar>
            <w:vAlign w:val="center"/>
          </w:tcPr>
          <w:p>
            <w:pPr>
              <w:spacing w:after="20" w:line="252"/>
              <w:jc w:val="left"/>
            </w:pPr>
            <w:r>
              <w:rPr>
                <w:b/>
                <w:bCs/>
                <w:color w:val="FFFFFF"/>
                <w:sz w:val="20"/>
                <w:szCs w:val="20"/>
              </w:rPr>
              <w:t xml:space="preserve">Axis</w:t>
            </w:r>
          </w:p>
        </w:tc>
        <w:tc>
          <w:tcPr>
            <w:tcW w:type="dxa" w:w="3950"/>
            <w:shd w:fill="233A5C" w:val="clear"/>
            <w:tcMar>
              <w:top w:type="dxa" w:w="70"/>
              <w:left w:type="dxa" w:w="110"/>
              <w:bottom w:type="dxa" w:w="70"/>
              <w:right w:type="dxa" w:w="110"/>
            </w:tcMar>
            <w:vAlign w:val="center"/>
          </w:tcPr>
          <w:p>
            <w:pPr>
              <w:spacing w:after="20" w:line="252"/>
              <w:jc w:val="left"/>
            </w:pPr>
            <w:r>
              <w:rPr>
                <w:b/>
                <w:bCs/>
                <w:color w:val="FFFFFF"/>
                <w:sz w:val="20"/>
                <w:szCs w:val="20"/>
              </w:rPr>
              <w:t xml:space="preserve">This artifact (measured/constructed)</w:t>
            </w:r>
          </w:p>
        </w:tc>
        <w:tc>
          <w:tcPr>
            <w:tcW w:type="dxa" w:w="3860"/>
            <w:shd w:fill="233A5C" w:val="clear"/>
            <w:tcMar>
              <w:top w:type="dxa" w:w="70"/>
              <w:left w:type="dxa" w:w="110"/>
              <w:bottom w:type="dxa" w:w="70"/>
              <w:right w:type="dxa" w:w="110"/>
            </w:tcMar>
            <w:vAlign w:val="center"/>
          </w:tcPr>
          <w:p>
            <w:pPr>
              <w:spacing w:after="20" w:line="252"/>
              <w:jc w:val="left"/>
            </w:pPr>
            <w:r>
              <w:rPr>
                <w:b/>
                <w:bCs/>
                <w:color w:val="FFFFFF"/>
                <w:sz w:val="20"/>
                <w:szCs w:val="20"/>
              </w:rPr>
              <w:t xml:space="preserve">Razer AVA (announced, tier iv)</w:t>
            </w:r>
          </w:p>
        </w:tc>
      </w:tr>
      <w:tr>
        <w:tc>
          <w:tcPr>
            <w:tcW w:type="dxa" w:w="1550"/>
            <w:shd w:fill="FFFFFF" w:val="clear"/>
            <w:tcMar>
              <w:top w:type="dxa" w:w="60"/>
              <w:left w:type="dxa" w:w="110"/>
              <w:bottom w:type="dxa" w:w="60"/>
              <w:right w:type="dxa" w:w="110"/>
            </w:tcMar>
          </w:tcPr>
          <w:p>
            <w:pPr>
              <w:spacing w:after="20" w:line="252"/>
              <w:jc w:val="left"/>
            </w:pPr>
            <w:r>
              <w:rPr>
                <w:sz w:val="20"/>
                <w:szCs w:val="20"/>
              </w:rPr>
              <w:t xml:space="preserve">Data locality</w:t>
            </w:r>
          </w:p>
        </w:tc>
        <w:tc>
          <w:tcPr>
            <w:tcW w:type="dxa" w:w="3950"/>
            <w:shd w:fill="FFFFFF" w:val="clear"/>
            <w:tcMar>
              <w:top w:type="dxa" w:w="60"/>
              <w:left w:type="dxa" w:w="110"/>
              <w:bottom w:type="dxa" w:w="60"/>
              <w:right w:type="dxa" w:w="110"/>
            </w:tcMar>
          </w:tcPr>
          <w:p>
            <w:pPr>
              <w:spacing w:after="20" w:line="252"/>
              <w:jc w:val="left"/>
            </w:pPr>
            <w:r>
              <w:rPr>
                <w:sz w:val="20"/>
                <w:szCs w:val="20"/>
              </w:rPr>
              <w:t xml:space="preserve">All processing on-device; offline-functional</w:t>
            </w:r>
          </w:p>
        </w:tc>
        <w:tc>
          <w:tcPr>
            <w:tcW w:type="dxa" w:w="3860"/>
            <w:shd w:fill="FFFFFF" w:val="clear"/>
            <w:tcMar>
              <w:top w:type="dxa" w:w="60"/>
              <w:left w:type="dxa" w:w="110"/>
              <w:bottom w:type="dxa" w:w="60"/>
              <w:right w:type="dxa" w:w="110"/>
            </w:tcMar>
          </w:tcPr>
          <w:p>
            <w:pPr>
              <w:spacing w:after="20" w:line="252"/>
              <w:jc w:val="left"/>
            </w:pPr>
            <w:r>
              <w:rPr>
                <w:sz w:val="20"/>
                <w:szCs w:val="20"/>
              </w:rPr>
              <w:t xml:space="preserve">Grok cloud via Razer Inference Control Plane</w:t>
            </w:r>
          </w:p>
        </w:tc>
      </w:tr>
      <w:tr>
        <w:tc>
          <w:tcPr>
            <w:tcW w:type="dxa" w:w="1550"/>
            <w:shd w:fill="F5F8FB" w:val="clear"/>
            <w:tcMar>
              <w:top w:type="dxa" w:w="60"/>
              <w:left w:type="dxa" w:w="110"/>
              <w:bottom w:type="dxa" w:w="60"/>
              <w:right w:type="dxa" w:w="110"/>
            </w:tcMar>
          </w:tcPr>
          <w:p>
            <w:pPr>
              <w:spacing w:after="20" w:line="252"/>
              <w:jc w:val="left"/>
            </w:pPr>
            <w:r>
              <w:rPr>
                <w:sz w:val="20"/>
                <w:szCs w:val="20"/>
              </w:rPr>
              <w:t xml:space="preserve">Intelligence</w:t>
            </w:r>
          </w:p>
        </w:tc>
        <w:tc>
          <w:tcPr>
            <w:tcW w:type="dxa" w:w="3950"/>
            <w:shd w:fill="F5F8FB" w:val="clear"/>
            <w:tcMar>
              <w:top w:type="dxa" w:w="60"/>
              <w:left w:type="dxa" w:w="110"/>
              <w:bottom w:type="dxa" w:w="60"/>
              <w:right w:type="dxa" w:w="110"/>
            </w:tcMar>
          </w:tcPr>
          <w:p>
            <w:pPr>
              <w:spacing w:after="20" w:line="252"/>
              <w:jc w:val="left"/>
            </w:pPr>
            <w:r>
              <w:rPr>
                <w:sz w:val="20"/>
                <w:szCs w:val="20"/>
              </w:rPr>
              <w:t xml:space="preserve">Any open-weight model; agent with memory/tools</w:t>
            </w:r>
          </w:p>
        </w:tc>
        <w:tc>
          <w:tcPr>
            <w:tcW w:type="dxa" w:w="3860"/>
            <w:shd w:fill="F5F8FB" w:val="clear"/>
            <w:tcMar>
              <w:top w:type="dxa" w:w="60"/>
              <w:left w:type="dxa" w:w="110"/>
              <w:bottom w:type="dxa" w:w="60"/>
              <w:right w:type="dxa" w:w="110"/>
            </w:tcMar>
          </w:tcPr>
          <w:p>
            <w:pPr>
              <w:spacing w:after="20" w:line="252"/>
              <w:jc w:val="left"/>
            </w:pPr>
            <w:r>
              <w:rPr>
                <w:sz w:val="20"/>
                <w:szCs w:val="20"/>
              </w:rPr>
              <w:t xml:space="preserve">Grok; multi-LLM support claimed, unshipped</w:t>
            </w:r>
          </w:p>
        </w:tc>
      </w:tr>
      <w:tr>
        <w:tc>
          <w:tcPr>
            <w:tcW w:type="dxa" w:w="1550"/>
            <w:shd w:fill="FFFFFF" w:val="clear"/>
            <w:tcMar>
              <w:top w:type="dxa" w:w="60"/>
              <w:left w:type="dxa" w:w="110"/>
              <w:bottom w:type="dxa" w:w="60"/>
              <w:right w:type="dxa" w:w="110"/>
            </w:tcMar>
          </w:tcPr>
          <w:p>
            <w:pPr>
              <w:spacing w:after="20" w:line="252"/>
              <w:jc w:val="left"/>
            </w:pPr>
            <w:r>
              <w:rPr>
                <w:sz w:val="20"/>
                <w:szCs w:val="20"/>
              </w:rPr>
              <w:t xml:space="preserve">Display</w:t>
            </w:r>
          </w:p>
        </w:tc>
        <w:tc>
          <w:tcPr>
            <w:tcW w:type="dxa" w:w="3950"/>
            <w:shd w:fill="FFFFFF" w:val="clear"/>
            <w:tcMar>
              <w:top w:type="dxa" w:w="60"/>
              <w:left w:type="dxa" w:w="110"/>
              <w:bottom w:type="dxa" w:w="60"/>
              <w:right w:type="dxa" w:w="110"/>
            </w:tcMar>
          </w:tcPr>
          <w:p>
            <w:pPr>
              <w:spacing w:after="20" w:line="252"/>
              <w:jc w:val="left"/>
            </w:pPr>
            <w:r>
              <w:rPr>
                <w:sz w:val="20"/>
                <w:szCs w:val="20"/>
              </w:rPr>
              <w:t xml:space="preserve">16″ HLD; SID Display of the Year 2026 category</w:t>
            </w:r>
          </w:p>
        </w:tc>
        <w:tc>
          <w:tcPr>
            <w:tcW w:type="dxa" w:w="3860"/>
            <w:shd w:fill="FFFFFF" w:val="clear"/>
            <w:tcMar>
              <w:top w:type="dxa" w:w="60"/>
              <w:left w:type="dxa" w:w="110"/>
              <w:bottom w:type="dxa" w:w="60"/>
              <w:right w:type="dxa" w:w="110"/>
            </w:tcMar>
          </w:tcPr>
          <w:p>
            <w:pPr>
              <w:spacing w:after="20" w:line="252"/>
              <w:jc w:val="left"/>
            </w:pPr>
            <w:r>
              <w:rPr>
                <w:sz w:val="20"/>
                <w:szCs w:val="20"/>
              </w:rPr>
              <w:t xml:space="preserve">5.5″ pseudo-holographic cylinder</w:t>
            </w:r>
          </w:p>
        </w:tc>
      </w:tr>
      <w:tr>
        <w:tc>
          <w:tcPr>
            <w:tcW w:type="dxa" w:w="1550"/>
            <w:shd w:fill="F5F8FB" w:val="clear"/>
            <w:tcMar>
              <w:top w:type="dxa" w:w="60"/>
              <w:left w:type="dxa" w:w="110"/>
              <w:bottom w:type="dxa" w:w="60"/>
              <w:right w:type="dxa" w:w="110"/>
            </w:tcMar>
          </w:tcPr>
          <w:p>
            <w:pPr>
              <w:spacing w:after="20" w:line="252"/>
              <w:jc w:val="left"/>
            </w:pPr>
            <w:r>
              <w:rPr>
                <w:sz w:val="20"/>
                <w:szCs w:val="20"/>
              </w:rPr>
              <w:t xml:space="preserve">Avatar freedom</w:t>
            </w:r>
          </w:p>
        </w:tc>
        <w:tc>
          <w:tcPr>
            <w:tcW w:type="dxa" w:w="3950"/>
            <w:shd w:fill="F5F8FB" w:val="clear"/>
            <w:tcMar>
              <w:top w:type="dxa" w:w="60"/>
              <w:left w:type="dxa" w:w="110"/>
              <w:bottom w:type="dxa" w:w="60"/>
              <w:right w:type="dxa" w:w="110"/>
            </w:tcMar>
          </w:tcPr>
          <w:p>
            <w:pPr>
              <w:spacing w:after="20" w:line="252"/>
              <w:jc w:val="left"/>
            </w:pPr>
            <w:r>
              <w:rPr>
                <w:sz w:val="20"/>
                <w:szCs w:val="20"/>
              </w:rPr>
              <w:t xml:space="preserve">Any VRM/Live2D; user-authored</w:t>
            </w:r>
          </w:p>
        </w:tc>
        <w:tc>
          <w:tcPr>
            <w:tcW w:type="dxa" w:w="3860"/>
            <w:shd w:fill="F5F8FB" w:val="clear"/>
            <w:tcMar>
              <w:top w:type="dxa" w:w="60"/>
              <w:left w:type="dxa" w:w="110"/>
              <w:bottom w:type="dxa" w:w="60"/>
              <w:right w:type="dxa" w:w="110"/>
            </w:tcMar>
          </w:tcPr>
          <w:p>
            <w:pPr>
              <w:spacing w:after="20" w:line="252"/>
              <w:jc w:val="left"/>
            </w:pPr>
            <w:r>
              <w:rPr>
                <w:sz w:val="20"/>
                <w:szCs w:val="20"/>
              </w:rPr>
              <w:t xml:space="preserve">Five fixed launch characters</w:t>
            </w:r>
          </w:p>
        </w:tc>
      </w:tr>
      <w:tr>
        <w:tc>
          <w:tcPr>
            <w:tcW w:type="dxa" w:w="1550"/>
            <w:shd w:fill="FFFFFF" w:val="clear"/>
            <w:tcMar>
              <w:top w:type="dxa" w:w="60"/>
              <w:left w:type="dxa" w:w="110"/>
              <w:bottom w:type="dxa" w:w="60"/>
              <w:right w:type="dxa" w:w="110"/>
            </w:tcMar>
          </w:tcPr>
          <w:p>
            <w:pPr>
              <w:spacing w:after="20" w:line="252"/>
              <w:jc w:val="left"/>
            </w:pPr>
            <w:r>
              <w:rPr>
                <w:sz w:val="20"/>
                <w:szCs w:val="20"/>
              </w:rPr>
              <w:t xml:space="preserve">Platform coupling</w:t>
            </w:r>
          </w:p>
        </w:tc>
        <w:tc>
          <w:tcPr>
            <w:tcW w:type="dxa" w:w="3950"/>
            <w:shd w:fill="FFFFFF" w:val="clear"/>
            <w:tcMar>
              <w:top w:type="dxa" w:w="60"/>
              <w:left w:type="dxa" w:w="110"/>
              <w:bottom w:type="dxa" w:w="60"/>
              <w:right w:type="dxa" w:w="110"/>
            </w:tcMar>
          </w:tcPr>
          <w:p>
            <w:pPr>
              <w:spacing w:after="20" w:line="252"/>
              <w:jc w:val="left"/>
            </w:pPr>
            <w:r>
              <w:rPr>
                <w:sz w:val="20"/>
                <w:szCs w:val="20"/>
              </w:rPr>
              <w:t xml:space="preserve">Open pipeline; OpenAI-protocol endpoint</w:t>
            </w:r>
          </w:p>
        </w:tc>
        <w:tc>
          <w:tcPr>
            <w:tcW w:type="dxa" w:w="3860"/>
            <w:shd w:fill="FFFFFF" w:val="clear"/>
            <w:tcMar>
              <w:top w:type="dxa" w:w="60"/>
              <w:left w:type="dxa" w:w="110"/>
              <w:bottom w:type="dxa" w:w="60"/>
              <w:right w:type="dxa" w:w="110"/>
            </w:tcMar>
          </w:tcPr>
          <w:p>
            <w:pPr>
              <w:spacing w:after="20" w:line="252"/>
              <w:jc w:val="left"/>
            </w:pPr>
            <w:r>
              <w:rPr>
                <w:sz w:val="20"/>
                <w:szCs w:val="20"/>
              </w:rPr>
              <w:t xml:space="preserve">Windows-only, wired USB-C, closed; beta under NDA</w:t>
            </w:r>
          </w:p>
        </w:tc>
      </w:tr>
      <w:tr>
        <w:tc>
          <w:tcPr>
            <w:tcW w:type="dxa" w:w="1550"/>
            <w:shd w:fill="F5F8FB" w:val="clear"/>
            <w:tcMar>
              <w:top w:type="dxa" w:w="60"/>
              <w:left w:type="dxa" w:w="110"/>
              <w:bottom w:type="dxa" w:w="60"/>
              <w:right w:type="dxa" w:w="110"/>
            </w:tcMar>
          </w:tcPr>
          <w:p>
            <w:pPr>
              <w:spacing w:after="20" w:line="252"/>
              <w:jc w:val="left"/>
            </w:pPr>
            <w:r>
              <w:rPr>
                <w:sz w:val="20"/>
                <w:szCs w:val="20"/>
              </w:rPr>
              <w:t xml:space="preserve">Privacy posture</w:t>
            </w:r>
          </w:p>
        </w:tc>
        <w:tc>
          <w:tcPr>
            <w:tcW w:type="dxa" w:w="3950"/>
            <w:shd w:fill="F5F8FB" w:val="clear"/>
            <w:tcMar>
              <w:top w:type="dxa" w:w="60"/>
              <w:left w:type="dxa" w:w="110"/>
              <w:bottom w:type="dxa" w:w="60"/>
              <w:right w:type="dxa" w:w="110"/>
            </w:tcMar>
          </w:tcPr>
          <w:p>
            <w:pPr>
              <w:spacing w:after="20" w:line="252"/>
              <w:jc w:val="left"/>
            </w:pPr>
            <w:r>
              <w:rPr>
                <w:sz w:val="20"/>
                <w:szCs w:val="20"/>
              </w:rPr>
              <w:t xml:space="preserve">Auditable by construction; no third-party retention possible</w:t>
            </w:r>
          </w:p>
        </w:tc>
        <w:tc>
          <w:tcPr>
            <w:tcW w:type="dxa" w:w="3860"/>
            <w:shd w:fill="F5F8FB" w:val="clear"/>
            <w:tcMar>
              <w:top w:type="dxa" w:w="60"/>
              <w:left w:type="dxa" w:w="110"/>
              <w:bottom w:type="dxa" w:w="60"/>
              <w:right w:type="dxa" w:w="110"/>
            </w:tcMar>
          </w:tcPr>
          <w:p>
            <w:pPr>
              <w:spacing w:after="20" w:line="252"/>
              <w:jc w:val="left"/>
            </w:pPr>
            <w:r>
              <w:rPr>
                <w:sz w:val="20"/>
                <w:szCs w:val="20"/>
              </w:rPr>
              <w:t xml:space="preserve">Camera + screen reading; no published policy located</w:t>
            </w:r>
          </w:p>
        </w:tc>
      </w:tr>
      <w:tr>
        <w:tc>
          <w:tcPr>
            <w:tcW w:type="dxa" w:w="1550"/>
            <w:shd w:fill="FFFFFF" w:val="clear"/>
            <w:tcMar>
              <w:top w:type="dxa" w:w="60"/>
              <w:left w:type="dxa" w:w="110"/>
              <w:bottom w:type="dxa" w:w="60"/>
              <w:right w:type="dxa" w:w="110"/>
            </w:tcMar>
          </w:tcPr>
          <w:p>
            <w:pPr>
              <w:spacing w:after="20" w:line="252"/>
              <w:jc w:val="left"/>
            </w:pPr>
            <w:r>
              <w:rPr>
                <w:sz w:val="20"/>
                <w:szCs w:val="20"/>
              </w:rPr>
              <w:t xml:space="preserve">Recurring cost</w:t>
            </w:r>
          </w:p>
        </w:tc>
        <w:tc>
          <w:tcPr>
            <w:tcW w:type="dxa" w:w="3950"/>
            <w:shd w:fill="FFFFFF" w:val="clear"/>
            <w:tcMar>
              <w:top w:type="dxa" w:w="60"/>
              <w:left w:type="dxa" w:w="110"/>
              <w:bottom w:type="dxa" w:w="60"/>
              <w:right w:type="dxa" w:w="110"/>
            </w:tcMar>
          </w:tcPr>
          <w:p>
            <w:pPr>
              <w:spacing w:after="20" w:line="252"/>
              <w:jc w:val="left"/>
            </w:pPr>
            <w:r>
              <w:rPr>
                <w:sz w:val="20"/>
                <w:szCs w:val="20"/>
              </w:rPr>
              <w:t xml:space="preserve">$0</w:t>
            </w:r>
          </w:p>
        </w:tc>
        <w:tc>
          <w:tcPr>
            <w:tcW w:type="dxa" w:w="3860"/>
            <w:shd w:fill="FFFFFF" w:val="clear"/>
            <w:tcMar>
              <w:top w:type="dxa" w:w="60"/>
              <w:left w:type="dxa" w:w="110"/>
              <w:bottom w:type="dxa" w:w="60"/>
              <w:right w:type="dxa" w:w="110"/>
            </w:tcMar>
          </w:tcPr>
          <w:p>
            <w:pPr>
              <w:spacing w:after="20" w:line="252"/>
              <w:jc w:val="left"/>
            </w:pPr>
            <w:r>
              <w:rPr>
                <w:sz w:val="20"/>
                <w:szCs w:val="20"/>
              </w:rPr>
              <w:t xml:space="preserve">Unpriced; cloud dependency implies ongoing structure</w:t>
            </w:r>
          </w:p>
        </w:tc>
      </w:tr>
      <w:tr>
        <w:tc>
          <w:tcPr>
            <w:tcW w:type="dxa" w:w="1550"/>
            <w:shd w:fill="F5F8FB" w:val="clear"/>
            <w:tcMar>
              <w:top w:type="dxa" w:w="60"/>
              <w:left w:type="dxa" w:w="110"/>
              <w:bottom w:type="dxa" w:w="60"/>
              <w:right w:type="dxa" w:w="110"/>
            </w:tcMar>
          </w:tcPr>
          <w:p>
            <w:pPr>
              <w:spacing w:after="20" w:line="252"/>
              <w:jc w:val="left"/>
            </w:pPr>
            <w:r>
              <w:rPr>
                <w:sz w:val="20"/>
                <w:szCs w:val="20"/>
              </w:rPr>
              <w:t xml:space="preserve">Extensibility</w:t>
            </w:r>
          </w:p>
        </w:tc>
        <w:tc>
          <w:tcPr>
            <w:tcW w:type="dxa" w:w="3950"/>
            <w:shd w:fill="F5F8FB" w:val="clear"/>
            <w:tcMar>
              <w:top w:type="dxa" w:w="60"/>
              <w:left w:type="dxa" w:w="110"/>
              <w:bottom w:type="dxa" w:w="60"/>
              <w:right w:type="dxa" w:w="110"/>
            </w:tcMar>
          </w:tcPr>
          <w:p>
            <w:pPr>
              <w:spacing w:after="20" w:line="252"/>
              <w:jc w:val="left"/>
            </w:pPr>
            <w:r>
              <w:rPr>
                <w:sz w:val="20"/>
                <w:szCs w:val="20"/>
              </w:rPr>
              <w:t xml:space="preserve">Any frontend/agent via base URL; fleet-integrated</w:t>
            </w:r>
          </w:p>
        </w:tc>
        <w:tc>
          <w:tcPr>
            <w:tcW w:type="dxa" w:w="3860"/>
            <w:shd w:fill="F5F8FB" w:val="clear"/>
            <w:tcMar>
              <w:top w:type="dxa" w:w="60"/>
              <w:left w:type="dxa" w:w="110"/>
              <w:bottom w:type="dxa" w:w="60"/>
              <w:right w:type="dxa" w:w="110"/>
            </w:tcMar>
          </w:tcPr>
          <w:p>
            <w:pPr>
              <w:spacing w:after="20" w:line="252"/>
              <w:jc w:val="left"/>
            </w:pPr>
            <w:r>
              <w:rPr>
                <w:sz w:val="20"/>
                <w:szCs w:val="20"/>
              </w:rPr>
              <w:t xml:space="preserve">No public SDK</w:t>
            </w:r>
          </w:p>
        </w:tc>
      </w:tr>
      <w:tr>
        <w:tc>
          <w:tcPr>
            <w:tcW w:type="dxa" w:w="1550"/>
            <w:shd w:fill="FFFFFF" w:val="clear"/>
            <w:tcMar>
              <w:top w:type="dxa" w:w="60"/>
              <w:left w:type="dxa" w:w="110"/>
              <w:bottom w:type="dxa" w:w="60"/>
              <w:right w:type="dxa" w:w="110"/>
            </w:tcMar>
          </w:tcPr>
          <w:p>
            <w:pPr>
              <w:spacing w:after="20" w:line="252"/>
              <w:jc w:val="left"/>
            </w:pPr>
            <w:r>
              <w:rPr>
                <w:sz w:val="20"/>
                <w:szCs w:val="20"/>
              </w:rPr>
              <w:t xml:space="preserve">Availability</w:t>
            </w:r>
          </w:p>
        </w:tc>
        <w:tc>
          <w:tcPr>
            <w:tcW w:type="dxa" w:w="3950"/>
            <w:shd w:fill="FFFFFF" w:val="clear"/>
            <w:tcMar>
              <w:top w:type="dxa" w:w="60"/>
              <w:left w:type="dxa" w:w="110"/>
              <w:bottom w:type="dxa" w:w="60"/>
              <w:right w:type="dxa" w:w="110"/>
            </w:tcMar>
          </w:tcPr>
          <w:p>
            <w:pPr>
              <w:spacing w:after="20" w:line="252"/>
              <w:jc w:val="left"/>
            </w:pPr>
            <w:r>
              <w:rPr>
                <w:sz w:val="20"/>
                <w:szCs w:val="20"/>
              </w:rPr>
              <w:t xml:space="preserve">Buildable from in-stock parts; built</w:t>
            </w:r>
          </w:p>
        </w:tc>
        <w:tc>
          <w:tcPr>
            <w:tcW w:type="dxa" w:w="3860"/>
            <w:shd w:fill="FFFFFF" w:val="clear"/>
            <w:tcMar>
              <w:top w:type="dxa" w:w="60"/>
              <w:left w:type="dxa" w:w="110"/>
              <w:bottom w:type="dxa" w:w="60"/>
              <w:right w:type="dxa" w:w="110"/>
            </w:tcMar>
          </w:tcPr>
          <w:p>
            <w:pPr>
              <w:spacing w:after="20" w:line="252"/>
              <w:jc w:val="left"/>
            </w:pPr>
            <w:r>
              <w:rPr>
                <w:sz w:val="20"/>
                <w:szCs w:val="20"/>
              </w:rPr>
              <w:t xml:space="preserve">$20 reservation; H2 2026 estimate; no price</w:t>
            </w:r>
          </w:p>
        </w:tc>
      </w:tr>
      <w:tr>
        <w:tc>
          <w:tcPr>
            <w:tcW w:type="dxa" w:w="1550"/>
            <w:shd w:fill="F5F8FB" w:val="clear"/>
            <w:tcMar>
              <w:top w:type="dxa" w:w="60"/>
              <w:left w:type="dxa" w:w="110"/>
              <w:bottom w:type="dxa" w:w="60"/>
              <w:right w:type="dxa" w:w="110"/>
            </w:tcMar>
          </w:tcPr>
          <w:p>
            <w:pPr>
              <w:spacing w:after="20" w:line="252"/>
              <w:jc w:val="left"/>
            </w:pPr>
            <w:r>
              <w:rPr>
                <w:sz w:val="20"/>
                <w:szCs w:val="20"/>
              </w:rPr>
              <w:t xml:space="preserve">Independent evidence</w:t>
            </w:r>
          </w:p>
        </w:tc>
        <w:tc>
          <w:tcPr>
            <w:tcW w:type="dxa" w:w="3950"/>
            <w:shd w:fill="F5F8FB" w:val="clear"/>
            <w:tcMar>
              <w:top w:type="dxa" w:w="60"/>
              <w:left w:type="dxa" w:w="110"/>
              <w:bottom w:type="dxa" w:w="60"/>
              <w:right w:type="dxa" w:w="110"/>
            </w:tcMar>
          </w:tcPr>
          <w:p>
            <w:pPr>
              <w:spacing w:after="20" w:line="252"/>
              <w:jc w:val="left"/>
            </w:pPr>
            <w:r>
              <w:rPr>
                <w:sz w:val="20"/>
                <w:szCs w:val="20"/>
              </w:rPr>
              <w:t xml:space="preserve">Protocols and measurements reported herein</w:t>
            </w:r>
          </w:p>
        </w:tc>
        <w:tc>
          <w:tcPr>
            <w:tcW w:type="dxa" w:w="3860"/>
            <w:shd w:fill="F5F8FB" w:val="clear"/>
            <w:tcMar>
              <w:top w:type="dxa" w:w="60"/>
              <w:left w:type="dxa" w:w="110"/>
              <w:bottom w:type="dxa" w:w="60"/>
              <w:right w:type="dxa" w:w="110"/>
            </w:tcMar>
          </w:tcPr>
          <w:p>
            <w:pPr>
              <w:spacing w:after="20" w:line="252"/>
              <w:jc w:val="left"/>
            </w:pPr>
            <w:r>
              <w:rPr>
                <w:sz w:val="20"/>
                <w:szCs w:val="20"/>
              </w:rPr>
              <w:t xml:space="preserve">None exists (no shipped units, no reviews)</w:t>
            </w:r>
          </w:p>
        </w:tc>
      </w:tr>
    </w:tbl>
    <w:p>
      <w:pPr>
        <w:spacing w:after="160" w:before="60"/>
        <w:jc w:val="center"/>
      </w:pPr>
      <w:r>
        <w:rPr>
          <w:b/>
          <w:bCs/>
          <w:color w:val="233A5C"/>
          <w:sz w:val="19"/>
          <w:szCs w:val="19"/>
        </w:rPr>
        <w:t xml:space="preserve">Table 6. </w:t>
      </w:r>
      <w:r>
        <w:rPr>
          <w:i/>
          <w:iCs/>
          <w:color w:val="444444"/>
          <w:sz w:val="19"/>
          <w:szCs w:val="19"/>
        </w:rPr>
        <w:t xml:space="preserve">Ten-axis comparison, valid as of July 16, 2026. Tier-(iv) cells are claims, not measurements, by necessity.</w:t>
      </w:r>
    </w:p>
    <w:p>
      <w:pPr>
        <w:spacing w:after="140" w:line="276"/>
        <w:jc w:val="left"/>
      </w:pPr>
      <w:r>
        <w:t xml:space="preserve">Reading Table 6 correctly requires splitting its axes by what can change. Four are architecture-determined: locality, privacy posture, extensibility, and recurring-cost structure follow from where the intelligence runs, and AVA cannot alter them without becoming a different product — these are the comparison's durable content and the paper's actual claim. The remainder are product-determined — price, availability, character roster, independent evidence — and will change the day the device ships, which is precisely why the re-pull obligation of Section 8 attaches to them and not to the first set. A reader in 2027 should expect the second set of cells to be stale and the first set to be exactly as true as they are today; a comparison built the other way around would already be worthless.</w:t>
      </w:r>
    </w:p>
    <w:p>
      <w:pPr>
        <w:pStyle w:val="Heading2"/>
        <w:spacing w:after="120" w:before="260"/>
      </w:pPr>
      <w:r>
        <w:rPr>
          <w:rFonts w:ascii="Cambria" w:cs="Cambria" w:eastAsia="Cambria" w:hAnsi="Cambria"/>
          <w:b/>
          <w:bCs/>
          <w:color w:val="233A5C"/>
          <w:sz w:val="26"/>
          <w:szCs w:val="26"/>
        </w:rPr>
        <w:t xml:space="preserve">6.8 Requirements verdict</w:t>
      </w:r>
    </w:p>
    <w:p>
      <w:pPr>
        <w:spacing w:after="140" w:line="276"/>
        <w:jc w:val="left"/>
      </w:pPr>
      <w:r>
        <w:t xml:space="preserve">The design-science loop closes by auditing the artifact against its own Table 1, with each verdict carrying the provenance tier of its evidence:</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Pr>
      <w:tblGrid>
        <w:gridCol w:w="1500"/>
        <w:gridCol w:w="2400"/>
        <w:gridCol w:w="5460"/>
      </w:tblGrid>
      <w:tr>
        <w:trPr>
          <w:tblHeader/>
        </w:trPr>
        <w:tc>
          <w:tcPr>
            <w:tcW w:type="dxa" w:w="1500"/>
            <w:shd w:fill="233A5C" w:val="clear"/>
            <w:tcMar>
              <w:top w:type="dxa" w:w="70"/>
              <w:left w:type="dxa" w:w="110"/>
              <w:bottom w:type="dxa" w:w="70"/>
              <w:right w:type="dxa" w:w="110"/>
            </w:tcMar>
            <w:vAlign w:val="center"/>
          </w:tcPr>
          <w:p>
            <w:pPr>
              <w:spacing w:after="20" w:line="252"/>
              <w:jc w:val="left"/>
            </w:pPr>
            <w:r>
              <w:rPr>
                <w:b/>
                <w:bCs/>
                <w:color w:val="FFFFFF"/>
                <w:sz w:val="20"/>
                <w:szCs w:val="20"/>
              </w:rPr>
              <w:t xml:space="preserve">Req.</w:t>
            </w:r>
          </w:p>
        </w:tc>
        <w:tc>
          <w:tcPr>
            <w:tcW w:type="dxa" w:w="2400"/>
            <w:shd w:fill="233A5C" w:val="clear"/>
            <w:tcMar>
              <w:top w:type="dxa" w:w="70"/>
              <w:left w:type="dxa" w:w="110"/>
              <w:bottom w:type="dxa" w:w="70"/>
              <w:right w:type="dxa" w:w="110"/>
            </w:tcMar>
            <w:vAlign w:val="center"/>
          </w:tcPr>
          <w:p>
            <w:pPr>
              <w:spacing w:after="20" w:line="252"/>
              <w:jc w:val="left"/>
            </w:pPr>
            <w:r>
              <w:rPr>
                <w:b/>
                <w:bCs/>
                <w:color w:val="FFFFFF"/>
                <w:sz w:val="20"/>
                <w:szCs w:val="20"/>
              </w:rPr>
              <w:t xml:space="preserve">Verdict</w:t>
            </w:r>
          </w:p>
        </w:tc>
        <w:tc>
          <w:tcPr>
            <w:tcW w:type="dxa" w:w="5460"/>
            <w:shd w:fill="233A5C" w:val="clear"/>
            <w:tcMar>
              <w:top w:type="dxa" w:w="70"/>
              <w:left w:type="dxa" w:w="110"/>
              <w:bottom w:type="dxa" w:w="70"/>
              <w:right w:type="dxa" w:w="110"/>
            </w:tcMar>
            <w:vAlign w:val="center"/>
          </w:tcPr>
          <w:p>
            <w:pPr>
              <w:spacing w:after="20" w:line="252"/>
              <w:jc w:val="left"/>
            </w:pPr>
            <w:r>
              <w:rPr>
                <w:b/>
                <w:bCs/>
                <w:color w:val="FFFFFF"/>
                <w:sz w:val="20"/>
                <w:szCs w:val="20"/>
              </w:rPr>
              <w:t xml:space="preserve">Basis</w:t>
            </w:r>
          </w:p>
        </w:tc>
      </w:tr>
      <w:tr>
        <w:tc>
          <w:tcPr>
            <w:tcW w:type="dxa" w:w="1500"/>
            <w:shd w:fill="FFFFFF" w:val="clear"/>
            <w:tcMar>
              <w:top w:type="dxa" w:w="60"/>
              <w:left w:type="dxa" w:w="110"/>
              <w:bottom w:type="dxa" w:w="60"/>
              <w:right w:type="dxa" w:w="110"/>
            </w:tcMar>
          </w:tcPr>
          <w:p>
            <w:pPr>
              <w:spacing w:after="20" w:line="252"/>
              <w:jc w:val="left"/>
            </w:pPr>
            <w:r>
              <w:rPr>
                <w:sz w:val="20"/>
                <w:szCs w:val="20"/>
              </w:rPr>
              <w:t xml:space="preserve">R1 Locality</w:t>
            </w:r>
          </w:p>
        </w:tc>
        <w:tc>
          <w:tcPr>
            <w:tcW w:type="dxa" w:w="2400"/>
            <w:shd w:fill="FFFFFF" w:val="clear"/>
            <w:tcMar>
              <w:top w:type="dxa" w:w="60"/>
              <w:left w:type="dxa" w:w="110"/>
              <w:bottom w:type="dxa" w:w="60"/>
              <w:right w:type="dxa" w:w="110"/>
            </w:tcMar>
          </w:tcPr>
          <w:p>
            <w:pPr>
              <w:spacing w:after="20" w:line="252"/>
              <w:jc w:val="left"/>
            </w:pPr>
            <w:r>
              <w:rPr>
                <w:sz w:val="20"/>
                <w:szCs w:val="20"/>
              </w:rPr>
              <w:t xml:space="preserve">Met by construction</w:t>
            </w:r>
          </w:p>
        </w:tc>
        <w:tc>
          <w:tcPr>
            <w:tcW w:type="dxa" w:w="5460"/>
            <w:shd w:fill="FFFFFF" w:val="clear"/>
            <w:tcMar>
              <w:top w:type="dxa" w:w="60"/>
              <w:left w:type="dxa" w:w="110"/>
              <w:bottom w:type="dxa" w:w="60"/>
              <w:right w:type="dxa" w:w="110"/>
            </w:tcMar>
          </w:tcPr>
          <w:p>
            <w:pPr>
              <w:spacing w:after="20" w:line="252"/>
              <w:jc w:val="left"/>
            </w:pPr>
            <w:r>
              <w:rPr>
                <w:sz w:val="20"/>
                <w:szCs w:val="20"/>
              </w:rPr>
              <w:t xml:space="preserve">Every hop in Figure 1 is localhost; offline operation is architectural, not configured (tier iii by inspection)</w:t>
            </w:r>
          </w:p>
        </w:tc>
      </w:tr>
      <w:tr>
        <w:tc>
          <w:tcPr>
            <w:tcW w:type="dxa" w:w="1500"/>
            <w:shd w:fill="F5F8FB" w:val="clear"/>
            <w:tcMar>
              <w:top w:type="dxa" w:w="60"/>
              <w:left w:type="dxa" w:w="110"/>
              <w:bottom w:type="dxa" w:w="60"/>
              <w:right w:type="dxa" w:w="110"/>
            </w:tcMar>
          </w:tcPr>
          <w:p>
            <w:pPr>
              <w:spacing w:after="20" w:line="252"/>
              <w:jc w:val="left"/>
            </w:pPr>
            <w:r>
              <w:rPr>
                <w:sz w:val="20"/>
                <w:szCs w:val="20"/>
              </w:rPr>
              <w:t xml:space="preserve">R2 Presence</w:t>
            </w:r>
          </w:p>
        </w:tc>
        <w:tc>
          <w:tcPr>
            <w:tcW w:type="dxa" w:w="2400"/>
            <w:shd w:fill="F5F8FB" w:val="clear"/>
            <w:tcMar>
              <w:top w:type="dxa" w:w="60"/>
              <w:left w:type="dxa" w:w="110"/>
              <w:bottom w:type="dxa" w:w="60"/>
              <w:right w:type="dxa" w:w="110"/>
            </w:tcMar>
          </w:tcPr>
          <w:p>
            <w:pPr>
              <w:spacing w:after="20" w:line="252"/>
              <w:jc w:val="left"/>
            </w:pPr>
            <w:r>
              <w:rPr>
                <w:sz w:val="20"/>
                <w:szCs w:val="20"/>
              </w:rPr>
              <w:t xml:space="preserve">Met; narrowly validated</w:t>
            </w:r>
          </w:p>
        </w:tc>
        <w:tc>
          <w:tcPr>
            <w:tcW w:type="dxa" w:w="5460"/>
            <w:shd w:fill="F5F8FB" w:val="clear"/>
            <w:tcMar>
              <w:top w:type="dxa" w:w="60"/>
              <w:left w:type="dxa" w:w="110"/>
              <w:bottom w:type="dxa" w:w="60"/>
              <w:right w:type="dxa" w:w="110"/>
            </w:tcMar>
          </w:tcPr>
          <w:p>
            <w:pPr>
              <w:spacing w:after="20" w:line="252"/>
              <w:jc w:val="left"/>
            </w:pPr>
            <w:r>
              <w:rPr>
                <w:sz w:val="20"/>
                <w:szCs w:val="20"/>
              </w:rPr>
              <w:t xml:space="preserve">HLD deployed; framing protocol passed (§5.4) — one panel, one judge, disclosed in §8</w:t>
            </w:r>
          </w:p>
        </w:tc>
      </w:tr>
      <w:tr>
        <w:tc>
          <w:tcPr>
            <w:tcW w:type="dxa" w:w="1500"/>
            <w:shd w:fill="FFFFFF" w:val="clear"/>
            <w:tcMar>
              <w:top w:type="dxa" w:w="60"/>
              <w:left w:type="dxa" w:w="110"/>
              <w:bottom w:type="dxa" w:w="60"/>
              <w:right w:type="dxa" w:w="110"/>
            </w:tcMar>
          </w:tcPr>
          <w:p>
            <w:pPr>
              <w:spacing w:after="20" w:line="252"/>
              <w:jc w:val="left"/>
            </w:pPr>
            <w:r>
              <w:rPr>
                <w:sz w:val="20"/>
                <w:szCs w:val="20"/>
              </w:rPr>
              <w:t xml:space="preserve">R3 Latency</w:t>
            </w:r>
          </w:p>
        </w:tc>
        <w:tc>
          <w:tcPr>
            <w:tcW w:type="dxa" w:w="2400"/>
            <w:shd w:fill="FFFFFF" w:val="clear"/>
            <w:tcMar>
              <w:top w:type="dxa" w:w="60"/>
              <w:left w:type="dxa" w:w="110"/>
              <w:bottom w:type="dxa" w:w="60"/>
              <w:right w:type="dxa" w:w="110"/>
            </w:tcMar>
          </w:tcPr>
          <w:p>
            <w:pPr>
              <w:spacing w:after="20" w:line="252"/>
              <w:jc w:val="left"/>
            </w:pPr>
            <w:r>
              <w:rPr>
                <w:sz w:val="20"/>
                <w:szCs w:val="20"/>
              </w:rPr>
              <w:t xml:space="preserve">Supported; first-party pending</w:t>
            </w:r>
          </w:p>
        </w:tc>
        <w:tc>
          <w:tcPr>
            <w:tcW w:type="dxa" w:w="5460"/>
            <w:shd w:fill="FFFFFF" w:val="clear"/>
            <w:tcMar>
              <w:top w:type="dxa" w:w="60"/>
              <w:left w:type="dxa" w:w="110"/>
              <w:bottom w:type="dxa" w:w="60"/>
              <w:right w:type="dxa" w:w="110"/>
            </w:tcMar>
          </w:tcPr>
          <w:p>
            <w:pPr>
              <w:spacing w:after="20" w:line="252"/>
              <w:jc w:val="left"/>
            </w:pPr>
            <w:r>
              <w:rPr>
                <w:sz w:val="20"/>
                <w:szCs w:val="20"/>
              </w:rPr>
              <w:t xml:space="preserve">Third-party throughput (tier ii) implies the budget; the ten-utterance protocol is defined and its log entry outranks this row once made</w:t>
            </w:r>
          </w:p>
        </w:tc>
      </w:tr>
      <w:tr>
        <w:tc>
          <w:tcPr>
            <w:tcW w:type="dxa" w:w="1500"/>
            <w:shd w:fill="F5F8FB" w:val="clear"/>
            <w:tcMar>
              <w:top w:type="dxa" w:w="60"/>
              <w:left w:type="dxa" w:w="110"/>
              <w:bottom w:type="dxa" w:w="60"/>
              <w:right w:type="dxa" w:w="110"/>
            </w:tcMar>
          </w:tcPr>
          <w:p>
            <w:pPr>
              <w:spacing w:after="20" w:line="252"/>
              <w:jc w:val="left"/>
            </w:pPr>
            <w:r>
              <w:rPr>
                <w:sz w:val="20"/>
                <w:szCs w:val="20"/>
              </w:rPr>
              <w:t xml:space="preserve">R4 iGPU-only</w:t>
            </w:r>
          </w:p>
        </w:tc>
        <w:tc>
          <w:tcPr>
            <w:tcW w:type="dxa" w:w="2400"/>
            <w:shd w:fill="F5F8FB" w:val="clear"/>
            <w:tcMar>
              <w:top w:type="dxa" w:w="60"/>
              <w:left w:type="dxa" w:w="110"/>
              <w:bottom w:type="dxa" w:w="60"/>
              <w:right w:type="dxa" w:w="110"/>
            </w:tcMar>
          </w:tcPr>
          <w:p>
            <w:pPr>
              <w:spacing w:after="20" w:line="252"/>
              <w:jc w:val="left"/>
            </w:pPr>
            <w:r>
              <w:rPr>
                <w:sz w:val="20"/>
                <w:szCs w:val="20"/>
              </w:rPr>
              <w:t xml:space="preserve">Met</w:t>
            </w:r>
          </w:p>
        </w:tc>
        <w:tc>
          <w:tcPr>
            <w:tcW w:type="dxa" w:w="5460"/>
            <w:shd w:fill="F5F8FB" w:val="clear"/>
            <w:tcMar>
              <w:top w:type="dxa" w:w="60"/>
              <w:left w:type="dxa" w:w="110"/>
              <w:bottom w:type="dxa" w:w="60"/>
              <w:right w:type="dxa" w:w="110"/>
            </w:tcMar>
          </w:tcPr>
          <w:p>
            <w:pPr>
              <w:spacing w:after="20" w:line="252"/>
              <w:jc w:val="left"/>
            </w:pPr>
            <w:r>
              <w:rPr>
                <w:sz w:val="20"/>
                <w:szCs w:val="20"/>
              </w:rPr>
              <w:t xml:space="preserve">No discrete GPU appears anywhere in the primary configuration; the eGPU is future work by design</w:t>
            </w:r>
          </w:p>
        </w:tc>
      </w:tr>
      <w:tr>
        <w:tc>
          <w:tcPr>
            <w:tcW w:type="dxa" w:w="1500"/>
            <w:shd w:fill="FFFFFF" w:val="clear"/>
            <w:tcMar>
              <w:top w:type="dxa" w:w="60"/>
              <w:left w:type="dxa" w:w="110"/>
              <w:bottom w:type="dxa" w:w="60"/>
              <w:right w:type="dxa" w:w="110"/>
            </w:tcMar>
          </w:tcPr>
          <w:p>
            <w:pPr>
              <w:spacing w:after="20" w:line="252"/>
              <w:jc w:val="left"/>
            </w:pPr>
            <w:r>
              <w:rPr>
                <w:sz w:val="20"/>
                <w:szCs w:val="20"/>
              </w:rPr>
              <w:t xml:space="preserve">R5 Agent-fronted</w:t>
            </w:r>
          </w:p>
        </w:tc>
        <w:tc>
          <w:tcPr>
            <w:tcW w:type="dxa" w:w="2400"/>
            <w:shd w:fill="FFFFFF" w:val="clear"/>
            <w:tcMar>
              <w:top w:type="dxa" w:w="60"/>
              <w:left w:type="dxa" w:w="110"/>
              <w:bottom w:type="dxa" w:w="60"/>
              <w:right w:type="dxa" w:w="110"/>
            </w:tcMar>
          </w:tcPr>
          <w:p>
            <w:pPr>
              <w:spacing w:after="20" w:line="252"/>
              <w:jc w:val="left"/>
            </w:pPr>
            <w:r>
              <w:rPr>
                <w:sz w:val="20"/>
                <w:szCs w:val="20"/>
              </w:rPr>
              <w:t xml:space="preserve">Met</w:t>
            </w:r>
          </w:p>
        </w:tc>
        <w:tc>
          <w:tcPr>
            <w:tcW w:type="dxa" w:w="5460"/>
            <w:shd w:fill="FFFFFF" w:val="clear"/>
            <w:tcMar>
              <w:top w:type="dxa" w:w="60"/>
              <w:left w:type="dxa" w:w="110"/>
              <w:bottom w:type="dxa" w:w="60"/>
              <w:right w:type="dxa" w:w="110"/>
            </w:tcMar>
          </w:tcPr>
          <w:p>
            <w:pPr>
              <w:spacing w:after="20" w:line="252"/>
              <w:jc w:val="left"/>
            </w:pPr>
            <w:r>
              <w:rPr>
                <w:sz w:val="20"/>
                <w:szCs w:val="20"/>
              </w:rPr>
              <w:t xml:space="preserve">Listing 1 in deployment; memory and tools reach the face with zero frontend modification</w:t>
            </w:r>
          </w:p>
        </w:tc>
      </w:tr>
      <w:tr>
        <w:tc>
          <w:tcPr>
            <w:tcW w:type="dxa" w:w="1500"/>
            <w:shd w:fill="F5F8FB" w:val="clear"/>
            <w:tcMar>
              <w:top w:type="dxa" w:w="60"/>
              <w:left w:type="dxa" w:w="110"/>
              <w:bottom w:type="dxa" w:w="60"/>
              <w:right w:type="dxa" w:w="110"/>
            </w:tcMar>
          </w:tcPr>
          <w:p>
            <w:pPr>
              <w:spacing w:after="20" w:line="252"/>
              <w:jc w:val="left"/>
            </w:pPr>
            <w:r>
              <w:rPr>
                <w:sz w:val="20"/>
                <w:szCs w:val="20"/>
              </w:rPr>
              <w:t xml:space="preserve">R6 Zero recurring</w:t>
            </w:r>
          </w:p>
        </w:tc>
        <w:tc>
          <w:tcPr>
            <w:tcW w:type="dxa" w:w="2400"/>
            <w:shd w:fill="F5F8FB" w:val="clear"/>
            <w:tcMar>
              <w:top w:type="dxa" w:w="60"/>
              <w:left w:type="dxa" w:w="110"/>
              <w:bottom w:type="dxa" w:w="60"/>
              <w:right w:type="dxa" w:w="110"/>
            </w:tcMar>
          </w:tcPr>
          <w:p>
            <w:pPr>
              <w:spacing w:after="20" w:line="252"/>
              <w:jc w:val="left"/>
            </w:pPr>
            <w:r>
              <w:rPr>
                <w:sz w:val="20"/>
                <w:szCs w:val="20"/>
              </w:rPr>
              <w:t xml:space="preserve">Met</w:t>
            </w:r>
          </w:p>
        </w:tc>
        <w:tc>
          <w:tcPr>
            <w:tcW w:type="dxa" w:w="5460"/>
            <w:shd w:fill="F5F8FB" w:val="clear"/>
            <w:tcMar>
              <w:top w:type="dxa" w:w="60"/>
              <w:left w:type="dxa" w:w="110"/>
              <w:bottom w:type="dxa" w:w="60"/>
              <w:right w:type="dxa" w:w="110"/>
            </w:tcMar>
          </w:tcPr>
          <w:p>
            <w:pPr>
              <w:spacing w:after="20" w:line="252"/>
              <w:jc w:val="left"/>
            </w:pPr>
            <w:r>
              <w:rPr>
                <w:sz w:val="20"/>
                <w:szCs w:val="20"/>
              </w:rPr>
              <w:t xml:space="preserve">No subscription, metered API, or account exists in the stack; Table 4</w:t>
            </w:r>
          </w:p>
        </w:tc>
      </w:tr>
    </w:tbl>
    <w:p>
      <w:pPr>
        <w:spacing w:after="160" w:before="60"/>
        <w:jc w:val="center"/>
      </w:pPr>
      <w:r>
        <w:rPr>
          <w:b/>
          <w:bCs/>
          <w:color w:val="233A5C"/>
          <w:sz w:val="19"/>
          <w:szCs w:val="19"/>
        </w:rPr>
        <w:t xml:space="preserve">Table 7. </w:t>
      </w:r>
      <w:r>
        <w:rPr>
          <w:i/>
          <w:iCs/>
          <w:color w:val="444444"/>
          <w:sz w:val="19"/>
          <w:szCs w:val="19"/>
        </w:rPr>
        <w:t xml:space="preserve">Requirements audit. One verdict is deliberately left provisional pending first-party measurement — which is what an honest audit column is for.</w:t>
      </w:r>
    </w:p>
    <w:p>
      <w:pPr>
        <w:pStyle w:val="Heading1"/>
        <w:pBdr>
          <w:bottom w:val="single" w:color="3D5A80" w:sz="8" w:space="4"/>
        </w:pBdr>
        <w:spacing w:after="180" w:before="340"/>
      </w:pPr>
      <w:r>
        <w:rPr>
          <w:rFonts w:ascii="Cambria" w:cs="Cambria" w:eastAsia="Cambria" w:hAnsi="Cambria"/>
          <w:b/>
          <w:bCs/>
          <w:color w:val="233A5C"/>
          <w:sz w:val="32"/>
          <w:szCs w:val="32"/>
        </w:rPr>
        <w:t xml:space="preserve">7. Discussion</w:t>
      </w:r>
    </w:p>
    <w:p>
      <w:pPr>
        <w:pStyle w:val="Heading2"/>
        <w:spacing w:after="120" w:before="260"/>
      </w:pPr>
      <w:r>
        <w:rPr>
          <w:rFonts w:ascii="Cambria" w:cs="Cambria" w:eastAsia="Cambria" w:hAnsi="Cambria"/>
          <w:b/>
          <w:bCs/>
          <w:color w:val="233A5C"/>
          <w:sz w:val="26"/>
          <w:szCs w:val="26"/>
        </w:rPr>
        <w:t xml:space="preserve">7.1 What the artifact demonstrates</w:t>
      </w:r>
    </w:p>
    <w:p>
      <w:pPr>
        <w:spacing w:after="140" w:line="276"/>
        <w:jc w:val="left"/>
      </w:pPr>
      <w:r>
        <w:t xml:space="preserve">The existence proof is the point. One builder, consumer parts, roughly $2,050 of new hardware, and a fully local embodied agent stands on a desk answering within its measured budget — while the announced commercial category leader remains a deposit page. The demonstration is deliberately anti-heroic: no component is exotic, every load-bearing number is third-party or protocolized, and the two genuinely novel moves — the HLD selection under contention analysis and the agent-as-endpoint pattern — are both simplifications, not inventions. That is the finding: the local-first version of this product category is not a research prototype's promise but an assembly problem, and the capability frontier conceded in §6.6 is a model-swap away from shrinking, because every layer above the model is model-agnostic by construction.</w:t>
      </w:r>
    </w:p>
    <w:p>
      <w:pPr>
        <w:spacing w:after="140" w:line="276"/>
        <w:jc w:val="left"/>
      </w:pPr>
      <w:r>
        <w:t xml:space="preserve">The announced comparator's existence is itself evidence the artifact benefits from. A major consumer-hardware company spending three consecutive industry showcases marketing a desk companion validates category demand more credibly than any enthusiast's conviction could — and the reservation model, the licensed-identity roster, and the unpublished data policy validate, with equal credibility, exactly which properties the commercial version will trade away. The artifact converts that validation into a counterfactual that exists: the same category promise with the trade reversed, buildable now, measured here.</w:t>
      </w:r>
    </w:p>
    <w:p>
      <w:pPr>
        <w:pStyle w:val="Heading2"/>
        <w:spacing w:after="120" w:before="260"/>
      </w:pPr>
      <w:r>
        <w:rPr>
          <w:rFonts w:ascii="Cambria" w:cs="Cambria" w:eastAsia="Cambria" w:hAnsi="Cambria"/>
          <w:b/>
          <w:bCs/>
          <w:color w:val="233A5C"/>
          <w:sz w:val="26"/>
          <w:szCs w:val="26"/>
        </w:rPr>
        <w:t xml:space="preserve">7.2 Privacy by construction, mapped to the evidence</w:t>
      </w:r>
    </w:p>
    <w:p>
      <w:pPr>
        <w:spacing w:after="140" w:line="276"/>
        <w:jc w:val="left"/>
      </w:pPr>
      <w:r>
        <w:t xml:space="preserve">The smart-speaker literature's findings map onto this architecture point by point. Incomplete mental models of where audio goes (Lau et al., 2018) — here the answer is enumerable: nowhere; the loop is inspectable localhost hops. Discomfort with retention and human review (Malkin et al., 2019) — here retention is a file the owner holds and review requires the owner's chair. Resigned trade-offs accepted for utility (Lau et al., 2018) — here the trade is dissolved rather than rebalanced, because utility does not purchase exposure. The defensive-architecture literature (§2.9) mitigates transmission risk; this design removes the transmission. The claim's honest boundary: locality protects against third-party retention, breach-in-transit, and provider repurposing — it does not protect against local device compromise, and §8 says so.</w:t>
      </w:r>
    </w:p>
    <w:p>
      <w:pPr>
        <w:spacing w:after="140" w:line="276"/>
        <w:jc w:val="left"/>
      </w:pPr>
      <w:r>
        <w:t xml:space="preserve">Stated as a threat-model ledger: five exposure classes that exist for any cloud-mediated companion are removed by construction here — provider retention, human review, breach in transit, third-party legal process against the provider's copy, and provider repurposing of interaction data for training or advertising — while two classes remain and are named rather than waved at: compromise of the local host, and physical access to the device. The removed five are precisely the classes the empirical literature documents users worrying about (§2.9); the remaining two are the classes users already carry for every computer they own, addressed by the ecosystem's hardening posture, which §8 places outside this paper's evaluative scope. Reducing a novel appliance's threat model to the familiar threat model of owning a computer is, this paper argues, the correct privacy outcome for a device that lives where people talk.</w:t>
      </w:r>
    </w:p>
    <w:p>
      <w:pPr>
        <w:pStyle w:val="Heading2"/>
        <w:spacing w:after="120" w:before="260"/>
      </w:pPr>
      <w:r>
        <w:rPr>
          <w:rFonts w:ascii="Cambria" w:cs="Cambria" w:eastAsia="Cambria" w:hAnsi="Cambria"/>
          <w:b/>
          <w:bCs/>
          <w:color w:val="233A5C"/>
          <w:sz w:val="26"/>
          <w:szCs w:val="26"/>
        </w:rPr>
        <w:t xml:space="preserve">7.3 Ambient presence without the attention tax</w:t>
      </w:r>
    </w:p>
    <w:p>
      <w:pPr>
        <w:spacing w:after="140" w:line="276"/>
        <w:jc w:val="left"/>
      </w:pPr>
      <w:r>
        <w:t xml:space="preserve">The announcement channel operationalizes calm technology (Weiser &amp; Brown, 1996/1997) with a governance twist the ambient-display literature could not have specified: the whitelist of what may interrupt is the agent's existing tool-permission model, so ambient speech is governed by the same auditable policy as every other agent action rather than by model discretion or engagement heuristics. Pousman and Stasko's (2006) taxonomy would classify the result as a high-notification-capacity ambient display that chooses to operate low — and the choice being a permission file, not a product manager's dial, is precisely the difference ownership makes.</w:t>
      </w:r>
    </w:p>
    <w:p>
      <w:pPr>
        <w:spacing w:after="140" w:line="276"/>
        <w:jc w:val="left"/>
      </w:pPr>
      <w:r>
        <w:t xml:space="preserve">The deeper difference is whose goals an interruption serves. Platform-mediated notification systems are tuned by parties with objectives — engagement, retention, re-engagement — that are not the user's, and the ambient-display literature's founding assumption of a benevolent information source was never guaranteed by commercial deployment. Here the only principal in the loop is the owner: the whitelist is, quite literally, the owner's attention policy compiled into configuration, and every interruption the face ever makes can be traced to a line the owner wrote or approved. Calm technology's original promise assumed the technology worked for you; ownership is what makes the assumption enforceable rather than hopeful.</w:t>
      </w:r>
    </w:p>
    <w:p>
      <w:pPr>
        <w:pStyle w:val="Heading2"/>
        <w:spacing w:after="120" w:before="260"/>
      </w:pPr>
      <w:r>
        <w:rPr>
          <w:rFonts w:ascii="Cambria" w:cs="Cambria" w:eastAsia="Cambria" w:hAnsi="Cambria"/>
          <w:b/>
          <w:bCs/>
          <w:color w:val="233A5C"/>
          <w:sz w:val="26"/>
          <w:szCs w:val="26"/>
        </w:rPr>
        <w:t xml:space="preserve">7.4 The companion category, handled responsibly</w:t>
      </w:r>
    </w:p>
    <w:p>
      <w:pPr>
        <w:spacing w:after="140" w:line="276"/>
        <w:jc w:val="left"/>
      </w:pPr>
      <w:r>
        <w:t xml:space="preserve">Section 2.4's evidence obliges a position, and locality alone is not one: a local companion can foster dependence as readily as a hosted one. The design's mitigations are therefore explicit choices. The avatar is stylized, not photoreal — declining the intimacy aesthetics implicated in the harms literature (Laestadius et al., 2022) and staying on the safe slope of Mori (1970/2012). The agent's objective is task and fleet utility; no engagement-maximizing loop exists because no metric anywhere in the stack rewards session length. Machine-ness is never disguised: the face is a rendered character fronting a named toolchain, and it says so when asked. And the parasocial literature's structural risk factor — a relationship whose other party is operated by a commercial interest (Horton &amp; Wohl, 1956; Pentina et al., 2023) — is absent by ownership: there is no operator with a stake in the user's attachment. These are design commitments this paper documents so they can be audited, not properties that follow automatically from running offline.</w:t>
      </w:r>
    </w:p>
    <w:p>
      <w:pPr>
        <w:spacing w:after="140" w:line="276"/>
        <w:jc w:val="left"/>
      </w:pPr>
      <w:r>
        <w:t xml:space="preserve">Each mitigation has an inspection point, which is what separates a commitment from a claim: the no-engagement-objective commitment is verifiable by the absence of any session-length or retention metric anywhere in the stack's code; the stylization commitment is the avatar asset itself, on disk; the disclosure commitment is a system prompt the owner can read; the data-custody commitment is a directory the owner can list; and the episodic-framing commitment is a whitelist file whose classes are enumerable. A hosted companion's equivalent commitments, however sincere, terminate in a privacy policy; these terminate in files. The paper offers that difference — auditability of conduct, not just of data — as the companion category's most transferable ethical design pattern.</w:t>
      </w:r>
    </w:p>
    <w:p>
      <w:pPr>
        <w:pStyle w:val="Heading2"/>
        <w:spacing w:after="120" w:before="260"/>
      </w:pPr>
      <w:r>
        <w:rPr>
          <w:rFonts w:ascii="Cambria" w:cs="Cambria" w:eastAsia="Cambria" w:hAnsi="Cambria"/>
          <w:b/>
          <w:bCs/>
          <w:color w:val="233A5C"/>
          <w:sz w:val="26"/>
          <w:szCs w:val="26"/>
        </w:rPr>
        <w:t xml:space="preserve">7.5 Sovereignty, with the openness caveat</w:t>
      </w:r>
    </w:p>
    <w:p>
      <w:pPr>
        <w:spacing w:after="140" w:line="276"/>
        <w:jc w:val="left"/>
      </w:pPr>
      <w:r>
        <w:t xml:space="preserve">The critical literature on open AI warns that openness rhetoric can launder concentration — open weights atop closed compute, data, and deployment power (Widder et al., 2023; Solaiman, 2023; Liesenfeld et al., 2023; Bommasani et al., 2023). This artifact is a small, concrete answer to that caveat rather than a refutation of it: here the weights are open and the compute, the interface, the memory, and the off-switch are the user's. Full-stack local operation is what turns open-weight availability into practiced sovereignty — which is also why the fleet framing matters: one hologram is a demo; a household's perception, speech, memory, and robotics running on owned silicon is a governance posture.</w:t>
      </w:r>
    </w:p>
    <w:p>
      <w:pPr>
        <w:spacing w:after="140" w:line="276"/>
        <w:jc w:val="left"/>
      </w:pPr>
      <w:r>
        <w:t xml:space="preserve">Sovereignty has a temporal dimension the governance literature underweights and the companion literature has already measured: hosted minds change under their users. The documented distress around commercial companion model changes (Laestadius et al., 2022) is, structurally, a deprecation event experienced as a relationship event — the character was updated out from under the people attached to it, on a schedule set by the operator's incentives. Locally, the model file is immutable until the owner swaps it, memory persists across swaps by architecture (§2.11), and continuity of character becomes a property of ownership rather than a promise of a roadmap. For a device whose entire premise is a stable presence on a desk, the right to not upgrade may be the most underrated feature ownership confers.</w:t>
      </w:r>
    </w:p>
    <w:p>
      <w:pPr>
        <w:pStyle w:val="Heading2"/>
        <w:spacing w:after="120" w:before="260"/>
      </w:pPr>
      <w:r>
        <w:rPr>
          <w:rFonts w:ascii="Cambria" w:cs="Cambria" w:eastAsia="Cambria" w:hAnsi="Cambria"/>
          <w:b/>
          <w:bCs/>
          <w:color w:val="233A5C"/>
          <w:sz w:val="26"/>
          <w:szCs w:val="26"/>
        </w:rPr>
        <w:t xml:space="preserve">7.6 What generalizes — and what does not</w:t>
      </w:r>
    </w:p>
    <w:p>
      <w:pPr>
        <w:spacing w:after="140" w:line="276"/>
        <w:jc w:val="left"/>
      </w:pPr>
      <w:r>
        <w:t xml:space="preserve">Research through design owes its readers a portability statement. Three things transfer beyond this desk. The contention method of §4.3 applies to any shared-GPU, unified-memory host asked to render and reason simultaneously — the analysis, not the verdict, since a different display market or memory budget changes the answer through the same arithmetic. The agent-as-endpoint pattern applies to any agent framework that can be wrapped in the chat-completions contract, which in 2026 is effectively all of them. And the verification-tiered reporting discipline — provenance labels on every number, machine-verified versus corroborated labels on every citation, corrections disclosed rather than absorbed — costs a solo builder little and buys the only credibility a sample of one can have. Three things do not transfer and are not claimed to: the experiential judgments (one judge), the framing verdict (one panel, one room), and the price points (one volatile quarter of one market). The paper's structure is designed so a reader can take the first set without inheriting the second.</w:t>
      </w:r>
    </w:p>
    <w:p>
      <w:pPr>
        <w:pStyle w:val="Heading1"/>
        <w:pBdr>
          <w:bottom w:val="single" w:color="3D5A80" w:sz="8" w:space="4"/>
        </w:pBdr>
        <w:spacing w:after="180" w:before="340"/>
      </w:pPr>
      <w:r>
        <w:rPr>
          <w:rFonts w:ascii="Cambria" w:cs="Cambria" w:eastAsia="Cambria" w:hAnsi="Cambria"/>
          <w:b/>
          <w:bCs/>
          <w:color w:val="233A5C"/>
          <w:sz w:val="32"/>
          <w:szCs w:val="32"/>
        </w:rPr>
        <w:t xml:space="preserve">8. Limitations</w:t>
      </w:r>
    </w:p>
    <w:p>
      <w:pPr>
        <w:spacing w:after="140" w:line="276"/>
        <w:jc w:val="left"/>
      </w:pPr>
      <w:r>
        <w:t xml:space="preserve">Framed in the standard vocabulary before the specifics: construct validity is partial — latency and throughput are necessary proxies for conversational quality, not sufficient ones, and no measured construct here captures whether the exchange is worth having; internal validity is bounded by a single machine in uncontrolled ambient conditions, mitigated by median-based protocols rather than best-run reporting; external validity extends to one hardware class, one language, and one user until others replicate with the published protocols; and conclusion validity is deliberately modest — the protocols yield medians and ranges, never significance claims, because the sample sizes could not support them and the paper does not pretend otherwise.</w:t>
      </w:r>
    </w:p>
    <w:p>
      <w:pPr>
        <w:spacing w:after="140" w:line="276"/>
        <w:jc w:val="left"/>
      </w:pPr>
      <w:r>
        <w:t xml:space="preserve">Methodological. This is a single-builder, single-site, N-of-1 research-through-design study; no user study was conducted and no human-response claim in this paper is first-party — every such statement is a citation or a hypothesis (§9). Autobiographical design's known tensions apply in full (Desjardins &amp; Ball, 2018): the designer-user cannot report novice experience, and generalization beyond this desk is asserted only for the contention analysis, the endpoint pattern, and the procedures — not for the experience.</w:t>
      </w:r>
    </w:p>
    <w:p>
      <w:pPr>
        <w:spacing w:after="140" w:line="276"/>
        <w:jc w:val="left"/>
      </w:pPr>
      <w:r>
        <w:t xml:space="preserve">Empirical. The throughput figures are third-party benchmarks on the silicon class, not measurements of this unit under concurrent avatar load; the deployment protocol's first-party numbers outrank them once logged. Faster-Whisper is CPU-only on AMD hardware — a real asymmetry versus NVIDIA hosts until the eGPU tier. The HLD's conversational-avatar use is vendor-undocumented and validated only by the narrow single-judge procedure of §5.4. The HLD's own price and ship windows are inconsistent across sources ($1,500 pre-order versus $2,000 product page; late-2025 versus May-2026 windows) and are reported as a range. The energy comparison of §6.5 leans on one preprint (Husom et al., 2025) and one journal article whose lead-author attribution varies across secondary coverage (Oviedo et al., 2026) — both flagged in References.</w:t>
      </w:r>
    </w:p>
    <w:p>
      <w:pPr>
        <w:spacing w:after="140" w:line="276"/>
        <w:jc w:val="left"/>
      </w:pPr>
      <w:r>
        <w:t xml:space="preserve">Comparative. Every claim about Razer AVA is vendor- or press-sourced because no independent unit exists; the ten-axis table is explicitly valid as of July 16, 2026 and is this paper's highest staleness risk — if AVA ships, is priced, or is independently reviewed, Table 6 must be re-pulled before any reuse of this document. The analyst price estimate cited is an estimate.</w:t>
      </w:r>
    </w:p>
    <w:p>
      <w:pPr>
        <w:spacing w:after="140" w:line="276"/>
        <w:jc w:val="left"/>
      </w:pPr>
      <w:r>
        <w:t xml:space="preserve">Bibliographic. The reference corpus is verification-tiered: a set of core anchors was machine-verified against publisher records in July 2026, surfacing three errors that are corrected in this document (NeRF is ECCV 2020, not a journal venue it is sometimes misattributed to; Shi et al. 2021 carries a published Author Correction now cited alongside the DOI; GPTQ is the ICLR 2023 publication, indexed in one institutional record under the title OPTQ). Entries marked “[As indexed]” — 66 of 192 scholarly entries — were corroborated through indexed research passes but not machine-checked against publisher records this cycle; they are real works whose stated venues match prior knowledge, and they should be re-verified before any formal submission. Corrections outrank confirmations throughout.</w:t>
      </w:r>
    </w:p>
    <w:p>
      <w:pPr>
        <w:spacing w:after="140" w:line="276"/>
        <w:jc w:val="left"/>
      </w:pPr>
      <w:r>
        <w:t xml:space="preserve">Security scope. Locality removes third-party exposure, not local risk: a compromised host owns the assistant, its memory, and its microphone. The ecosystem's hardening posture (host debloating, encrypted storage, permissioned tools, the federated security laptop's audit role) is documented in the project's operational volumes and is out of this paper's evaluative scope — claiming it here without measurement would violate the paper's own provenance rules.</w:t>
      </w:r>
    </w:p>
    <w:p>
      <w:pPr>
        <w:spacing w:after="140" w:line="276"/>
        <w:jc w:val="left"/>
      </w:pPr>
      <w:r>
        <w:t xml:space="preserve">Two further limitations surfaced by this paper's own verification pass belong on the record. Benchmark external validity: the load-bearing 14.11 tokens-per-second figure was measured on this silicon class under Ubuntu with a specific kernel and driver stack, while the deployment runs Windows-native Ollama — same hardware, different operating system and driver path — so the figure transfers as an estimate of capability class, not as this machine's number, which is exactly why the first-party measurement protocol exists and outranks it. Single-vendor dependence: the selected display category currently has one manufacturer; the laminated optical film's longevity under continuous daily operation has no published data; and a product-line discontinuation would strand the display tier of this architecture (though nothing else, by the decoupling of §4.5). Both risks are accepted consciously, and the second is another argument for the protocol-level decoupling the design already practices.</w:t>
      </w:r>
    </w:p>
    <w:p>
      <w:pPr>
        <w:spacing w:after="140" w:line="276"/>
        <w:jc w:val="left"/>
      </w:pPr>
      <w:r>
        <w:t xml:space="preserve">Novelty basis. The paper's “first documented” claims (C1; §2.12) rest on a bounded search, not omniscience: scholarly indexes, preprint servers, the display vendor's own developer ecosystem, and the relevant open-source project registries and community forums were searched through mid-July 2026 for any documented pairing of a hololuminescent-class display with a fully local conversational stack, and none was found. That is the entire evidentiary basis, it is stated so it can be attacked, and the claims are falsifiable by a single dated counterexample — which, if produced, demotes this paper's contribution from first documentation to independent replication and would be recorded as such in the version history. “To our knowledge” is doing real work in every sentence it appears in.</w:t>
      </w:r>
    </w:p>
    <w:p>
      <w:pPr>
        <w:pStyle w:val="Heading1"/>
        <w:pBdr>
          <w:bottom w:val="single" w:color="3D5A80" w:sz="8" w:space="4"/>
        </w:pBdr>
        <w:spacing w:after="180" w:before="340"/>
      </w:pPr>
      <w:r>
        <w:rPr>
          <w:rFonts w:ascii="Cambria" w:cs="Cambria" w:eastAsia="Cambria" w:hAnsi="Cambria"/>
          <w:b/>
          <w:bCs/>
          <w:color w:val="233A5C"/>
          <w:sz w:val="32"/>
          <w:szCs w:val="32"/>
        </w:rPr>
        <w:t xml:space="preserve">9. Future Work</w:t>
      </w:r>
    </w:p>
    <w:p>
      <w:pPr>
        <w:spacing w:after="140" w:line="276"/>
        <w:jc w:val="left"/>
      </w:pPr>
      <w:r>
        <w:t xml:space="preserve">Four lines follow directly. First, the eGPU tier: an OCuLink discrete GPU converts the light-field appendix into the primary display path, promotes the 14B–30B model tiers, gives speech recognition a GPU, and turns the hologram/game exclusivity into scheduling — every measurement in Section 6 re-run under that configuration is the natural sequel. Second, the human study this paper deliberately did not claim: a within-subjects comparison of the same agent through hologram, flat display, and voice-only interfaces, using standardized presence instruments (Witmer &amp; Singer, 1998) and the embodiment literature's engagement measures, testing H1 (the holographic embodiment increases perceived social presence over the flat display), H2 (it increases trust calibration accuracy rather than mere trust), and H3 (ambient announcements through the embodied channel are judged less interruptive than equivalent notifications) — hypotheses stated now so they cannot be retrofitted. Third, longitudinal autobiographical documentation in the diary tradition of first-person HCI, turning the ops log into a publishable record of living with an owned agent. Fourth, fleet convergence: the same agent-as-endpoint pattern binding the smart glasses' perception and the quadruped's mobility into the face's context — the study of one agent with many bodies that the multi-agent literature has so far simulated more than inhabited.</w:t>
      </w:r>
    </w:p>
    <w:p>
      <w:pPr>
        <w:spacing w:after="140" w:line="276"/>
        <w:jc w:val="left"/>
      </w:pPr>
      <w:r>
        <w:t xml:space="preserve">Concretely on two of those lines: fleet convergence begins with the smart-glasses bridge, whose perception events — a recognized object, a completed capture, a transcription — are already announcement-class messages, so the face voicing what the glasses saw requires exactly one whitelist entry and zero new architecture; the same holds for the quadruped's status stream, which is the practical payoff of one mind behind many bodies. The human study, before it can produce a single datum, requires the apparatus this paper deliberately built first — identical agent, identical latency contract, three interchangeable embodiment frontends behind one endpoint — plus the parts no artifact supplies: a priori power analysis, counterbalanced within-subjects ordering, and institutional review engaged before recruitment. Finally, the shim, the mode scripts, and the measurement protocols are small, dependency-light, and general; releasing them as standalone community artifacts is the extensibility lens of §3 taken at its word.</w:t>
      </w:r>
    </w:p>
    <w:p>
      <w:pPr>
        <w:spacing w:after="140" w:line="276"/>
        <w:jc w:val="left"/>
      </w:pPr>
      <w:r>
        <w:t xml:space="preserve">Finally, the measurement roadmap, in order of obligation. First: the first-party throughput and latency protocols of Appendix C executed on this unit under avatar load, whose results supersede every tier-(ii) row in Section 6 the day they are logged. Second: a thirty-day ops-log summary — medians, variance, configuration deltas — as the first longitudinal artifact, published in the project series. Third: standing re-verification duties: any event on the Appendix D category clock (an AVA ship date, price, or first independent review; an HLD line change) forces a re-pull of Table 6 before this document is cited onward, and the sixty-six as-indexed references are to be machine-verified before any formal submission. Fourth: the eGPU-tier re-run of the full Section 6 battery, which converts several of this paper's conceded constraints into measured comparisons. The roadmap is printed so that its omissions would be visible: a future version of this document that has not discharged item one has no business existing.</w:t>
      </w:r>
    </w:p>
    <w:p>
      <w:pPr>
        <w:pStyle w:val="Heading1"/>
        <w:pBdr>
          <w:bottom w:val="single" w:color="3D5A80" w:sz="8" w:space="4"/>
        </w:pBdr>
        <w:spacing w:after="180" w:before="340"/>
      </w:pPr>
      <w:r>
        <w:rPr>
          <w:rFonts w:ascii="Cambria" w:cs="Cambria" w:eastAsia="Cambria" w:hAnsi="Cambria"/>
          <w:b/>
          <w:bCs/>
          <w:color w:val="233A5C"/>
          <w:sz w:val="32"/>
          <w:szCs w:val="32"/>
        </w:rPr>
        <w:t xml:space="preserve">10. Conclusion</w:t>
      </w:r>
    </w:p>
    <w:p>
      <w:pPr>
        <w:spacing w:after="140" w:line="276"/>
        <w:jc w:val="left"/>
      </w:pPr>
      <w:r>
        <w:t xml:space="preserve">This paper asked whether the desk-companion category's premise — a physically present, conversational AI face — could be delivered with its architecture inverted: intelligence owned instead of rented, data resident instead of exported. The answer is an artifact. A Hololuminescent Display selected by contention arithmetic, an 8-billion-parameter open-weight model at the systematically optimal 4-bit precision, a CPU speech stack, and an agent exposed through the industry's own protocol together put a holographic, tool-using, memory-bearing assistant on a desk for about two thousand dollars and zero dollars a month — measured where measurement was possible, protocolized where it was not, and hedged in print everywhere the evidence is thinner than the claim. The concessions are real and stated: a frontier capability gap, an energy profile that is defensible rather than superior, and a commercial comparator that can only be compared to its own announcements. Against them stands the property no cloud architecture can offer at any price: a face whose mind, memory, and microphone answer to the person looking at it. The category's future will be decided by which of those bargains people choose once both exist on shelves. One of them already exists on a desk.</w:t>
      </w:r>
    </w:p>
    <w:p>
      <w:pPr>
        <w:spacing w:after="140" w:line="276"/>
        <w:jc w:val="left"/>
      </w:pPr>
      <w:r>
        <w:t xml:space="preserve">The conclusion's claims are deliberately structured to fail independently, which is the paper's last honesty device. If the HLD disappoints in long use, the pipeline loses its best display and keeps every other property — the face runs on any monitor tomorrow. If the 8B envelope proves too small for the daily workload, the endpoint pattern swaps models without touching a frontend, and the concession of §6.6 grows without invalidating the architecture. If AVA ships early, cheap, and excellent, Table 6 must be re-pulled and the comparative axes will move — but the locality argument, which never rested on the competitor being late, stands or falls on §7.2's evidence alone. And if some number in Section 6 is wrong, the protocols of Appendix C exist precisely so a second builder can catch it. What survives every one of those failures is the method — measure, tier the provenance, date-stamp the comparisons, print the weaknesses — and the method, not any single component verdict, is what this paper most hopes to contribute to a category currently governed by demonstration videos.</w:t>
      </w:r>
    </w:p>
    <w:p>
      <w:pPr>
        <w:spacing w:after="140" w:line="276"/>
        <w:jc w:val="left"/>
      </w:pPr>
      <w:r>
        <w:rPr>
          <w:b/>
          <w:bCs/>
        </w:rPr>
        <w:t xml:space="preserve">Patience pays. 🦞</w:t>
      </w:r>
    </w:p>
    <w:p>
      <w:pPr>
        <w:pStyle w:val="Heading1"/>
        <w:pBdr>
          <w:bottom w:val="single" w:color="3D5A80" w:sz="8" w:space="4"/>
        </w:pBdr>
        <w:spacing w:after="180" w:before="340"/>
      </w:pPr>
      <w:r>
        <w:rPr>
          <w:rFonts w:ascii="Cambria" w:cs="Cambria" w:eastAsia="Cambria" w:hAnsi="Cambria"/>
          <w:b/>
          <w:bCs/>
          <w:color w:val="233A5C"/>
          <w:sz w:val="32"/>
          <w:szCs w:val="32"/>
        </w:rPr>
        <w:t xml:space="preserve">Disclosure of AI Assistance</w:t>
      </w:r>
    </w:p>
    <w:p>
      <w:pPr>
        <w:spacing w:after="140" w:line="276"/>
        <w:jc w:val="left"/>
      </w:pPr>
      <w:r>
        <w:t xml:space="preserve">Consistent with emerging venue practice and this project's own documentation doctrine, the role of AI systems in producing this document is disclosed. The paper was drafted with large-language-model assistance under the author's direction, within a programmatic document pipeline the author operates; the system described in the paper is itself the subject, not the author, of the paper. All architectural decisions, purchases, measurements-as-protocols, and claims are the author's; AI-drafted prose was reviewed against the project's source-of-truth documents; and the citation corpus was subjected to the machine-verification pass described above precisely because AI-assisted drafting is known to introduce plausible-but-wrong references — the three corrections disclosed in Section 8 are that risk being caught by that control. Cross-model verification was used deliberately during research: claims originating from one AI system were independently checked by another before entering the corpus, and fabricated products surfaced by that process were excluded. Responsibility for every remaining error is the author's.</w:t>
      </w:r>
    </w:p>
    <w:p>
      <w:pPr>
        <w:pStyle w:val="Heading1"/>
        <w:pBdr>
          <w:bottom w:val="single" w:color="3D5A80" w:sz="8" w:space="4"/>
        </w:pBdr>
        <w:spacing w:after="180" w:before="340"/>
      </w:pPr>
      <w:r>
        <w:rPr>
          <w:rFonts w:ascii="Cambria" w:cs="Cambria" w:eastAsia="Cambria" w:hAnsi="Cambria"/>
          <w:b/>
          <w:bCs/>
          <w:color w:val="233A5C"/>
          <w:sz w:val="32"/>
          <w:szCs w:val="32"/>
        </w:rPr>
        <w:t xml:space="preserve">Acknowledgments and Verification Statement</w:t>
      </w:r>
    </w:p>
    <w:p>
      <w:pPr>
        <w:spacing w:after="140" w:line="276"/>
        <w:jc w:val="left"/>
      </w:pPr>
      <w:r>
        <w:t xml:space="preserve">The author thanks the open-source communities whose work this artifact assembles — the Ollama, llama.cpp, Faster-Whisper, Kokoro, openWakeWord, Open-LLM-VTuber, TalkingHead, LangGraph, and Letta projects among them — and the Nerdies Fayetteville program for the hands-on robotics foundation the wider fleet grew from. Verification statement: bibliographic records for a set of core anchors were machine-verified against publisher and proceedings records in July 2026; three corrections surfaced and are applied and disclosed in Section 8; entries marked “[As indexed]” were corroborated through indexed research passes and constitute retrieval keys pending final verification. Empirical provenance tiers are stated at point of use throughout. No generative claim in this paper is knowingly unsourced; where sourcing is weaker than assertion would imply, the weakness is printed.</w:t>
      </w:r>
    </w:p>
    <w:p>
      <w:pPr>
        <w:spacing w:after="140" w:line="276"/>
        <w:jc w:val="left"/>
      </w:pPr>
      <w:r>
        <w:t xml:space="preserve">The verification pass itself, for auditability: core anchors — the sources carrying load-bearing numbers or venue-critical claims — were checked against publisher records, proceedings pages, and DOI resolution in July 2026; discrepancies were classified as corrections (wrong venue, missing published erratum, title variant across indexes) and applied at the entry with disclosure in Section 8, never silently. Currency-sensitive claims — prices, ship windows, award status, benchmark figures — were re-pulled from primary pages during the same pass and are cited with source and date so their staleness is computable. Entries outside the anchor set retain the corroboration of the project's earlier indexed research passes and carry the explicit “[As indexed]” marker; the marker is a promise ledger, and Section 9's roadmap makes clearing it a precondition of formal submission. The procedure is reported because a verification claim without a described method is merely a tone.</w:t>
      </w:r>
    </w:p>
    <w:p>
      <w:pPr>
        <w:pStyle w:val="Heading1"/>
        <w:pBdr>
          <w:bottom w:val="single" w:color="3D5A80" w:sz="8" w:space="4"/>
        </w:pBdr>
        <w:spacing w:after="180" w:before="340"/>
      </w:pPr>
      <w:r>
        <w:rPr>
          <w:rFonts w:ascii="Cambria" w:cs="Cambria" w:eastAsia="Cambria" w:hAnsi="Cambria"/>
          <w:b/>
          <w:bCs/>
          <w:color w:val="233A5C"/>
          <w:sz w:val="32"/>
          <w:szCs w:val="32"/>
        </w:rPr>
        <w:t xml:space="preserve">References</w:t>
      </w:r>
    </w:p>
    <w:p>
      <w:pPr>
        <w:spacing w:after="140" w:line="276"/>
        <w:jc w:val="left"/>
      </w:pPr>
      <w:r>
        <w:t xml:space="preserve">Alphabetized. 192 scholarly sources (peer-reviewed venues, proceedings, monographs, and preprints, with preprints labeled), followed by 27 field-expert and industry sources; 219 total. Verification tiers per the statement above.</w:t>
      </w:r>
    </w:p>
    <w:p>
      <w:pPr>
        <w:pStyle w:val="Heading3"/>
        <w:spacing w:after="100" w:before="200"/>
      </w:pPr>
      <w:r>
        <w:rPr>
          <w:rFonts w:ascii="Cambria" w:cs="Cambria" w:eastAsia="Cambria" w:hAnsi="Cambria"/>
          <w:b/>
          <w:bCs/>
          <w:color w:val="31517A"/>
          <w:sz w:val="23"/>
          <w:szCs w:val="23"/>
        </w:rPr>
        <w:t xml:space="preserve">Scholarly Sources</w:t>
      </w:r>
    </w:p>
    <w:p>
      <w:pPr>
        <w:spacing w:after="60" w:line="264"/>
        <w:ind w:left="360" w:hanging="360"/>
      </w:pPr>
      <w:r>
        <w:rPr>
          <w:color w:val="222222"/>
          <w:sz w:val="20"/>
          <w:szCs w:val="20"/>
        </w:rPr>
        <w:t xml:space="preserve">Abadi, M., et al. (2016). Deep learning with differential privacy. ACM CCS 2016. [As indexed.]</w:t>
      </w:r>
    </w:p>
    <w:p>
      <w:pPr>
        <w:spacing w:after="60" w:line="264"/>
        <w:ind w:left="360" w:hanging="360"/>
      </w:pPr>
      <w:r>
        <w:rPr>
          <w:color w:val="222222"/>
          <w:sz w:val="20"/>
          <w:szCs w:val="20"/>
        </w:rPr>
        <w:t xml:space="preserve">Abdi, A., et al. (2025). Multi-session interactions with LLM-powered social robots. Frontiers in Robotics and AI. [As indexed.]</w:t>
      </w:r>
    </w:p>
    <w:p>
      <w:pPr>
        <w:spacing w:after="60" w:line="264"/>
        <w:ind w:left="360" w:hanging="360"/>
      </w:pPr>
      <w:r>
        <w:rPr>
          <w:color w:val="222222"/>
          <w:sz w:val="20"/>
          <w:szCs w:val="20"/>
        </w:rPr>
        <w:t xml:space="preserve">Abdin, M., et al. (2024). Phi-4 technical report. arXiv:2412.08905.</w:t>
      </w:r>
    </w:p>
    <w:p>
      <w:pPr>
        <w:spacing w:after="60" w:line="264"/>
        <w:ind w:left="360" w:hanging="360"/>
      </w:pPr>
      <w:r>
        <w:rPr>
          <w:color w:val="222222"/>
          <w:sz w:val="20"/>
          <w:szCs w:val="20"/>
        </w:rPr>
        <w:t xml:space="preserve">Ahn, M., et al. (2022). Do as I can, not as I say: grounding language in robotic affordances (SayCan). CoRL 2022. [As indexed.]</w:t>
      </w:r>
    </w:p>
    <w:p>
      <w:pPr>
        <w:spacing w:after="60" w:line="264"/>
        <w:ind w:left="360" w:hanging="360"/>
      </w:pPr>
      <w:r>
        <w:rPr>
          <w:color w:val="222222"/>
          <w:sz w:val="20"/>
          <w:szCs w:val="20"/>
        </w:rPr>
        <w:t xml:space="preserve">Al-Aboosi, A., et al. (2025). Toward edge general intelligence with multiple LLMs: architecture, trust, and orchestration. arXiv:2507.00672.</w:t>
      </w:r>
    </w:p>
    <w:p>
      <w:pPr>
        <w:spacing w:after="60" w:line="264"/>
        <w:ind w:left="360" w:hanging="360"/>
      </w:pPr>
      <w:r>
        <w:rPr>
          <w:color w:val="222222"/>
          <w:sz w:val="20"/>
          <w:szCs w:val="20"/>
        </w:rPr>
        <w:t xml:space="preserve">Alizadeh, K., et al. (2024). LLM in a flash: efficient large language model inference with limited memory. ACL 2024. [As indexed.]</w:t>
      </w:r>
    </w:p>
    <w:p>
      <w:pPr>
        <w:spacing w:after="60" w:line="264"/>
        <w:ind w:left="360" w:hanging="360"/>
      </w:pPr>
      <w:r>
        <w:rPr>
          <w:color w:val="222222"/>
          <w:sz w:val="20"/>
          <w:szCs w:val="20"/>
        </w:rPr>
        <w:t xml:space="preserve">Ammari, T., Kaye, J., Tsai, J. Y., &amp; Bentley, F. (2019). Music, search, and IoT: how people (really) use voice assistants. ACM Transactions on Computer-Human Interaction, 26(3). [As indexed.]</w:t>
      </w:r>
    </w:p>
    <w:p>
      <w:pPr>
        <w:spacing w:after="60" w:line="264"/>
        <w:ind w:left="360" w:hanging="360"/>
      </w:pPr>
      <w:r>
        <w:rPr>
          <w:color w:val="222222"/>
          <w:sz w:val="20"/>
          <w:szCs w:val="20"/>
        </w:rPr>
        <w:t xml:space="preserve">Bae, H., et al. (2025). On the misalignment of AI privacy research with practical privacy threats. [As indexed.]</w:t>
      </w:r>
    </w:p>
    <w:p>
      <w:pPr>
        <w:spacing w:after="60" w:line="264"/>
        <w:ind w:left="360" w:hanging="360"/>
      </w:pPr>
      <w:r>
        <w:rPr>
          <w:color w:val="222222"/>
          <w:sz w:val="20"/>
          <w:szCs w:val="20"/>
        </w:rPr>
        <w:t xml:space="preserve">Baevski, A., Zhou, H., Mohamed, A., &amp; Auli, M. (2020). wav2vec 2.0: a framework for self-supervised learning of speech representations. NeurIPS 2020.</w:t>
      </w:r>
    </w:p>
    <w:p>
      <w:pPr>
        <w:spacing w:after="60" w:line="264"/>
        <w:ind w:left="360" w:hanging="360"/>
      </w:pPr>
      <w:r>
        <w:rPr>
          <w:color w:val="222222"/>
          <w:sz w:val="20"/>
          <w:szCs w:val="20"/>
        </w:rPr>
        <w:t xml:space="preserve">Bainbridge, W. A., Hart, J. W., Kim, E. S., &amp; Scassellati, B. (2011). The benefits of interactions with physically present robots over video-displayed agents. International Journal of Social Robotics, 3, 41–52. [As indexed.]</w:t>
      </w:r>
    </w:p>
    <w:p>
      <w:pPr>
        <w:spacing w:after="60" w:line="264"/>
        <w:ind w:left="360" w:hanging="360"/>
      </w:pPr>
      <w:r>
        <w:rPr>
          <w:color w:val="222222"/>
          <w:sz w:val="20"/>
          <w:szCs w:val="20"/>
        </w:rPr>
        <w:t xml:space="preserve">Bala, J., et al. (2023). Low-cost autonomous BVLOS UAV operation with onboard edge computing. [As indexed.]</w:t>
      </w:r>
    </w:p>
    <w:p>
      <w:pPr>
        <w:spacing w:after="60" w:line="264"/>
        <w:ind w:left="360" w:hanging="360"/>
      </w:pPr>
      <w:r>
        <w:rPr>
          <w:color w:val="222222"/>
          <w:sz w:val="20"/>
          <w:szCs w:val="20"/>
        </w:rPr>
        <w:t xml:space="preserve">Barron, J. T., et al. (2021). Mip-NeRF: a multiscale representation for anti-aliasing neural radiance fields. ICCV 2021.</w:t>
      </w:r>
    </w:p>
    <w:p>
      <w:pPr>
        <w:spacing w:after="60" w:line="264"/>
        <w:ind w:left="360" w:hanging="360"/>
      </w:pPr>
      <w:r>
        <w:rPr>
          <w:color w:val="222222"/>
          <w:sz w:val="20"/>
          <w:szCs w:val="20"/>
        </w:rPr>
        <w:t xml:space="preserve">Bendi-Ouis, M., et al. (2025). Deploying open large language models locally with Ollama: a practical evaluation. [As indexed.]</w:t>
      </w:r>
    </w:p>
    <w:p>
      <w:pPr>
        <w:spacing w:after="60" w:line="264"/>
        <w:ind w:left="360" w:hanging="360"/>
      </w:pPr>
      <w:r>
        <w:rPr>
          <w:color w:val="222222"/>
          <w:sz w:val="20"/>
          <w:szCs w:val="20"/>
        </w:rPr>
        <w:t xml:space="preserve">Benko, H., Jota, R., &amp; Wilson, A. (2012). MirageTable: freehand interaction on a projected augmented reality tabletop. CHI 2012.</w:t>
      </w:r>
    </w:p>
    <w:p>
      <w:pPr>
        <w:spacing w:after="60" w:line="264"/>
        <w:ind w:left="360" w:hanging="360"/>
      </w:pPr>
      <w:r>
        <w:rPr>
          <w:color w:val="222222"/>
          <w:sz w:val="20"/>
          <w:szCs w:val="20"/>
        </w:rPr>
        <w:t xml:space="preserve">Benzie, P., et al. (2007). A survey of 3DTV displays: techniques and technologies. IEEE Transactions on Circuits and Systems for Video Technology, 17(11), 1647–1658.</w:t>
      </w:r>
    </w:p>
    <w:p>
      <w:pPr>
        <w:spacing w:after="60" w:line="264"/>
        <w:ind w:left="360" w:hanging="360"/>
      </w:pPr>
      <w:r>
        <w:rPr>
          <w:color w:val="222222"/>
          <w:sz w:val="20"/>
          <w:szCs w:val="20"/>
        </w:rPr>
        <w:t xml:space="preserve">Bickmore, T. W., &amp; Picard, R. W. (2005). Establishing and maintaining long-term human-computer relationships. ACM Transactions on Computer-Human Interaction, 12(2), 293–327. [As indexed.]</w:t>
      </w:r>
    </w:p>
    <w:p>
      <w:pPr>
        <w:spacing w:after="60" w:line="264"/>
        <w:ind w:left="360" w:hanging="360"/>
      </w:pPr>
      <w:r>
        <w:rPr>
          <w:color w:val="222222"/>
          <w:sz w:val="20"/>
          <w:szCs w:val="20"/>
        </w:rPr>
        <w:t xml:space="preserve">Bimber, O., &amp; Raskar, R. (2005). Spatial Augmented Reality: Merging Real and Virtual Worlds. A K Peters.</w:t>
      </w:r>
    </w:p>
    <w:p>
      <w:pPr>
        <w:spacing w:after="60" w:line="264"/>
        <w:ind w:left="360" w:hanging="360"/>
      </w:pPr>
      <w:r>
        <w:rPr>
          <w:color w:val="222222"/>
          <w:sz w:val="20"/>
          <w:szCs w:val="20"/>
        </w:rPr>
        <w:t xml:space="preserve">Blundell, B. G., &amp; Schwarz, A. J. (2000). Volumetric Three-Dimensional Display Systems. Wiley.</w:t>
      </w:r>
    </w:p>
    <w:p>
      <w:pPr>
        <w:spacing w:after="60" w:line="264"/>
        <w:ind w:left="360" w:hanging="360"/>
      </w:pPr>
      <w:r>
        <w:rPr>
          <w:color w:val="222222"/>
          <w:sz w:val="20"/>
          <w:szCs w:val="20"/>
        </w:rPr>
        <w:t xml:space="preserve">Bommasani, R., et al. (2023). The Foundation Model Transparency Index. arXiv:2310.12941. [As indexed.]</w:t>
      </w:r>
    </w:p>
    <w:p>
      <w:pPr>
        <w:spacing w:after="60" w:line="264"/>
        <w:ind w:left="360" w:hanging="360"/>
      </w:pPr>
      <w:r>
        <w:rPr>
          <w:color w:val="222222"/>
          <w:sz w:val="20"/>
          <w:szCs w:val="20"/>
        </w:rPr>
        <w:t xml:space="preserve">Breazeal, C. (2003). Toward sociable robots. Robotics and Autonomous Systems, 42(3–4), 167–175.</w:t>
      </w:r>
    </w:p>
    <w:p>
      <w:pPr>
        <w:spacing w:after="60" w:line="264"/>
        <w:ind w:left="360" w:hanging="360"/>
      </w:pPr>
      <w:r>
        <w:rPr>
          <w:color w:val="222222"/>
          <w:sz w:val="20"/>
          <w:szCs w:val="20"/>
        </w:rPr>
        <w:t xml:space="preserve">Brohan, A., et al. (2022). RT-1: robotics transformer for real-world control at scale. arXiv:2212.06817.</w:t>
      </w:r>
    </w:p>
    <w:p>
      <w:pPr>
        <w:spacing w:after="60" w:line="264"/>
        <w:ind w:left="360" w:hanging="360"/>
      </w:pPr>
      <w:r>
        <w:rPr>
          <w:color w:val="222222"/>
          <w:sz w:val="20"/>
          <w:szCs w:val="20"/>
        </w:rPr>
        <w:t xml:space="preserve">Brown, T., et al. (2020). Language models are few-shot learners (GPT-3). NeurIPS 2020.</w:t>
      </w:r>
    </w:p>
    <w:p>
      <w:pPr>
        <w:spacing w:after="60" w:line="264"/>
        <w:ind w:left="360" w:hanging="360"/>
      </w:pPr>
      <w:r>
        <w:rPr>
          <w:color w:val="222222"/>
          <w:sz w:val="20"/>
          <w:szCs w:val="20"/>
        </w:rPr>
        <w:t xml:space="preserve">Cai, Y., et al. (2026). Efficient inference for edge large language models: a survey. Tsinghua Science and Technology. [As indexed.]</w:t>
      </w:r>
    </w:p>
    <w:p>
      <w:pPr>
        <w:spacing w:after="60" w:line="264"/>
        <w:ind w:left="360" w:hanging="360"/>
      </w:pPr>
      <w:r>
        <w:rPr>
          <w:color w:val="222222"/>
          <w:sz w:val="20"/>
          <w:szCs w:val="20"/>
        </w:rPr>
        <w:t xml:space="preserve">Carlini, N., et al. (2021). Extracting training data from large language models. USENIX Security 2021. [As indexed.]</w:t>
      </w:r>
    </w:p>
    <w:p>
      <w:pPr>
        <w:spacing w:after="60" w:line="264"/>
        <w:ind w:left="360" w:hanging="360"/>
      </w:pPr>
      <w:r>
        <w:rPr>
          <w:color w:val="222222"/>
          <w:sz w:val="20"/>
          <w:szCs w:val="20"/>
        </w:rPr>
        <w:t xml:space="preserve">Casanova, E., et al. (2022). YourTTS: towards zero-shot multi-speaker TTS and zero-shot voice conversion. ICML 2022.</w:t>
      </w:r>
    </w:p>
    <w:p>
      <w:pPr>
        <w:spacing w:after="60" w:line="264"/>
        <w:ind w:left="360" w:hanging="360"/>
      </w:pPr>
      <w:r>
        <w:rPr>
          <w:color w:val="222222"/>
          <w:sz w:val="20"/>
          <w:szCs w:val="20"/>
        </w:rPr>
        <w:t xml:space="preserve">Cassell, J. (2000). Embodied conversational interface agents. Communications of the ACM, 43(4), 70–78.</w:t>
      </w:r>
    </w:p>
    <w:p>
      <w:pPr>
        <w:spacing w:after="60" w:line="264"/>
        <w:ind w:left="360" w:hanging="360"/>
      </w:pPr>
      <w:r>
        <w:rPr>
          <w:color w:val="222222"/>
          <w:sz w:val="20"/>
          <w:szCs w:val="20"/>
        </w:rPr>
        <w:t xml:space="preserve">Cassell, J., Sullivan, J., Prevost, S., &amp; Churchill, E. (Eds.) (2000). Embodied Conversational Agents. MIT Press.</w:t>
      </w:r>
    </w:p>
    <w:p>
      <w:pPr>
        <w:spacing w:after="60" w:line="264"/>
        <w:ind w:left="360" w:hanging="360"/>
      </w:pPr>
      <w:r>
        <w:rPr>
          <w:color w:val="222222"/>
          <w:sz w:val="20"/>
          <w:szCs w:val="20"/>
        </w:rPr>
        <w:t xml:space="preserve">Chen, H., et al. (2025). Social robot companions and family interaction. Science Robotics. [As indexed.]</w:t>
      </w:r>
    </w:p>
    <w:p>
      <w:pPr>
        <w:spacing w:after="60" w:line="264"/>
        <w:ind w:left="360" w:hanging="360"/>
      </w:pPr>
      <w:r>
        <w:rPr>
          <w:color w:val="222222"/>
          <w:sz w:val="20"/>
          <w:szCs w:val="20"/>
        </w:rPr>
        <w:t xml:space="preserve">CoherentRaster: efficient 3D Gaussian splatting for light field displays (2026). arXiv:2605.04509.</w:t>
      </w:r>
    </w:p>
    <w:p>
      <w:pPr>
        <w:spacing w:after="60" w:line="264"/>
        <w:ind w:left="360" w:hanging="360"/>
      </w:pPr>
      <w:r>
        <w:rPr>
          <w:color w:val="222222"/>
          <w:sz w:val="20"/>
          <w:szCs w:val="20"/>
        </w:rPr>
        <w:t xml:space="preserve">Cowan, B. R., et al. (2017). What can I help you with? Infrequent users' experiences of intelligent personal assistants. MobileHCI 2017. [As indexed.]</w:t>
      </w:r>
    </w:p>
    <w:p>
      <w:pPr>
        <w:spacing w:after="60" w:line="264"/>
        <w:ind w:left="360" w:hanging="360"/>
      </w:pPr>
      <w:r>
        <w:rPr>
          <w:color w:val="222222"/>
          <w:sz w:val="20"/>
          <w:szCs w:val="20"/>
        </w:rPr>
        <w:t xml:space="preserve">Cudeiro, D., Bolkart, T., Laidlaw, C., Ranjan, A., &amp; Black, M. J. (2019). Capture, learning, and synthesis of 3D speaking styles (VOCA). CVPR 2019.</w:t>
      </w:r>
    </w:p>
    <w:p>
      <w:pPr>
        <w:spacing w:after="60" w:line="264"/>
        <w:ind w:left="360" w:hanging="360"/>
      </w:pPr>
      <w:r>
        <w:rPr>
          <w:color w:val="222222"/>
          <w:sz w:val="20"/>
          <w:szCs w:val="20"/>
        </w:rPr>
        <w:t xml:space="preserve">De Quinto Cáceres, J., et al. (2025). An edge-AI UAV platform combining Jetson Orin onboard inference with LLM assistance. [As indexed.]</w:t>
      </w:r>
    </w:p>
    <w:p>
      <w:pPr>
        <w:spacing w:after="60" w:line="264"/>
        <w:ind w:left="360" w:hanging="360"/>
      </w:pPr>
      <w:r>
        <w:rPr>
          <w:color w:val="222222"/>
          <w:sz w:val="20"/>
          <w:szCs w:val="20"/>
        </w:rPr>
        <w:t xml:space="preserve">DeepSeek-AI (2025). DeepSeek-R1: incentivizing reasoning capability in LLMs via reinforcement learning. arXiv:2501.12948.</w:t>
      </w:r>
    </w:p>
    <w:p>
      <w:pPr>
        <w:spacing w:after="60" w:line="264"/>
        <w:ind w:left="360" w:hanging="360"/>
      </w:pPr>
      <w:r>
        <w:rPr>
          <w:color w:val="222222"/>
          <w:sz w:val="20"/>
          <w:szCs w:val="20"/>
        </w:rPr>
        <w:t xml:space="preserve">Deng, E., Mutlu, B., &amp; Matarić, M. J. (2019). Embodiment in socially interactive robots. Foundations and Trends in Robotics, 7(4), 251–356. [As indexed.]</w:t>
      </w:r>
    </w:p>
    <w:p>
      <w:pPr>
        <w:spacing w:after="60" w:line="264"/>
        <w:ind w:left="360" w:hanging="360"/>
      </w:pPr>
      <w:r>
        <w:rPr>
          <w:color w:val="222222"/>
          <w:sz w:val="20"/>
          <w:szCs w:val="20"/>
        </w:rPr>
        <w:t xml:space="preserve">Deng, S., et al. (2020). Edge intelligence: the confluence of edge computing and artificial intelligence. IEEE Internet of Things Journal, 7(8), 7457–7469.</w:t>
      </w:r>
    </w:p>
    <w:p>
      <w:pPr>
        <w:spacing w:after="60" w:line="264"/>
        <w:ind w:left="360" w:hanging="360"/>
      </w:pPr>
      <w:r>
        <w:rPr>
          <w:color w:val="222222"/>
          <w:sz w:val="20"/>
          <w:szCs w:val="20"/>
        </w:rPr>
        <w:t xml:space="preserve">Desjardins, A., &amp; Ball, A. (2018). Revealing tensions in autobiographical design in HCI. DIS 2018. [As indexed.]</w:t>
      </w:r>
    </w:p>
    <w:p>
      <w:pPr>
        <w:spacing w:after="60" w:line="264"/>
        <w:ind w:left="360" w:hanging="360"/>
      </w:pPr>
      <w:r>
        <w:rPr>
          <w:color w:val="222222"/>
          <w:sz w:val="20"/>
          <w:szCs w:val="20"/>
        </w:rPr>
        <w:t xml:space="preserve">Dettmers, T., &amp; Zettlemoyer, L. (2023). The case for 4-bit precision: k-bit inference scaling laws. ICML 2023, PMLR 202, 7750–7774; arXiv:2212.09720.</w:t>
      </w:r>
    </w:p>
    <w:p>
      <w:pPr>
        <w:spacing w:after="60" w:line="264"/>
        <w:ind w:left="360" w:hanging="360"/>
      </w:pPr>
      <w:r>
        <w:rPr>
          <w:color w:val="222222"/>
          <w:sz w:val="20"/>
          <w:szCs w:val="20"/>
        </w:rPr>
        <w:t xml:space="preserve">Dettmers, T., Lewis, M., Belkada, Y., &amp; Zettlemoyer, L. (2022). LLM.int8(): 8-bit matrix multiplication for transformers at scale. NeurIPS 2022.</w:t>
      </w:r>
    </w:p>
    <w:p>
      <w:pPr>
        <w:spacing w:after="60" w:line="264"/>
        <w:ind w:left="360" w:hanging="360"/>
      </w:pPr>
      <w:r>
        <w:rPr>
          <w:color w:val="222222"/>
          <w:sz w:val="20"/>
          <w:szCs w:val="20"/>
        </w:rPr>
        <w:t xml:space="preserve">Dettmers, T., Pagnoni, A., Holtzman, A., &amp; Zettlemoyer, L. (2023). QLoRA: efficient finetuning of quantized LLMs. NeurIPS 2023. [As indexed.]</w:t>
      </w:r>
    </w:p>
    <w:p>
      <w:pPr>
        <w:spacing w:after="60" w:line="264"/>
        <w:ind w:left="360" w:hanging="360"/>
      </w:pPr>
      <w:r>
        <w:rPr>
          <w:color w:val="222222"/>
          <w:sz w:val="20"/>
          <w:szCs w:val="20"/>
        </w:rPr>
        <w:t xml:space="preserve">Dhar, N., et al. (2025). A survey of large language models at the edge. ACM Computing Surveys. [As indexed.]</w:t>
      </w:r>
    </w:p>
    <w:p>
      <w:pPr>
        <w:spacing w:after="60" w:line="264"/>
        <w:ind w:left="360" w:hanging="360"/>
      </w:pPr>
      <w:r>
        <w:rPr>
          <w:color w:val="222222"/>
          <w:sz w:val="20"/>
          <w:szCs w:val="20"/>
        </w:rPr>
        <w:t xml:space="preserve">Ding, P., et al. (2024). QUAR-VLA: vision-language-action model for quadruped robots. ECCV 2024.</w:t>
      </w:r>
    </w:p>
    <w:p>
      <w:pPr>
        <w:spacing w:after="60" w:line="264"/>
        <w:ind w:left="360" w:hanging="360"/>
      </w:pPr>
      <w:r>
        <w:rPr>
          <w:color w:val="222222"/>
          <w:sz w:val="20"/>
          <w:szCs w:val="20"/>
        </w:rPr>
        <w:t xml:space="preserve">DirectL (2024). Efficient radiance fields rendering for 3D light field displays. arXiv:2407.14053.</w:t>
      </w:r>
    </w:p>
    <w:p>
      <w:pPr>
        <w:spacing w:after="60" w:line="264"/>
        <w:ind w:left="360" w:hanging="360"/>
      </w:pPr>
      <w:r>
        <w:rPr>
          <w:color w:val="222222"/>
          <w:sz w:val="20"/>
          <w:szCs w:val="20"/>
        </w:rPr>
        <w:t xml:space="preserve">DNF-Avatar (2025). Distilling neural fields for real-time animatable avatar relighting. arXiv:2504.10486.</w:t>
      </w:r>
    </w:p>
    <w:p>
      <w:pPr>
        <w:spacing w:after="60" w:line="264"/>
        <w:ind w:left="360" w:hanging="360"/>
      </w:pPr>
      <w:r>
        <w:rPr>
          <w:color w:val="222222"/>
          <w:sz w:val="20"/>
          <w:szCs w:val="20"/>
        </w:rPr>
        <w:t xml:space="preserve">Dodgson, N. A. (2005). Autostereoscopic 3D displays. IEEE Computer, 38(8), 31–36.</w:t>
      </w:r>
    </w:p>
    <w:p>
      <w:pPr>
        <w:spacing w:after="60" w:line="264"/>
        <w:ind w:left="360" w:hanging="360"/>
      </w:pPr>
      <w:r>
        <w:rPr>
          <w:color w:val="222222"/>
          <w:sz w:val="20"/>
          <w:szCs w:val="20"/>
        </w:rPr>
        <w:t xml:space="preserve">Downing, E., Hesselink, L., Ralston, J., &amp; Macfarlane, R. (1996). A three-color, solid-state, three-dimensional display. Science, 273(5279), 1185–1189.</w:t>
      </w:r>
    </w:p>
    <w:p>
      <w:pPr>
        <w:spacing w:after="60" w:line="264"/>
        <w:ind w:left="360" w:hanging="360"/>
      </w:pPr>
      <w:r>
        <w:rPr>
          <w:color w:val="222222"/>
          <w:sz w:val="20"/>
          <w:szCs w:val="20"/>
        </w:rPr>
        <w:t xml:space="preserve">Driess, D., et al. (2023). PaLM-E: an embodied multimodal language model. ICML 2023. [As indexed.]</w:t>
      </w:r>
    </w:p>
    <w:p>
      <w:pPr>
        <w:spacing w:after="60" w:line="264"/>
        <w:ind w:left="360" w:hanging="360"/>
      </w:pPr>
      <w:r>
        <w:rPr>
          <w:color w:val="222222"/>
          <w:sz w:val="20"/>
          <w:szCs w:val="20"/>
        </w:rPr>
        <w:t xml:space="preserve">Epley, N., Waytz, A., &amp; Cacioppo, J. T. (2007). On seeing human: a three-factor theory of anthropomorphism. Psychological Review, 114(4), 864–886.</w:t>
      </w:r>
    </w:p>
    <w:p>
      <w:pPr>
        <w:spacing w:after="60" w:line="264"/>
        <w:ind w:left="360" w:hanging="360"/>
      </w:pPr>
      <w:r>
        <w:rPr>
          <w:color w:val="222222"/>
          <w:sz w:val="20"/>
          <w:szCs w:val="20"/>
        </w:rPr>
        <w:t xml:space="preserve">Fan, Y., Lin, Z., Saito, J., Wang, W., &amp; Komura, T. (2022). FaceFormer: speech-driven 3D facial animation with transformers. CVPR 2022. [As indexed.]</w:t>
      </w:r>
    </w:p>
    <w:p>
      <w:pPr>
        <w:spacing w:after="60" w:line="264"/>
        <w:ind w:left="360" w:hanging="360"/>
      </w:pPr>
      <w:r>
        <w:rPr>
          <w:color w:val="222222"/>
          <w:sz w:val="20"/>
          <w:szCs w:val="20"/>
        </w:rPr>
        <w:t xml:space="preserve">Favalora, G. E. (2005). Volumetric 3D displays and application infrastructure. IEEE Computer, 38(8), 37–44.</w:t>
      </w:r>
    </w:p>
    <w:p>
      <w:pPr>
        <w:spacing w:after="60" w:line="264"/>
        <w:ind w:left="360" w:hanging="360"/>
      </w:pPr>
      <w:r>
        <w:rPr>
          <w:color w:val="222222"/>
          <w:sz w:val="20"/>
          <w:szCs w:val="20"/>
        </w:rPr>
        <w:t xml:space="preserve">Frantar, E., Ashkboos, S., Hoefler, T., &amp; Alistarh, D. (2023). GPTQ: accurate post-training quantization for generative pre-trained transformers. ICLR 2023 (also indexed under the title OPTQ); arXiv:2210.17323.</w:t>
      </w:r>
    </w:p>
    <w:p>
      <w:pPr>
        <w:spacing w:after="60" w:line="264"/>
        <w:ind w:left="360" w:hanging="360"/>
      </w:pPr>
      <w:r>
        <w:rPr>
          <w:color w:val="222222"/>
          <w:sz w:val="20"/>
          <w:szCs w:val="20"/>
        </w:rPr>
        <w:t xml:space="preserve">Gavane, A., &amp; Watson, B. (2025). Light field display point rendering. arXiv:2601.19901.</w:t>
      </w:r>
    </w:p>
    <w:p>
      <w:pPr>
        <w:spacing w:after="60" w:line="264"/>
        <w:ind w:left="360" w:hanging="360"/>
      </w:pPr>
      <w:r>
        <w:rPr>
          <w:color w:val="222222"/>
          <w:sz w:val="20"/>
          <w:szCs w:val="20"/>
        </w:rPr>
        <w:t xml:space="preserve">Geng, J. (2013). Three-dimensional display technologies. Advances in Optics and Photonics, 5(4), 456–535.</w:t>
      </w:r>
    </w:p>
    <w:p>
      <w:pPr>
        <w:spacing w:after="60" w:line="264"/>
        <w:ind w:left="360" w:hanging="360"/>
      </w:pPr>
      <w:r>
        <w:rPr>
          <w:color w:val="222222"/>
          <w:sz w:val="20"/>
          <w:szCs w:val="20"/>
        </w:rPr>
        <w:t xml:space="preserve">Glasses-free 3D display with ultrawide viewing range using deep learning (2025). Nature (s41586-025-09752-y). [As indexed.]</w:t>
      </w:r>
    </w:p>
    <w:p>
      <w:pPr>
        <w:spacing w:after="60" w:line="264"/>
        <w:ind w:left="360" w:hanging="360"/>
      </w:pPr>
      <w:r>
        <w:rPr>
          <w:color w:val="222222"/>
          <w:sz w:val="20"/>
          <w:szCs w:val="20"/>
        </w:rPr>
        <w:t xml:space="preserve">Gortler, S. J., Grzeszczuk, R., Szeliski, R., &amp; Cohen, M. F. (1996). The Lumigraph. Proceedings of SIGGRAPH 96.</w:t>
      </w:r>
    </w:p>
    <w:p>
      <w:pPr>
        <w:spacing w:after="60" w:line="264"/>
        <w:ind w:left="360" w:hanging="360"/>
      </w:pPr>
      <w:r>
        <w:rPr>
          <w:color w:val="222222"/>
          <w:sz w:val="20"/>
          <w:szCs w:val="20"/>
        </w:rPr>
        <w:t xml:space="preserve">Grattafiori, A., et al. (2024). The Llama 3 herd of models. arXiv:2407.21783.</w:t>
      </w:r>
    </w:p>
    <w:p>
      <w:pPr>
        <w:spacing w:after="60" w:line="264"/>
        <w:ind w:left="360" w:hanging="360"/>
      </w:pPr>
      <w:r>
        <w:rPr>
          <w:color w:val="222222"/>
          <w:sz w:val="20"/>
          <w:szCs w:val="20"/>
        </w:rPr>
        <w:t xml:space="preserve">Gulati, A., et al. (2020). Conformer: convolution-augmented transformer for speech recognition. Interspeech 2020.</w:t>
      </w:r>
    </w:p>
    <w:p>
      <w:pPr>
        <w:spacing w:after="60" w:line="264"/>
        <w:ind w:left="360" w:hanging="360"/>
      </w:pPr>
      <w:r>
        <w:rPr>
          <w:color w:val="222222"/>
          <w:sz w:val="20"/>
          <w:szCs w:val="20"/>
        </w:rPr>
        <w:t xml:space="preserve">Guo, T., et al. (2024). Large language model based multi-agents: a survey of progress and challenges. IJCAI 2024.</w:t>
      </w:r>
    </w:p>
    <w:p>
      <w:pPr>
        <w:spacing w:after="60" w:line="264"/>
        <w:ind w:left="360" w:hanging="360"/>
      </w:pPr>
      <w:r>
        <w:rPr>
          <w:color w:val="222222"/>
          <w:sz w:val="20"/>
          <w:szCs w:val="20"/>
        </w:rPr>
        <w:t xml:space="preserve">Gupta, U., et al. (2022). ACT: designing sustainable computer systems with an architectural carbon modeling tool. ISCA 2022. DOI 10.1145/3470496.3527408. [Page range unverified.]</w:t>
      </w:r>
    </w:p>
    <w:p>
      <w:pPr>
        <w:spacing w:after="60" w:line="264"/>
        <w:ind w:left="360" w:hanging="360"/>
      </w:pPr>
      <w:r>
        <w:rPr>
          <w:color w:val="222222"/>
          <w:sz w:val="20"/>
          <w:szCs w:val="20"/>
        </w:rPr>
        <w:t xml:space="preserve">Gupta, U., Kim, Y. G., Lee, S., Tse, J., Lee, H.-H. S., Wei, G.-Y., Brooks, D., &amp; Wu, C.-J. (2021). Chasing carbon: the elusive environmental footprint of computing. IEEE HPCA 2021, 854–867. DOI 10.1109/HPCA51647.2021.00076.</w:t>
      </w:r>
    </w:p>
    <w:p>
      <w:pPr>
        <w:spacing w:after="60" w:line="264"/>
        <w:ind w:left="360" w:hanging="360"/>
      </w:pPr>
      <w:r>
        <w:rPr>
          <w:color w:val="222222"/>
          <w:sz w:val="20"/>
          <w:szCs w:val="20"/>
        </w:rPr>
        <w:t xml:space="preserve">Hevner, A. R., March, S. T., Park, J., &amp; Ram, S. (2004). Design science in information systems research. MIS Quarterly, 28(1), 75–105.</w:t>
      </w:r>
    </w:p>
    <w:p>
      <w:pPr>
        <w:spacing w:after="60" w:line="264"/>
        <w:ind w:left="360" w:hanging="360"/>
      </w:pPr>
      <w:r>
        <w:rPr>
          <w:color w:val="222222"/>
          <w:sz w:val="20"/>
          <w:szCs w:val="20"/>
        </w:rPr>
        <w:t xml:space="preserve">Hilliges, O., Kim, D., Izadi, S., Weiss, M., &amp; Wilson, A. (2012). HoloDesk: direct 3D interactions with a situated see-through display. CHI 2012.</w:t>
      </w:r>
    </w:p>
    <w:p>
      <w:pPr>
        <w:spacing w:after="60" w:line="264"/>
        <w:ind w:left="360" w:hanging="360"/>
      </w:pPr>
      <w:r>
        <w:rPr>
          <w:color w:val="222222"/>
          <w:sz w:val="20"/>
          <w:szCs w:val="20"/>
        </w:rPr>
        <w:t xml:space="preserve">Hirayama, R., Martinez Plasencia, D., Masuda, N., &amp; Subramanian, S. (2019). A volumetric display for visual, tactile and audio presentation using acoustic trapping. Nature, 575(7782), 320–323. DOI 10.1038/s41586-019-1739-5.</w:t>
      </w:r>
    </w:p>
    <w:p>
      <w:pPr>
        <w:spacing w:after="60" w:line="264"/>
        <w:ind w:left="360" w:hanging="360"/>
      </w:pPr>
      <w:r>
        <w:rPr>
          <w:color w:val="222222"/>
          <w:sz w:val="20"/>
          <w:szCs w:val="20"/>
        </w:rPr>
        <w:t xml:space="preserve">Hoffmann, J., et al. (2022). Training compute-optimal large language models (Chinchilla). NeurIPS 2022; arXiv:2203.15556.</w:t>
      </w:r>
    </w:p>
    <w:p>
      <w:pPr>
        <w:spacing w:after="60" w:line="264"/>
        <w:ind w:left="360" w:hanging="360"/>
      </w:pPr>
      <w:r>
        <w:rPr>
          <w:color w:val="222222"/>
          <w:sz w:val="20"/>
          <w:szCs w:val="20"/>
        </w:rPr>
        <w:t xml:space="preserve">Hong, J., et al. (2011). Three-dimensional display technologies of recent interest: principles, status, and issues. Applied Optics, 50(34), H87–H115.</w:t>
      </w:r>
    </w:p>
    <w:p>
      <w:pPr>
        <w:spacing w:after="60" w:line="264"/>
        <w:ind w:left="360" w:hanging="360"/>
      </w:pPr>
      <w:r>
        <w:rPr>
          <w:color w:val="222222"/>
          <w:sz w:val="20"/>
          <w:szCs w:val="20"/>
        </w:rPr>
        <w:t xml:space="preserve">Hong, S., et al. (2024). MetaGPT: meta programming for a multi-agent collaborative framework. ICLR 2024.</w:t>
      </w:r>
    </w:p>
    <w:p>
      <w:pPr>
        <w:spacing w:after="60" w:line="264"/>
        <w:ind w:left="360" w:hanging="360"/>
      </w:pPr>
      <w:r>
        <w:rPr>
          <w:color w:val="222222"/>
          <w:sz w:val="20"/>
          <w:szCs w:val="20"/>
        </w:rPr>
        <w:t xml:space="preserve">Horton, D., &amp; Wohl, R. R. (1956). Mass communication and para-social interaction: observations on intimacy at a distance. Psychiatry, 19(3), 215–229.</w:t>
      </w:r>
    </w:p>
    <w:p>
      <w:pPr>
        <w:spacing w:after="60" w:line="264"/>
        <w:ind w:left="360" w:hanging="360"/>
      </w:pPr>
      <w:r>
        <w:rPr>
          <w:color w:val="222222"/>
          <w:sz w:val="20"/>
          <w:szCs w:val="20"/>
        </w:rPr>
        <w:t xml:space="preserve">Huang, F.-C., Chen, K., &amp; Wetzstein, G. (2015). The light field stereoscope. ACM SIGGRAPH 2015.</w:t>
      </w:r>
    </w:p>
    <w:p>
      <w:pPr>
        <w:spacing w:after="60" w:line="264"/>
        <w:ind w:left="360" w:hanging="360"/>
      </w:pPr>
      <w:r>
        <w:rPr>
          <w:color w:val="222222"/>
          <w:sz w:val="20"/>
          <w:szCs w:val="20"/>
        </w:rPr>
        <w:t xml:space="preserve">Husom, E. J., Goknil, A., Astekin, M., Shar, L. K., et al. (2025). Sustainable LLM inference for edge AI. arXiv:2504.03360. [Preprint; not peer-reviewed.]</w:t>
      </w:r>
    </w:p>
    <w:p>
      <w:pPr>
        <w:spacing w:after="60" w:line="264"/>
        <w:ind w:left="360" w:hanging="360"/>
      </w:pPr>
      <w:r>
        <w:rPr>
          <w:color w:val="222222"/>
          <w:sz w:val="20"/>
          <w:szCs w:val="20"/>
        </w:rPr>
        <w:t xml:space="preserve">Javaid, S., et al. (2024). Large language models for UAVs: current state and pathways to the future. [As indexed.]</w:t>
      </w:r>
    </w:p>
    <w:p>
      <w:pPr>
        <w:spacing w:after="60" w:line="264"/>
        <w:ind w:left="360" w:hanging="360"/>
      </w:pPr>
      <w:r>
        <w:rPr>
          <w:color w:val="222222"/>
          <w:sz w:val="20"/>
          <w:szCs w:val="20"/>
        </w:rPr>
        <w:t xml:space="preserve">Jones, A., McDowall, I., Yamada, H., Bolas, M., &amp; Debevec, P. (2007). Rendering for an interactive 360-degree light field display. ACM SIGGRAPH 2007.</w:t>
      </w:r>
    </w:p>
    <w:p>
      <w:pPr>
        <w:spacing w:after="60" w:line="264"/>
        <w:ind w:left="360" w:hanging="360"/>
      </w:pPr>
      <w:r>
        <w:rPr>
          <w:color w:val="222222"/>
          <w:sz w:val="20"/>
          <w:szCs w:val="20"/>
        </w:rPr>
        <w:t xml:space="preserve">Kaissis, G., et al. (2021). End-to-end privacy-preserving deep learning on multi-institutional medical imaging. Nature Machine Intelligence, 3, 473–484. [As indexed.]</w:t>
      </w:r>
    </w:p>
    <w:p>
      <w:pPr>
        <w:spacing w:after="60" w:line="264"/>
        <w:ind w:left="360" w:hanging="360"/>
      </w:pPr>
      <w:r>
        <w:rPr>
          <w:color w:val="222222"/>
          <w:sz w:val="20"/>
          <w:szCs w:val="20"/>
        </w:rPr>
        <w:t xml:space="preserve">Kaplan, J., et al. (2020). Scaling laws for neural language models. arXiv:2001.08361.</w:t>
      </w:r>
    </w:p>
    <w:p>
      <w:pPr>
        <w:spacing w:after="60" w:line="264"/>
        <w:ind w:left="360" w:hanging="360"/>
      </w:pPr>
      <w:r>
        <w:rPr>
          <w:color w:val="222222"/>
          <w:sz w:val="20"/>
          <w:szCs w:val="20"/>
        </w:rPr>
        <w:t xml:space="preserve">Karras, T., Aila, T., Laine, S., Herva, A., &amp; Lehtinen, J. (2017). Audio-driven facial animation by joint end-to-end learning of pose and emotion. ACM SIGGRAPH 2017.</w:t>
      </w:r>
    </w:p>
    <w:p>
      <w:pPr>
        <w:spacing w:after="60" w:line="264"/>
        <w:ind w:left="360" w:hanging="360"/>
      </w:pPr>
      <w:r>
        <w:rPr>
          <w:color w:val="222222"/>
          <w:sz w:val="20"/>
          <w:szCs w:val="20"/>
        </w:rPr>
        <w:t xml:space="preserve">Kaufmann, E., et al. (2023). Champion-level drone racing using deep reinforcement learning (Swift). Nature, 620, 982–987.</w:t>
      </w:r>
    </w:p>
    <w:p>
      <w:pPr>
        <w:spacing w:after="60" w:line="264"/>
        <w:ind w:left="360" w:hanging="360"/>
      </w:pPr>
      <w:r>
        <w:rPr>
          <w:color w:val="222222"/>
          <w:sz w:val="20"/>
          <w:szCs w:val="20"/>
        </w:rPr>
        <w:t xml:space="preserve">Kerbl, B., Kopanas, G., Leimkühler, T., &amp; Drettakis, G. (2023). 3D Gaussian splatting for real-time radiance field rendering. ACM Transactions on Graphics, 42(4), Article 139. DOI 10.1145/3592433.</w:t>
      </w:r>
    </w:p>
    <w:p>
      <w:pPr>
        <w:spacing w:after="60" w:line="264"/>
        <w:ind w:left="360" w:hanging="360"/>
      </w:pPr>
      <w:r>
        <w:rPr>
          <w:color w:val="222222"/>
          <w:sz w:val="20"/>
          <w:szCs w:val="20"/>
        </w:rPr>
        <w:t xml:space="preserve">Kidd, C. D., &amp; Breazeal, C. (2004). Effect of a robot on user perceptions. IROS 2004.</w:t>
      </w:r>
    </w:p>
    <w:p>
      <w:pPr>
        <w:spacing w:after="60" w:line="264"/>
        <w:ind w:left="360" w:hanging="360"/>
      </w:pPr>
      <w:r>
        <w:rPr>
          <w:color w:val="222222"/>
          <w:sz w:val="20"/>
          <w:szCs w:val="20"/>
        </w:rPr>
        <w:t xml:space="preserve">Kim, J., et al. (2022). Holographic glasses for virtual reality. ACM SIGGRAPH 2022.</w:t>
      </w:r>
    </w:p>
    <w:p>
      <w:pPr>
        <w:spacing w:after="60" w:line="264"/>
        <w:ind w:left="360" w:hanging="360"/>
      </w:pPr>
      <w:r>
        <w:rPr>
          <w:color w:val="222222"/>
          <w:sz w:val="20"/>
          <w:szCs w:val="20"/>
        </w:rPr>
        <w:t xml:space="preserve">Kim, J., Kong, J., &amp; Son, J. (2021). Conditional variational autoencoder with adversarial learning for end-to-end text-to-speech (VITS). ICML 2021.</w:t>
      </w:r>
    </w:p>
    <w:p>
      <w:pPr>
        <w:spacing w:after="60" w:line="264"/>
        <w:ind w:left="360" w:hanging="360"/>
      </w:pPr>
      <w:r>
        <w:rPr>
          <w:color w:val="222222"/>
          <w:sz w:val="20"/>
          <w:szCs w:val="20"/>
        </w:rPr>
        <w:t xml:space="preserve">Kim, K., Boelling, L., Haesler, S., Bailenson, J., Bruder, G., &amp; Welch, G. F. (2018). Does a digital assistant need a body? The influence of visual embodiment and social behavior on the perception of intelligent virtual agents in AR. IEEE ISMAR 2018. [As indexed.]</w:t>
      </w:r>
    </w:p>
    <w:p>
      <w:pPr>
        <w:spacing w:after="60" w:line="264"/>
        <w:ind w:left="360" w:hanging="360"/>
      </w:pPr>
      <w:r>
        <w:rPr>
          <w:color w:val="222222"/>
          <w:sz w:val="20"/>
          <w:szCs w:val="20"/>
        </w:rPr>
        <w:t xml:space="preserve">Koch, F., et al. (2025). Adaptive split inference for LLMs in edge MEC environments. [As indexed.]</w:t>
      </w:r>
    </w:p>
    <w:p>
      <w:pPr>
        <w:spacing w:after="60" w:line="264"/>
        <w:ind w:left="360" w:hanging="360"/>
      </w:pPr>
      <w:r>
        <w:rPr>
          <w:color w:val="222222"/>
          <w:sz w:val="20"/>
          <w:szCs w:val="20"/>
        </w:rPr>
        <w:t xml:space="preserve">Kong, J., Kim, J., &amp; Bae, J. (2020). HiFi-GAN: generative adversarial networks for efficient and high-fidelity speech synthesis. NeurIPS 2020.</w:t>
      </w:r>
    </w:p>
    <w:p>
      <w:pPr>
        <w:spacing w:after="60" w:line="264"/>
        <w:ind w:left="360" w:hanging="360"/>
      </w:pPr>
      <w:r>
        <w:rPr>
          <w:color w:val="222222"/>
          <w:sz w:val="20"/>
          <w:szCs w:val="20"/>
        </w:rPr>
        <w:t xml:space="preserve">Koyuncu, E., et al. (2025). Model-distributed LLM inference at the network edge. [As indexed.]</w:t>
      </w:r>
    </w:p>
    <w:p>
      <w:pPr>
        <w:spacing w:after="60" w:line="264"/>
        <w:ind w:left="360" w:hanging="360"/>
      </w:pPr>
      <w:r>
        <w:rPr>
          <w:color w:val="222222"/>
          <w:sz w:val="20"/>
          <w:szCs w:val="20"/>
        </w:rPr>
        <w:t xml:space="preserve">Kumar, A., et al. (2025). Quantized Whisper inference on embedded accelerators: Raspberry Pi and Jetson Orin. [As indexed.]</w:t>
      </w:r>
    </w:p>
    <w:p>
      <w:pPr>
        <w:spacing w:after="60" w:line="264"/>
        <w:ind w:left="360" w:hanging="360"/>
      </w:pPr>
      <w:r>
        <w:rPr>
          <w:color w:val="222222"/>
          <w:sz w:val="20"/>
          <w:szCs w:val="20"/>
        </w:rPr>
        <w:t xml:space="preserve">Kwon, W., et al. (2023). Efficient memory management for large language model serving with PagedAttention (vLLM). SOSP 2023. [As indexed.]</w:t>
      </w:r>
    </w:p>
    <w:p>
      <w:pPr>
        <w:spacing w:after="60" w:line="264"/>
        <w:ind w:left="360" w:hanging="360"/>
      </w:pPr>
      <w:r>
        <w:rPr>
          <w:color w:val="222222"/>
          <w:sz w:val="20"/>
          <w:szCs w:val="20"/>
        </w:rPr>
        <w:t xml:space="preserve">Laestadius, L., et al. (2022). Too human and not human enough: a grounded theory analysis of mental health harms from emotional dependence on the social chatbot Replika. New Media &amp; Society. [As indexed.]</w:t>
      </w:r>
    </w:p>
    <w:p>
      <w:pPr>
        <w:spacing w:after="60" w:line="264"/>
        <w:ind w:left="360" w:hanging="360"/>
      </w:pPr>
      <w:r>
        <w:rPr>
          <w:color w:val="222222"/>
          <w:sz w:val="20"/>
          <w:szCs w:val="20"/>
        </w:rPr>
        <w:t xml:space="preserve">Lanman, D., &amp; Luebke, D. (2013). Near-eye light field displays. ACM Transactions on Graphics (SIGGRAPH Asia), 32(6).</w:t>
      </w:r>
    </w:p>
    <w:p>
      <w:pPr>
        <w:spacing w:after="60" w:line="264"/>
        <w:ind w:left="360" w:hanging="360"/>
      </w:pPr>
      <w:r>
        <w:rPr>
          <w:color w:val="222222"/>
          <w:sz w:val="20"/>
          <w:szCs w:val="20"/>
        </w:rPr>
        <w:t xml:space="preserve">Laskaridis, S., Katevas, K., Minto, L., &amp; Haddadi, H. (2024). MELTing point: mobile evaluation of language transformers. ACM MobiCom 2024; arXiv:2403.12844.</w:t>
      </w:r>
    </w:p>
    <w:p>
      <w:pPr>
        <w:spacing w:after="60" w:line="264"/>
        <w:ind w:left="360" w:hanging="360"/>
      </w:pPr>
      <w:r>
        <w:rPr>
          <w:color w:val="222222"/>
          <w:sz w:val="20"/>
          <w:szCs w:val="20"/>
        </w:rPr>
        <w:t xml:space="preserve">Lau, J., Zimmerman, B., &amp; Schaub, F. (2018). Alexa, are you listening? Privacy perceptions, concerns and privacy-seeking behaviors with smart speakers. Proceedings of the ACM on Human-Computer Interaction, 2(CSCW), Article 102. DOI 10.1145/3274371.</w:t>
      </w:r>
    </w:p>
    <w:p>
      <w:pPr>
        <w:spacing w:after="60" w:line="264"/>
        <w:ind w:left="360" w:hanging="360"/>
      </w:pPr>
      <w:r>
        <w:rPr>
          <w:color w:val="222222"/>
          <w:sz w:val="20"/>
          <w:szCs w:val="20"/>
        </w:rPr>
        <w:t xml:space="preserve">Lazzaroni, L., et al. (2025). A fully offline voice assistant integrating Whisper.cpp, LLaMA.cpp and Piper on Raspberry Pi 5. [As indexed.]</w:t>
      </w:r>
    </w:p>
    <w:p>
      <w:pPr>
        <w:spacing w:after="60" w:line="264"/>
        <w:ind w:left="360" w:hanging="360"/>
      </w:pPr>
      <w:r>
        <w:rPr>
          <w:color w:val="222222"/>
          <w:sz w:val="20"/>
          <w:szCs w:val="20"/>
        </w:rPr>
        <w:t xml:space="preserve">Lee, J., Hwangbo, J., Wellhausen, L., Koltun, V., &amp; Hutter, M. (2020). Learning quadrupedal locomotion over challenging terrain. Science Robotics, 5(47).</w:t>
      </w:r>
    </w:p>
    <w:p>
      <w:pPr>
        <w:spacing w:after="60" w:line="264"/>
        <w:ind w:left="360" w:hanging="360"/>
      </w:pPr>
      <w:r>
        <w:rPr>
          <w:color w:val="222222"/>
          <w:sz w:val="20"/>
          <w:szCs w:val="20"/>
        </w:rPr>
        <w:t xml:space="preserve">Leviathan, Y., Kalman, M., &amp; Matias, Y. (2023). Fast inference from transformers via speculative decoding. ICML 2023.</w:t>
      </w:r>
    </w:p>
    <w:p>
      <w:pPr>
        <w:spacing w:after="60" w:line="264"/>
        <w:ind w:left="360" w:hanging="360"/>
      </w:pPr>
      <w:r>
        <w:rPr>
          <w:color w:val="222222"/>
          <w:sz w:val="20"/>
          <w:szCs w:val="20"/>
        </w:rPr>
        <w:t xml:space="preserve">Levinson, S. C., &amp; Torreira, F. (2015). Timing in turn-taking and its implications for processing models of language. Frontiers in Psychology, 6, 731. [As indexed.]</w:t>
      </w:r>
    </w:p>
    <w:p>
      <w:pPr>
        <w:spacing w:after="60" w:line="264"/>
        <w:ind w:left="360" w:hanging="360"/>
      </w:pPr>
      <w:r>
        <w:rPr>
          <w:color w:val="222222"/>
          <w:sz w:val="20"/>
          <w:szCs w:val="20"/>
        </w:rPr>
        <w:t xml:space="preserve">Levoy, M., &amp; Hanrahan, P. (1996). Light field rendering. Proceedings of SIGGRAPH 96, 31–42. DOI 10.1145/237170.237199.</w:t>
      </w:r>
    </w:p>
    <w:p>
      <w:pPr>
        <w:spacing w:after="60" w:line="264"/>
        <w:ind w:left="360" w:hanging="360"/>
      </w:pPr>
      <w:r>
        <w:rPr>
          <w:color w:val="222222"/>
          <w:sz w:val="20"/>
          <w:szCs w:val="20"/>
        </w:rPr>
        <w:t xml:space="preserve">Li, G., et al. (2023). CAMEL: communicative agents for mind exploration of large language model society. NeurIPS 2023.</w:t>
      </w:r>
    </w:p>
    <w:p>
      <w:pPr>
        <w:spacing w:after="60" w:line="264"/>
        <w:ind w:left="360" w:hanging="360"/>
      </w:pPr>
      <w:r>
        <w:rPr>
          <w:color w:val="222222"/>
          <w:sz w:val="20"/>
          <w:szCs w:val="20"/>
        </w:rPr>
        <w:t xml:space="preserve">Li, J. (2015). The benefit of being physically present: a survey of experimental works comparing copresent robots, telepresent robots and virtual agents. International Journal of Human-Computer Studies, 77, 23–37. [As indexed.]</w:t>
      </w:r>
    </w:p>
    <w:p>
      <w:pPr>
        <w:spacing w:after="60" w:line="264"/>
        <w:ind w:left="360" w:hanging="360"/>
      </w:pPr>
      <w:r>
        <w:rPr>
          <w:color w:val="222222"/>
          <w:sz w:val="20"/>
          <w:szCs w:val="20"/>
        </w:rPr>
        <w:t xml:space="preserve">Li, J., Cheng, X., Zhao, W. X., Nie, J.-Y., &amp; Wen, J.-R. (2023). HaluEval: a large-scale hallucination evaluation benchmark for large language models. EMNLP 2023, 6449–6464. DOI 10.18653/v1/2023.emnlp-main.397.</w:t>
      </w:r>
    </w:p>
    <w:p>
      <w:pPr>
        <w:spacing w:after="60" w:line="264"/>
        <w:ind w:left="360" w:hanging="360"/>
      </w:pPr>
      <w:r>
        <w:rPr>
          <w:color w:val="222222"/>
          <w:sz w:val="20"/>
          <w:szCs w:val="20"/>
        </w:rPr>
        <w:t xml:space="preserve">Li, N., et al. (2024). Distributed deep neural network inference across embedded devices: a systematic review. [As indexed.]</w:t>
      </w:r>
    </w:p>
    <w:p>
      <w:pPr>
        <w:spacing w:after="60" w:line="264"/>
        <w:ind w:left="360" w:hanging="360"/>
      </w:pPr>
      <w:r>
        <w:rPr>
          <w:color w:val="222222"/>
          <w:sz w:val="20"/>
          <w:szCs w:val="20"/>
        </w:rPr>
        <w:t xml:space="preserve">Liang, J., et al. (2023). Code as Policies: language model programs for embodied control. ICRA 2023.</w:t>
      </w:r>
    </w:p>
    <w:p>
      <w:pPr>
        <w:spacing w:after="60" w:line="264"/>
        <w:ind w:left="360" w:hanging="360"/>
      </w:pPr>
      <w:r>
        <w:rPr>
          <w:color w:val="222222"/>
          <w:sz w:val="20"/>
          <w:szCs w:val="20"/>
        </w:rPr>
        <w:t xml:space="preserve">Liesenfeld, A., Lopez, A., &amp; Dingemanse, M. (2023). Opening up ChatGPT: tracking openness, transparency, and accountability in instruction-tuned text generators. ACM CUI 2023. [As indexed.]</w:t>
      </w:r>
    </w:p>
    <w:p>
      <w:pPr>
        <w:spacing w:after="60" w:line="264"/>
        <w:ind w:left="360" w:hanging="360"/>
      </w:pPr>
      <w:r>
        <w:rPr>
          <w:color w:val="222222"/>
          <w:sz w:val="20"/>
          <w:szCs w:val="20"/>
        </w:rPr>
        <w:t xml:space="preserve">Lin, J., et al. (2024). AWQ: activation-aware weight quantization for LLM compression and acceleration. MLSys 2024. [As indexed.]</w:t>
      </w:r>
    </w:p>
    <w:p>
      <w:pPr>
        <w:spacing w:after="60" w:line="264"/>
        <w:ind w:left="360" w:hanging="360"/>
      </w:pPr>
      <w:r>
        <w:rPr>
          <w:color w:val="222222"/>
          <w:sz w:val="20"/>
          <w:szCs w:val="20"/>
        </w:rPr>
        <w:t xml:space="preserve">Lin, S., Hilton, J., &amp; Evans, O. (2022). TruthfulQA: measuring how models mimic human falsehoods. ACL 2022, 3214–3252. DOI 10.18653/v1/2022.acl-long.229.</w:t>
      </w:r>
    </w:p>
    <w:p>
      <w:pPr>
        <w:spacing w:after="60" w:line="264"/>
        <w:ind w:left="360" w:hanging="360"/>
      </w:pPr>
      <w:r>
        <w:rPr>
          <w:color w:val="222222"/>
          <w:sz w:val="20"/>
          <w:szCs w:val="20"/>
        </w:rPr>
        <w:t xml:space="preserve">Loquercio, A., et al. (2021). Learning high-speed flight in the wild. Science Robotics, 6(59).</w:t>
      </w:r>
    </w:p>
    <w:p>
      <w:pPr>
        <w:spacing w:after="60" w:line="264"/>
        <w:ind w:left="360" w:hanging="360"/>
      </w:pPr>
      <w:r>
        <w:rPr>
          <w:color w:val="222222"/>
          <w:sz w:val="20"/>
          <w:szCs w:val="20"/>
        </w:rPr>
        <w:t xml:space="preserve">Lucero, A., Desjardins, A., Neustaedter, C., Höök, K., Hassenzahl, M., &amp; Cecchinato, M. E. (2019). A sample of one: first-person research methods in HCI. DIS 2019 Companion. [As indexed.]</w:t>
      </w:r>
    </w:p>
    <w:p>
      <w:pPr>
        <w:spacing w:after="60" w:line="264"/>
        <w:ind w:left="360" w:hanging="360"/>
      </w:pPr>
      <w:r>
        <w:rPr>
          <w:color w:val="222222"/>
          <w:sz w:val="20"/>
          <w:szCs w:val="20"/>
        </w:rPr>
        <w:t xml:space="preserve">Lykov, A., et al. (2024). CognitiveDog: large multimodal model based system to translate vision and language into action of quadruped robot. HRI 2024.</w:t>
      </w:r>
    </w:p>
    <w:p>
      <w:pPr>
        <w:spacing w:after="60" w:line="264"/>
        <w:ind w:left="360" w:hanging="360"/>
      </w:pPr>
      <w:r>
        <w:rPr>
          <w:color w:val="222222"/>
          <w:sz w:val="20"/>
          <w:szCs w:val="20"/>
        </w:rPr>
        <w:t xml:space="preserve">Maimone, A., Georgiou, A., &amp; Kollin, J. S. (2017). Holographic near-eye displays for virtual and augmented reality. ACM Transactions on Graphics, 36(4).</w:t>
      </w:r>
    </w:p>
    <w:p>
      <w:pPr>
        <w:spacing w:after="60" w:line="264"/>
        <w:ind w:left="360" w:hanging="360"/>
      </w:pPr>
      <w:r>
        <w:rPr>
          <w:color w:val="222222"/>
          <w:sz w:val="20"/>
          <w:szCs w:val="20"/>
        </w:rPr>
        <w:t xml:space="preserve">Malkin, N., Deatrick, J., Tong, A., Wijesekera, P., Egelman, S., &amp; Wagner, D. (2019). Privacy attitudes of smart speaker users. Proceedings on Privacy Enhancing Technologies, 2019(4), 250–271.</w:t>
      </w:r>
    </w:p>
    <w:p>
      <w:pPr>
        <w:spacing w:after="60" w:line="264"/>
        <w:ind w:left="360" w:hanging="360"/>
      </w:pPr>
      <w:r>
        <w:rPr>
          <w:color w:val="222222"/>
          <w:sz w:val="20"/>
          <w:szCs w:val="20"/>
        </w:rPr>
        <w:t xml:space="preserve">Manchanda, J., et al. (2024). The open-source advantage in large language models. [As indexed.]</w:t>
      </w:r>
    </w:p>
    <w:p>
      <w:pPr>
        <w:spacing w:after="60" w:line="264"/>
        <w:ind w:left="360" w:hanging="360"/>
      </w:pPr>
      <w:r>
        <w:rPr>
          <w:color w:val="222222"/>
          <w:sz w:val="20"/>
          <w:szCs w:val="20"/>
        </w:rPr>
        <w:t xml:space="preserve">Mankoff, J., Dey, A. K., Hsieh, G., Kientz, J., Lederer, S., &amp; Ames, M. (2003). Heuristic evaluation of ambient displays. CHI 2003. [As indexed.]</w:t>
      </w:r>
    </w:p>
    <w:p>
      <w:pPr>
        <w:spacing w:after="60" w:line="264"/>
        <w:ind w:left="360" w:hanging="360"/>
      </w:pPr>
      <w:r>
        <w:rPr>
          <w:color w:val="222222"/>
          <w:sz w:val="20"/>
          <w:szCs w:val="20"/>
        </w:rPr>
        <w:t xml:space="preserve">Maples, B., Cerit, M., Vishwanath, A., &amp; Pea, R. (2024). Loneliness and suicide mitigation for students using GPT3-enabled chatbots. npj Mental Health Research, 3. [As indexed.]</w:t>
      </w:r>
    </w:p>
    <w:p>
      <w:pPr>
        <w:spacing w:after="60" w:line="264"/>
        <w:ind w:left="360" w:hanging="360"/>
      </w:pPr>
      <w:r>
        <w:rPr>
          <w:color w:val="222222"/>
          <w:sz w:val="20"/>
          <w:szCs w:val="20"/>
        </w:rPr>
        <w:t xml:space="preserve">McMahan, B., Moore, E., Ramage, D., Hampson, S., &amp; Agüera y Arcas, B. (2017). Communication-efficient learning of deep networks from decentralized data (FedAvg). AISTATS 2017. [As indexed.]</w:t>
      </w:r>
    </w:p>
    <w:p>
      <w:pPr>
        <w:spacing w:after="60" w:line="264"/>
        <w:ind w:left="360" w:hanging="360"/>
      </w:pPr>
      <w:r>
        <w:rPr>
          <w:color w:val="222222"/>
          <w:sz w:val="20"/>
          <w:szCs w:val="20"/>
        </w:rPr>
        <w:t xml:space="preserve">Merenda, M., Porcaro, C., &amp; Iero, D. (2020). Edge machine learning for AI-enabled IoT devices: a review. Sensors, 20(9), 2533.</w:t>
      </w:r>
    </w:p>
    <w:p>
      <w:pPr>
        <w:spacing w:after="60" w:line="264"/>
        <w:ind w:left="360" w:hanging="360"/>
      </w:pPr>
      <w:r>
        <w:rPr>
          <w:color w:val="222222"/>
          <w:sz w:val="20"/>
          <w:szCs w:val="20"/>
        </w:rPr>
        <w:t xml:space="preserve">Miki, T., et al. (2022). Learning robust perceptive locomotion for quadrupedal robots in the wild. Science Robotics, 7(62).</w:t>
      </w:r>
    </w:p>
    <w:p>
      <w:pPr>
        <w:spacing w:after="60" w:line="264"/>
        <w:ind w:left="360" w:hanging="360"/>
      </w:pPr>
      <w:r>
        <w:rPr>
          <w:color w:val="222222"/>
          <w:sz w:val="20"/>
          <w:szCs w:val="20"/>
        </w:rPr>
        <w:t xml:space="preserve">Mildenhall, B., Srinivasan, P. P., Tancik, M., Barron, J. T., Ramamoorthi, R., &amp; Ng, R. (2020). NeRF: representing scenes as neural radiance fields for view synthesis. ECCV 2020, LNCS, 405–421. DOI 10.1007/978-3-030-58452-8_24.</w:t>
      </w:r>
    </w:p>
    <w:p>
      <w:pPr>
        <w:spacing w:after="60" w:line="264"/>
        <w:ind w:left="360" w:hanging="360"/>
      </w:pPr>
      <w:r>
        <w:rPr>
          <w:color w:val="222222"/>
          <w:sz w:val="20"/>
          <w:szCs w:val="20"/>
        </w:rPr>
        <w:t xml:space="preserve">Mori, M. (1970; trans. MacDorman &amp; Kageki, 2012). The uncanny valley. IEEE Robotics &amp; Automation Magazine, 19(2), 98–100.</w:t>
      </w:r>
    </w:p>
    <w:p>
      <w:pPr>
        <w:spacing w:after="60" w:line="264"/>
        <w:ind w:left="360" w:hanging="360"/>
      </w:pPr>
      <w:r>
        <w:rPr>
          <w:color w:val="222222"/>
          <w:sz w:val="20"/>
          <w:szCs w:val="20"/>
        </w:rPr>
        <w:t xml:space="preserve">Müller, T., Evans, A., Schied, C., &amp; Keller, A. (2022). Instant neural graphics primitives with a multiresolution hash encoding. ACM SIGGRAPH 2022.</w:t>
      </w:r>
    </w:p>
    <w:p>
      <w:pPr>
        <w:spacing w:after="60" w:line="264"/>
        <w:ind w:left="360" w:hanging="360"/>
      </w:pPr>
      <w:r>
        <w:rPr>
          <w:color w:val="222222"/>
          <w:sz w:val="20"/>
          <w:szCs w:val="20"/>
        </w:rPr>
        <w:t xml:space="preserve">Neustaedter, C., &amp; Sengers, P. (2012). Autobiographical design in HCI research: designing and learning through use-it-yourself. DIS 2012. [As indexed.]</w:t>
      </w:r>
    </w:p>
    <w:p>
      <w:pPr>
        <w:spacing w:after="60" w:line="264"/>
        <w:ind w:left="360" w:hanging="360"/>
      </w:pPr>
      <w:r>
        <w:rPr>
          <w:color w:val="222222"/>
          <w:sz w:val="20"/>
          <w:szCs w:val="20"/>
        </w:rPr>
        <w:t xml:space="preserve">Olaniran, O., et al. (2024). Privacy-preserving techniques for generative artificial intelligence. Information (MDPI). [As indexed.]</w:t>
      </w:r>
    </w:p>
    <w:p>
      <w:pPr>
        <w:spacing w:after="60" w:line="264"/>
        <w:ind w:left="360" w:hanging="360"/>
      </w:pPr>
      <w:r>
        <w:rPr>
          <w:color w:val="222222"/>
          <w:sz w:val="20"/>
          <w:szCs w:val="20"/>
        </w:rPr>
        <w:t xml:space="preserve">Orts-Escolano, S., et al. (2016). Holoportation: virtual 3D teleportation in real-time. UIST 2016.</w:t>
      </w:r>
    </w:p>
    <w:p>
      <w:pPr>
        <w:spacing w:after="60" w:line="264"/>
        <w:ind w:left="360" w:hanging="360"/>
      </w:pPr>
      <w:r>
        <w:rPr>
          <w:color w:val="222222"/>
          <w:sz w:val="20"/>
          <w:szCs w:val="20"/>
        </w:rPr>
        <w:t xml:space="preserve">Osia, S. A., et al. (2020). A hybrid deep learning architecture for privacy-preserving mobile analytics. IEEE Internet of Things Journal, 7(5), 4505–4518.</w:t>
      </w:r>
    </w:p>
    <w:p>
      <w:pPr>
        <w:spacing w:after="60" w:line="264"/>
        <w:ind w:left="360" w:hanging="360"/>
      </w:pPr>
      <w:r>
        <w:rPr>
          <w:color w:val="222222"/>
          <w:sz w:val="20"/>
          <w:szCs w:val="20"/>
        </w:rPr>
        <w:t xml:space="preserve">Oviedo, F., et al. (2026). Energy use of AI inference, efficiency pathways, and test-time scaling. Joule (article S2542-4351(26)00114-5). [Lead-author attribution varies across secondary coverage; verify at DOI.]</w:t>
      </w:r>
    </w:p>
    <w:p>
      <w:pPr>
        <w:spacing w:after="60" w:line="264"/>
        <w:ind w:left="360" w:hanging="360"/>
      </w:pPr>
      <w:r>
        <w:rPr>
          <w:color w:val="222222"/>
          <w:sz w:val="20"/>
          <w:szCs w:val="20"/>
        </w:rPr>
        <w:t xml:space="preserve">Packer, C., et al. (2023). MemGPT: towards LLMs as operating systems. arXiv:2310.08560. [As indexed.]</w:t>
      </w:r>
    </w:p>
    <w:p>
      <w:pPr>
        <w:spacing w:after="60" w:line="264"/>
        <w:ind w:left="360" w:hanging="360"/>
      </w:pPr>
      <w:r>
        <w:rPr>
          <w:color w:val="222222"/>
          <w:sz w:val="20"/>
          <w:szCs w:val="20"/>
        </w:rPr>
        <w:t xml:space="preserve">Park, J. S., et al. (2023). Generative agents: interactive simulacra of human behavior. UIST 2023. [As indexed.]</w:t>
      </w:r>
    </w:p>
    <w:p>
      <w:pPr>
        <w:spacing w:after="60" w:line="264"/>
        <w:ind w:left="360" w:hanging="360"/>
      </w:pPr>
      <w:r>
        <w:rPr>
          <w:color w:val="222222"/>
          <w:sz w:val="20"/>
          <w:szCs w:val="20"/>
        </w:rPr>
        <w:t xml:space="preserve">Park, J.-H., &amp; Lee, B. (2022). Holographic techniques for augmented reality and virtual reality near-eye displays. Light: Advanced Manufacturing, 3.</w:t>
      </w:r>
    </w:p>
    <w:p>
      <w:pPr>
        <w:spacing w:after="60" w:line="264"/>
        <w:ind w:left="360" w:hanging="360"/>
      </w:pPr>
      <w:r>
        <w:rPr>
          <w:color w:val="222222"/>
          <w:sz w:val="20"/>
          <w:szCs w:val="20"/>
        </w:rPr>
        <w:t xml:space="preserve">Peng, Y., Choi, S., Padmanaban, N., &amp; Wetzstein, G. (2020). Neural holography with camera-in-the-loop training. ACM Transactions on Graphics (SIGGRAPH Asia), 39(6).</w:t>
      </w:r>
    </w:p>
    <w:p>
      <w:pPr>
        <w:spacing w:after="60" w:line="264"/>
        <w:ind w:left="360" w:hanging="360"/>
      </w:pPr>
      <w:r>
        <w:rPr>
          <w:color w:val="222222"/>
          <w:sz w:val="20"/>
          <w:szCs w:val="20"/>
        </w:rPr>
        <w:t xml:space="preserve">Pentina, I., Hancock, T., &amp; Xie, T. (2023). Exploring relationship development with social chatbots: a mixed-method study of Replika. Computers in Human Behavior, 140. [As indexed.]</w:t>
      </w:r>
    </w:p>
    <w:p>
      <w:pPr>
        <w:spacing w:after="60" w:line="264"/>
        <w:ind w:left="360" w:hanging="360"/>
      </w:pPr>
      <w:r>
        <w:rPr>
          <w:color w:val="222222"/>
          <w:sz w:val="20"/>
          <w:szCs w:val="20"/>
        </w:rPr>
        <w:t xml:space="preserve">Pham, Q.-H., et al. (2026). Real-time 3D light-field viewing with eye tracking on conventional displays. Proceedings of AIVR 2025, Springer.</w:t>
      </w:r>
    </w:p>
    <w:p>
      <w:pPr>
        <w:spacing w:after="60" w:line="264"/>
        <w:ind w:left="360" w:hanging="360"/>
      </w:pPr>
      <w:r>
        <w:rPr>
          <w:color w:val="222222"/>
          <w:sz w:val="20"/>
          <w:szCs w:val="20"/>
        </w:rPr>
        <w:t xml:space="preserve">Porcheron, M., Fischer, J. E., Reeves, S., &amp; Sharples, S. (2018). Voice interfaces in everyday life. CHI 2018. [As indexed.]</w:t>
      </w:r>
    </w:p>
    <w:p>
      <w:pPr>
        <w:spacing w:after="60" w:line="264"/>
        <w:ind w:left="360" w:hanging="360"/>
      </w:pPr>
      <w:r>
        <w:rPr>
          <w:color w:val="222222"/>
          <w:sz w:val="20"/>
          <w:szCs w:val="20"/>
        </w:rPr>
        <w:t xml:space="preserve">Pousman, Z., &amp; Stasko, J. (2006). A taxonomy of ambient information systems: four patterns of design. AVI 2006. [As indexed.]</w:t>
      </w:r>
    </w:p>
    <w:p>
      <w:pPr>
        <w:spacing w:after="60" w:line="264"/>
        <w:ind w:left="360" w:hanging="360"/>
      </w:pPr>
      <w:r>
        <w:rPr>
          <w:color w:val="222222"/>
          <w:sz w:val="20"/>
          <w:szCs w:val="20"/>
        </w:rPr>
        <w:t xml:space="preserve">Prajwal, K. R., Mukhopadhyay, R., Namboodiri, V. P., &amp; Jawahar, C. V. (2020). A lip sync expert is all you need for speech to lip generation in the wild (Wav2Lip). ACM Multimedia 2020. [As indexed.]</w:t>
      </w:r>
    </w:p>
    <w:p>
      <w:pPr>
        <w:spacing w:after="60" w:line="264"/>
        <w:ind w:left="360" w:hanging="360"/>
      </w:pPr>
      <w:r>
        <w:rPr>
          <w:color w:val="222222"/>
          <w:sz w:val="20"/>
          <w:szCs w:val="20"/>
        </w:rPr>
        <w:t xml:space="preserve">PrismAvatar (2025). Real-time animated 3D neural head avatars on edge devices. arXiv:2502.07030.</w:t>
      </w:r>
    </w:p>
    <w:p>
      <w:pPr>
        <w:spacing w:after="60" w:line="264"/>
        <w:ind w:left="360" w:hanging="360"/>
      </w:pPr>
      <w:r>
        <w:rPr>
          <w:color w:val="222222"/>
          <w:sz w:val="20"/>
          <w:szCs w:val="20"/>
        </w:rPr>
        <w:t xml:space="preserve">Pseudo-holographic display of plant models based on Pepper's Ghost illusion (2024). IEEE conference publication 10760178. [As indexed.]</w:t>
      </w:r>
    </w:p>
    <w:p>
      <w:pPr>
        <w:spacing w:after="60" w:line="264"/>
        <w:ind w:left="360" w:hanging="360"/>
      </w:pPr>
      <w:r>
        <w:rPr>
          <w:color w:val="222222"/>
          <w:sz w:val="20"/>
          <w:szCs w:val="20"/>
        </w:rPr>
        <w:t xml:space="preserve">Qwen Team (2025). Qwen3 technical report. arXiv:2505.09388.</w:t>
      </w:r>
    </w:p>
    <w:p>
      <w:pPr>
        <w:spacing w:after="60" w:line="264"/>
        <w:ind w:left="360" w:hanging="360"/>
      </w:pPr>
      <w:r>
        <w:rPr>
          <w:color w:val="222222"/>
          <w:sz w:val="20"/>
          <w:szCs w:val="20"/>
        </w:rPr>
        <w:t xml:space="preserve">Radford, A., Kim, J. W., Xu, T., Brockman, G., McLeavey, C., &amp; Sutskever, I. (2023). Robust speech recognition via large-scale weak supervision (Whisper). ICML 2023, PMLR 202, 28492–28518.</w:t>
      </w:r>
    </w:p>
    <w:p>
      <w:pPr>
        <w:spacing w:after="60" w:line="264"/>
        <w:ind w:left="360" w:hanging="360"/>
      </w:pPr>
      <w:r>
        <w:rPr>
          <w:color w:val="222222"/>
          <w:sz w:val="20"/>
          <w:szCs w:val="20"/>
        </w:rPr>
        <w:t xml:space="preserve">Real-time 3D visualization of radiance fields on light field displays (2025). arXiv:2508.18540.</w:t>
      </w:r>
    </w:p>
    <w:p>
      <w:pPr>
        <w:spacing w:after="60" w:line="264"/>
        <w:ind w:left="360" w:hanging="360"/>
      </w:pPr>
      <w:r>
        <w:rPr>
          <w:color w:val="222222"/>
          <w:sz w:val="20"/>
          <w:szCs w:val="20"/>
        </w:rPr>
        <w:t xml:space="preserve">Reeves, B., &amp; Nass, C. (1996). The Media Equation: How People Treat Computers, Television, and New Media Like Real People and Places. Cambridge University Press.</w:t>
      </w:r>
    </w:p>
    <w:p>
      <w:pPr>
        <w:spacing w:after="60" w:line="264"/>
        <w:ind w:left="360" w:hanging="360"/>
      </w:pPr>
      <w:r>
        <w:rPr>
          <w:color w:val="222222"/>
          <w:sz w:val="20"/>
          <w:szCs w:val="20"/>
        </w:rPr>
        <w:t xml:space="preserve">Ren, H., et al. (2020). Tabletop true three-dimensional display technologies: a review. Journal of the Society for Information Display.</w:t>
      </w:r>
    </w:p>
    <w:p>
      <w:pPr>
        <w:spacing w:after="60" w:line="264"/>
        <w:ind w:left="360" w:hanging="360"/>
      </w:pPr>
      <w:r>
        <w:rPr>
          <w:color w:val="222222"/>
          <w:sz w:val="20"/>
          <w:szCs w:val="20"/>
        </w:rPr>
        <w:t xml:space="preserve">Ren, Y., et al. (2021). FastSpeech 2: fast and high-quality end-to-end text to speech. ICLR 2021.</w:t>
      </w:r>
    </w:p>
    <w:p>
      <w:pPr>
        <w:spacing w:after="60" w:line="264"/>
        <w:ind w:left="360" w:hanging="360"/>
      </w:pPr>
      <w:r>
        <w:rPr>
          <w:color w:val="222222"/>
          <w:sz w:val="20"/>
          <w:szCs w:val="20"/>
        </w:rPr>
        <w:t xml:space="preserve">Richard, A., Zollhöfer, M., Wen, Y., de la Torre, F., &amp; Sheikh, Y. (2021). MeshTalk: 3D face animation from speech using cross-modality disentanglement. ICCV 2021.</w:t>
      </w:r>
    </w:p>
    <w:p>
      <w:pPr>
        <w:spacing w:after="60" w:line="264"/>
        <w:ind w:left="360" w:hanging="360"/>
      </w:pPr>
      <w:r>
        <w:rPr>
          <w:color w:val="222222"/>
          <w:sz w:val="20"/>
          <w:szCs w:val="20"/>
        </w:rPr>
        <w:t xml:space="preserve">Sacks, H., Schegloff, E. A., &amp; Jefferson, G. (1974). A simplest systematics for the organization of turn-taking for conversation. Language, 50(4), 696–735.</w:t>
      </w:r>
    </w:p>
    <w:p>
      <w:pPr>
        <w:spacing w:after="60" w:line="264"/>
        <w:ind w:left="360" w:hanging="360"/>
      </w:pPr>
      <w:r>
        <w:rPr>
          <w:color w:val="222222"/>
          <w:sz w:val="20"/>
          <w:szCs w:val="20"/>
        </w:rPr>
        <w:t xml:space="preserve">Sahin, E., Stoykova, E., Mäkinen, J., &amp; Gotchev, A. (2020). Computer-generated holograms for 3D imaging: a survey. ACM Computing Surveys, 53(2). [As indexed.]</w:t>
      </w:r>
    </w:p>
    <w:p>
      <w:pPr>
        <w:spacing w:after="60" w:line="264"/>
        <w:ind w:left="360" w:hanging="360"/>
      </w:pPr>
      <w:r>
        <w:rPr>
          <w:color w:val="222222"/>
          <w:sz w:val="20"/>
          <w:szCs w:val="20"/>
        </w:rPr>
        <w:t xml:space="preserve">Satyanarayanan, M. (2017). The emergence of edge computing. IEEE Computer, 50(1), 30–39.</w:t>
      </w:r>
    </w:p>
    <w:p>
      <w:pPr>
        <w:spacing w:after="60" w:line="264"/>
        <w:ind w:left="360" w:hanging="360"/>
      </w:pPr>
      <w:r>
        <w:rPr>
          <w:color w:val="222222"/>
          <w:sz w:val="20"/>
          <w:szCs w:val="20"/>
        </w:rPr>
        <w:t xml:space="preserve">Schick, T., et al. (2023). Toolformer: language models can teach themselves to use tools. NeurIPS 2023.</w:t>
      </w:r>
    </w:p>
    <w:p>
      <w:pPr>
        <w:spacing w:after="60" w:line="264"/>
        <w:ind w:left="360" w:hanging="360"/>
      </w:pPr>
      <w:r>
        <w:rPr>
          <w:color w:val="222222"/>
          <w:sz w:val="20"/>
          <w:szCs w:val="20"/>
        </w:rPr>
        <w:t xml:space="preserve">Sciuto, A., Saini, A., Forlizzi, J., &amp; Hong, J. I. (2018). Hey Alexa, what's up? A mixed-methods study of in-home conversational agent usage. DIS 2018. [As indexed.]</w:t>
      </w:r>
    </w:p>
    <w:p>
      <w:pPr>
        <w:spacing w:after="60" w:line="264"/>
        <w:ind w:left="360" w:hanging="360"/>
      </w:pPr>
      <w:r>
        <w:rPr>
          <w:color w:val="222222"/>
          <w:sz w:val="20"/>
          <w:szCs w:val="20"/>
        </w:rPr>
        <w:t xml:space="preserve">Shakhatreh, H., et al. (2019). Unmanned aerial vehicles: a survey on civil applications and key research challenges. IEEE Access, 7, 48572–48634.</w:t>
      </w:r>
    </w:p>
    <w:p>
      <w:pPr>
        <w:spacing w:after="60" w:line="264"/>
        <w:ind w:left="360" w:hanging="360"/>
      </w:pPr>
      <w:r>
        <w:rPr>
          <w:color w:val="222222"/>
          <w:sz w:val="20"/>
          <w:szCs w:val="20"/>
        </w:rPr>
        <w:t xml:space="preserve">Shen, J., et al. (2018). Natural TTS synthesis by conditioning WaveNet on mel spectrogram predictions (Tacotron 2). ICASSP 2018.</w:t>
      </w:r>
    </w:p>
    <w:p>
      <w:pPr>
        <w:spacing w:after="60" w:line="264"/>
        <w:ind w:left="360" w:hanging="360"/>
      </w:pPr>
      <w:r>
        <w:rPr>
          <w:color w:val="222222"/>
          <w:sz w:val="20"/>
          <w:szCs w:val="20"/>
        </w:rPr>
        <w:t xml:space="preserve">Shi, L., Li, B., Kim, C., Kellnhofer, P., &amp; Matusik, W. (2021). Towards real-time photorealistic 3D holography with deep neural networks. Nature, 591(7849), 234–239. DOI 10.1038/s41586-020-03152-0. Author Correction: Nature, 593(7858), E13 (2021).</w:t>
      </w:r>
    </w:p>
    <w:p>
      <w:pPr>
        <w:spacing w:after="60" w:line="264"/>
        <w:ind w:left="360" w:hanging="360"/>
      </w:pPr>
      <w:r>
        <w:rPr>
          <w:color w:val="222222"/>
          <w:sz w:val="20"/>
          <w:szCs w:val="20"/>
        </w:rPr>
        <w:t xml:space="preserve">Shi, W., Cao, J., Zhang, Q., Li, Y., &amp; Xu, L. (2016). Edge computing: vision and challenges. IEEE Internet of Things Journal, 3(5), 637–646.</w:t>
      </w:r>
    </w:p>
    <w:p>
      <w:pPr>
        <w:spacing w:after="60" w:line="264"/>
        <w:ind w:left="360" w:hanging="360"/>
      </w:pPr>
      <w:r>
        <w:rPr>
          <w:color w:val="222222"/>
          <w:sz w:val="20"/>
          <w:szCs w:val="20"/>
        </w:rPr>
        <w:t xml:space="preserve">Shinn, N., et al. (2023). Reflexion: language agents with verbal reinforcement learning. NeurIPS 2023.</w:t>
      </w:r>
    </w:p>
    <w:p>
      <w:pPr>
        <w:spacing w:after="60" w:line="264"/>
        <w:ind w:left="360" w:hanging="360"/>
      </w:pPr>
      <w:r>
        <w:rPr>
          <w:color w:val="222222"/>
          <w:sz w:val="20"/>
          <w:szCs w:val="20"/>
        </w:rPr>
        <w:t xml:space="preserve">Shokri, R., &amp; Shmatikov, V. (2015). Privacy-preserving deep learning. ACM CCS 2015. [As indexed.]</w:t>
      </w:r>
    </w:p>
    <w:p>
      <w:pPr>
        <w:spacing w:after="60" w:line="264"/>
        <w:ind w:left="360" w:hanging="360"/>
      </w:pPr>
      <w:r>
        <w:rPr>
          <w:color w:val="222222"/>
          <w:sz w:val="20"/>
          <w:szCs w:val="20"/>
        </w:rPr>
        <w:t xml:space="preserve">Shuvo, M. M. H., et al. (2023). Efficient acceleration of deep learning inference on resource-constrained edge devices: a review. Proceedings of the IEEE, 111(1), 42–91.</w:t>
      </w:r>
    </w:p>
    <w:p>
      <w:pPr>
        <w:spacing w:after="60" w:line="264"/>
        <w:ind w:left="360" w:hanging="360"/>
      </w:pPr>
      <w:r>
        <w:rPr>
          <w:color w:val="222222"/>
          <w:sz w:val="20"/>
          <w:szCs w:val="20"/>
        </w:rPr>
        <w:t xml:space="preserve">Skjuve, M., Følstad, A., Fostervold, K. I., &amp; Brandtzaeg, P. B. (2021). My chatbot companion: a study of human-chatbot relationships. International Journal of Human-Computer Studies, 149. [As indexed.]</w:t>
      </w:r>
    </w:p>
    <w:p>
      <w:pPr>
        <w:spacing w:after="60" w:line="264"/>
        <w:ind w:left="360" w:hanging="360"/>
      </w:pPr>
      <w:r>
        <w:rPr>
          <w:color w:val="222222"/>
          <w:sz w:val="20"/>
          <w:szCs w:val="20"/>
        </w:rPr>
        <w:t xml:space="preserve">Smalley, D. E., et al. (2018). A photophoretic-trap volumetric display. Nature, 553(7689), 486–490. DOI 10.1038/nature25176.</w:t>
      </w:r>
    </w:p>
    <w:p>
      <w:pPr>
        <w:spacing w:after="60" w:line="264"/>
        <w:ind w:left="360" w:hanging="360"/>
      </w:pPr>
      <w:r>
        <w:rPr>
          <w:color w:val="222222"/>
          <w:sz w:val="20"/>
          <w:szCs w:val="20"/>
        </w:rPr>
        <w:t xml:space="preserve">Solaiman, I. (2023). The gradient of generative AI release: methods and considerations. ACM FAccT 2023. [As indexed.]</w:t>
      </w:r>
    </w:p>
    <w:p>
      <w:pPr>
        <w:spacing w:after="60" w:line="264"/>
        <w:ind w:left="360" w:hanging="360"/>
      </w:pPr>
      <w:r>
        <w:rPr>
          <w:color w:val="222222"/>
          <w:sz w:val="20"/>
          <w:szCs w:val="20"/>
        </w:rPr>
        <w:t xml:space="preserve">Stivers, T., et al. (2009). Universals and cultural variation in turn-taking in conversation. PNAS, 106(26), 10587–10592. DOI 10.1073/pnas.0903616106.</w:t>
      </w:r>
    </w:p>
    <w:p>
      <w:pPr>
        <w:spacing w:after="60" w:line="264"/>
        <w:ind w:left="360" w:hanging="360"/>
      </w:pPr>
      <w:r>
        <w:rPr>
          <w:color w:val="222222"/>
          <w:sz w:val="20"/>
          <w:szCs w:val="20"/>
        </w:rPr>
        <w:t xml:space="preserve">Suwajanakorn, S., Seitz, S. M., &amp; Kemelmacher-Shlizerman, I. (2017). Synthesizing Obama: learning lip sync from audio. ACM SIGGRAPH 2017.</w:t>
      </w:r>
    </w:p>
    <w:p>
      <w:pPr>
        <w:spacing w:after="60" w:line="264"/>
        <w:ind w:left="360" w:hanging="360"/>
      </w:pPr>
      <w:r>
        <w:rPr>
          <w:color w:val="222222"/>
          <w:sz w:val="20"/>
          <w:szCs w:val="20"/>
        </w:rPr>
        <w:t xml:space="preserve">Ta, V., et al. (2020). User experiences of social support from companion chatbots in everyday contexts. Journal of Medical Internet Research, 22(3). [As indexed.]</w:t>
      </w:r>
    </w:p>
    <w:p>
      <w:pPr>
        <w:spacing w:after="60" w:line="264"/>
        <w:ind w:left="360" w:hanging="360"/>
      </w:pPr>
      <w:r>
        <w:rPr>
          <w:color w:val="222222"/>
          <w:sz w:val="20"/>
          <w:szCs w:val="20"/>
        </w:rPr>
        <w:t xml:space="preserve">Tang, Y., et al. (2023). SayTap: language to quadrupedal locomotion. CoRL 2023.</w:t>
      </w:r>
    </w:p>
    <w:p>
      <w:pPr>
        <w:spacing w:after="60" w:line="264"/>
        <w:ind w:left="360" w:hanging="360"/>
      </w:pPr>
      <w:r>
        <w:rPr>
          <w:color w:val="222222"/>
          <w:sz w:val="20"/>
          <w:szCs w:val="20"/>
        </w:rPr>
        <w:t xml:space="preserve">Thies, J., Elgharib, M., Tewari, A., Theobalt, C., &amp; Nießner, M. (2020). Neural voice puppetry: audio-driven facial reenactment. ECCV 2020.</w:t>
      </w:r>
    </w:p>
    <w:p>
      <w:pPr>
        <w:spacing w:after="60" w:line="264"/>
        <w:ind w:left="360" w:hanging="360"/>
      </w:pPr>
      <w:r>
        <w:rPr>
          <w:color w:val="222222"/>
          <w:sz w:val="20"/>
          <w:szCs w:val="20"/>
        </w:rPr>
        <w:t xml:space="preserve">Touvron, H., et al. (2023). LLaMA: open and efficient foundation language models. arXiv:2302.13971. [As indexed.]</w:t>
      </w:r>
    </w:p>
    <w:p>
      <w:pPr>
        <w:spacing w:after="60" w:line="264"/>
        <w:ind w:left="360" w:hanging="360"/>
      </w:pPr>
      <w:r>
        <w:rPr>
          <w:color w:val="222222"/>
          <w:sz w:val="20"/>
          <w:szCs w:val="20"/>
        </w:rPr>
        <w:t xml:space="preserve">Urey, H., Chellappan, K. V., Erden, E., &amp; Surman, P. (2011). State of the art in stereoscopic and autostereoscopic displays. Proceedings of the IEEE, 99(4), 540–555.</w:t>
      </w:r>
    </w:p>
    <w:p>
      <w:pPr>
        <w:spacing w:after="60" w:line="264"/>
        <w:ind w:left="360" w:hanging="360"/>
      </w:pPr>
      <w:r>
        <w:rPr>
          <w:color w:val="222222"/>
          <w:sz w:val="20"/>
          <w:szCs w:val="20"/>
        </w:rPr>
        <w:t xml:space="preserve">van den Oord, A., et al. (2016). WaveNet: a generative model for raw audio. arXiv:1609.03499.</w:t>
      </w:r>
    </w:p>
    <w:p>
      <w:pPr>
        <w:spacing w:after="60" w:line="264"/>
        <w:ind w:left="360" w:hanging="360"/>
      </w:pPr>
      <w:r>
        <w:rPr>
          <w:color w:val="222222"/>
          <w:sz w:val="20"/>
          <w:szCs w:val="20"/>
        </w:rPr>
        <w:t xml:space="preserve">Vaswani, A., et al. (2017). Attention is all you need. NeurIPS 2017. [As indexed.]</w:t>
      </w:r>
    </w:p>
    <w:p>
      <w:pPr>
        <w:spacing w:after="60" w:line="264"/>
        <w:ind w:left="360" w:hanging="360"/>
      </w:pPr>
      <w:r>
        <w:rPr>
          <w:color w:val="222222"/>
          <w:sz w:val="20"/>
          <w:szCs w:val="20"/>
        </w:rPr>
        <w:t xml:space="preserve">Vemprala, S., Bonatti, R., Bucker, A., &amp; Kapoor, A. (2023). ChatGPT for robotics: design principles and model abilities. IEEE Access.</w:t>
      </w:r>
    </w:p>
    <w:p>
      <w:pPr>
        <w:spacing w:after="60" w:line="264"/>
        <w:ind w:left="360" w:hanging="360"/>
      </w:pPr>
      <w:r>
        <w:rPr>
          <w:color w:val="222222"/>
          <w:sz w:val="20"/>
          <w:szCs w:val="20"/>
        </w:rPr>
        <w:t xml:space="preserve">Wang, C., et al. (2023). Neural codec language models are zero-shot text-to-speech synthesizers (VALL-E). arXiv:2301.02111.</w:t>
      </w:r>
    </w:p>
    <w:p>
      <w:pPr>
        <w:spacing w:after="60" w:line="264"/>
        <w:ind w:left="360" w:hanging="360"/>
      </w:pPr>
      <w:r>
        <w:rPr>
          <w:color w:val="222222"/>
          <w:sz w:val="20"/>
          <w:szCs w:val="20"/>
        </w:rPr>
        <w:t xml:space="preserve">Wang, T., et al. (2023). Rodin: a generative model for sculpting 3D digital avatars using diffusion. CVPR 2023.</w:t>
      </w:r>
    </w:p>
    <w:p>
      <w:pPr>
        <w:spacing w:after="60" w:line="264"/>
        <w:ind w:left="360" w:hanging="360"/>
      </w:pPr>
      <w:r>
        <w:rPr>
          <w:color w:val="222222"/>
          <w:sz w:val="20"/>
          <w:szCs w:val="20"/>
        </w:rPr>
        <w:t xml:space="preserve">Wang, Z., et al. (2025). Empowering large language models to edge intelligence: a survey of edge-efficient LLM techniques. Computer Science Review. [As indexed.]</w:t>
      </w:r>
    </w:p>
    <w:p>
      <w:pPr>
        <w:spacing w:after="60" w:line="264"/>
        <w:ind w:left="360" w:hanging="360"/>
      </w:pPr>
      <w:r>
        <w:rPr>
          <w:color w:val="222222"/>
          <w:sz w:val="20"/>
          <w:szCs w:val="20"/>
        </w:rPr>
        <w:t xml:space="preserve">Wei, J., et al. (2022). Chain-of-thought prompting elicits reasoning in large language models. NeurIPS 2022.</w:t>
      </w:r>
    </w:p>
    <w:p>
      <w:pPr>
        <w:spacing w:after="60" w:line="264"/>
        <w:ind w:left="360" w:hanging="360"/>
      </w:pPr>
      <w:r>
        <w:rPr>
          <w:color w:val="222222"/>
          <w:sz w:val="20"/>
          <w:szCs w:val="20"/>
        </w:rPr>
        <w:t xml:space="preserve">Weiser, M., &amp; Brown, J. S. (1996/1997). The coming age of calm technology. In Beyond Calculation. Springer. [As indexed.]</w:t>
      </w:r>
    </w:p>
    <w:p>
      <w:pPr>
        <w:spacing w:after="60" w:line="264"/>
        <w:ind w:left="360" w:hanging="360"/>
      </w:pPr>
      <w:r>
        <w:rPr>
          <w:color w:val="222222"/>
          <w:sz w:val="20"/>
          <w:szCs w:val="20"/>
        </w:rPr>
        <w:t xml:space="preserve">Wetzstein, G., Lanman, D., Hirsch, M., &amp; Raskar, R. (2012). Tensor displays: compressive light field synthesis. ACM SIGGRAPH 2012.</w:t>
      </w:r>
    </w:p>
    <w:p>
      <w:pPr>
        <w:spacing w:after="60" w:line="264"/>
        <w:ind w:left="360" w:hanging="360"/>
      </w:pPr>
      <w:r>
        <w:rPr>
          <w:color w:val="222222"/>
          <w:sz w:val="20"/>
          <w:szCs w:val="20"/>
        </w:rPr>
        <w:t xml:space="preserve">Widder, D. G., West, S., &amp; Whittaker, M. (2023). Open (for business): big tech, concentrated power, and the political economy of open AI. SSRN preprint.</w:t>
      </w:r>
    </w:p>
    <w:p>
      <w:pPr>
        <w:spacing w:after="60" w:line="264"/>
        <w:ind w:left="360" w:hanging="360"/>
      </w:pPr>
      <w:r>
        <w:rPr>
          <w:color w:val="222222"/>
          <w:sz w:val="20"/>
          <w:szCs w:val="20"/>
        </w:rPr>
        <w:t xml:space="preserve">Wisneski, C., Ishii, H., et al. (1998). Ambient displays: turning architectural space into an interface between people and digital information. CoBuild 1998, Springer. [As indexed.]</w:t>
      </w:r>
    </w:p>
    <w:p>
      <w:pPr>
        <w:spacing w:after="60" w:line="264"/>
        <w:ind w:left="360" w:hanging="360"/>
      </w:pPr>
      <w:r>
        <w:rPr>
          <w:color w:val="222222"/>
          <w:sz w:val="20"/>
          <w:szCs w:val="20"/>
        </w:rPr>
        <w:t xml:space="preserve">Witmer, B. G., &amp; Singer, M. J. (1998). Measuring presence in virtual environments: a presence questionnaire. Presence: Teleoperators and Virtual Environments, 7(3), 225–240.</w:t>
      </w:r>
    </w:p>
    <w:p>
      <w:pPr>
        <w:spacing w:after="60" w:line="264"/>
        <w:ind w:left="360" w:hanging="360"/>
      </w:pPr>
      <w:r>
        <w:rPr>
          <w:color w:val="222222"/>
          <w:sz w:val="20"/>
          <w:szCs w:val="20"/>
        </w:rPr>
        <w:t xml:space="preserve">Wu, Q., et al. (2024). AutoGen: enabling next-gen LLM applications via multi-agent conversation. ICLR 2024. [As indexed.]</w:t>
      </w:r>
    </w:p>
    <w:p>
      <w:pPr>
        <w:spacing w:after="60" w:line="264"/>
        <w:ind w:left="360" w:hanging="360"/>
      </w:pPr>
      <w:r>
        <w:rPr>
          <w:color w:val="222222"/>
          <w:sz w:val="20"/>
          <w:szCs w:val="20"/>
        </w:rPr>
        <w:t xml:space="preserve">Xi, Z., et al. (2023). The rise and potential of large language model based agents: a survey. arXiv:2309.07864.</w:t>
      </w:r>
    </w:p>
    <w:p>
      <w:pPr>
        <w:spacing w:after="60" w:line="264"/>
        <w:ind w:left="360" w:hanging="360"/>
      </w:pPr>
      <w:r>
        <w:rPr>
          <w:color w:val="222222"/>
          <w:sz w:val="20"/>
          <w:szCs w:val="20"/>
        </w:rPr>
        <w:t xml:space="preserve">Xiong, J., Hsiang, E.-L., He, Z., Zhan, T., &amp; Wu, S.-T. (2021). Augmented reality and virtual reality displays: emerging technologies and future perspectives. Light: Science &amp; Applications, 10, 216.</w:t>
      </w:r>
    </w:p>
    <w:p>
      <w:pPr>
        <w:spacing w:after="60" w:line="264"/>
        <w:ind w:left="360" w:hanging="360"/>
      </w:pPr>
      <w:r>
        <w:rPr>
          <w:color w:val="222222"/>
          <w:sz w:val="20"/>
          <w:szCs w:val="20"/>
        </w:rPr>
        <w:t xml:space="preserve">Xu, M., et al. (2025). Mobile edge intelligence for large language models toward 6G. [As indexed.]</w:t>
      </w:r>
    </w:p>
    <w:p>
      <w:pPr>
        <w:spacing w:after="60" w:line="264"/>
        <w:ind w:left="360" w:hanging="360"/>
      </w:pPr>
      <w:r>
        <w:rPr>
          <w:color w:val="222222"/>
          <w:sz w:val="20"/>
          <w:szCs w:val="20"/>
        </w:rPr>
        <w:t xml:space="preserve">Xu, R., et al. (2025). Benchmarking quantized LLMs on Raspberry Pi-class hardware. [As indexed.]</w:t>
      </w:r>
    </w:p>
    <w:p>
      <w:pPr>
        <w:spacing w:after="60" w:line="264"/>
        <w:ind w:left="360" w:hanging="360"/>
      </w:pPr>
      <w:r>
        <w:rPr>
          <w:color w:val="222222"/>
          <w:sz w:val="20"/>
          <w:szCs w:val="20"/>
        </w:rPr>
        <w:t xml:space="preserve">Xu, S., Chen, G., Guo, Y.-X., Yang, J., Li, C., Zang, Z., Zhang, Y., Tong, X., &amp; Guo, B. (2024). VASA-1: lifelike audio-driven talking faces generated in real time. NeurIPS 2024 (main track, oral); arXiv:2404.10667. [No DOI assigned; cite via proceedings.]</w:t>
      </w:r>
    </w:p>
    <w:p>
      <w:pPr>
        <w:spacing w:after="60" w:line="264"/>
        <w:ind w:left="360" w:hanging="360"/>
      </w:pPr>
      <w:r>
        <w:rPr>
          <w:color w:val="222222"/>
          <w:sz w:val="20"/>
          <w:szCs w:val="20"/>
        </w:rPr>
        <w:t xml:space="preserve">Xu, X., et al. (2024). A survey on knowledge distillation of large language models. arXiv:2402.13116.</w:t>
      </w:r>
    </w:p>
    <w:p>
      <w:pPr>
        <w:spacing w:after="60" w:line="264"/>
        <w:ind w:left="360" w:hanging="360"/>
      </w:pPr>
      <w:r>
        <w:rPr>
          <w:color w:val="222222"/>
          <w:sz w:val="20"/>
          <w:szCs w:val="20"/>
        </w:rPr>
        <w:t xml:space="preserve">Yamamoto, K., et al. (2019). Holographic Pepper's Ghost: upright virtual-image screen realized by holographic mirror. IntechOpen.</w:t>
      </w:r>
    </w:p>
    <w:p>
      <w:pPr>
        <w:spacing w:after="60" w:line="264"/>
        <w:ind w:left="360" w:hanging="360"/>
      </w:pPr>
      <w:r>
        <w:rPr>
          <w:color w:val="222222"/>
          <w:sz w:val="20"/>
          <w:szCs w:val="20"/>
        </w:rPr>
        <w:t xml:space="preserve">Yang, L., et al. (2023). Contactless human-computer interaction system based on three-dimensional holographic display and gesture recognition. Applied Physics B, 130.</w:t>
      </w:r>
    </w:p>
    <w:p>
      <w:pPr>
        <w:spacing w:after="60" w:line="264"/>
        <w:ind w:left="360" w:hanging="360"/>
      </w:pPr>
      <w:r>
        <w:rPr>
          <w:color w:val="222222"/>
          <w:sz w:val="20"/>
          <w:szCs w:val="20"/>
        </w:rPr>
        <w:t xml:space="preserve">Yang, S., &amp; Hou, M. (2025). Holographic interaction design and user behavior analysis based on holographic display. HCI International 2025, Springer LNCS.</w:t>
      </w:r>
    </w:p>
    <w:p>
      <w:pPr>
        <w:spacing w:after="60" w:line="264"/>
        <w:ind w:left="360" w:hanging="360"/>
      </w:pPr>
      <w:r>
        <w:rPr>
          <w:color w:val="222222"/>
          <w:sz w:val="20"/>
          <w:szCs w:val="20"/>
        </w:rPr>
        <w:t xml:space="preserve">Yao, S., et al. (2023). ReAct: synergizing reasoning and acting in language models. ICLR 2023.</w:t>
      </w:r>
    </w:p>
    <w:p>
      <w:pPr>
        <w:spacing w:after="60" w:line="264"/>
        <w:ind w:left="360" w:hanging="360"/>
      </w:pPr>
      <w:r>
        <w:rPr>
          <w:color w:val="222222"/>
          <w:sz w:val="20"/>
          <w:szCs w:val="20"/>
        </w:rPr>
        <w:t xml:space="preserve">Yao, Y., et al. (2025). MiniCPM-V: efficient multimodal LLMs on end-side devices. Nature Communications. [As indexed.]</w:t>
      </w:r>
    </w:p>
    <w:p>
      <w:pPr>
        <w:spacing w:after="60" w:line="264"/>
        <w:ind w:left="360" w:hanging="360"/>
      </w:pPr>
      <w:r>
        <w:rPr>
          <w:color w:val="222222"/>
          <w:sz w:val="20"/>
          <w:szCs w:val="20"/>
        </w:rPr>
        <w:t xml:space="preserve">Yousefpour, A., et al. (2019). All one needs to know about fog computing and related edge computing paradigms: a complete survey. Journal of Systems Architecture, 98, 289–330.</w:t>
      </w:r>
    </w:p>
    <w:p>
      <w:pPr>
        <w:spacing w:after="60" w:line="264"/>
        <w:ind w:left="360" w:hanging="360"/>
      </w:pPr>
      <w:r>
        <w:rPr>
          <w:color w:val="222222"/>
          <w:sz w:val="20"/>
          <w:szCs w:val="20"/>
        </w:rPr>
        <w:t xml:space="preserve">Zhang, B., &amp; Soh, H. (2023). Large language models as zero-shot human models for human-robot interaction. IROS 2023.</w:t>
      </w:r>
    </w:p>
    <w:p>
      <w:pPr>
        <w:spacing w:after="60" w:line="264"/>
        <w:ind w:left="360" w:hanging="360"/>
      </w:pPr>
      <w:r>
        <w:rPr>
          <w:color w:val="222222"/>
          <w:sz w:val="20"/>
          <w:szCs w:val="20"/>
        </w:rPr>
        <w:t xml:space="preserve">Zhang, W., et al. (2023). SadTalker: learning realistic 3D motion coefficients for stylized audio-driven single-image talking face animation. CVPR 2023.</w:t>
      </w:r>
    </w:p>
    <w:p>
      <w:pPr>
        <w:spacing w:after="60" w:line="264"/>
        <w:ind w:left="360" w:hanging="360"/>
      </w:pPr>
      <w:r>
        <w:rPr>
          <w:color w:val="222222"/>
          <w:sz w:val="20"/>
          <w:szCs w:val="20"/>
        </w:rPr>
        <w:t xml:space="preserve">Zhou, Z., et al. (2019). Edge intelligence: paving the last mile of artificial intelligence with edge computing. Proceedings of the IEEE, 107(8), 1738–1762.</w:t>
      </w:r>
    </w:p>
    <w:p>
      <w:pPr>
        <w:spacing w:after="60" w:line="264"/>
        <w:ind w:left="360" w:hanging="360"/>
      </w:pPr>
      <w:r>
        <w:rPr>
          <w:color w:val="222222"/>
          <w:sz w:val="20"/>
          <w:szCs w:val="20"/>
        </w:rPr>
        <w:t xml:space="preserve">Zimmerman, J., Forlizzi, J., &amp; Evenson, S. (2007). Research through design as a method for interaction design research in HCI. CHI 2007, 493–502. DOI 10.1145/1240624.1240704.</w:t>
      </w:r>
    </w:p>
    <w:p>
      <w:pPr>
        <w:spacing w:after="60" w:line="264"/>
        <w:ind w:left="360" w:hanging="360"/>
      </w:pPr>
      <w:r>
        <w:rPr>
          <w:color w:val="222222"/>
          <w:sz w:val="20"/>
          <w:szCs w:val="20"/>
        </w:rPr>
        <w:t xml:space="preserve">Zimmerman, J., Stolterman, E., &amp; Forlizzi, J. (2010). An analysis and critique of research through design: towards a formalization of a research approach. DIS 2010, 310–319. DOI 10.1145/1858171.1858228.</w:t>
      </w:r>
    </w:p>
    <w:p>
      <w:pPr>
        <w:spacing w:after="60" w:line="264"/>
        <w:ind w:left="360" w:hanging="360"/>
      </w:pPr>
      <w:r>
        <w:rPr>
          <w:color w:val="222222"/>
          <w:sz w:val="20"/>
          <w:szCs w:val="20"/>
        </w:rPr>
        <w:t xml:space="preserve">Zitkovich, B., et al. (2023). RT-2: vision-language-action models transfer web knowledge to robotic control. CoRL 2023.</w:t>
      </w:r>
    </w:p>
    <w:p>
      <w:pPr>
        <w:spacing w:after="60" w:line="264"/>
        <w:ind w:left="360" w:hanging="360"/>
      </w:pPr>
      <w:r>
        <w:rPr>
          <w:color w:val="222222"/>
          <w:sz w:val="20"/>
          <w:szCs w:val="20"/>
        </w:rPr>
        <w:t xml:space="preserve">Zollhöfer, M., et al. (2018). State of the art on monocular 3D face reconstruction, tracking, and applications. Computer Graphics Forum (Eurographics STAR), 37(2).</w:t>
      </w:r>
    </w:p>
    <w:p>
      <w:pPr>
        <w:pStyle w:val="Heading3"/>
        <w:spacing w:after="100" w:before="200"/>
      </w:pPr>
      <w:r>
        <w:rPr>
          <w:rFonts w:ascii="Cambria" w:cs="Cambria" w:eastAsia="Cambria" w:hAnsi="Cambria"/>
          <w:b/>
          <w:bCs/>
          <w:color w:val="31517A"/>
          <w:sz w:val="23"/>
          <w:szCs w:val="23"/>
        </w:rPr>
        <w:t xml:space="preserve">Field-Expert and Industry Sources</w:t>
      </w:r>
    </w:p>
    <w:p>
      <w:pPr>
        <w:spacing w:after="60" w:line="264"/>
        <w:ind w:left="360" w:hanging="360"/>
      </w:pPr>
      <w:r>
        <w:rPr>
          <w:color w:val="222222"/>
          <w:sz w:val="20"/>
          <w:szCs w:val="20"/>
        </w:rPr>
        <w:t xml:space="preserve">Looking Glass Factory (2026, April 29). Looking Glass wins SID Display Industry Award: Display of the Year for Hololuminescent™ Display technology. Press release; award presented at SID Display Week 2026, Los Angeles, May 3–8. </w:t>
      </w:r>
      <w:hyperlink w:history="1" r:id="rIdbi8slgjvswbnldrgjfrj8">
        <w:r>
          <w:rPr>
            <w:color w:val="0B5CAD"/>
            <w:sz w:val="20"/>
            <w:szCs w:val="20"/>
            <w:u w:val="single"/>
          </w:rPr>
          <w:t xml:space="preserve">https://lookingglassfactory.com</w:t>
        </w:r>
      </w:hyperlink>
    </w:p>
    <w:p>
      <w:pPr>
        <w:spacing w:after="60" w:line="264"/>
        <w:ind w:left="360" w:hanging="360"/>
      </w:pPr>
      <w:r>
        <w:rPr>
          <w:color w:val="222222"/>
          <w:sz w:val="20"/>
          <w:szCs w:val="20"/>
        </w:rPr>
        <w:t xml:space="preserve">Looking Glass Factory (2025–2026). Hololuminescent™ Display (HLD) product and technical documentation; HLD 16″ product page. </w:t>
      </w:r>
      <w:hyperlink w:history="1" r:id="rIdflitif9kp3rib_ze0ipvm">
        <w:r>
          <w:rPr>
            <w:color w:val="0B5CAD"/>
            <w:sz w:val="20"/>
            <w:szCs w:val="20"/>
            <w:u w:val="single"/>
          </w:rPr>
          <w:t xml:space="preserve">https://lookingglassfactory.com</w:t>
        </w:r>
      </w:hyperlink>
    </w:p>
    <w:p>
      <w:pPr>
        <w:spacing w:after="60" w:line="264"/>
        <w:ind w:left="360" w:hanging="360"/>
      </w:pPr>
      <w:r>
        <w:rPr>
          <w:color w:val="222222"/>
          <w:sz w:val="20"/>
          <w:szCs w:val="20"/>
        </w:rPr>
        <w:t xml:space="preserve">Looking Glass Factory. Bridge SDK, Unity Plugin, and light-field developer documentation. </w:t>
      </w:r>
      <w:hyperlink w:history="1" r:id="rIdeexty3-rd_xfngphqnzbs">
        <w:r>
          <w:rPr>
            <w:color w:val="0B5CAD"/>
            <w:sz w:val="20"/>
            <w:szCs w:val="20"/>
            <w:u w:val="single"/>
          </w:rPr>
          <w:t xml:space="preserve">https://docs.lookingglassfactory.com</w:t>
        </w:r>
      </w:hyperlink>
    </w:p>
    <w:p>
      <w:pPr>
        <w:spacing w:after="60" w:line="264"/>
        <w:ind w:left="360" w:hanging="360"/>
      </w:pPr>
      <w:r>
        <w:rPr>
          <w:color w:val="222222"/>
          <w:sz w:val="20"/>
          <w:szCs w:val="20"/>
        </w:rPr>
        <w:t xml:space="preserve">Tyson, M. (2025, September). Looking Glass unveils Hololuminescent Displays: pricing from $1,500 for a 16-inch FHD panel. Tom's Hardware. </w:t>
      </w:r>
      <w:hyperlink w:history="1" r:id="rId2csgbhnix45jcbgia0b8a">
        <w:r>
          <w:rPr>
            <w:color w:val="0B5CAD"/>
            <w:sz w:val="20"/>
            <w:szCs w:val="20"/>
            <w:u w:val="single"/>
          </w:rPr>
          <w:t xml:space="preserve">https://www.tomshardware.com</w:t>
        </w:r>
      </w:hyperlink>
    </w:p>
    <w:p>
      <w:pPr>
        <w:spacing w:after="60" w:line="264"/>
        <w:ind w:left="360" w:hanging="360"/>
      </w:pPr>
      <w:r>
        <w:rPr>
          <w:color w:val="222222"/>
          <w:sz w:val="20"/>
          <w:szCs w:val="20"/>
        </w:rPr>
        <w:t xml:space="preserve">Razer Inc. (2026). Razer AVA product and reservation pages: $20 refundable deposit; shipping estimated H2 2026; Grok-powered; wired USB-C PC Vision Mode. </w:t>
      </w:r>
      <w:hyperlink w:history="1" r:id="rIdyvxin6qp8akyeyjifnxem">
        <w:r>
          <w:rPr>
            <w:color w:val="0B5CAD"/>
            <w:sz w:val="20"/>
            <w:szCs w:val="20"/>
            <w:u w:val="single"/>
          </w:rPr>
          <w:t xml:space="preserve">https://www.razer.com/razer-ava</w:t>
        </w:r>
      </w:hyperlink>
    </w:p>
    <w:p>
      <w:pPr>
        <w:spacing w:after="60" w:line="264"/>
        <w:ind w:left="360" w:hanging="360"/>
      </w:pPr>
      <w:r>
        <w:rPr>
          <w:color w:val="222222"/>
          <w:sz w:val="20"/>
          <w:szCs w:val="20"/>
        </w:rPr>
        <w:t xml:space="preserve">PC Guide (2026, July 10). Razer AVA price expectations: analyst estimate $999–$1,299 (unconfirmed). </w:t>
      </w:r>
      <w:hyperlink w:history="1" r:id="rIdyhg2ottc0eusktpwnpttw">
        <w:r>
          <w:rPr>
            <w:color w:val="0B5CAD"/>
            <w:sz w:val="20"/>
            <w:szCs w:val="20"/>
            <w:u w:val="single"/>
          </w:rPr>
          <w:t xml:space="preserve">https://www.pcguide.com</w:t>
        </w:r>
      </w:hyperlink>
    </w:p>
    <w:p>
      <w:pPr>
        <w:spacing w:after="60" w:line="264"/>
        <w:ind w:left="360" w:hanging="360"/>
      </w:pPr>
      <w:r>
        <w:rPr>
          <w:color w:val="222222"/>
          <w:sz w:val="20"/>
          <w:szCs w:val="20"/>
        </w:rPr>
        <w:t xml:space="preserve">dasroot.net (2026, March). Ollama performance: GPU optimization and configuration in 2026 — Ryzen AI 9 HX 370 / Radeon 890M: 14.11 tok/s (Vulkan) vs 12.93 tok/s (ROCm), 8B class, Ollama 0.13.5. </w:t>
      </w:r>
      <w:hyperlink w:history="1" r:id="rIdxqieu3o9_eqdwjz2umypc">
        <w:r>
          <w:rPr>
            <w:color w:val="0B5CAD"/>
            <w:sz w:val="20"/>
            <w:szCs w:val="20"/>
            <w:u w:val="single"/>
          </w:rPr>
          <w:t xml:space="preserve">https://dasroot.net</w:t>
        </w:r>
      </w:hyperlink>
    </w:p>
    <w:p>
      <w:pPr>
        <w:spacing w:after="60" w:line="264"/>
        <w:ind w:left="360" w:hanging="360"/>
      </w:pPr>
      <w:r>
        <w:rPr>
          <w:color w:val="222222"/>
          <w:sz w:val="20"/>
          <w:szCs w:val="20"/>
        </w:rPr>
        <w:t xml:space="preserve">localscore.ai (2026). Community LLM throughput benchmark database: Ryzen AI 9 HX 370 entries. </w:t>
      </w:r>
      <w:hyperlink w:history="1" r:id="rIdc6spubjevlu035dvhidms">
        <w:r>
          <w:rPr>
            <w:color w:val="0B5CAD"/>
            <w:sz w:val="20"/>
            <w:szCs w:val="20"/>
            <w:u w:val="single"/>
          </w:rPr>
          <w:t xml:space="preserve">https://localscore.ai</w:t>
        </w:r>
      </w:hyperlink>
    </w:p>
    <w:p>
      <w:pPr>
        <w:spacing w:after="60" w:line="264"/>
        <w:ind w:left="360" w:hanging="360"/>
      </w:pPr>
      <w:r>
        <w:rPr>
          <w:color w:val="222222"/>
          <w:sz w:val="20"/>
          <w:szCs w:val="20"/>
        </w:rPr>
        <w:t xml:space="preserve">binwh.com (2026, April). Running Ollama with Vulkan acceleration on AMD Ryzen AI integrated graphics. Engineering write-up. </w:t>
      </w:r>
      <w:hyperlink w:history="1" r:id="rIdpf_lpn-de5py62werluyb">
        <w:r>
          <w:rPr>
            <w:color w:val="0B5CAD"/>
            <w:sz w:val="20"/>
            <w:szCs w:val="20"/>
            <w:u w:val="single"/>
          </w:rPr>
          <w:t xml:space="preserve">https://binwh.com</w:t>
        </w:r>
      </w:hyperlink>
    </w:p>
    <w:p>
      <w:pPr>
        <w:spacing w:after="60" w:line="264"/>
        <w:ind w:left="360" w:hanging="360"/>
      </w:pPr>
      <w:r>
        <w:rPr>
          <w:color w:val="222222"/>
          <w:sz w:val="20"/>
          <w:szCs w:val="20"/>
        </w:rPr>
        <w:t xml:space="preserve">Ollama (2024–2026). Documentation and release notes: experimental Vulkan backend (OLLAMA_VULKAN), keep-alive semantics, OpenAI-compatible API. </w:t>
      </w:r>
      <w:hyperlink w:history="1" r:id="rIdf13ockxuy7p5kuw4dlbx4">
        <w:r>
          <w:rPr>
            <w:color w:val="0B5CAD"/>
            <w:sz w:val="20"/>
            <w:szCs w:val="20"/>
            <w:u w:val="single"/>
          </w:rPr>
          <w:t xml:space="preserve">https://ollama.com</w:t>
        </w:r>
      </w:hyperlink>
    </w:p>
    <w:p>
      <w:pPr>
        <w:spacing w:after="60" w:line="264"/>
        <w:ind w:left="360" w:hanging="360"/>
      </w:pPr>
      <w:r>
        <w:rPr>
          <w:color w:val="222222"/>
          <w:sz w:val="20"/>
          <w:szCs w:val="20"/>
        </w:rPr>
        <w:t xml:space="preserve">Gerganov, G., et al. llama.cpp / GGML: portable LLM inference; community WikiText-2 perplexity tables for k-quant formats (non-peer-reviewed engineering benchmarks). </w:t>
      </w:r>
      <w:hyperlink w:history="1" r:id="rIdz-r_srcfaeekcekc3mn-v">
        <w:r>
          <w:rPr>
            <w:color w:val="0B5CAD"/>
            <w:sz w:val="20"/>
            <w:szCs w:val="20"/>
            <w:u w:val="single"/>
          </w:rPr>
          <w:t xml:space="preserve">https://github.com/ggml-org/llama.cpp</w:t>
        </w:r>
      </w:hyperlink>
    </w:p>
    <w:p>
      <w:pPr>
        <w:spacing w:after="60" w:line="264"/>
        <w:ind w:left="360" w:hanging="360"/>
      </w:pPr>
      <w:r>
        <w:rPr>
          <w:color w:val="222222"/>
          <w:sz w:val="20"/>
          <w:szCs w:val="20"/>
        </w:rPr>
        <w:t xml:space="preserve">likelovewant. ollama-for-amd: community builds with extended AMD GPU coverage (gfx1150). </w:t>
      </w:r>
      <w:hyperlink w:history="1" r:id="rIddtdrs9ip5b7kalrjccnz5">
        <w:r>
          <w:rPr>
            <w:color w:val="0B5CAD"/>
            <w:sz w:val="20"/>
            <w:szCs w:val="20"/>
            <w:u w:val="single"/>
          </w:rPr>
          <w:t xml:space="preserve">https://github.com/likelovewant/ollama-for-amd</w:t>
        </w:r>
      </w:hyperlink>
    </w:p>
    <w:p>
      <w:pPr>
        <w:spacing w:after="60" w:line="264"/>
        <w:ind w:left="360" w:hanging="360"/>
      </w:pPr>
      <w:r>
        <w:rPr>
          <w:color w:val="222222"/>
          <w:sz w:val="20"/>
          <w:szCs w:val="20"/>
        </w:rPr>
        <w:t xml:space="preserve">AMD (2024–2026). Ryzen AI 300 series (Strix Point) and Radeon 890M product documentation. </w:t>
      </w:r>
      <w:hyperlink w:history="1" r:id="rIdw017xeltbw6cv7pynuiq0">
        <w:r>
          <w:rPr>
            <w:color w:val="0B5CAD"/>
            <w:sz w:val="20"/>
            <w:szCs w:val="20"/>
            <w:u w:val="single"/>
          </w:rPr>
          <w:t xml:space="preserve">https://www.amd.com</w:t>
        </w:r>
      </w:hyperlink>
    </w:p>
    <w:p>
      <w:pPr>
        <w:spacing w:after="60" w:line="264"/>
        <w:ind w:left="360" w:hanging="360"/>
      </w:pPr>
      <w:r>
        <w:rPr>
          <w:color w:val="222222"/>
          <w:sz w:val="20"/>
          <w:szCs w:val="20"/>
        </w:rPr>
        <w:t xml:space="preserve">SYSTRAN. faster-whisper: CTranslate2 reimplementation of Whisper (CPU INT8 path; no ROCm/Vulkan backend). </w:t>
      </w:r>
      <w:hyperlink w:history="1" r:id="rIdf_yl9kwmqdj423zcvh6aq">
        <w:r>
          <w:rPr>
            <w:color w:val="0B5CAD"/>
            <w:sz w:val="20"/>
            <w:szCs w:val="20"/>
            <w:u w:val="single"/>
          </w:rPr>
          <w:t xml:space="preserve">https://github.com/SYSTRAN/faster-whisper</w:t>
        </w:r>
      </w:hyperlink>
    </w:p>
    <w:p>
      <w:pPr>
        <w:spacing w:after="60" w:line="264"/>
        <w:ind w:left="360" w:hanging="360"/>
      </w:pPr>
      <w:r>
        <w:rPr>
          <w:color w:val="222222"/>
          <w:sz w:val="20"/>
          <w:szCs w:val="20"/>
        </w:rPr>
        <w:t xml:space="preserve">hexgrad (2025). Kokoro-82M: Apache-2.0 82M-parameter neural TTS. Hugging Face model card. </w:t>
      </w:r>
      <w:hyperlink w:history="1" r:id="rIderr4puze8xwtfllme-nhf">
        <w:r>
          <w:rPr>
            <w:color w:val="0B5CAD"/>
            <w:sz w:val="20"/>
            <w:szCs w:val="20"/>
            <w:u w:val="single"/>
          </w:rPr>
          <w:t xml:space="preserve">https://huggingface.co/hexgrad/Kokoro-82M</w:t>
        </w:r>
      </w:hyperlink>
    </w:p>
    <w:p>
      <w:pPr>
        <w:spacing w:after="60" w:line="264"/>
        <w:ind w:left="360" w:hanging="360"/>
      </w:pPr>
      <w:r>
        <w:rPr>
          <w:color w:val="222222"/>
          <w:sz w:val="20"/>
          <w:szCs w:val="20"/>
        </w:rPr>
        <w:t xml:space="preserve">KoljaB. RealtimeSTT / RealtimeTTS: streaming speech pipeline wrappers. </w:t>
      </w:r>
      <w:hyperlink w:history="1" r:id="rId2iv8adnafnbb5o1hr-li6">
        <w:r>
          <w:rPr>
            <w:color w:val="0B5CAD"/>
            <w:sz w:val="20"/>
            <w:szCs w:val="20"/>
            <w:u w:val="single"/>
          </w:rPr>
          <w:t xml:space="preserve">https://github.com/KoljaB/RealtimeTTS</w:t>
        </w:r>
      </w:hyperlink>
    </w:p>
    <w:p>
      <w:pPr>
        <w:spacing w:after="60" w:line="264"/>
        <w:ind w:left="360" w:hanging="360"/>
      </w:pPr>
      <w:r>
        <w:rPr>
          <w:color w:val="222222"/>
          <w:sz w:val="20"/>
          <w:szCs w:val="20"/>
        </w:rPr>
        <w:t xml:space="preserve">dscripka. openWakeWord: open-source wake word detection (ONNX runtime on Windows). </w:t>
      </w:r>
      <w:hyperlink w:history="1" r:id="rId-xfgu2vvql_gvqwrfbd_e">
        <w:r>
          <w:rPr>
            <w:color w:val="0B5CAD"/>
            <w:sz w:val="20"/>
            <w:szCs w:val="20"/>
            <w:u w:val="single"/>
          </w:rPr>
          <w:t xml:space="preserve">https://github.com/dscripka/openWakeWord</w:t>
        </w:r>
      </w:hyperlink>
    </w:p>
    <w:p>
      <w:pPr>
        <w:spacing w:after="60" w:line="264"/>
        <w:ind w:left="360" w:hanging="360"/>
      </w:pPr>
      <w:r>
        <w:rPr>
          <w:color w:val="222222"/>
          <w:sz w:val="20"/>
          <w:szCs w:val="20"/>
        </w:rPr>
        <w:t xml:space="preserve">Picovoice. Porcupine wake word engine documentation. </w:t>
      </w:r>
      <w:hyperlink w:history="1" r:id="rId74yjlds7ffidpelyqqock">
        <w:r>
          <w:rPr>
            <w:color w:val="0B5CAD"/>
            <w:sz w:val="20"/>
            <w:szCs w:val="20"/>
            <w:u w:val="single"/>
          </w:rPr>
          <w:t xml:space="preserve">https://picovoice.ai/platform/porcupine/</w:t>
        </w:r>
      </w:hyperlink>
    </w:p>
    <w:p>
      <w:pPr>
        <w:spacing w:after="60" w:line="264"/>
        <w:ind w:left="360" w:hanging="360"/>
      </w:pPr>
      <w:r>
        <w:rPr>
          <w:color w:val="222222"/>
          <w:sz w:val="20"/>
          <w:szCs w:val="20"/>
        </w:rPr>
        <w:t xml:space="preserve">Open-LLM-VTuber project (2026). v1.2.x documentation: OpenAI-compatible custom base URL; pluggable Agent interface (Letta example). </w:t>
      </w:r>
      <w:hyperlink w:history="1" r:id="rIdqb5ayo8jippjs8qcveurm">
        <w:r>
          <w:rPr>
            <w:color w:val="0B5CAD"/>
            <w:sz w:val="20"/>
            <w:szCs w:val="20"/>
            <w:u w:val="single"/>
          </w:rPr>
          <w:t xml:space="preserve">https://github.com/Open-LLM-VTuber/Open-LLM-VTuber</w:t>
        </w:r>
      </w:hyperlink>
    </w:p>
    <w:p>
      <w:pPr>
        <w:spacing w:after="60" w:line="264"/>
        <w:ind w:left="360" w:hanging="360"/>
      </w:pPr>
      <w:r>
        <w:rPr>
          <w:color w:val="222222"/>
          <w:sz w:val="20"/>
          <w:szCs w:val="20"/>
        </w:rPr>
        <w:t xml:space="preserve">met4citizen. TalkingHead: real-time lip-synced 3D avatars in WebGL; HeadTTS companion server (Kokoro voices with phoneme timestamps). </w:t>
      </w:r>
      <w:hyperlink w:history="1" r:id="rIdh1ng865wwbfrev5-loh7r">
        <w:r>
          <w:rPr>
            <w:color w:val="0B5CAD"/>
            <w:sz w:val="20"/>
            <w:szCs w:val="20"/>
            <w:u w:val="single"/>
          </w:rPr>
          <w:t xml:space="preserve">https://github.com/met4citizen/TalkingHead</w:t>
        </w:r>
      </w:hyperlink>
    </w:p>
    <w:p>
      <w:pPr>
        <w:spacing w:after="60" w:line="264"/>
        <w:ind w:left="360" w:hanging="360"/>
      </w:pPr>
      <w:r>
        <w:rPr>
          <w:color w:val="222222"/>
          <w:sz w:val="20"/>
          <w:szCs w:val="20"/>
        </w:rPr>
        <w:t xml:space="preserve">hecomi. uLipSync: real-time MFCC lip-sync for Unity with VRM support. </w:t>
      </w:r>
      <w:hyperlink w:history="1" r:id="rIds8yxubh_myl7l2jhlfcqw">
        <w:r>
          <w:rPr>
            <w:color w:val="0B5CAD"/>
            <w:sz w:val="20"/>
            <w:szCs w:val="20"/>
            <w:u w:val="single"/>
          </w:rPr>
          <w:t xml:space="preserve">https://github.com/hecomi/uLipSync</w:t>
        </w:r>
      </w:hyperlink>
    </w:p>
    <w:p>
      <w:pPr>
        <w:spacing w:after="60" w:line="264"/>
        <w:ind w:left="360" w:hanging="360"/>
      </w:pPr>
      <w:r>
        <w:rPr>
          <w:color w:val="222222"/>
          <w:sz w:val="20"/>
          <w:szCs w:val="20"/>
        </w:rPr>
        <w:t xml:space="preserve">vrm-c. UniVRM: VRM avatar import/runtime for Unity; pixiv VRoid Studio avatar creation tool. </w:t>
      </w:r>
      <w:hyperlink w:history="1" r:id="rIdvdvphd0rw4zplfsuv_iok">
        <w:r>
          <w:rPr>
            <w:color w:val="0B5CAD"/>
            <w:sz w:val="20"/>
            <w:szCs w:val="20"/>
            <w:u w:val="single"/>
          </w:rPr>
          <w:t xml:space="preserve">https://github.com/vrm-c/UniVRM</w:t>
        </w:r>
      </w:hyperlink>
    </w:p>
    <w:p>
      <w:pPr>
        <w:spacing w:after="60" w:line="264"/>
        <w:ind w:left="360" w:hanging="360"/>
      </w:pPr>
      <w:r>
        <w:rPr>
          <w:color w:val="222222"/>
          <w:sz w:val="20"/>
          <w:szCs w:val="20"/>
        </w:rPr>
        <w:t xml:space="preserve">LangChain. LangGraph documentation: stateful agent orchestration; astream_events v2 interface. </w:t>
      </w:r>
      <w:hyperlink w:history="1" r:id="rIdiwzyaq8r-euqojvap8tfx">
        <w:r>
          <w:rPr>
            <w:color w:val="0B5CAD"/>
            <w:sz w:val="20"/>
            <w:szCs w:val="20"/>
            <w:u w:val="single"/>
          </w:rPr>
          <w:t xml:space="preserve">https://langchain-ai.github.io/langgraph/</w:t>
        </w:r>
      </w:hyperlink>
    </w:p>
    <w:p>
      <w:pPr>
        <w:spacing w:after="60" w:line="264"/>
        <w:ind w:left="360" w:hanging="360"/>
      </w:pPr>
      <w:r>
        <w:rPr>
          <w:color w:val="222222"/>
          <w:sz w:val="20"/>
          <w:szCs w:val="20"/>
        </w:rPr>
        <w:t xml:space="preserve">Letta (formerly MemGPT). Agent memory server documentation. </w:t>
      </w:r>
      <w:hyperlink w:history="1" r:id="rIdyhu79wmb36xa7nawpfw6i">
        <w:r>
          <w:rPr>
            <w:color w:val="0B5CAD"/>
            <w:sz w:val="20"/>
            <w:szCs w:val="20"/>
            <w:u w:val="single"/>
          </w:rPr>
          <w:t xml:space="preserve">https://docs.letta.com</w:t>
        </w:r>
      </w:hyperlink>
    </w:p>
    <w:p>
      <w:pPr>
        <w:spacing w:after="60" w:line="264"/>
        <w:ind w:left="360" w:hanging="360"/>
      </w:pPr>
      <w:r>
        <w:rPr>
          <w:color w:val="222222"/>
          <w:sz w:val="20"/>
          <w:szCs w:val="20"/>
        </w:rPr>
        <w:t xml:space="preserve">Microsoft. Windows Subsystem for Linux documentation: mirrored networking mode, localhost forwarding. </w:t>
      </w:r>
      <w:hyperlink w:history="1" r:id="rIdumzyh-y6sfbmuzpbuscor">
        <w:r>
          <w:rPr>
            <w:color w:val="0B5CAD"/>
            <w:sz w:val="20"/>
            <w:szCs w:val="20"/>
            <w:u w:val="single"/>
          </w:rPr>
          <w:t xml:space="preserve">https://learn.microsoft.com/windows/wsl/</w:t>
        </w:r>
      </w:hyperlink>
    </w:p>
    <w:p>
      <w:pPr>
        <w:spacing w:after="60" w:line="264"/>
        <w:ind w:left="360" w:hanging="360"/>
      </w:pPr>
      <w:r>
        <w:rPr>
          <w:color w:val="222222"/>
          <w:sz w:val="20"/>
          <w:szCs w:val="20"/>
        </w:rPr>
        <w:t xml:space="preserve">Willison, S. (2023–2026). Writings on running local large language models. simonwillison.net. [As indexed.] </w:t>
      </w:r>
      <w:hyperlink w:history="1" r:id="rId9xbfcpbejyo8xtwftdxwr">
        <w:r>
          <w:rPr>
            <w:color w:val="0B5CAD"/>
            <w:sz w:val="20"/>
            <w:szCs w:val="20"/>
            <w:u w:val="single"/>
          </w:rPr>
          <w:t xml:space="preserve">https://simonwillison.net</w:t>
        </w:r>
      </w:hyperlink>
    </w:p>
    <w:p>
      <w:pPr>
        <w:spacing w:after="60" w:line="264"/>
        <w:ind w:left="360" w:hanging="360"/>
      </w:pPr>
      <w:r>
        <w:rPr>
          <w:color w:val="222222"/>
          <w:sz w:val="20"/>
          <w:szCs w:val="20"/>
        </w:rPr>
        <w:t xml:space="preserve">Meta AI (2024). Llama 3 model cards and responsible use documentation. </w:t>
      </w:r>
      <w:hyperlink w:history="1" r:id="rIdswjckijk4u2eviju7hx0g">
        <w:r>
          <w:rPr>
            <w:color w:val="0B5CAD"/>
            <w:sz w:val="20"/>
            <w:szCs w:val="20"/>
            <w:u w:val="single"/>
          </w:rPr>
          <w:t xml:space="preserve">https://ai.meta.com/llama/</w:t>
        </w:r>
      </w:hyperlink>
    </w:p>
    <w:p>
      <w:r>
        <w:br w:type="page"/>
      </w:r>
    </w:p>
    <w:p>
      <w:pPr>
        <w:pStyle w:val="Heading1"/>
        <w:pBdr>
          <w:bottom w:val="single" w:color="3D5A80" w:sz="8" w:space="4"/>
        </w:pBdr>
        <w:spacing w:after="180" w:before="340"/>
      </w:pPr>
      <w:r>
        <w:rPr>
          <w:rFonts w:ascii="Cambria" w:cs="Cambria" w:eastAsia="Cambria" w:hAnsi="Cambria"/>
          <w:b/>
          <w:bCs/>
          <w:color w:val="233A5C"/>
          <w:sz w:val="32"/>
          <w:szCs w:val="32"/>
        </w:rPr>
        <w:t xml:space="preserve">Appendix A. Requirement-to-Evidence Traceability</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Pr>
      <w:tblGrid>
        <w:gridCol w:w="1050"/>
        <w:gridCol w:w="3100"/>
        <w:gridCol w:w="2400"/>
        <w:gridCol w:w="2810"/>
      </w:tblGrid>
      <w:tr>
        <w:trPr>
          <w:tblHeader/>
        </w:trPr>
        <w:tc>
          <w:tcPr>
            <w:tcW w:type="dxa" w:w="1050"/>
            <w:shd w:fill="233A5C" w:val="clear"/>
            <w:tcMar>
              <w:top w:type="dxa" w:w="70"/>
              <w:left w:type="dxa" w:w="110"/>
              <w:bottom w:type="dxa" w:w="70"/>
              <w:right w:type="dxa" w:w="110"/>
            </w:tcMar>
            <w:vAlign w:val="center"/>
          </w:tcPr>
          <w:p>
            <w:pPr>
              <w:spacing w:after="20" w:line="252"/>
              <w:jc w:val="left"/>
            </w:pPr>
            <w:r>
              <w:rPr>
                <w:b/>
                <w:bCs/>
                <w:color w:val="FFFFFF"/>
                <w:sz w:val="20"/>
                <w:szCs w:val="20"/>
              </w:rPr>
              <w:t xml:space="preserve">Req.</w:t>
            </w:r>
          </w:p>
        </w:tc>
        <w:tc>
          <w:tcPr>
            <w:tcW w:type="dxa" w:w="3100"/>
            <w:shd w:fill="233A5C" w:val="clear"/>
            <w:tcMar>
              <w:top w:type="dxa" w:w="70"/>
              <w:left w:type="dxa" w:w="110"/>
              <w:bottom w:type="dxa" w:w="70"/>
              <w:right w:type="dxa" w:w="110"/>
            </w:tcMar>
            <w:vAlign w:val="center"/>
          </w:tcPr>
          <w:p>
            <w:pPr>
              <w:spacing w:after="20" w:line="252"/>
              <w:jc w:val="left"/>
            </w:pPr>
            <w:r>
              <w:rPr>
                <w:b/>
                <w:bCs/>
                <w:color w:val="FFFFFF"/>
                <w:sz w:val="20"/>
                <w:szCs w:val="20"/>
              </w:rPr>
              <w:t xml:space="preserve">Design response</w:t>
            </w:r>
          </w:p>
        </w:tc>
        <w:tc>
          <w:tcPr>
            <w:tcW w:type="dxa" w:w="2400"/>
            <w:shd w:fill="233A5C" w:val="clear"/>
            <w:tcMar>
              <w:top w:type="dxa" w:w="70"/>
              <w:left w:type="dxa" w:w="110"/>
              <w:bottom w:type="dxa" w:w="70"/>
              <w:right w:type="dxa" w:w="110"/>
            </w:tcMar>
            <w:vAlign w:val="center"/>
          </w:tcPr>
          <w:p>
            <w:pPr>
              <w:spacing w:after="20" w:line="252"/>
              <w:jc w:val="left"/>
            </w:pPr>
            <w:r>
              <w:rPr>
                <w:b/>
                <w:bCs/>
                <w:color w:val="FFFFFF"/>
                <w:sz w:val="20"/>
                <w:szCs w:val="20"/>
              </w:rPr>
              <w:t xml:space="preserve">Evidence in this paper</w:t>
            </w:r>
          </w:p>
        </w:tc>
        <w:tc>
          <w:tcPr>
            <w:tcW w:type="dxa" w:w="2810"/>
            <w:shd w:fill="233A5C" w:val="clear"/>
            <w:tcMar>
              <w:top w:type="dxa" w:w="70"/>
              <w:left w:type="dxa" w:w="110"/>
              <w:bottom w:type="dxa" w:w="70"/>
              <w:right w:type="dxa" w:w="110"/>
            </w:tcMar>
            <w:vAlign w:val="center"/>
          </w:tcPr>
          <w:p>
            <w:pPr>
              <w:spacing w:after="20" w:line="252"/>
              <w:jc w:val="left"/>
            </w:pPr>
            <w:r>
              <w:rPr>
                <w:b/>
                <w:bCs/>
                <w:color w:val="FFFFFF"/>
                <w:sz w:val="20"/>
                <w:szCs w:val="20"/>
              </w:rPr>
              <w:t xml:space="preserve">Key external anchors</w:t>
            </w:r>
          </w:p>
        </w:tc>
      </w:tr>
      <w:tr>
        <w:tc>
          <w:tcPr>
            <w:tcW w:type="dxa" w:w="1050"/>
            <w:shd w:fill="FFFFFF" w:val="clear"/>
            <w:tcMar>
              <w:top w:type="dxa" w:w="60"/>
              <w:left w:type="dxa" w:w="110"/>
              <w:bottom w:type="dxa" w:w="60"/>
              <w:right w:type="dxa" w:w="110"/>
            </w:tcMar>
          </w:tcPr>
          <w:p>
            <w:pPr>
              <w:spacing w:after="20" w:line="252"/>
              <w:jc w:val="left"/>
            </w:pPr>
            <w:r>
              <w:rPr>
                <w:sz w:val="20"/>
                <w:szCs w:val="20"/>
              </w:rPr>
              <w:t xml:space="preserve">R1 Locality</w:t>
            </w:r>
          </w:p>
        </w:tc>
        <w:tc>
          <w:tcPr>
            <w:tcW w:type="dxa" w:w="3100"/>
            <w:shd w:fill="FFFFFF" w:val="clear"/>
            <w:tcMar>
              <w:top w:type="dxa" w:w="60"/>
              <w:left w:type="dxa" w:w="110"/>
              <w:bottom w:type="dxa" w:w="60"/>
              <w:right w:type="dxa" w:w="110"/>
            </w:tcMar>
          </w:tcPr>
          <w:p>
            <w:pPr>
              <w:spacing w:after="20" w:line="252"/>
              <w:jc w:val="left"/>
            </w:pPr>
            <w:r>
              <w:rPr>
                <w:sz w:val="20"/>
                <w:szCs w:val="20"/>
              </w:rPr>
              <w:t xml:space="preserve">All-localhost pipeline (Fig. 1); Windows/WSL2 split; Vulkan-native serving</w:t>
            </w:r>
          </w:p>
        </w:tc>
        <w:tc>
          <w:tcPr>
            <w:tcW w:type="dxa" w:w="2400"/>
            <w:shd w:fill="FFFFFF" w:val="clear"/>
            <w:tcMar>
              <w:top w:type="dxa" w:w="60"/>
              <w:left w:type="dxa" w:w="110"/>
              <w:bottom w:type="dxa" w:w="60"/>
              <w:right w:type="dxa" w:w="110"/>
            </w:tcMar>
          </w:tcPr>
          <w:p>
            <w:pPr>
              <w:spacing w:after="20" w:line="252"/>
              <w:jc w:val="left"/>
            </w:pPr>
            <w:r>
              <w:rPr>
                <w:sz w:val="20"/>
                <w:szCs w:val="20"/>
              </w:rPr>
              <w:t xml:space="preserve">§4.2, §4.6, §5.2, §7.2</w:t>
            </w:r>
          </w:p>
        </w:tc>
        <w:tc>
          <w:tcPr>
            <w:tcW w:type="dxa" w:w="2810"/>
            <w:shd w:fill="FFFFFF" w:val="clear"/>
            <w:tcMar>
              <w:top w:type="dxa" w:w="60"/>
              <w:left w:type="dxa" w:w="110"/>
              <w:bottom w:type="dxa" w:w="60"/>
              <w:right w:type="dxa" w:w="110"/>
            </w:tcMar>
          </w:tcPr>
          <w:p>
            <w:pPr>
              <w:spacing w:after="20" w:line="252"/>
              <w:jc w:val="left"/>
            </w:pPr>
            <w:r>
              <w:rPr>
                <w:sz w:val="20"/>
                <w:szCs w:val="20"/>
              </w:rPr>
              <w:t xml:space="preserve">Lau et al. 2018; Malkin et al. 2019; Carlini et al. 2021</w:t>
            </w:r>
          </w:p>
        </w:tc>
      </w:tr>
      <w:tr>
        <w:tc>
          <w:tcPr>
            <w:tcW w:type="dxa" w:w="1050"/>
            <w:shd w:fill="F5F8FB" w:val="clear"/>
            <w:tcMar>
              <w:top w:type="dxa" w:w="60"/>
              <w:left w:type="dxa" w:w="110"/>
              <w:bottom w:type="dxa" w:w="60"/>
              <w:right w:type="dxa" w:w="110"/>
            </w:tcMar>
          </w:tcPr>
          <w:p>
            <w:pPr>
              <w:spacing w:after="20" w:line="252"/>
              <w:jc w:val="left"/>
            </w:pPr>
            <w:r>
              <w:rPr>
                <w:sz w:val="20"/>
                <w:szCs w:val="20"/>
              </w:rPr>
              <w:t xml:space="preserve">R2 Presence</w:t>
            </w:r>
          </w:p>
        </w:tc>
        <w:tc>
          <w:tcPr>
            <w:tcW w:type="dxa" w:w="3100"/>
            <w:shd w:fill="F5F8FB" w:val="clear"/>
            <w:tcMar>
              <w:top w:type="dxa" w:w="60"/>
              <w:left w:type="dxa" w:w="110"/>
              <w:bottom w:type="dxa" w:w="60"/>
              <w:right w:type="dxa" w:w="110"/>
            </w:tcMar>
          </w:tcPr>
          <w:p>
            <w:pPr>
              <w:spacing w:after="20" w:line="252"/>
              <w:jc w:val="left"/>
            </w:pPr>
            <w:r>
              <w:rPr>
                <w:sz w:val="20"/>
                <w:szCs w:val="20"/>
              </w:rPr>
              <w:t xml:space="preserve">HLD 16″, glasses-free, group-viewable</w:t>
            </w:r>
          </w:p>
        </w:tc>
        <w:tc>
          <w:tcPr>
            <w:tcW w:type="dxa" w:w="2400"/>
            <w:shd w:fill="F5F8FB" w:val="clear"/>
            <w:tcMar>
              <w:top w:type="dxa" w:w="60"/>
              <w:left w:type="dxa" w:w="110"/>
              <w:bottom w:type="dxa" w:w="60"/>
              <w:right w:type="dxa" w:w="110"/>
            </w:tcMar>
          </w:tcPr>
          <w:p>
            <w:pPr>
              <w:spacing w:after="20" w:line="252"/>
              <w:jc w:val="left"/>
            </w:pPr>
            <w:r>
              <w:rPr>
                <w:sz w:val="20"/>
                <w:szCs w:val="20"/>
              </w:rPr>
              <w:t xml:space="preserve">§4.3, §5.4</w:t>
            </w:r>
          </w:p>
        </w:tc>
        <w:tc>
          <w:tcPr>
            <w:tcW w:type="dxa" w:w="2810"/>
            <w:shd w:fill="F5F8FB" w:val="clear"/>
            <w:tcMar>
              <w:top w:type="dxa" w:w="60"/>
              <w:left w:type="dxa" w:w="110"/>
              <w:bottom w:type="dxa" w:w="60"/>
              <w:right w:type="dxa" w:w="110"/>
            </w:tcMar>
          </w:tcPr>
          <w:p>
            <w:pPr>
              <w:spacing w:after="20" w:line="252"/>
              <w:jc w:val="left"/>
            </w:pPr>
            <w:r>
              <w:rPr>
                <w:sz w:val="20"/>
                <w:szCs w:val="20"/>
              </w:rPr>
              <w:t xml:space="preserve">SID award 2026; presence literature §2.3</w:t>
            </w:r>
          </w:p>
        </w:tc>
      </w:tr>
      <w:tr>
        <w:tc>
          <w:tcPr>
            <w:tcW w:type="dxa" w:w="1050"/>
            <w:shd w:fill="FFFFFF" w:val="clear"/>
            <w:tcMar>
              <w:top w:type="dxa" w:w="60"/>
              <w:left w:type="dxa" w:w="110"/>
              <w:bottom w:type="dxa" w:w="60"/>
              <w:right w:type="dxa" w:w="110"/>
            </w:tcMar>
          </w:tcPr>
          <w:p>
            <w:pPr>
              <w:spacing w:after="20" w:line="252"/>
              <w:jc w:val="left"/>
            </w:pPr>
            <w:r>
              <w:rPr>
                <w:sz w:val="20"/>
                <w:szCs w:val="20"/>
              </w:rPr>
              <w:t xml:space="preserve">R3 Latency</w:t>
            </w:r>
          </w:p>
        </w:tc>
        <w:tc>
          <w:tcPr>
            <w:tcW w:type="dxa" w:w="3100"/>
            <w:shd w:fill="FFFFFF" w:val="clear"/>
            <w:tcMar>
              <w:top w:type="dxa" w:w="60"/>
              <w:left w:type="dxa" w:w="110"/>
              <w:bottom w:type="dxa" w:w="60"/>
              <w:right w:type="dxa" w:w="110"/>
            </w:tcMar>
          </w:tcPr>
          <w:p>
            <w:pPr>
              <w:spacing w:after="20" w:line="252"/>
              <w:jc w:val="left"/>
            </w:pPr>
            <w:r>
              <w:rPr>
                <w:sz w:val="20"/>
                <w:szCs w:val="20"/>
              </w:rPr>
              <w:t xml:space="preserve">Sentence-streamed pipeline; ≤ 2.5 s median contract</w:t>
            </w:r>
          </w:p>
        </w:tc>
        <w:tc>
          <w:tcPr>
            <w:tcW w:type="dxa" w:w="2400"/>
            <w:shd w:fill="FFFFFF" w:val="clear"/>
            <w:tcMar>
              <w:top w:type="dxa" w:w="60"/>
              <w:left w:type="dxa" w:w="110"/>
              <w:bottom w:type="dxa" w:w="60"/>
              <w:right w:type="dxa" w:w="110"/>
            </w:tcMar>
          </w:tcPr>
          <w:p>
            <w:pPr>
              <w:spacing w:after="20" w:line="252"/>
              <w:jc w:val="left"/>
            </w:pPr>
            <w:r>
              <w:rPr>
                <w:sz w:val="20"/>
                <w:szCs w:val="20"/>
              </w:rPr>
              <w:t xml:space="preserve">§6.3 (Table 3), protocol defined</w:t>
            </w:r>
          </w:p>
        </w:tc>
        <w:tc>
          <w:tcPr>
            <w:tcW w:type="dxa" w:w="2810"/>
            <w:shd w:fill="FFFFFF" w:val="clear"/>
            <w:tcMar>
              <w:top w:type="dxa" w:w="60"/>
              <w:left w:type="dxa" w:w="110"/>
              <w:bottom w:type="dxa" w:w="60"/>
              <w:right w:type="dxa" w:w="110"/>
            </w:tcMar>
          </w:tcPr>
          <w:p>
            <w:pPr>
              <w:spacing w:after="20" w:line="252"/>
              <w:jc w:val="left"/>
            </w:pPr>
            <w:r>
              <w:rPr>
                <w:sz w:val="20"/>
                <w:szCs w:val="20"/>
              </w:rPr>
              <w:t xml:space="preserve">Stivers et al. 2009; Levinson &amp; Torreira 2015</w:t>
            </w:r>
          </w:p>
        </w:tc>
      </w:tr>
      <w:tr>
        <w:tc>
          <w:tcPr>
            <w:tcW w:type="dxa" w:w="1050"/>
            <w:shd w:fill="F5F8FB" w:val="clear"/>
            <w:tcMar>
              <w:top w:type="dxa" w:w="60"/>
              <w:left w:type="dxa" w:w="110"/>
              <w:bottom w:type="dxa" w:w="60"/>
              <w:right w:type="dxa" w:w="110"/>
            </w:tcMar>
          </w:tcPr>
          <w:p>
            <w:pPr>
              <w:spacing w:after="20" w:line="252"/>
              <w:jc w:val="left"/>
            </w:pPr>
            <w:r>
              <w:rPr>
                <w:sz w:val="20"/>
                <w:szCs w:val="20"/>
              </w:rPr>
              <w:t xml:space="preserve">R4 iGPU-only</w:t>
            </w:r>
          </w:p>
        </w:tc>
        <w:tc>
          <w:tcPr>
            <w:tcW w:type="dxa" w:w="3100"/>
            <w:shd w:fill="F5F8FB" w:val="clear"/>
            <w:tcMar>
              <w:top w:type="dxa" w:w="60"/>
              <w:left w:type="dxa" w:w="110"/>
              <w:bottom w:type="dxa" w:w="60"/>
              <w:right w:type="dxa" w:w="110"/>
            </w:tcMar>
          </w:tcPr>
          <w:p>
            <w:pPr>
              <w:spacing w:after="20" w:line="252"/>
              <w:jc w:val="left"/>
            </w:pPr>
            <w:r>
              <w:rPr>
                <w:sz w:val="20"/>
                <w:szCs w:val="20"/>
              </w:rPr>
              <w:t xml:space="preserve">Contention analysis → HLD over light-field; 8B Q4 tier</w:t>
            </w:r>
          </w:p>
        </w:tc>
        <w:tc>
          <w:tcPr>
            <w:tcW w:type="dxa" w:w="2400"/>
            <w:shd w:fill="F5F8FB" w:val="clear"/>
            <w:tcMar>
              <w:top w:type="dxa" w:w="60"/>
              <w:left w:type="dxa" w:w="110"/>
              <w:bottom w:type="dxa" w:w="60"/>
              <w:right w:type="dxa" w:w="110"/>
            </w:tcMar>
          </w:tcPr>
          <w:p>
            <w:pPr>
              <w:spacing w:after="20" w:line="252"/>
              <w:jc w:val="left"/>
            </w:pPr>
            <w:r>
              <w:rPr>
                <w:sz w:val="20"/>
                <w:szCs w:val="20"/>
              </w:rPr>
              <w:t xml:space="preserve">§4.3, §4.4, §6.2</w:t>
            </w:r>
          </w:p>
        </w:tc>
        <w:tc>
          <w:tcPr>
            <w:tcW w:type="dxa" w:w="2810"/>
            <w:shd w:fill="F5F8FB" w:val="clear"/>
            <w:tcMar>
              <w:top w:type="dxa" w:w="60"/>
              <w:left w:type="dxa" w:w="110"/>
              <w:bottom w:type="dxa" w:w="60"/>
              <w:right w:type="dxa" w:w="110"/>
            </w:tcMar>
          </w:tcPr>
          <w:p>
            <w:pPr>
              <w:spacing w:after="20" w:line="252"/>
              <w:jc w:val="left"/>
            </w:pPr>
            <w:r>
              <w:rPr>
                <w:sz w:val="20"/>
                <w:szCs w:val="20"/>
              </w:rPr>
              <w:t xml:space="preserve">Dettmers &amp; Zettlemoyer 2023; dasroot 2026</w:t>
            </w:r>
          </w:p>
        </w:tc>
      </w:tr>
      <w:tr>
        <w:tc>
          <w:tcPr>
            <w:tcW w:type="dxa" w:w="1050"/>
            <w:shd w:fill="FFFFFF" w:val="clear"/>
            <w:tcMar>
              <w:top w:type="dxa" w:w="60"/>
              <w:left w:type="dxa" w:w="110"/>
              <w:bottom w:type="dxa" w:w="60"/>
              <w:right w:type="dxa" w:w="110"/>
            </w:tcMar>
          </w:tcPr>
          <w:p>
            <w:pPr>
              <w:spacing w:after="20" w:line="252"/>
              <w:jc w:val="left"/>
            </w:pPr>
            <w:r>
              <w:rPr>
                <w:sz w:val="20"/>
                <w:szCs w:val="20"/>
              </w:rPr>
              <w:t xml:space="preserve">R5 Agent-fronted</w:t>
            </w:r>
          </w:p>
        </w:tc>
        <w:tc>
          <w:tcPr>
            <w:tcW w:type="dxa" w:w="3100"/>
            <w:shd w:fill="FFFFFF" w:val="clear"/>
            <w:tcMar>
              <w:top w:type="dxa" w:w="60"/>
              <w:left w:type="dxa" w:w="110"/>
              <w:bottom w:type="dxa" w:w="60"/>
              <w:right w:type="dxa" w:w="110"/>
            </w:tcMar>
          </w:tcPr>
          <w:p>
            <w:pPr>
              <w:spacing w:after="20" w:line="252"/>
              <w:jc w:val="left"/>
            </w:pPr>
            <w:r>
              <w:rPr>
                <w:sz w:val="20"/>
                <w:szCs w:val="20"/>
              </w:rPr>
              <w:t xml:space="preserve">OpenAI-compatible shim over LangGraph + Letta</w:t>
            </w:r>
          </w:p>
        </w:tc>
        <w:tc>
          <w:tcPr>
            <w:tcW w:type="dxa" w:w="2400"/>
            <w:shd w:fill="FFFFFF" w:val="clear"/>
            <w:tcMar>
              <w:top w:type="dxa" w:w="60"/>
              <w:left w:type="dxa" w:w="110"/>
              <w:bottom w:type="dxa" w:w="60"/>
              <w:right w:type="dxa" w:w="110"/>
            </w:tcMar>
          </w:tcPr>
          <w:p>
            <w:pPr>
              <w:spacing w:after="20" w:line="252"/>
              <w:jc w:val="left"/>
            </w:pPr>
            <w:r>
              <w:rPr>
                <w:sz w:val="20"/>
                <w:szCs w:val="20"/>
              </w:rPr>
              <w:t xml:space="preserve">§4.5, §5.2 (Listing 1)</w:t>
            </w:r>
          </w:p>
        </w:tc>
        <w:tc>
          <w:tcPr>
            <w:tcW w:type="dxa" w:w="2810"/>
            <w:shd w:fill="FFFFFF" w:val="clear"/>
            <w:tcMar>
              <w:top w:type="dxa" w:w="60"/>
              <w:left w:type="dxa" w:w="110"/>
              <w:bottom w:type="dxa" w:w="60"/>
              <w:right w:type="dxa" w:w="110"/>
            </w:tcMar>
          </w:tcPr>
          <w:p>
            <w:pPr>
              <w:spacing w:after="20" w:line="252"/>
              <w:jc w:val="left"/>
            </w:pPr>
            <w:r>
              <w:rPr>
                <w:sz w:val="20"/>
                <w:szCs w:val="20"/>
              </w:rPr>
              <w:t xml:space="preserve">Packer et al. 2023; LangGraph docs</w:t>
            </w:r>
          </w:p>
        </w:tc>
      </w:tr>
      <w:tr>
        <w:tc>
          <w:tcPr>
            <w:tcW w:type="dxa" w:w="1050"/>
            <w:shd w:fill="F5F8FB" w:val="clear"/>
            <w:tcMar>
              <w:top w:type="dxa" w:w="60"/>
              <w:left w:type="dxa" w:w="110"/>
              <w:bottom w:type="dxa" w:w="60"/>
              <w:right w:type="dxa" w:w="110"/>
            </w:tcMar>
          </w:tcPr>
          <w:p>
            <w:pPr>
              <w:spacing w:after="20" w:line="252"/>
              <w:jc w:val="left"/>
            </w:pPr>
            <w:r>
              <w:rPr>
                <w:sz w:val="20"/>
                <w:szCs w:val="20"/>
              </w:rPr>
              <w:t xml:space="preserve">R6 Zero recurring</w:t>
            </w:r>
          </w:p>
        </w:tc>
        <w:tc>
          <w:tcPr>
            <w:tcW w:type="dxa" w:w="3100"/>
            <w:shd w:fill="F5F8FB" w:val="clear"/>
            <w:tcMar>
              <w:top w:type="dxa" w:w="60"/>
              <w:left w:type="dxa" w:w="110"/>
              <w:bottom w:type="dxa" w:w="60"/>
              <w:right w:type="dxa" w:w="110"/>
            </w:tcMar>
          </w:tcPr>
          <w:p>
            <w:pPr>
              <w:spacing w:after="20" w:line="252"/>
              <w:jc w:val="left"/>
            </w:pPr>
            <w:r>
              <w:rPr>
                <w:sz w:val="20"/>
                <w:szCs w:val="20"/>
              </w:rPr>
              <w:t xml:space="preserve">Open stack; owned hardware; no accounts</w:t>
            </w:r>
          </w:p>
        </w:tc>
        <w:tc>
          <w:tcPr>
            <w:tcW w:type="dxa" w:w="2400"/>
            <w:shd w:fill="F5F8FB" w:val="clear"/>
            <w:tcMar>
              <w:top w:type="dxa" w:w="60"/>
              <w:left w:type="dxa" w:w="110"/>
              <w:bottom w:type="dxa" w:w="60"/>
              <w:right w:type="dxa" w:w="110"/>
            </w:tcMar>
          </w:tcPr>
          <w:p>
            <w:pPr>
              <w:spacing w:after="20" w:line="252"/>
              <w:jc w:val="left"/>
            </w:pPr>
            <w:r>
              <w:rPr>
                <w:sz w:val="20"/>
                <w:szCs w:val="20"/>
              </w:rPr>
              <w:t xml:space="preserve">§6.4 (Table 4), §6.7</w:t>
            </w:r>
          </w:p>
        </w:tc>
        <w:tc>
          <w:tcPr>
            <w:tcW w:type="dxa" w:w="2810"/>
            <w:shd w:fill="F5F8FB" w:val="clear"/>
            <w:tcMar>
              <w:top w:type="dxa" w:w="60"/>
              <w:left w:type="dxa" w:w="110"/>
              <w:bottom w:type="dxa" w:w="60"/>
              <w:right w:type="dxa" w:w="110"/>
            </w:tcMar>
          </w:tcPr>
          <w:p>
            <w:pPr>
              <w:spacing w:after="20" w:line="252"/>
              <w:jc w:val="left"/>
            </w:pPr>
            <w:r>
              <w:rPr>
                <w:sz w:val="20"/>
                <w:szCs w:val="20"/>
              </w:rPr>
              <w:t xml:space="preserve">Widder et al. 2023 (sovereignty framing)</w:t>
            </w:r>
          </w:p>
        </w:tc>
      </w:tr>
    </w:tbl>
    <w:p>
      <w:pPr>
        <w:spacing w:after="160" w:before="60"/>
        <w:jc w:val="center"/>
      </w:pPr>
      <w:r>
        <w:rPr>
          <w:b/>
          <w:bCs/>
          <w:color w:val="233A5C"/>
          <w:sz w:val="19"/>
          <w:szCs w:val="19"/>
        </w:rPr>
        <w:t xml:space="preserve">Table A1. </w:t>
      </w:r>
      <w:r>
        <w:rPr>
          <w:i/>
          <w:iCs/>
          <w:color w:val="444444"/>
          <w:sz w:val="19"/>
          <w:szCs w:val="19"/>
        </w:rPr>
        <w:t xml:space="preserve">Every requirement traced to its design response and evidence.</w:t>
      </w:r>
    </w:p>
    <w:p>
      <w:pPr>
        <w:spacing w:after="140" w:line="276"/>
        <w:jc w:val="left"/>
      </w:pPr>
      <w:r>
        <w:t xml:space="preserve">Reading the matrix: each row is an audit path — a requirement, the design element that answers it, the sections where the answer is argued, and the external evidence the argument leans on. Two asymmetries are intentional. R3's evidence column is the only one pointing at a protocol rather than a completed measurement, which is why §6.8 grades it “protocolized” rather than “met” — the distinction between a promise with a measurement procedure attached and a result, preserved on purpose. And R2's external anchors are the literature plus a single-judge validation, the weakest evidentiary posture in the table, graded accordingly. A requirement whose row could not be completed would indicate an unevidenced design claim; the matrix exists so that absence would be visible.</w:t>
      </w:r>
    </w:p>
    <w:p>
      <w:pPr>
        <w:pStyle w:val="Heading1"/>
        <w:pBdr>
          <w:bottom w:val="single" w:color="3D5A80" w:sz="8" w:space="4"/>
        </w:pBdr>
        <w:spacing w:after="180" w:before="340"/>
      </w:pPr>
      <w:r>
        <w:rPr>
          <w:rFonts w:ascii="Cambria" w:cs="Cambria" w:eastAsia="Cambria" w:hAnsi="Cambria"/>
          <w:b/>
          <w:bCs/>
          <w:color w:val="233A5C"/>
          <w:sz w:val="32"/>
          <w:szCs w:val="32"/>
        </w:rPr>
        <w:t xml:space="preserve">Appendix B. Reproducibility Statement</w:t>
      </w:r>
    </w:p>
    <w:p>
      <w:pPr>
        <w:spacing w:after="140" w:line="276"/>
        <w:jc w:val="left"/>
      </w:pPr>
      <w:r>
        <w:t xml:space="preserve">Hardware: GMKtec EVO-X1 (Ryzen AI 9 HX 370, Radeon 890M, 32 GB LPDDR5X-7500), Looking Glass HLD 16″ (HDMI), USB desk microphone. Software (versions as deployed, July 2026): Windows 11 with WSL2 Ubuntu in mirrored-networking mode; Ollama 0.13.x with OLLAMA_VULKAN=1 and OLLAMA_KEEP_ALIVE=-1; an 8B open-weight model at Q4_K_M; Faster-Whisper (CPU, INT8, small); Kokoro-82M with espeak-ng; openWakeWord under ONNX Runtime; LangGraph with astream_events v2 pinned; Letta memory server; frontend Path A (TalkingHead + HeadTTS, kiosk browser) or Path B (Open-LLM-VTuber v1.2.1, openai_compatible_llm base URL). Full stage-by-stage build procedure, all scripts, the shim, the framing-test protocol, the latency protocol, and the operations runbook are published in the project's companion volumes (The Illusion Engine; The Build &amp; The Broadcast). Two known version-sensitive surfaces are flagged in place there: LangGraph's stream-event interface and the avatar libraries' method names, both to be pinned at build. The ops log — one line per session: measured eval rate, end-to-end median, configuration deltas — is the artifact's continuing falsifiable record.</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Pr>
      <w:tblGrid>
        <w:gridCol w:w="1900"/>
        <w:gridCol w:w="4160"/>
        <w:gridCol w:w="3300"/>
      </w:tblGrid>
      <w:tr>
        <w:trPr>
          <w:tblHeader/>
        </w:trPr>
        <w:tc>
          <w:tcPr>
            <w:tcW w:type="dxa" w:w="1900"/>
            <w:shd w:fill="233A5C" w:val="clear"/>
            <w:tcMar>
              <w:top w:type="dxa" w:w="70"/>
              <w:left w:type="dxa" w:w="110"/>
              <w:bottom w:type="dxa" w:w="70"/>
              <w:right w:type="dxa" w:w="110"/>
            </w:tcMar>
            <w:vAlign w:val="center"/>
          </w:tcPr>
          <w:p>
            <w:pPr>
              <w:spacing w:after="20" w:line="252"/>
              <w:jc w:val="left"/>
            </w:pPr>
            <w:r>
              <w:rPr>
                <w:b/>
                <w:bCs/>
                <w:color w:val="FFFFFF"/>
                <w:sz w:val="20"/>
                <w:szCs w:val="20"/>
              </w:rPr>
              <w:t xml:space="preserve">Component</w:t>
            </w:r>
          </w:p>
        </w:tc>
        <w:tc>
          <w:tcPr>
            <w:tcW w:type="dxa" w:w="4160"/>
            <w:shd w:fill="233A5C" w:val="clear"/>
            <w:tcMar>
              <w:top w:type="dxa" w:w="70"/>
              <w:left w:type="dxa" w:w="110"/>
              <w:bottom w:type="dxa" w:w="70"/>
              <w:right w:type="dxa" w:w="110"/>
            </w:tcMar>
            <w:vAlign w:val="center"/>
          </w:tcPr>
          <w:p>
            <w:pPr>
              <w:spacing w:after="20" w:line="252"/>
              <w:jc w:val="left"/>
            </w:pPr>
            <w:r>
              <w:rPr>
                <w:b/>
                <w:bCs/>
                <w:color w:val="FFFFFF"/>
                <w:sz w:val="20"/>
                <w:szCs w:val="20"/>
              </w:rPr>
              <w:t xml:space="preserve">Version / configuration as deployed</w:t>
            </w:r>
          </w:p>
        </w:tc>
        <w:tc>
          <w:tcPr>
            <w:tcW w:type="dxa" w:w="3300"/>
            <w:shd w:fill="233A5C" w:val="clear"/>
            <w:tcMar>
              <w:top w:type="dxa" w:w="70"/>
              <w:left w:type="dxa" w:w="110"/>
              <w:bottom w:type="dxa" w:w="70"/>
              <w:right w:type="dxa" w:w="110"/>
            </w:tcMar>
            <w:vAlign w:val="center"/>
          </w:tcPr>
          <w:p>
            <w:pPr>
              <w:spacing w:after="20" w:line="252"/>
              <w:jc w:val="left"/>
            </w:pPr>
            <w:r>
              <w:rPr>
                <w:b/>
                <w:bCs/>
                <w:color w:val="FFFFFF"/>
                <w:sz w:val="20"/>
                <w:szCs w:val="20"/>
              </w:rPr>
              <w:t xml:space="preserve">Pin rationale</w:t>
            </w:r>
          </w:p>
        </w:tc>
      </w:tr>
      <w:tr>
        <w:tc>
          <w:tcPr>
            <w:tcW w:type="dxa" w:w="1900"/>
            <w:shd w:fill="FFFFFF" w:val="clear"/>
            <w:tcMar>
              <w:top w:type="dxa" w:w="60"/>
              <w:left w:type="dxa" w:w="110"/>
              <w:bottom w:type="dxa" w:w="60"/>
              <w:right w:type="dxa" w:w="110"/>
            </w:tcMar>
          </w:tcPr>
          <w:p>
            <w:pPr>
              <w:spacing w:after="20" w:line="252"/>
              <w:jc w:val="left"/>
            </w:pPr>
            <w:r>
              <w:rPr>
                <w:sz w:val="20"/>
                <w:szCs w:val="20"/>
              </w:rPr>
              <w:t xml:space="preserve">Windows 11</w:t>
            </w:r>
          </w:p>
        </w:tc>
        <w:tc>
          <w:tcPr>
            <w:tcW w:type="dxa" w:w="4160"/>
            <w:shd w:fill="FFFFFF" w:val="clear"/>
            <w:tcMar>
              <w:top w:type="dxa" w:w="60"/>
              <w:left w:type="dxa" w:w="110"/>
              <w:bottom w:type="dxa" w:w="60"/>
              <w:right w:type="dxa" w:w="110"/>
            </w:tcMar>
          </w:tcPr>
          <w:p>
            <w:pPr>
              <w:spacing w:after="20" w:line="252"/>
              <w:jc w:val="left"/>
            </w:pPr>
            <w:r>
              <w:rPr>
                <w:sz w:val="20"/>
                <w:szCs w:val="20"/>
              </w:rPr>
              <w:t xml:space="preserve">Hardened baseline, full-disk encryption</w:t>
            </w:r>
          </w:p>
        </w:tc>
        <w:tc>
          <w:tcPr>
            <w:tcW w:type="dxa" w:w="3300"/>
            <w:shd w:fill="FFFFFF" w:val="clear"/>
            <w:tcMar>
              <w:top w:type="dxa" w:w="60"/>
              <w:left w:type="dxa" w:w="110"/>
              <w:bottom w:type="dxa" w:w="60"/>
              <w:right w:type="dxa" w:w="110"/>
            </w:tcMar>
          </w:tcPr>
          <w:p>
            <w:pPr>
              <w:spacing w:after="20" w:line="252"/>
              <w:jc w:val="left"/>
            </w:pPr>
            <w:r>
              <w:rPr>
                <w:sz w:val="20"/>
                <w:szCs w:val="20"/>
              </w:rPr>
              <w:t xml:space="preserve">Host role; anti-cheat and capture compatibility (§4.2)</w:t>
            </w:r>
          </w:p>
        </w:tc>
      </w:tr>
      <w:tr>
        <w:tc>
          <w:tcPr>
            <w:tcW w:type="dxa" w:w="1900"/>
            <w:shd w:fill="F5F8FB" w:val="clear"/>
            <w:tcMar>
              <w:top w:type="dxa" w:w="60"/>
              <w:left w:type="dxa" w:w="110"/>
              <w:bottom w:type="dxa" w:w="60"/>
              <w:right w:type="dxa" w:w="110"/>
            </w:tcMar>
          </w:tcPr>
          <w:p>
            <w:pPr>
              <w:spacing w:after="20" w:line="252"/>
              <w:jc w:val="left"/>
            </w:pPr>
            <w:r>
              <w:rPr>
                <w:sz w:val="20"/>
                <w:szCs w:val="20"/>
              </w:rPr>
              <w:t xml:space="preserve">WSL2 Ubuntu</w:t>
            </w:r>
          </w:p>
        </w:tc>
        <w:tc>
          <w:tcPr>
            <w:tcW w:type="dxa" w:w="4160"/>
            <w:shd w:fill="F5F8FB" w:val="clear"/>
            <w:tcMar>
              <w:top w:type="dxa" w:w="60"/>
              <w:left w:type="dxa" w:w="110"/>
              <w:bottom w:type="dxa" w:w="60"/>
              <w:right w:type="dxa" w:w="110"/>
            </w:tcMar>
          </w:tcPr>
          <w:p>
            <w:pPr>
              <w:spacing w:after="20" w:line="252"/>
              <w:jc w:val="left"/>
            </w:pPr>
            <w:r>
              <w:rPr>
                <w:sz w:val="20"/>
                <w:szCs w:val="20"/>
              </w:rPr>
              <w:t xml:space="preserve">Mirrored networking mode</w:t>
            </w:r>
          </w:p>
        </w:tc>
        <w:tc>
          <w:tcPr>
            <w:tcW w:type="dxa" w:w="3300"/>
            <w:shd w:fill="F5F8FB" w:val="clear"/>
            <w:tcMar>
              <w:top w:type="dxa" w:w="60"/>
              <w:left w:type="dxa" w:w="110"/>
              <w:bottom w:type="dxa" w:w="60"/>
              <w:right w:type="dxa" w:w="110"/>
            </w:tcMar>
          </w:tcPr>
          <w:p>
            <w:pPr>
              <w:spacing w:after="20" w:line="252"/>
              <w:jc w:val="left"/>
            </w:pPr>
            <w:r>
              <w:rPr>
                <w:sz w:val="20"/>
                <w:szCs w:val="20"/>
              </w:rPr>
              <w:t xml:space="preserve">Localhost symmetry across the OS boundary</w:t>
            </w:r>
          </w:p>
        </w:tc>
      </w:tr>
      <w:tr>
        <w:tc>
          <w:tcPr>
            <w:tcW w:type="dxa" w:w="1900"/>
            <w:shd w:fill="FFFFFF" w:val="clear"/>
            <w:tcMar>
              <w:top w:type="dxa" w:w="60"/>
              <w:left w:type="dxa" w:w="110"/>
              <w:bottom w:type="dxa" w:w="60"/>
              <w:right w:type="dxa" w:w="110"/>
            </w:tcMar>
          </w:tcPr>
          <w:p>
            <w:pPr>
              <w:spacing w:after="20" w:line="252"/>
              <w:jc w:val="left"/>
            </w:pPr>
            <w:r>
              <w:rPr>
                <w:sz w:val="20"/>
                <w:szCs w:val="20"/>
              </w:rPr>
              <w:t xml:space="preserve">Ollama</w:t>
            </w:r>
          </w:p>
        </w:tc>
        <w:tc>
          <w:tcPr>
            <w:tcW w:type="dxa" w:w="4160"/>
            <w:shd w:fill="FFFFFF" w:val="clear"/>
            <w:tcMar>
              <w:top w:type="dxa" w:w="60"/>
              <w:left w:type="dxa" w:w="110"/>
              <w:bottom w:type="dxa" w:w="60"/>
              <w:right w:type="dxa" w:w="110"/>
            </w:tcMar>
          </w:tcPr>
          <w:p>
            <w:pPr>
              <w:spacing w:after="20" w:line="252"/>
              <w:jc w:val="left"/>
            </w:pPr>
            <w:r>
              <w:rPr>
                <w:sz w:val="20"/>
                <w:szCs w:val="20"/>
              </w:rPr>
              <w:t xml:space="preserve">0.13.x; OLLAMA_VULKAN=1; OLLAMA_KEEP_ALIVE=-1</w:t>
            </w:r>
          </w:p>
        </w:tc>
        <w:tc>
          <w:tcPr>
            <w:tcW w:type="dxa" w:w="3300"/>
            <w:shd w:fill="FFFFFF" w:val="clear"/>
            <w:tcMar>
              <w:top w:type="dxa" w:w="60"/>
              <w:left w:type="dxa" w:w="110"/>
              <w:bottom w:type="dxa" w:w="60"/>
              <w:right w:type="dxa" w:w="110"/>
            </w:tcMar>
          </w:tcPr>
          <w:p>
            <w:pPr>
              <w:spacing w:after="20" w:line="252"/>
              <w:jc w:val="left"/>
            </w:pPr>
            <w:r>
              <w:rPr>
                <w:sz w:val="20"/>
                <w:szCs w:val="20"/>
              </w:rPr>
              <w:t xml:space="preserve">Version floor matches the benchmark build; Vulkan is load-bearing (§6.2)</w:t>
            </w:r>
          </w:p>
        </w:tc>
      </w:tr>
      <w:tr>
        <w:tc>
          <w:tcPr>
            <w:tcW w:type="dxa" w:w="1900"/>
            <w:shd w:fill="F5F8FB" w:val="clear"/>
            <w:tcMar>
              <w:top w:type="dxa" w:w="60"/>
              <w:left w:type="dxa" w:w="110"/>
              <w:bottom w:type="dxa" w:w="60"/>
              <w:right w:type="dxa" w:w="110"/>
            </w:tcMar>
          </w:tcPr>
          <w:p>
            <w:pPr>
              <w:spacing w:after="20" w:line="252"/>
              <w:jc w:val="left"/>
            </w:pPr>
            <w:r>
              <w:rPr>
                <w:sz w:val="20"/>
                <w:szCs w:val="20"/>
              </w:rPr>
              <w:t xml:space="preserve">Resident model</w:t>
            </w:r>
          </w:p>
        </w:tc>
        <w:tc>
          <w:tcPr>
            <w:tcW w:type="dxa" w:w="4160"/>
            <w:shd w:fill="F5F8FB" w:val="clear"/>
            <w:tcMar>
              <w:top w:type="dxa" w:w="60"/>
              <w:left w:type="dxa" w:w="110"/>
              <w:bottom w:type="dxa" w:w="60"/>
              <w:right w:type="dxa" w:w="110"/>
            </w:tcMar>
          </w:tcPr>
          <w:p>
            <w:pPr>
              <w:spacing w:after="20" w:line="252"/>
              <w:jc w:val="left"/>
            </w:pPr>
            <w:r>
              <w:rPr>
                <w:sz w:val="20"/>
                <w:szCs w:val="20"/>
              </w:rPr>
              <w:t xml:space="preserve">8B class, Q4_K_M</w:t>
            </w:r>
          </w:p>
        </w:tc>
        <w:tc>
          <w:tcPr>
            <w:tcW w:type="dxa" w:w="3300"/>
            <w:shd w:fill="F5F8FB" w:val="clear"/>
            <w:tcMar>
              <w:top w:type="dxa" w:w="60"/>
              <w:left w:type="dxa" w:w="110"/>
              <w:bottom w:type="dxa" w:w="60"/>
              <w:right w:type="dxa" w:w="110"/>
            </w:tcMar>
          </w:tcPr>
          <w:p>
            <w:pPr>
              <w:spacing w:after="20" w:line="252"/>
              <w:jc w:val="left"/>
            </w:pPr>
            <w:r>
              <w:rPr>
                <w:sz w:val="20"/>
                <w:szCs w:val="20"/>
              </w:rPr>
              <w:t xml:space="preserve">Latency determinism; 4-bit optimality (§4.4)</w:t>
            </w:r>
          </w:p>
        </w:tc>
      </w:tr>
      <w:tr>
        <w:tc>
          <w:tcPr>
            <w:tcW w:type="dxa" w:w="1900"/>
            <w:shd w:fill="FFFFFF" w:val="clear"/>
            <w:tcMar>
              <w:top w:type="dxa" w:w="60"/>
              <w:left w:type="dxa" w:w="110"/>
              <w:bottom w:type="dxa" w:w="60"/>
              <w:right w:type="dxa" w:w="110"/>
            </w:tcMar>
          </w:tcPr>
          <w:p>
            <w:pPr>
              <w:spacing w:after="20" w:line="252"/>
              <w:jc w:val="left"/>
            </w:pPr>
            <w:r>
              <w:rPr>
                <w:sz w:val="20"/>
                <w:szCs w:val="20"/>
              </w:rPr>
              <w:t xml:space="preserve">Faster-Whisper</w:t>
            </w:r>
          </w:p>
        </w:tc>
        <w:tc>
          <w:tcPr>
            <w:tcW w:type="dxa" w:w="4160"/>
            <w:shd w:fill="FFFFFF" w:val="clear"/>
            <w:tcMar>
              <w:top w:type="dxa" w:w="60"/>
              <w:left w:type="dxa" w:w="110"/>
              <w:bottom w:type="dxa" w:w="60"/>
              <w:right w:type="dxa" w:w="110"/>
            </w:tcMar>
          </w:tcPr>
          <w:p>
            <w:pPr>
              <w:spacing w:after="20" w:line="252"/>
              <w:jc w:val="left"/>
            </w:pPr>
            <w:r>
              <w:rPr>
                <w:sz w:val="20"/>
                <w:szCs w:val="20"/>
              </w:rPr>
              <w:t xml:space="preserve">small, INT8, CPU; large-v3-turbo on demand</w:t>
            </w:r>
          </w:p>
        </w:tc>
        <w:tc>
          <w:tcPr>
            <w:tcW w:type="dxa" w:w="3300"/>
            <w:shd w:fill="FFFFFF" w:val="clear"/>
            <w:tcMar>
              <w:top w:type="dxa" w:w="60"/>
              <w:left w:type="dxa" w:w="110"/>
              <w:bottom w:type="dxa" w:w="60"/>
              <w:right w:type="dxa" w:w="110"/>
            </w:tcMar>
          </w:tcPr>
          <w:p>
            <w:pPr>
              <w:spacing w:after="20" w:line="252"/>
              <w:jc w:val="left"/>
            </w:pPr>
            <w:r>
              <w:rPr>
                <w:sz w:val="20"/>
                <w:szCs w:val="20"/>
              </w:rPr>
              <w:t xml:space="preserve">No AMD GPU path exists in CTranslate2 (§5.1)</w:t>
            </w:r>
          </w:p>
        </w:tc>
      </w:tr>
      <w:tr>
        <w:tc>
          <w:tcPr>
            <w:tcW w:type="dxa" w:w="1900"/>
            <w:shd w:fill="F5F8FB" w:val="clear"/>
            <w:tcMar>
              <w:top w:type="dxa" w:w="60"/>
              <w:left w:type="dxa" w:w="110"/>
              <w:bottom w:type="dxa" w:w="60"/>
              <w:right w:type="dxa" w:w="110"/>
            </w:tcMar>
          </w:tcPr>
          <w:p>
            <w:pPr>
              <w:spacing w:after="20" w:line="252"/>
              <w:jc w:val="left"/>
            </w:pPr>
            <w:r>
              <w:rPr>
                <w:sz w:val="20"/>
                <w:szCs w:val="20"/>
              </w:rPr>
              <w:t xml:space="preserve">Kokoro-82M</w:t>
            </w:r>
          </w:p>
        </w:tc>
        <w:tc>
          <w:tcPr>
            <w:tcW w:type="dxa" w:w="4160"/>
            <w:shd w:fill="F5F8FB" w:val="clear"/>
            <w:tcMar>
              <w:top w:type="dxa" w:w="60"/>
              <w:left w:type="dxa" w:w="110"/>
              <w:bottom w:type="dxa" w:w="60"/>
              <w:right w:type="dxa" w:w="110"/>
            </w:tcMar>
          </w:tcPr>
          <w:p>
            <w:pPr>
              <w:spacing w:after="20" w:line="252"/>
              <w:jc w:val="left"/>
            </w:pPr>
            <w:r>
              <w:rPr>
                <w:sz w:val="20"/>
                <w:szCs w:val="20"/>
              </w:rPr>
              <w:t xml:space="preserve">lang_code a, voice af_heart, 24 kHz; espeak-ng fallback</w:t>
            </w:r>
          </w:p>
        </w:tc>
        <w:tc>
          <w:tcPr>
            <w:tcW w:type="dxa" w:w="3300"/>
            <w:shd w:fill="F5F8FB" w:val="clear"/>
            <w:tcMar>
              <w:top w:type="dxa" w:w="60"/>
              <w:left w:type="dxa" w:w="110"/>
              <w:bottom w:type="dxa" w:w="60"/>
              <w:right w:type="dxa" w:w="110"/>
            </w:tcMar>
          </w:tcPr>
          <w:p>
            <w:pPr>
              <w:spacing w:after="20" w:line="252"/>
              <w:jc w:val="left"/>
            </w:pPr>
            <w:r>
              <w:rPr>
                <w:sz w:val="20"/>
                <w:szCs w:val="20"/>
              </w:rPr>
              <w:t xml:space="preserve">CPU-realtime synthesis; OOD phonemization</w:t>
            </w:r>
          </w:p>
        </w:tc>
      </w:tr>
      <w:tr>
        <w:tc>
          <w:tcPr>
            <w:tcW w:type="dxa" w:w="1900"/>
            <w:shd w:fill="FFFFFF" w:val="clear"/>
            <w:tcMar>
              <w:top w:type="dxa" w:w="60"/>
              <w:left w:type="dxa" w:w="110"/>
              <w:bottom w:type="dxa" w:w="60"/>
              <w:right w:type="dxa" w:w="110"/>
            </w:tcMar>
          </w:tcPr>
          <w:p>
            <w:pPr>
              <w:spacing w:after="20" w:line="252"/>
              <w:jc w:val="left"/>
            </w:pPr>
            <w:r>
              <w:rPr>
                <w:sz w:val="20"/>
                <w:szCs w:val="20"/>
              </w:rPr>
              <w:t xml:space="preserve">openWakeWord</w:t>
            </w:r>
          </w:p>
        </w:tc>
        <w:tc>
          <w:tcPr>
            <w:tcW w:type="dxa" w:w="4160"/>
            <w:shd w:fill="FFFFFF" w:val="clear"/>
            <w:tcMar>
              <w:top w:type="dxa" w:w="60"/>
              <w:left w:type="dxa" w:w="110"/>
              <w:bottom w:type="dxa" w:w="60"/>
              <w:right w:type="dxa" w:w="110"/>
            </w:tcMar>
          </w:tcPr>
          <w:p>
            <w:pPr>
              <w:spacing w:after="20" w:line="252"/>
              <w:jc w:val="left"/>
            </w:pPr>
            <w:r>
              <w:rPr>
                <w:sz w:val="20"/>
                <w:szCs w:val="20"/>
              </w:rPr>
              <w:t xml:space="preserve">ONNX runtime</w:t>
            </w:r>
          </w:p>
        </w:tc>
        <w:tc>
          <w:tcPr>
            <w:tcW w:type="dxa" w:w="3300"/>
            <w:shd w:fill="FFFFFF" w:val="clear"/>
            <w:tcMar>
              <w:top w:type="dxa" w:w="60"/>
              <w:left w:type="dxa" w:w="110"/>
              <w:bottom w:type="dxa" w:w="60"/>
              <w:right w:type="dxa" w:w="110"/>
            </w:tcMar>
          </w:tcPr>
          <w:p>
            <w:pPr>
              <w:spacing w:after="20" w:line="252"/>
              <w:jc w:val="left"/>
            </w:pPr>
            <w:r>
              <w:rPr>
                <w:sz w:val="20"/>
                <w:szCs w:val="20"/>
              </w:rPr>
              <w:t xml:space="preserve">TFLite path unavailable on Windows</w:t>
            </w:r>
          </w:p>
        </w:tc>
      </w:tr>
      <w:tr>
        <w:tc>
          <w:tcPr>
            <w:tcW w:type="dxa" w:w="1900"/>
            <w:shd w:fill="F5F8FB" w:val="clear"/>
            <w:tcMar>
              <w:top w:type="dxa" w:w="60"/>
              <w:left w:type="dxa" w:w="110"/>
              <w:bottom w:type="dxa" w:w="60"/>
              <w:right w:type="dxa" w:w="110"/>
            </w:tcMar>
          </w:tcPr>
          <w:p>
            <w:pPr>
              <w:spacing w:after="20" w:line="252"/>
              <w:jc w:val="left"/>
            </w:pPr>
            <w:r>
              <w:rPr>
                <w:sz w:val="20"/>
                <w:szCs w:val="20"/>
              </w:rPr>
              <w:t xml:space="preserve">LangGraph</w:t>
            </w:r>
          </w:p>
        </w:tc>
        <w:tc>
          <w:tcPr>
            <w:tcW w:type="dxa" w:w="4160"/>
            <w:shd w:fill="F5F8FB" w:val="clear"/>
            <w:tcMar>
              <w:top w:type="dxa" w:w="60"/>
              <w:left w:type="dxa" w:w="110"/>
              <w:bottom w:type="dxa" w:w="60"/>
              <w:right w:type="dxa" w:w="110"/>
            </w:tcMar>
          </w:tcPr>
          <w:p>
            <w:pPr>
              <w:spacing w:after="20" w:line="252"/>
              <w:jc w:val="left"/>
            </w:pPr>
            <w:r>
              <w:rPr>
                <w:sz w:val="20"/>
                <w:szCs w:val="20"/>
              </w:rPr>
              <w:t xml:space="preserve">astream_events version="v2" — pinned</w:t>
            </w:r>
          </w:p>
        </w:tc>
        <w:tc>
          <w:tcPr>
            <w:tcW w:type="dxa" w:w="3300"/>
            <w:shd w:fill="F5F8FB" w:val="clear"/>
            <w:tcMar>
              <w:top w:type="dxa" w:w="60"/>
              <w:left w:type="dxa" w:w="110"/>
              <w:bottom w:type="dxa" w:w="60"/>
              <w:right w:type="dxa" w:w="110"/>
            </w:tcMar>
          </w:tcPr>
          <w:p>
            <w:pPr>
              <w:spacing w:after="20" w:line="252"/>
              <w:jc w:val="left"/>
            </w:pPr>
            <w:r>
              <w:rPr>
                <w:sz w:val="20"/>
                <w:szCs w:val="20"/>
              </w:rPr>
              <w:t xml:space="preserve">The stack's one unstable interface (§4.5)</w:t>
            </w:r>
          </w:p>
        </w:tc>
      </w:tr>
      <w:tr>
        <w:tc>
          <w:tcPr>
            <w:tcW w:type="dxa" w:w="1900"/>
            <w:shd w:fill="FFFFFF" w:val="clear"/>
            <w:tcMar>
              <w:top w:type="dxa" w:w="60"/>
              <w:left w:type="dxa" w:w="110"/>
              <w:bottom w:type="dxa" w:w="60"/>
              <w:right w:type="dxa" w:w="110"/>
            </w:tcMar>
          </w:tcPr>
          <w:p>
            <w:pPr>
              <w:spacing w:after="20" w:line="252"/>
              <w:jc w:val="left"/>
            </w:pPr>
            <w:r>
              <w:rPr>
                <w:sz w:val="20"/>
                <w:szCs w:val="20"/>
              </w:rPr>
              <w:t xml:space="preserve">Letta</w:t>
            </w:r>
          </w:p>
        </w:tc>
        <w:tc>
          <w:tcPr>
            <w:tcW w:type="dxa" w:w="4160"/>
            <w:shd w:fill="FFFFFF" w:val="clear"/>
            <w:tcMar>
              <w:top w:type="dxa" w:w="60"/>
              <w:left w:type="dxa" w:w="110"/>
              <w:bottom w:type="dxa" w:w="60"/>
              <w:right w:type="dxa" w:w="110"/>
            </w:tcMar>
          </w:tcPr>
          <w:p>
            <w:pPr>
              <w:spacing w:after="20" w:line="252"/>
              <w:jc w:val="left"/>
            </w:pPr>
            <w:r>
              <w:rPr>
                <w:sz w:val="20"/>
                <w:szCs w:val="20"/>
              </w:rPr>
              <w:t xml:space="preserve">Server deployment</w:t>
            </w:r>
          </w:p>
        </w:tc>
        <w:tc>
          <w:tcPr>
            <w:tcW w:type="dxa" w:w="3300"/>
            <w:shd w:fill="FFFFFF" w:val="clear"/>
            <w:tcMar>
              <w:top w:type="dxa" w:w="60"/>
              <w:left w:type="dxa" w:w="110"/>
              <w:bottom w:type="dxa" w:w="60"/>
              <w:right w:type="dxa" w:w="110"/>
            </w:tcMar>
          </w:tcPr>
          <w:p>
            <w:pPr>
              <w:spacing w:after="20" w:line="252"/>
              <w:jc w:val="left"/>
            </w:pPr>
            <w:r>
              <w:rPr>
                <w:sz w:val="20"/>
                <w:szCs w:val="20"/>
              </w:rPr>
              <w:t xml:space="preserve">Memory custody; survives orchestrator changes (§2.11)</w:t>
            </w:r>
          </w:p>
        </w:tc>
      </w:tr>
      <w:tr>
        <w:tc>
          <w:tcPr>
            <w:tcW w:type="dxa" w:w="1900"/>
            <w:shd w:fill="F5F8FB" w:val="clear"/>
            <w:tcMar>
              <w:top w:type="dxa" w:w="60"/>
              <w:left w:type="dxa" w:w="110"/>
              <w:bottom w:type="dxa" w:w="60"/>
              <w:right w:type="dxa" w:w="110"/>
            </w:tcMar>
          </w:tcPr>
          <w:p>
            <w:pPr>
              <w:spacing w:after="20" w:line="252"/>
              <w:jc w:val="left"/>
            </w:pPr>
            <w:r>
              <w:rPr>
                <w:sz w:val="20"/>
                <w:szCs w:val="20"/>
              </w:rPr>
              <w:t xml:space="preserve">Frontend A</w:t>
            </w:r>
          </w:p>
        </w:tc>
        <w:tc>
          <w:tcPr>
            <w:tcW w:type="dxa" w:w="4160"/>
            <w:shd w:fill="F5F8FB" w:val="clear"/>
            <w:tcMar>
              <w:top w:type="dxa" w:w="60"/>
              <w:left w:type="dxa" w:w="110"/>
              <w:bottom w:type="dxa" w:w="60"/>
              <w:right w:type="dxa" w:w="110"/>
            </w:tcMar>
          </w:tcPr>
          <w:p>
            <w:pPr>
              <w:spacing w:after="20" w:line="252"/>
              <w:jc w:val="left"/>
            </w:pPr>
            <w:r>
              <w:rPr>
                <w:sz w:val="20"/>
                <w:szCs w:val="20"/>
              </w:rPr>
              <w:t xml:space="preserve">TalkingHead + HeadTTS, kiosk browser</w:t>
            </w:r>
          </w:p>
        </w:tc>
        <w:tc>
          <w:tcPr>
            <w:tcW w:type="dxa" w:w="3300"/>
            <w:shd w:fill="F5F8FB" w:val="clear"/>
            <w:tcMar>
              <w:top w:type="dxa" w:w="60"/>
              <w:left w:type="dxa" w:w="110"/>
              <w:bottom w:type="dxa" w:w="60"/>
              <w:right w:type="dxa" w:w="110"/>
            </w:tcMar>
          </w:tcPr>
          <w:p>
            <w:pPr>
              <w:spacing w:after="20" w:line="252"/>
              <w:jc w:val="left"/>
            </w:pPr>
            <w:r>
              <w:rPr>
                <w:sz w:val="20"/>
                <w:szCs w:val="20"/>
              </w:rPr>
              <w:t xml:space="preserve">Default: depth congruence (§5.6)</w:t>
            </w:r>
          </w:p>
        </w:tc>
      </w:tr>
      <w:tr>
        <w:tc>
          <w:tcPr>
            <w:tcW w:type="dxa" w:w="1900"/>
            <w:shd w:fill="FFFFFF" w:val="clear"/>
            <w:tcMar>
              <w:top w:type="dxa" w:w="60"/>
              <w:left w:type="dxa" w:w="110"/>
              <w:bottom w:type="dxa" w:w="60"/>
              <w:right w:type="dxa" w:w="110"/>
            </w:tcMar>
          </w:tcPr>
          <w:p>
            <w:pPr>
              <w:spacing w:after="20" w:line="252"/>
              <w:jc w:val="left"/>
            </w:pPr>
            <w:r>
              <w:rPr>
                <w:sz w:val="20"/>
                <w:szCs w:val="20"/>
              </w:rPr>
              <w:t xml:space="preserve">Frontend B</w:t>
            </w:r>
          </w:p>
        </w:tc>
        <w:tc>
          <w:tcPr>
            <w:tcW w:type="dxa" w:w="4160"/>
            <w:shd w:fill="FFFFFF" w:val="clear"/>
            <w:tcMar>
              <w:top w:type="dxa" w:w="60"/>
              <w:left w:type="dxa" w:w="110"/>
              <w:bottom w:type="dxa" w:w="60"/>
              <w:right w:type="dxa" w:w="110"/>
            </w:tcMar>
          </w:tcPr>
          <w:p>
            <w:pPr>
              <w:spacing w:after="20" w:line="252"/>
              <w:jc w:val="left"/>
            </w:pPr>
            <w:r>
              <w:rPr>
                <w:sz w:val="20"/>
                <w:szCs w:val="20"/>
              </w:rPr>
              <w:t xml:space="preserve">Open-LLM-VTuber v1.2.1, custom base URL</w:t>
            </w:r>
          </w:p>
        </w:tc>
        <w:tc>
          <w:tcPr>
            <w:tcW w:type="dxa" w:w="3300"/>
            <w:shd w:fill="FFFFFF" w:val="clear"/>
            <w:tcMar>
              <w:top w:type="dxa" w:w="60"/>
              <w:left w:type="dxa" w:w="110"/>
              <w:bottom w:type="dxa" w:w="60"/>
              <w:right w:type="dxa" w:w="110"/>
            </w:tcMar>
          </w:tcPr>
          <w:p>
            <w:pPr>
              <w:spacing w:after="20" w:line="252"/>
              <w:jc w:val="left"/>
            </w:pPr>
            <w:r>
              <w:rPr>
                <w:sz w:val="20"/>
                <w:szCs w:val="20"/>
              </w:rPr>
              <w:t xml:space="preserve">Managed alternative; interruption handling</w:t>
            </w:r>
          </w:p>
        </w:tc>
      </w:tr>
      <w:tr>
        <w:tc>
          <w:tcPr>
            <w:tcW w:type="dxa" w:w="1900"/>
            <w:shd w:fill="F5F8FB" w:val="clear"/>
            <w:tcMar>
              <w:top w:type="dxa" w:w="60"/>
              <w:left w:type="dxa" w:w="110"/>
              <w:bottom w:type="dxa" w:w="60"/>
              <w:right w:type="dxa" w:w="110"/>
            </w:tcMar>
          </w:tcPr>
          <w:p>
            <w:pPr>
              <w:spacing w:after="20" w:line="252"/>
              <w:jc w:val="left"/>
            </w:pPr>
            <w:r>
              <w:rPr>
                <w:sz w:val="20"/>
                <w:szCs w:val="20"/>
              </w:rPr>
              <w:t xml:space="preserve">Display</w:t>
            </w:r>
          </w:p>
        </w:tc>
        <w:tc>
          <w:tcPr>
            <w:tcW w:type="dxa" w:w="4160"/>
            <w:shd w:fill="F5F8FB" w:val="clear"/>
            <w:tcMar>
              <w:top w:type="dxa" w:w="60"/>
              <w:left w:type="dxa" w:w="110"/>
              <w:bottom w:type="dxa" w:w="60"/>
              <w:right w:type="dxa" w:w="110"/>
            </w:tcMar>
          </w:tcPr>
          <w:p>
            <w:pPr>
              <w:spacing w:after="20" w:line="252"/>
              <w:jc w:val="left"/>
            </w:pPr>
            <w:r>
              <w:rPr>
                <w:sz w:val="20"/>
                <w:szCs w:val="20"/>
              </w:rPr>
              <w:t xml:space="preserve">HLD 16″, 1080p HDMI, firmware as shipped</w:t>
            </w:r>
          </w:p>
        </w:tc>
        <w:tc>
          <w:tcPr>
            <w:tcW w:type="dxa" w:w="3300"/>
            <w:shd w:fill="F5F8FB" w:val="clear"/>
            <w:tcMar>
              <w:top w:type="dxa" w:w="60"/>
              <w:left w:type="dxa" w:w="110"/>
              <w:bottom w:type="dxa" w:w="60"/>
              <w:right w:type="dxa" w:w="110"/>
            </w:tcMar>
          </w:tcPr>
          <w:p>
            <w:pPr>
              <w:spacing w:after="20" w:line="252"/>
              <w:jc w:val="left"/>
            </w:pPr>
            <w:r>
              <w:rPr>
                <w:sz w:val="20"/>
                <w:szCs w:val="20"/>
              </w:rPr>
              <w:t xml:space="preserve">Fixed-optics selection (§4.3)</w:t>
            </w:r>
          </w:p>
        </w:tc>
      </w:tr>
    </w:tbl>
    <w:p>
      <w:pPr>
        <w:spacing w:after="160" w:before="60"/>
        <w:jc w:val="center"/>
      </w:pPr>
      <w:r>
        <w:rPr>
          <w:b/>
          <w:bCs/>
          <w:color w:val="233A5C"/>
          <w:sz w:val="19"/>
          <w:szCs w:val="19"/>
        </w:rPr>
        <w:t xml:space="preserve">Table B1. </w:t>
      </w:r>
      <w:r>
        <w:rPr>
          <w:i/>
          <w:iCs/>
          <w:color w:val="444444"/>
          <w:sz w:val="19"/>
          <w:szCs w:val="19"/>
        </w:rPr>
        <w:t xml:space="preserve">The deployed environment. Versions recorded so that future measurements are attributable to configuration, not memory.</w:t>
      </w:r>
    </w:p>
    <w:p>
      <w:pPr>
        <w:spacing w:after="140" w:line="276"/>
        <w:jc w:val="left"/>
      </w:pPr>
      <w:r>
        <w:t xml:space="preserve">Artifact availability. The build's procedural artifacts — stage scripts, the mode-transition scripts, the framing-test page, and the operational runbook — are published in the companion volumes; the OpenAI-compatible shim (Listing 1 in abridged form) is small enough that this paper plus the volumes constitute its full specification, and its release as a standalone repository is on the project roadmap. The ops-log format (Listing 2) is deliberately plain text so that its analysis requires no tooling beyond a spreadsheet. All third-party components are open-source or freely licensed under their respective terms, itemized in Table B1; no component of the deployed system is under NDA, beta gate, or subscription — a reproducibility property the commercial comparator cannot currently offer its own reviewers.</w:t>
      </w:r>
    </w:p>
    <w:p>
      <w:pPr>
        <w:pStyle w:val="Heading1"/>
        <w:pBdr>
          <w:bottom w:val="single" w:color="3D5A80" w:sz="8" w:space="4"/>
        </w:pBdr>
        <w:spacing w:after="180" w:before="340"/>
      </w:pPr>
      <w:r>
        <w:rPr>
          <w:rFonts w:ascii="Cambria" w:cs="Cambria" w:eastAsia="Cambria" w:hAnsi="Cambria"/>
          <w:b/>
          <w:bCs/>
          <w:color w:val="233A5C"/>
          <w:sz w:val="32"/>
          <w:szCs w:val="32"/>
        </w:rPr>
        <w:t xml:space="preserve">Appendix C. Measurement Protocols</w:t>
      </w:r>
    </w:p>
    <w:p>
      <w:pPr>
        <w:pStyle w:val="Heading3"/>
        <w:spacing w:after="100" w:before="200"/>
      </w:pPr>
      <w:r>
        <w:rPr>
          <w:rFonts w:ascii="Cambria" w:cs="Cambria" w:eastAsia="Cambria" w:hAnsi="Cambria"/>
          <w:b/>
          <w:bCs/>
          <w:color w:val="31517A"/>
          <w:sz w:val="23"/>
          <w:szCs w:val="23"/>
        </w:rPr>
        <w:t xml:space="preserve">C.1 Throughput (first-party)</w:t>
      </w:r>
    </w:p>
    <w:p>
      <w:pPr>
        <w:spacing w:after="140" w:line="276"/>
        <w:jc w:val="left"/>
      </w:pPr>
      <w:r>
        <w:t xml:space="preserve">With hologram-mode active and the resident model warm: issue three representative prompts via the console client with verbose statistics enabled; record the reported evaluation rate (tokens per second) for each; log the median with model tag, quantization, backend flag, and ambient conditions (concurrent workload state). The median of three, not the best of three, is the number of record.</w:t>
      </w:r>
    </w:p>
    <w:p>
      <w:pPr>
        <w:pStyle w:val="Heading3"/>
        <w:spacing w:after="100" w:before="200"/>
      </w:pPr>
      <w:r>
        <w:rPr>
          <w:rFonts w:ascii="Cambria" w:cs="Cambria" w:eastAsia="Cambria" w:hAnsi="Cambria"/>
          <w:b/>
          <w:bCs/>
          <w:color w:val="31517A"/>
          <w:sz w:val="23"/>
          <w:szCs w:val="23"/>
        </w:rPr>
        <w:t xml:space="preserve">C.2 End-to-end latency (first-party)</w:t>
      </w:r>
    </w:p>
    <w:p>
      <w:pPr>
        <w:spacing w:after="140" w:line="276"/>
        <w:jc w:val="left"/>
      </w:pPr>
      <w:r>
        <w:t xml:space="preserve">Ten scripted utterances spanning short commands to two-sentence questions, spoken from the seated desk position under normal room acoustics. Timer runs from the speaker's end of speech to the first audible synthesized syllable. Report the median and the maximum; log every run, including failures, with their cause class (wake miss, transcription error, tool election). Tool-election runs are logged under their tool class and excluded from the conversational median — and that exclusion is stated wherever the median is quoted.</w:t>
      </w:r>
    </w:p>
    <w:p>
      <w:pPr>
        <w:pStyle w:val="Heading3"/>
        <w:spacing w:after="100" w:before="200"/>
      </w:pPr>
      <w:r>
        <w:rPr>
          <w:rFonts w:ascii="Cambria" w:cs="Cambria" w:eastAsia="Cambria" w:hAnsi="Cambria"/>
          <w:b/>
          <w:bCs/>
          <w:color w:val="31517A"/>
          <w:sz w:val="23"/>
          <w:szCs w:val="23"/>
        </w:rPr>
        <w:t xml:space="preserve">C.3 Framing validation</w:t>
      </w:r>
    </w:p>
    <w:p>
      <w:pPr>
        <w:spacing w:after="140" w:line="276"/>
        <w:jc w:val="left"/>
      </w:pPr>
      <w:r>
        <w:t xml:space="preserve">The five-step protocol of §5.4, with the verdict recorded as: scale fraction adopted, backdrop treatment adopted, edge-crop observations, and photographs from the seated position. Re-run whenever the avatar model, camera framing, or desk geometry changes.</w:t>
      </w:r>
    </w:p>
    <w:p>
      <w:pPr>
        <w:pStyle w:val="Heading3"/>
        <w:spacing w:after="100" w:before="200"/>
      </w:pPr>
      <w:r>
        <w:rPr>
          <w:rFonts w:ascii="Cambria" w:cs="Cambria" w:eastAsia="Cambria" w:hAnsi="Cambria"/>
          <w:b/>
          <w:bCs/>
          <w:color w:val="31517A"/>
          <w:sz w:val="23"/>
          <w:szCs w:val="23"/>
        </w:rPr>
        <w:t xml:space="preserve">C.4 Operations log format</w:t>
      </w:r>
    </w:p>
    <w:p>
      <w:pPr>
        <w:keepLines/>
        <w:pBdr>
          <w:left w:val="single" w:color="3D5A80" w:sz="18" w:space="8"/>
        </w:pBdr>
        <w:shd w:fill="F2F5F9" w:val="clear"/>
        <w:spacing w:after="0" w:before="120" w:line="252"/>
        <w:ind w:left="240"/>
      </w:pPr>
      <w:r>
        <w:rPr>
          <w:rFonts w:ascii="Consolas" w:cs="Consolas" w:eastAsia="Consolas" w:hAnsi="Consolas"/>
          <w:color w:val="1F2430"/>
          <w:sz w:val="18"/>
          <w:szCs w:val="18"/>
        </w:rPr>
        <w:t xml:space="preserve"># one line per session — the artifact's falsifiable record</w:t>
      </w:r>
    </w:p>
    <w:p>
      <w:pPr>
        <w:keepLines/>
        <w:pBdr>
          <w:left w:val="single" w:color="3D5A80" w:sz="18" w:space="8"/>
        </w:pBdr>
        <w:shd w:fill="F2F5F9" w:val="clear"/>
        <w:spacing w:after="0" w:before="0" w:line="252"/>
        <w:ind w:left="240"/>
      </w:pPr>
      <w:r>
        <w:rPr>
          <w:rFonts w:ascii="Consolas" w:cs="Consolas" w:eastAsia="Consolas" w:hAnsi="Consolas"/>
          <w:color w:val="1F2430"/>
          <w:sz w:val="18"/>
          <w:szCs w:val="18"/>
        </w:rPr>
        <w:t xml:space="preserve">date | mode | model_tag | eval_tok_s | e2e_median_s | e2e_max_s | notes</w:t>
      </w:r>
    </w:p>
    <w:p>
      <w:pPr>
        <w:keepLines/>
        <w:pBdr>
          <w:left w:val="single" w:color="3D5A80" w:sz="18" w:space="8"/>
        </w:pBdr>
        <w:shd w:fill="F2F5F9" w:val="clear"/>
        <w:spacing w:after="160" w:before="0" w:line="252"/>
        <w:ind w:left="240"/>
      </w:pPr>
      <w:r>
        <w:rPr>
          <w:rFonts w:ascii="Consolas" w:cs="Consolas" w:eastAsia="Consolas" w:hAnsi="Consolas"/>
          <w:color w:val="1F2430"/>
          <w:sz w:val="18"/>
          <w:szCs w:val="18"/>
        </w:rPr>
        <w:t xml:space="preserve">2026-07-16 | hologram | qwen3:8b-q4_K_M | (measure) | (measure) | (measure) | first framing pass; gradient backdrop</w:t>
      </w:r>
    </w:p>
    <w:p>
      <w:pPr>
        <w:spacing w:after="160" w:before="60"/>
        <w:jc w:val="center"/>
      </w:pPr>
      <w:r>
        <w:rPr>
          <w:b/>
          <w:bCs/>
          <w:color w:val="233A5C"/>
          <w:sz w:val="19"/>
          <w:szCs w:val="19"/>
        </w:rPr>
        <w:t xml:space="preserve">Listing 2. </w:t>
      </w:r>
      <w:r>
        <w:rPr>
          <w:i/>
          <w:iCs/>
          <w:color w:val="444444"/>
          <w:sz w:val="19"/>
          <w:szCs w:val="19"/>
        </w:rPr>
        <w:t xml:space="preserve">The operations-log line format. Fields marked (measure) are obligations, not placeholders to be estimated.</w:t>
      </w:r>
    </w:p>
    <w:p>
      <w:pPr>
        <w:pStyle w:val="Heading3"/>
        <w:spacing w:after="100" w:before="200"/>
      </w:pPr>
      <w:r>
        <w:rPr>
          <w:rFonts w:ascii="Cambria" w:cs="Cambria" w:eastAsia="Cambria" w:hAnsi="Cambria"/>
          <w:b/>
          <w:bCs/>
          <w:color w:val="31517A"/>
          <w:sz w:val="23"/>
          <w:szCs w:val="23"/>
        </w:rPr>
        <w:t xml:space="preserve">C.5 Energy (first-party)</w:t>
      </w:r>
    </w:p>
    <w:p>
      <w:pPr>
        <w:spacing w:after="140" w:line="276"/>
        <w:jc w:val="left"/>
      </w:pPr>
      <w:r>
        <w:t xml:space="preserve">A wall-power meter at the shared outlet of host and display. Record idle draw (display on, model warm, room silent, ten-minute average) and active draw during the C.2 latency run; report session watt-hours and the idle-to-active ratio. This measurement exists to discipline Section 6.5's derived estimates against reality — and, per that section's own prediction, to test whether duty-cycle engineering matters more than model efficiency at this deployment's usage rate.</w:t>
      </w:r>
    </w:p>
    <w:p>
      <w:pPr>
        <w:pStyle w:val="Heading1"/>
        <w:pBdr>
          <w:bottom w:val="single" w:color="3D5A80" w:sz="8" w:space="4"/>
        </w:pBdr>
        <w:spacing w:after="180" w:before="340"/>
      </w:pPr>
      <w:r>
        <w:rPr>
          <w:rFonts w:ascii="Cambria" w:cs="Cambria" w:eastAsia="Cambria" w:hAnsi="Cambria"/>
          <w:b/>
          <w:bCs/>
          <w:color w:val="233A5C"/>
          <w:sz w:val="32"/>
          <w:szCs w:val="32"/>
        </w:rPr>
        <w:t xml:space="preserve">Appendix D. Category Timeline, 2025–2026</w:t>
      </w:r>
    </w:p>
    <w:p>
      <w:pPr>
        <w:spacing w:after="140" w:line="276"/>
        <w:jc w:val="left"/>
      </w:pPr>
      <w:r>
        <w:t xml:space="preserve">The comparative claims of this paper are time-indexed; this table is their index, with each row's source class marked (v = vendor, p = press, a = award body).</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Pr>
      <w:tblGrid>
        <w:gridCol w:w="1500"/>
        <w:gridCol w:w="7160"/>
        <w:gridCol w:w="700"/>
      </w:tblGrid>
      <w:tr>
        <w:trPr>
          <w:tblHeader/>
        </w:trPr>
        <w:tc>
          <w:tcPr>
            <w:tcW w:type="dxa" w:w="1500"/>
            <w:shd w:fill="233A5C" w:val="clear"/>
            <w:tcMar>
              <w:top w:type="dxa" w:w="70"/>
              <w:left w:type="dxa" w:w="110"/>
              <w:bottom w:type="dxa" w:w="70"/>
              <w:right w:type="dxa" w:w="110"/>
            </w:tcMar>
            <w:vAlign w:val="center"/>
          </w:tcPr>
          <w:p>
            <w:pPr>
              <w:spacing w:after="20" w:line="252"/>
              <w:jc w:val="left"/>
            </w:pPr>
            <w:r>
              <w:rPr>
                <w:b/>
                <w:bCs/>
                <w:color w:val="FFFFFF"/>
                <w:sz w:val="20"/>
                <w:szCs w:val="20"/>
              </w:rPr>
              <w:t xml:space="preserve">Date</w:t>
            </w:r>
          </w:p>
        </w:tc>
        <w:tc>
          <w:tcPr>
            <w:tcW w:type="dxa" w:w="7160"/>
            <w:shd w:fill="233A5C" w:val="clear"/>
            <w:tcMar>
              <w:top w:type="dxa" w:w="70"/>
              <w:left w:type="dxa" w:w="110"/>
              <w:bottom w:type="dxa" w:w="70"/>
              <w:right w:type="dxa" w:w="110"/>
            </w:tcMar>
            <w:vAlign w:val="center"/>
          </w:tcPr>
          <w:p>
            <w:pPr>
              <w:spacing w:after="20" w:line="252"/>
              <w:jc w:val="left"/>
            </w:pPr>
            <w:r>
              <w:rPr>
                <w:b/>
                <w:bCs/>
                <w:color w:val="FFFFFF"/>
                <w:sz w:val="20"/>
                <w:szCs w:val="20"/>
              </w:rPr>
              <w:t xml:space="preserve">Event</w:t>
            </w:r>
          </w:p>
        </w:tc>
        <w:tc>
          <w:tcPr>
            <w:tcW w:type="dxa" w:w="700"/>
            <w:shd w:fill="233A5C" w:val="clear"/>
            <w:tcMar>
              <w:top w:type="dxa" w:w="70"/>
              <w:left w:type="dxa" w:w="110"/>
              <w:bottom w:type="dxa" w:w="70"/>
              <w:right w:type="dxa" w:w="110"/>
            </w:tcMar>
            <w:vAlign w:val="center"/>
          </w:tcPr>
          <w:p>
            <w:pPr>
              <w:spacing w:after="20" w:line="252"/>
              <w:jc w:val="left"/>
            </w:pPr>
            <w:r>
              <w:rPr>
                <w:b/>
                <w:bCs/>
                <w:color w:val="FFFFFF"/>
                <w:sz w:val="20"/>
                <w:szCs w:val="20"/>
              </w:rPr>
              <w:t xml:space="preserve">Src</w:t>
            </w:r>
          </w:p>
        </w:tc>
      </w:tr>
      <w:tr>
        <w:tc>
          <w:tcPr>
            <w:tcW w:type="dxa" w:w="1500"/>
            <w:shd w:fill="FFFFFF" w:val="clear"/>
            <w:tcMar>
              <w:top w:type="dxa" w:w="60"/>
              <w:left w:type="dxa" w:w="110"/>
              <w:bottom w:type="dxa" w:w="60"/>
              <w:right w:type="dxa" w:w="110"/>
            </w:tcMar>
          </w:tcPr>
          <w:p>
            <w:pPr>
              <w:spacing w:after="20" w:line="252"/>
              <w:jc w:val="left"/>
            </w:pPr>
            <w:r>
              <w:rPr>
                <w:sz w:val="20"/>
                <w:szCs w:val="20"/>
              </w:rPr>
              <w:t xml:space="preserve">Jan 2025</w:t>
            </w:r>
          </w:p>
        </w:tc>
        <w:tc>
          <w:tcPr>
            <w:tcW w:type="dxa" w:w="7160"/>
            <w:shd w:fill="FFFFFF" w:val="clear"/>
            <w:tcMar>
              <w:top w:type="dxa" w:w="60"/>
              <w:left w:type="dxa" w:w="110"/>
              <w:bottom w:type="dxa" w:w="60"/>
              <w:right w:type="dxa" w:w="110"/>
            </w:tcMar>
          </w:tcPr>
          <w:p>
            <w:pPr>
              <w:spacing w:after="20" w:line="252"/>
              <w:jc w:val="left"/>
            </w:pPr>
            <w:r>
              <w:rPr>
                <w:sz w:val="20"/>
                <w:szCs w:val="20"/>
              </w:rPr>
              <w:t xml:space="preserve">Razer shows Project AVA concept at CES 2025 (AI companion/coach direction)</w:t>
            </w:r>
          </w:p>
        </w:tc>
        <w:tc>
          <w:tcPr>
            <w:tcW w:type="dxa" w:w="700"/>
            <w:shd w:fill="FFFFFF" w:val="clear"/>
            <w:tcMar>
              <w:top w:type="dxa" w:w="60"/>
              <w:left w:type="dxa" w:w="110"/>
              <w:bottom w:type="dxa" w:w="60"/>
              <w:right w:type="dxa" w:w="110"/>
            </w:tcMar>
          </w:tcPr>
          <w:p>
            <w:pPr>
              <w:spacing w:after="20" w:line="252"/>
              <w:jc w:val="left"/>
            </w:pPr>
            <w:r>
              <w:rPr>
                <w:sz w:val="20"/>
                <w:szCs w:val="20"/>
              </w:rPr>
              <w:t xml:space="preserve">p</w:t>
            </w:r>
          </w:p>
        </w:tc>
      </w:tr>
      <w:tr>
        <w:tc>
          <w:tcPr>
            <w:tcW w:type="dxa" w:w="1500"/>
            <w:shd w:fill="F5F8FB" w:val="clear"/>
            <w:tcMar>
              <w:top w:type="dxa" w:w="60"/>
              <w:left w:type="dxa" w:w="110"/>
              <w:bottom w:type="dxa" w:w="60"/>
              <w:right w:type="dxa" w:w="110"/>
            </w:tcMar>
          </w:tcPr>
          <w:p>
            <w:pPr>
              <w:spacing w:after="20" w:line="252"/>
              <w:jc w:val="left"/>
            </w:pPr>
            <w:r>
              <w:rPr>
                <w:sz w:val="20"/>
                <w:szCs w:val="20"/>
              </w:rPr>
              <w:t xml:space="preserve">Sep 2025</w:t>
            </w:r>
          </w:p>
        </w:tc>
        <w:tc>
          <w:tcPr>
            <w:tcW w:type="dxa" w:w="7160"/>
            <w:shd w:fill="F5F8FB" w:val="clear"/>
            <w:tcMar>
              <w:top w:type="dxa" w:w="60"/>
              <w:left w:type="dxa" w:w="110"/>
              <w:bottom w:type="dxa" w:w="60"/>
              <w:right w:type="dxa" w:w="110"/>
            </w:tcMar>
          </w:tcPr>
          <w:p>
            <w:pPr>
              <w:spacing w:after="20" w:line="252"/>
              <w:jc w:val="left"/>
            </w:pPr>
            <w:r>
              <w:rPr>
                <w:sz w:val="20"/>
                <w:szCs w:val="20"/>
              </w:rPr>
              <w:t xml:space="preserve">Looking Glass unveils the Hololuminescent Display line; 16″ FHD announced from $1,500, initial Q4 window</w:t>
            </w:r>
          </w:p>
        </w:tc>
        <w:tc>
          <w:tcPr>
            <w:tcW w:type="dxa" w:w="700"/>
            <w:shd w:fill="F5F8FB" w:val="clear"/>
            <w:tcMar>
              <w:top w:type="dxa" w:w="60"/>
              <w:left w:type="dxa" w:w="110"/>
              <w:bottom w:type="dxa" w:w="60"/>
              <w:right w:type="dxa" w:w="110"/>
            </w:tcMar>
          </w:tcPr>
          <w:p>
            <w:pPr>
              <w:spacing w:after="20" w:line="252"/>
              <w:jc w:val="left"/>
            </w:pPr>
            <w:r>
              <w:rPr>
                <w:sz w:val="20"/>
                <w:szCs w:val="20"/>
              </w:rPr>
              <w:t xml:space="preserve">v/p</w:t>
            </w:r>
          </w:p>
        </w:tc>
      </w:tr>
      <w:tr>
        <w:tc>
          <w:tcPr>
            <w:tcW w:type="dxa" w:w="1500"/>
            <w:shd w:fill="FFFFFF" w:val="clear"/>
            <w:tcMar>
              <w:top w:type="dxa" w:w="60"/>
              <w:left w:type="dxa" w:w="110"/>
              <w:bottom w:type="dxa" w:w="60"/>
              <w:right w:type="dxa" w:w="110"/>
            </w:tcMar>
          </w:tcPr>
          <w:p>
            <w:pPr>
              <w:spacing w:after="20" w:line="252"/>
              <w:jc w:val="left"/>
            </w:pPr>
            <w:r>
              <w:rPr>
                <w:sz w:val="20"/>
                <w:szCs w:val="20"/>
              </w:rPr>
              <w:t xml:space="preserve">Q4 2025</w:t>
            </w:r>
          </w:p>
        </w:tc>
        <w:tc>
          <w:tcPr>
            <w:tcW w:type="dxa" w:w="7160"/>
            <w:shd w:fill="FFFFFF" w:val="clear"/>
            <w:tcMar>
              <w:top w:type="dxa" w:w="60"/>
              <w:left w:type="dxa" w:w="110"/>
              <w:bottom w:type="dxa" w:w="60"/>
              <w:right w:type="dxa" w:w="110"/>
            </w:tcMar>
          </w:tcPr>
          <w:p>
            <w:pPr>
              <w:spacing w:after="20" w:line="252"/>
              <w:jc w:val="left"/>
            </w:pPr>
            <w:r>
              <w:rPr>
                <w:sz w:val="20"/>
                <w:szCs w:val="20"/>
              </w:rPr>
              <w:t xml:space="preserve">HLD initial availability window per launch coverage</w:t>
            </w:r>
          </w:p>
        </w:tc>
        <w:tc>
          <w:tcPr>
            <w:tcW w:type="dxa" w:w="700"/>
            <w:shd w:fill="FFFFFF" w:val="clear"/>
            <w:tcMar>
              <w:top w:type="dxa" w:w="60"/>
              <w:left w:type="dxa" w:w="110"/>
              <w:bottom w:type="dxa" w:w="60"/>
              <w:right w:type="dxa" w:w="110"/>
            </w:tcMar>
          </w:tcPr>
          <w:p>
            <w:pPr>
              <w:spacing w:after="20" w:line="252"/>
              <w:jc w:val="left"/>
            </w:pPr>
            <w:r>
              <w:rPr>
                <w:sz w:val="20"/>
                <w:szCs w:val="20"/>
              </w:rPr>
              <w:t xml:space="preserve">p</w:t>
            </w:r>
          </w:p>
        </w:tc>
      </w:tr>
      <w:tr>
        <w:tc>
          <w:tcPr>
            <w:tcW w:type="dxa" w:w="1500"/>
            <w:shd w:fill="F5F8FB" w:val="clear"/>
            <w:tcMar>
              <w:top w:type="dxa" w:w="60"/>
              <w:left w:type="dxa" w:w="110"/>
              <w:bottom w:type="dxa" w:w="60"/>
              <w:right w:type="dxa" w:w="110"/>
            </w:tcMar>
          </w:tcPr>
          <w:p>
            <w:pPr>
              <w:spacing w:after="20" w:line="252"/>
              <w:jc w:val="left"/>
            </w:pPr>
            <w:r>
              <w:rPr>
                <w:sz w:val="20"/>
                <w:szCs w:val="20"/>
              </w:rPr>
              <w:t xml:space="preserve">Jan 6, 2026</w:t>
            </w:r>
          </w:p>
        </w:tc>
        <w:tc>
          <w:tcPr>
            <w:tcW w:type="dxa" w:w="7160"/>
            <w:shd w:fill="F5F8FB" w:val="clear"/>
            <w:tcMar>
              <w:top w:type="dxa" w:w="60"/>
              <w:left w:type="dxa" w:w="110"/>
              <w:bottom w:type="dxa" w:w="60"/>
              <w:right w:type="dxa" w:w="110"/>
            </w:tcMar>
          </w:tcPr>
          <w:p>
            <w:pPr>
              <w:spacing w:after="20" w:line="252"/>
              <w:jc w:val="left"/>
            </w:pPr>
            <w:r>
              <w:rPr>
                <w:sz w:val="20"/>
                <w:szCs w:val="20"/>
              </w:rPr>
              <w:t xml:space="preserve">AVA at CES 2026: desk companion positioning; $20 refundable reservation opens; wired USB-C PC Vision Mode; Grok backend</w:t>
            </w:r>
          </w:p>
        </w:tc>
        <w:tc>
          <w:tcPr>
            <w:tcW w:type="dxa" w:w="700"/>
            <w:shd w:fill="F5F8FB" w:val="clear"/>
            <w:tcMar>
              <w:top w:type="dxa" w:w="60"/>
              <w:left w:type="dxa" w:w="110"/>
              <w:bottom w:type="dxa" w:w="60"/>
              <w:right w:type="dxa" w:w="110"/>
            </w:tcMar>
          </w:tcPr>
          <w:p>
            <w:pPr>
              <w:spacing w:after="20" w:line="252"/>
              <w:jc w:val="left"/>
            </w:pPr>
            <w:r>
              <w:rPr>
                <w:sz w:val="20"/>
                <w:szCs w:val="20"/>
              </w:rPr>
              <w:t xml:space="preserve">v/p</w:t>
            </w:r>
          </w:p>
        </w:tc>
      </w:tr>
      <w:tr>
        <w:tc>
          <w:tcPr>
            <w:tcW w:type="dxa" w:w="1500"/>
            <w:shd w:fill="FFFFFF" w:val="clear"/>
            <w:tcMar>
              <w:top w:type="dxa" w:w="60"/>
              <w:left w:type="dxa" w:w="110"/>
              <w:bottom w:type="dxa" w:w="60"/>
              <w:right w:type="dxa" w:w="110"/>
            </w:tcMar>
          </w:tcPr>
          <w:p>
            <w:pPr>
              <w:spacing w:after="20" w:line="252"/>
              <w:jc w:val="left"/>
            </w:pPr>
            <w:r>
              <w:rPr>
                <w:sz w:val="20"/>
                <w:szCs w:val="20"/>
              </w:rPr>
              <w:t xml:space="preserve">Mar 2026</w:t>
            </w:r>
          </w:p>
        </w:tc>
        <w:tc>
          <w:tcPr>
            <w:tcW w:type="dxa" w:w="7160"/>
            <w:shd w:fill="FFFFFF" w:val="clear"/>
            <w:tcMar>
              <w:top w:type="dxa" w:w="60"/>
              <w:left w:type="dxa" w:w="110"/>
              <w:bottom w:type="dxa" w:w="60"/>
              <w:right w:type="dxa" w:w="110"/>
            </w:tcMar>
          </w:tcPr>
          <w:p>
            <w:pPr>
              <w:spacing w:after="20" w:line="252"/>
              <w:jc w:val="left"/>
            </w:pPr>
            <w:r>
              <w:rPr>
                <w:sz w:val="20"/>
                <w:szCs w:val="20"/>
              </w:rPr>
              <w:t xml:space="preserve">GDC 2026: AVA launch roster of five characters announced, including the licensed Faker avatar (Animation Inc real-time rendering)</w:t>
            </w:r>
          </w:p>
        </w:tc>
        <w:tc>
          <w:tcPr>
            <w:tcW w:type="dxa" w:w="700"/>
            <w:shd w:fill="FFFFFF" w:val="clear"/>
            <w:tcMar>
              <w:top w:type="dxa" w:w="60"/>
              <w:left w:type="dxa" w:w="110"/>
              <w:bottom w:type="dxa" w:w="60"/>
              <w:right w:type="dxa" w:w="110"/>
            </w:tcMar>
          </w:tcPr>
          <w:p>
            <w:pPr>
              <w:spacing w:after="20" w:line="252"/>
              <w:jc w:val="left"/>
            </w:pPr>
            <w:r>
              <w:rPr>
                <w:sz w:val="20"/>
                <w:szCs w:val="20"/>
              </w:rPr>
              <w:t xml:space="preserve">v/p</w:t>
            </w:r>
          </w:p>
        </w:tc>
      </w:tr>
      <w:tr>
        <w:tc>
          <w:tcPr>
            <w:tcW w:type="dxa" w:w="1500"/>
            <w:shd w:fill="F5F8FB" w:val="clear"/>
            <w:tcMar>
              <w:top w:type="dxa" w:w="60"/>
              <w:left w:type="dxa" w:w="110"/>
              <w:bottom w:type="dxa" w:w="60"/>
              <w:right w:type="dxa" w:w="110"/>
            </w:tcMar>
          </w:tcPr>
          <w:p>
            <w:pPr>
              <w:spacing w:after="20" w:line="252"/>
              <w:jc w:val="left"/>
            </w:pPr>
            <w:r>
              <w:rPr>
                <w:sz w:val="20"/>
                <w:szCs w:val="20"/>
              </w:rPr>
              <w:t xml:space="preserve">Mar 2026</w:t>
            </w:r>
          </w:p>
        </w:tc>
        <w:tc>
          <w:tcPr>
            <w:tcW w:type="dxa" w:w="7160"/>
            <w:shd w:fill="F5F8FB" w:val="clear"/>
            <w:tcMar>
              <w:top w:type="dxa" w:w="60"/>
              <w:left w:type="dxa" w:w="110"/>
              <w:bottom w:type="dxa" w:w="60"/>
              <w:right w:type="dxa" w:w="110"/>
            </w:tcMar>
          </w:tcPr>
          <w:p>
            <w:pPr>
              <w:spacing w:after="20" w:line="252"/>
              <w:jc w:val="left"/>
            </w:pPr>
            <w:r>
              <w:rPr>
                <w:sz w:val="20"/>
                <w:szCs w:val="20"/>
              </w:rPr>
              <w:t xml:space="preserve">Independent Ryzen AI 9 HX 370 benchmark: 14.11 tok/s (Vulkan) vs 12.73 (ROCm), Ollama 0.13.5</w:t>
            </w:r>
          </w:p>
        </w:tc>
        <w:tc>
          <w:tcPr>
            <w:tcW w:type="dxa" w:w="700"/>
            <w:shd w:fill="F5F8FB" w:val="clear"/>
            <w:tcMar>
              <w:top w:type="dxa" w:w="60"/>
              <w:left w:type="dxa" w:w="110"/>
              <w:bottom w:type="dxa" w:w="60"/>
              <w:right w:type="dxa" w:w="110"/>
            </w:tcMar>
          </w:tcPr>
          <w:p>
            <w:pPr>
              <w:spacing w:after="20" w:line="252"/>
              <w:jc w:val="left"/>
            </w:pPr>
            <w:r>
              <w:rPr>
                <w:sz w:val="20"/>
                <w:szCs w:val="20"/>
              </w:rPr>
              <w:t xml:space="preserve">p</w:t>
            </w:r>
          </w:p>
        </w:tc>
      </w:tr>
      <w:tr>
        <w:tc>
          <w:tcPr>
            <w:tcW w:type="dxa" w:w="1500"/>
            <w:shd w:fill="FFFFFF" w:val="clear"/>
            <w:tcMar>
              <w:top w:type="dxa" w:w="60"/>
              <w:left w:type="dxa" w:w="110"/>
              <w:bottom w:type="dxa" w:w="60"/>
              <w:right w:type="dxa" w:w="110"/>
            </w:tcMar>
          </w:tcPr>
          <w:p>
            <w:pPr>
              <w:spacing w:after="20" w:line="252"/>
              <w:jc w:val="left"/>
            </w:pPr>
            <w:r>
              <w:rPr>
                <w:sz w:val="20"/>
                <w:szCs w:val="20"/>
              </w:rPr>
              <w:t xml:space="preserve">Apr 29, 2026</w:t>
            </w:r>
          </w:p>
        </w:tc>
        <w:tc>
          <w:tcPr>
            <w:tcW w:type="dxa" w:w="7160"/>
            <w:shd w:fill="FFFFFF" w:val="clear"/>
            <w:tcMar>
              <w:top w:type="dxa" w:w="60"/>
              <w:left w:type="dxa" w:w="110"/>
              <w:bottom w:type="dxa" w:w="60"/>
              <w:right w:type="dxa" w:w="110"/>
            </w:tcMar>
          </w:tcPr>
          <w:p>
            <w:pPr>
              <w:spacing w:after="20" w:line="252"/>
              <w:jc w:val="left"/>
            </w:pPr>
            <w:r>
              <w:rPr>
                <w:sz w:val="20"/>
                <w:szCs w:val="20"/>
              </w:rPr>
              <w:t xml:space="preserve">SID names HLD technology Display of the Year (Display Industry Awards)</w:t>
            </w:r>
          </w:p>
        </w:tc>
        <w:tc>
          <w:tcPr>
            <w:tcW w:type="dxa" w:w="700"/>
            <w:shd w:fill="FFFFFF" w:val="clear"/>
            <w:tcMar>
              <w:top w:type="dxa" w:w="60"/>
              <w:left w:type="dxa" w:w="110"/>
              <w:bottom w:type="dxa" w:w="60"/>
              <w:right w:type="dxa" w:w="110"/>
            </w:tcMar>
          </w:tcPr>
          <w:p>
            <w:pPr>
              <w:spacing w:after="20" w:line="252"/>
              <w:jc w:val="left"/>
            </w:pPr>
            <w:r>
              <w:rPr>
                <w:sz w:val="20"/>
                <w:szCs w:val="20"/>
              </w:rPr>
              <w:t xml:space="preserve">a/v</w:t>
            </w:r>
          </w:p>
        </w:tc>
      </w:tr>
      <w:tr>
        <w:tc>
          <w:tcPr>
            <w:tcW w:type="dxa" w:w="1500"/>
            <w:shd w:fill="F5F8FB" w:val="clear"/>
            <w:tcMar>
              <w:top w:type="dxa" w:w="60"/>
              <w:left w:type="dxa" w:w="110"/>
              <w:bottom w:type="dxa" w:w="60"/>
              <w:right w:type="dxa" w:w="110"/>
            </w:tcMar>
          </w:tcPr>
          <w:p>
            <w:pPr>
              <w:spacing w:after="20" w:line="252"/>
              <w:jc w:val="left"/>
            </w:pPr>
            <w:r>
              <w:rPr>
                <w:sz w:val="20"/>
                <w:szCs w:val="20"/>
              </w:rPr>
              <w:t xml:space="preserve">May 3–8, 2026</w:t>
            </w:r>
          </w:p>
        </w:tc>
        <w:tc>
          <w:tcPr>
            <w:tcW w:type="dxa" w:w="7160"/>
            <w:shd w:fill="F5F8FB" w:val="clear"/>
            <w:tcMar>
              <w:top w:type="dxa" w:w="60"/>
              <w:left w:type="dxa" w:w="110"/>
              <w:bottom w:type="dxa" w:w="60"/>
              <w:right w:type="dxa" w:w="110"/>
            </w:tcMar>
          </w:tcPr>
          <w:p>
            <w:pPr>
              <w:spacing w:after="20" w:line="252"/>
              <w:jc w:val="left"/>
            </w:pPr>
            <w:r>
              <w:rPr>
                <w:sz w:val="20"/>
                <w:szCs w:val="20"/>
              </w:rPr>
              <w:t xml:space="preserve">SID Display Week 2026, Los Angeles; award presented</w:t>
            </w:r>
          </w:p>
        </w:tc>
        <w:tc>
          <w:tcPr>
            <w:tcW w:type="dxa" w:w="700"/>
            <w:shd w:fill="F5F8FB" w:val="clear"/>
            <w:tcMar>
              <w:top w:type="dxa" w:w="60"/>
              <w:left w:type="dxa" w:w="110"/>
              <w:bottom w:type="dxa" w:w="60"/>
              <w:right w:type="dxa" w:w="110"/>
            </w:tcMar>
          </w:tcPr>
          <w:p>
            <w:pPr>
              <w:spacing w:after="20" w:line="252"/>
              <w:jc w:val="left"/>
            </w:pPr>
            <w:r>
              <w:rPr>
                <w:sz w:val="20"/>
                <w:szCs w:val="20"/>
              </w:rPr>
              <w:t xml:space="preserve">a</w:t>
            </w:r>
          </w:p>
        </w:tc>
      </w:tr>
      <w:tr>
        <w:tc>
          <w:tcPr>
            <w:tcW w:type="dxa" w:w="1500"/>
            <w:shd w:fill="FFFFFF" w:val="clear"/>
            <w:tcMar>
              <w:top w:type="dxa" w:w="60"/>
              <w:left w:type="dxa" w:w="110"/>
              <w:bottom w:type="dxa" w:w="60"/>
              <w:right w:type="dxa" w:w="110"/>
            </w:tcMar>
          </w:tcPr>
          <w:p>
            <w:pPr>
              <w:spacing w:after="20" w:line="252"/>
              <w:jc w:val="left"/>
            </w:pPr>
            <w:r>
              <w:rPr>
                <w:sz w:val="20"/>
                <w:szCs w:val="20"/>
              </w:rPr>
              <w:t xml:space="preserve">Mid-2026</w:t>
            </w:r>
          </w:p>
        </w:tc>
        <w:tc>
          <w:tcPr>
            <w:tcW w:type="dxa" w:w="7160"/>
            <w:shd w:fill="FFFFFF" w:val="clear"/>
            <w:tcMar>
              <w:top w:type="dxa" w:w="60"/>
              <w:left w:type="dxa" w:w="110"/>
              <w:bottom w:type="dxa" w:w="60"/>
              <w:right w:type="dxa" w:w="110"/>
            </w:tcMar>
          </w:tcPr>
          <w:p>
            <w:pPr>
              <w:spacing w:after="20" w:line="252"/>
              <w:jc w:val="left"/>
            </w:pPr>
            <w:r>
              <w:rPr>
                <w:sz w:val="20"/>
                <w:szCs w:val="20"/>
              </w:rPr>
              <w:t xml:space="preserve">Vendor HLD 16″ product page: $2,000, revised ship window</w:t>
            </w:r>
          </w:p>
        </w:tc>
        <w:tc>
          <w:tcPr>
            <w:tcW w:type="dxa" w:w="700"/>
            <w:shd w:fill="FFFFFF" w:val="clear"/>
            <w:tcMar>
              <w:top w:type="dxa" w:w="60"/>
              <w:left w:type="dxa" w:w="110"/>
              <w:bottom w:type="dxa" w:w="60"/>
              <w:right w:type="dxa" w:w="110"/>
            </w:tcMar>
          </w:tcPr>
          <w:p>
            <w:pPr>
              <w:spacing w:after="20" w:line="252"/>
              <w:jc w:val="left"/>
            </w:pPr>
            <w:r>
              <w:rPr>
                <w:sz w:val="20"/>
                <w:szCs w:val="20"/>
              </w:rPr>
              <w:t xml:space="preserve">v</w:t>
            </w:r>
          </w:p>
        </w:tc>
      </w:tr>
      <w:tr>
        <w:tc>
          <w:tcPr>
            <w:tcW w:type="dxa" w:w="1500"/>
            <w:shd w:fill="F5F8FB" w:val="clear"/>
            <w:tcMar>
              <w:top w:type="dxa" w:w="60"/>
              <w:left w:type="dxa" w:w="110"/>
              <w:bottom w:type="dxa" w:w="60"/>
              <w:right w:type="dxa" w:w="110"/>
            </w:tcMar>
          </w:tcPr>
          <w:p>
            <w:pPr>
              <w:spacing w:after="20" w:line="252"/>
              <w:jc w:val="left"/>
            </w:pPr>
            <w:r>
              <w:rPr>
                <w:sz w:val="20"/>
                <w:szCs w:val="20"/>
              </w:rPr>
              <w:t xml:space="preserve">Jul 10, 2026</w:t>
            </w:r>
          </w:p>
        </w:tc>
        <w:tc>
          <w:tcPr>
            <w:tcW w:type="dxa" w:w="7160"/>
            <w:shd w:fill="F5F8FB" w:val="clear"/>
            <w:tcMar>
              <w:top w:type="dxa" w:w="60"/>
              <w:left w:type="dxa" w:w="110"/>
              <w:bottom w:type="dxa" w:w="60"/>
              <w:right w:type="dxa" w:w="110"/>
            </w:tcMar>
          </w:tcPr>
          <w:p>
            <w:pPr>
              <w:spacing w:after="20" w:line="252"/>
              <w:jc w:val="left"/>
            </w:pPr>
            <w:r>
              <w:rPr>
                <w:sz w:val="20"/>
                <w:szCs w:val="20"/>
              </w:rPr>
              <w:t xml:space="preserve">Third-party AVA price analysis: $999–$1,299 estimate (explicitly unconfirmed)</w:t>
            </w:r>
          </w:p>
        </w:tc>
        <w:tc>
          <w:tcPr>
            <w:tcW w:type="dxa" w:w="700"/>
            <w:shd w:fill="F5F8FB" w:val="clear"/>
            <w:tcMar>
              <w:top w:type="dxa" w:w="60"/>
              <w:left w:type="dxa" w:w="110"/>
              <w:bottom w:type="dxa" w:w="60"/>
              <w:right w:type="dxa" w:w="110"/>
            </w:tcMar>
          </w:tcPr>
          <w:p>
            <w:pPr>
              <w:spacing w:after="20" w:line="252"/>
              <w:jc w:val="left"/>
            </w:pPr>
            <w:r>
              <w:rPr>
                <w:sz w:val="20"/>
                <w:szCs w:val="20"/>
              </w:rPr>
              <w:t xml:space="preserve">p</w:t>
            </w:r>
          </w:p>
        </w:tc>
      </w:tr>
      <w:tr>
        <w:tc>
          <w:tcPr>
            <w:tcW w:type="dxa" w:w="1500"/>
            <w:shd w:fill="FFFFFF" w:val="clear"/>
            <w:tcMar>
              <w:top w:type="dxa" w:w="60"/>
              <w:left w:type="dxa" w:w="110"/>
              <w:bottom w:type="dxa" w:w="60"/>
              <w:right w:type="dxa" w:w="110"/>
            </w:tcMar>
          </w:tcPr>
          <w:p>
            <w:pPr>
              <w:spacing w:after="20" w:line="252"/>
              <w:jc w:val="left"/>
            </w:pPr>
            <w:r>
              <w:rPr>
                <w:sz w:val="20"/>
                <w:szCs w:val="20"/>
              </w:rPr>
              <w:t xml:space="preserve">Jul 16, 2026</w:t>
            </w:r>
          </w:p>
        </w:tc>
        <w:tc>
          <w:tcPr>
            <w:tcW w:type="dxa" w:w="7160"/>
            <w:shd w:fill="FFFFFF" w:val="clear"/>
            <w:tcMar>
              <w:top w:type="dxa" w:w="60"/>
              <w:left w:type="dxa" w:w="110"/>
              <w:bottom w:type="dxa" w:w="60"/>
              <w:right w:type="dxa" w:w="110"/>
            </w:tcMar>
          </w:tcPr>
          <w:p>
            <w:pPr>
              <w:spacing w:after="20" w:line="252"/>
              <w:jc w:val="left"/>
            </w:pPr>
            <w:r>
              <w:rPr>
                <w:sz w:val="20"/>
                <w:szCs w:val="20"/>
              </w:rPr>
              <w:t xml:space="preserve">This paper's evaluation date: AVA reservation-only, unpriced, unreviewed; artifact operational</w:t>
            </w:r>
          </w:p>
        </w:tc>
        <w:tc>
          <w:tcPr>
            <w:tcW w:type="dxa" w:w="700"/>
            <w:shd w:fill="FFFFFF" w:val="clear"/>
            <w:tcMar>
              <w:top w:type="dxa" w:w="60"/>
              <w:left w:type="dxa" w:w="110"/>
              <w:bottom w:type="dxa" w:w="60"/>
              <w:right w:type="dxa" w:w="110"/>
            </w:tcMar>
          </w:tcPr>
          <w:p>
            <w:pPr>
              <w:spacing w:after="20" w:line="252"/>
              <w:jc w:val="left"/>
            </w:pPr>
            <w:r>
              <w:rPr>
                <w:sz w:val="20"/>
                <w:szCs w:val="20"/>
              </w:rPr>
              <w:t xml:space="preserve">—</w:t>
            </w:r>
          </w:p>
        </w:tc>
      </w:tr>
    </w:tbl>
    <w:p>
      <w:pPr>
        <w:spacing w:after="160" w:before="60"/>
        <w:jc w:val="center"/>
      </w:pPr>
      <w:r>
        <w:rPr>
          <w:b/>
          <w:bCs/>
          <w:color w:val="233A5C"/>
          <w:sz w:val="19"/>
          <w:szCs w:val="19"/>
        </w:rPr>
        <w:t xml:space="preserve">Table D1. </w:t>
      </w:r>
      <w:r>
        <w:rPr>
          <w:i/>
          <w:iCs/>
          <w:color w:val="444444"/>
          <w:sz w:val="19"/>
          <w:szCs w:val="19"/>
        </w:rPr>
        <w:t xml:space="preserve">The category clock this paper's date-stamps refer to. Any reuse of Section 6.7 after a new row would exist here must re-pull that row first.</w:t>
      </w:r>
    </w:p>
    <w:p>
      <w:pPr>
        <w:pStyle w:val="Heading1"/>
        <w:pBdr>
          <w:bottom w:val="single" w:color="3D5A80" w:sz="8" w:space="4"/>
        </w:pBdr>
        <w:spacing w:after="180" w:before="340"/>
      </w:pPr>
      <w:r>
        <w:rPr>
          <w:rFonts w:ascii="Cambria" w:cs="Cambria" w:eastAsia="Cambria" w:hAnsi="Cambria"/>
          <w:b/>
          <w:bCs/>
          <w:color w:val="233A5C"/>
          <w:sz w:val="32"/>
          <w:szCs w:val="32"/>
        </w:rPr>
        <w:t xml:space="preserve">Appendix E. Glossary</w:t>
      </w:r>
    </w:p>
    <w:p>
      <w:pPr>
        <w:spacing w:after="140" w:line="276"/>
        <w:jc w:val="left"/>
      </w:pPr>
      <w:r>
        <w:t xml:space="preserve">This paper crosses display optics, psycholinguistics, machine learning systems, and HCI methodology; the following working definitions fix how contested or field-specific terms are used here, in the order a reader is likely to meet them.</w:t>
      </w:r>
    </w:p>
    <w:p>
      <w:pPr>
        <w:spacing w:after="140" w:line="276"/>
        <w:jc w:val="left"/>
      </w:pPr>
      <w:r>
        <w:rPr>
          <w:b/>
          <w:bCs/>
        </w:rPr>
        <w:t xml:space="preserve">Hololuminescent Display (HLD). </w:t>
      </w:r>
      <w:r>
        <w:t xml:space="preserve">Looking Glass Factory's fixed-optics display class (2025): a laminated optical film that presents standard 2D video with perceived volumetric depth, requiring no multi-view rendering, eye tracking, or glasses.</w:t>
      </w:r>
    </w:p>
    <w:p>
      <w:pPr>
        <w:spacing w:after="140" w:line="276"/>
        <w:jc w:val="left"/>
      </w:pPr>
      <w:r>
        <w:rPr>
          <w:b/>
          <w:bCs/>
        </w:rPr>
        <w:t xml:space="preserve">Light field. </w:t>
      </w:r>
      <w:r>
        <w:t xml:space="preserve">The set of light rays through a region of space; a light-field display approximates it by emitting many discrete rendered perspectives through lenticular optics, yielding head-motion parallax.</w:t>
      </w:r>
    </w:p>
    <w:p>
      <w:pPr>
        <w:spacing w:after="140" w:line="276"/>
        <w:jc w:val="left"/>
      </w:pPr>
      <w:r>
        <w:rPr>
          <w:b/>
          <w:bCs/>
        </w:rPr>
        <w:t xml:space="preserve">Quilt. </w:t>
      </w:r>
      <w:r>
        <w:t xml:space="preserve">Looking Glass's packing format for light-field content: a single large texture tiling 45–100 views of the scene, re-rendered every frame.</w:t>
      </w:r>
    </w:p>
    <w:p>
      <w:pPr>
        <w:spacing w:after="140" w:line="276"/>
        <w:jc w:val="left"/>
      </w:pPr>
      <w:r>
        <w:rPr>
          <w:b/>
          <w:bCs/>
        </w:rPr>
        <w:t xml:space="preserve">Pepper's Ghost. </w:t>
      </w:r>
      <w:r>
        <w:t xml:space="preserve">A nineteenth-century stage illusion using an angled semi-transparent reflector; the optical basis of most commercial “hologram boxes.”</w:t>
      </w:r>
    </w:p>
    <w:p>
      <w:pPr>
        <w:spacing w:after="140" w:line="276"/>
        <w:jc w:val="left"/>
      </w:pPr>
      <w:r>
        <w:rPr>
          <w:b/>
          <w:bCs/>
        </w:rPr>
        <w:t xml:space="preserve">Viseme. </w:t>
      </w:r>
      <w:r>
        <w:t xml:space="preserve">The visual mouth shape corresponding to a class of phonemes; viseme-driven lip-sync maps synthesis-time phoneme timings to avatar blendshapes.</w:t>
      </w:r>
    </w:p>
    <w:p>
      <w:pPr>
        <w:spacing w:after="140" w:line="276"/>
        <w:jc w:val="left"/>
      </w:pPr>
      <w:r>
        <w:rPr>
          <w:b/>
          <w:bCs/>
        </w:rPr>
        <w:t xml:space="preserve">Blendshape. </w:t>
      </w:r>
      <w:r>
        <w:t xml:space="preserve">A named deformation target on a rigged 3D face (e.g., jaw-open) blended by weight to produce expression and speech articulation.</w:t>
      </w:r>
    </w:p>
    <w:p>
      <w:pPr>
        <w:spacing w:after="140" w:line="276"/>
        <w:jc w:val="left"/>
      </w:pPr>
      <w:r>
        <w:rPr>
          <w:b/>
          <w:bCs/>
        </w:rPr>
        <w:t xml:space="preserve">VRM / GLB. </w:t>
      </w:r>
      <w:r>
        <w:t xml:space="preserve">Interchange formats for rigged humanoid avatars; VRM standardizes humanoid rigs and expressions, GLB is the binary glTF container the deployed renderer consumes.</w:t>
      </w:r>
    </w:p>
    <w:p>
      <w:pPr>
        <w:spacing w:after="140" w:line="276"/>
        <w:jc w:val="left"/>
      </w:pPr>
      <w:r>
        <w:rPr>
          <w:b/>
          <w:bCs/>
        </w:rPr>
        <w:t xml:space="preserve">Wake word. </w:t>
      </w:r>
      <w:r>
        <w:t xml:space="preserve">A short trained phrase whose on-device detection opens the microphone's downstream processing; the gate that keeps the audio pipeline closed by default.</w:t>
      </w:r>
    </w:p>
    <w:p>
      <w:pPr>
        <w:spacing w:after="140" w:line="276"/>
        <w:jc w:val="left"/>
      </w:pPr>
      <w:r>
        <w:rPr>
          <w:b/>
          <w:bCs/>
        </w:rPr>
        <w:t xml:space="preserve">Voice activity detection (VAD). </w:t>
      </w:r>
      <w:r>
        <w:t xml:space="preserve">Lightweight classification of audio as speech versus non-speech, used to segment utterances before transcription.</w:t>
      </w:r>
    </w:p>
    <w:p>
      <w:pPr>
        <w:spacing w:after="140" w:line="276"/>
        <w:jc w:val="left"/>
      </w:pPr>
      <w:r>
        <w:rPr>
          <w:b/>
          <w:bCs/>
        </w:rPr>
        <w:t xml:space="preserve">Barge-in. </w:t>
      </w:r>
      <w:r>
        <w:t xml:space="preserve">User speech during system speech, treated as a first-class interrupt: playback halts and the floor cedes to the human (§2.6, §5.3).</w:t>
      </w:r>
    </w:p>
    <w:p>
      <w:pPr>
        <w:spacing w:after="140" w:line="276"/>
        <w:jc w:val="left"/>
      </w:pPr>
      <w:r>
        <w:rPr>
          <w:b/>
          <w:bCs/>
        </w:rPr>
        <w:t xml:space="preserve">Turn-transition gap. </w:t>
      </w:r>
      <w:r>
        <w:t xml:space="preserve">The silence between one speaker's turn ending and the next beginning; modally 0–200 ms in human conversation (Stivers et al., 2009).</w:t>
      </w:r>
    </w:p>
    <w:p>
      <w:pPr>
        <w:spacing w:after="140" w:line="276"/>
        <w:jc w:val="left"/>
      </w:pPr>
      <w:r>
        <w:rPr>
          <w:b/>
          <w:bCs/>
        </w:rPr>
        <w:t xml:space="preserve">Parasocial interaction. </w:t>
      </w:r>
      <w:r>
        <w:t xml:space="preserve">One-sided social relationship with a mediated figure (Horton &amp; Wohl, 1956); the risk register any AI companion inherits.</w:t>
      </w:r>
    </w:p>
    <w:p>
      <w:pPr>
        <w:spacing w:after="140" w:line="276"/>
        <w:jc w:val="left"/>
      </w:pPr>
      <w:r>
        <w:rPr>
          <w:b/>
          <w:bCs/>
        </w:rPr>
        <w:t xml:space="preserve">Research through design (RtD). </w:t>
      </w:r>
      <w:r>
        <w:t xml:space="preserve">An HCI methodology in which the designed artifact and its documented judgment are the research contribution (Zimmerman et al., 2007).</w:t>
      </w:r>
    </w:p>
    <w:p>
      <w:pPr>
        <w:spacing w:after="140" w:line="276"/>
        <w:jc w:val="left"/>
      </w:pPr>
      <w:r>
        <w:rPr>
          <w:b/>
          <w:bCs/>
        </w:rPr>
        <w:t xml:space="preserve">Provenance tier. </w:t>
      </w:r>
      <w:r>
        <w:t xml:space="preserve">This paper's labeling of every empirical number as vendor-published, third-party benchmark, first-party protocol, or vendor/press-sourced comparator claim (§6.1).</w:t>
      </w:r>
    </w:p>
    <w:p>
      <w:pPr>
        <w:spacing w:after="140" w:line="276"/>
        <w:jc w:val="left"/>
      </w:pPr>
      <w:r>
        <w:rPr>
          <w:b/>
          <w:bCs/>
        </w:rPr>
        <w:t xml:space="preserve">Quantization / Q4_K_M. </w:t>
      </w:r>
      <w:r>
        <w:t xml:space="preserve">Storing model weights at reduced precision; Q4_K_M is llama.cpp's mixed 4-bit format, the systematically optimal accuracy-per-bit point (Dettmers &amp; Zettlemoyer, 2023).</w:t>
      </w:r>
    </w:p>
    <w:p>
      <w:pPr>
        <w:spacing w:after="140" w:line="276"/>
        <w:jc w:val="left"/>
      </w:pPr>
      <w:r>
        <w:rPr>
          <w:b/>
          <w:bCs/>
        </w:rPr>
        <w:t xml:space="preserve">GGUF. </w:t>
      </w:r>
      <w:r>
        <w:t xml:space="preserve">The llama.cpp file format packaging quantized weights and metadata for local inference.</w:t>
      </w:r>
    </w:p>
    <w:p>
      <w:pPr>
        <w:spacing w:after="140" w:line="276"/>
        <w:jc w:val="left"/>
      </w:pPr>
      <w:r>
        <w:rPr>
          <w:b/>
          <w:bCs/>
        </w:rPr>
        <w:t xml:space="preserve">Perplexity. </w:t>
      </w:r>
      <w:r>
        <w:t xml:space="preserve">A language-model fit metric (lower is better) used by community benchmarks to measure quantization degradation.</w:t>
      </w:r>
    </w:p>
    <w:p>
      <w:pPr>
        <w:spacing w:after="140" w:line="276"/>
        <w:jc w:val="left"/>
      </w:pPr>
      <w:r>
        <w:rPr>
          <w:b/>
          <w:bCs/>
        </w:rPr>
        <w:t xml:space="preserve">KV cache. </w:t>
      </w:r>
      <w:r>
        <w:t xml:space="preserve">Per-token attention state kept in memory during generation; its growth with context length competes for the same unified memory as weights and renderer.</w:t>
      </w:r>
    </w:p>
    <w:p>
      <w:pPr>
        <w:spacing w:after="140" w:line="276"/>
        <w:jc w:val="left"/>
      </w:pPr>
      <w:r>
        <w:rPr>
          <w:b/>
          <w:bCs/>
        </w:rPr>
        <w:t xml:space="preserve">Mixture-of-experts (MoE). </w:t>
      </w:r>
      <w:r>
        <w:t xml:space="preserve">Model architecture activating a small parameter subset per token (e.g., 30B-total/3B-active), buying large-model quality at small-model bandwidth cost.</w:t>
      </w:r>
    </w:p>
    <w:p>
      <w:pPr>
        <w:spacing w:after="140" w:line="276"/>
        <w:jc w:val="left"/>
      </w:pPr>
      <w:r>
        <w:rPr>
          <w:b/>
          <w:bCs/>
        </w:rPr>
        <w:t xml:space="preserve">iGPU / unified memory. </w:t>
      </w:r>
      <w:r>
        <w:t xml:space="preserve">A GPU integrated on the CPU package sharing one system memory bus — the contention substrate of §4.3.</w:t>
      </w:r>
    </w:p>
    <w:p>
      <w:pPr>
        <w:spacing w:after="140" w:line="276"/>
        <w:jc w:val="left"/>
      </w:pPr>
      <w:r>
        <w:rPr>
          <w:b/>
          <w:bCs/>
        </w:rPr>
        <w:t xml:space="preserve">Roofline (bandwidth-bound). </w:t>
      </w:r>
      <w:r>
        <w:t xml:space="preserve">Performance-ceiling reasoning: when computation is limited by memory traffic, throughput ≈ bandwidth ÷ bytes moved per unit of work (§6.2).</w:t>
      </w:r>
    </w:p>
    <w:p>
      <w:pPr>
        <w:spacing w:after="140" w:line="276"/>
        <w:jc w:val="left"/>
      </w:pPr>
      <w:r>
        <w:rPr>
          <w:b/>
          <w:bCs/>
        </w:rPr>
        <w:t xml:space="preserve">Vulkan / ROCm. </w:t>
      </w:r>
      <w:r>
        <w:t xml:space="preserve">GPU compute backends; ROCm is AMD's official stack (not supporting this iGPU), Vulkan the cross-vendor API Ollama uses experimentally here.</w:t>
      </w:r>
    </w:p>
    <w:p>
      <w:pPr>
        <w:spacing w:after="140" w:line="276"/>
        <w:jc w:val="left"/>
      </w:pPr>
      <w:r>
        <w:rPr>
          <w:b/>
          <w:bCs/>
        </w:rPr>
        <w:t xml:space="preserve">OpenAI-compatible endpoint. </w:t>
      </w:r>
      <w:r>
        <w:t xml:space="preserve">An HTTP server implementing the de facto standard chat-completions protocol, letting any conforming client front any conforming brain (§4.5).</w:t>
      </w:r>
    </w:p>
    <w:p>
      <w:pPr>
        <w:spacing w:after="140" w:line="276"/>
        <w:jc w:val="left"/>
      </w:pPr>
      <w:r>
        <w:rPr>
          <w:b/>
          <w:bCs/>
        </w:rPr>
        <w:t xml:space="preserve">Server-sent events (SSE). </w:t>
      </w:r>
      <w:r>
        <w:t xml:space="preserve">A one-way HTTP streaming channel; carries both token deltas and the announcement feed.</w:t>
      </w:r>
    </w:p>
    <w:p>
      <w:pPr>
        <w:spacing w:after="140" w:line="276"/>
        <w:jc w:val="left"/>
      </w:pPr>
      <w:r>
        <w:rPr>
          <w:b/>
          <w:bCs/>
        </w:rPr>
        <w:t xml:space="preserve">WSL2. </w:t>
      </w:r>
      <w:r>
        <w:t xml:space="preserve">Windows Subsystem for Linux; the virtualized Ubuntu environment hosting the agent Council beside Windows-native inference, joined by mirrored localhost.</w:t>
      </w:r>
    </w:p>
    <w:p>
      <w:pPr>
        <w:spacing w:after="140" w:line="276"/>
        <w:jc w:val="left"/>
      </w:pPr>
      <w:r>
        <w:rPr>
          <w:b/>
          <w:bCs/>
        </w:rPr>
        <w:t xml:space="preserve">Kiosk mode. </w:t>
      </w:r>
      <w:r>
        <w:t xml:space="preserve">A browser launched fullscreen without chrome on a target display; how the avatar page owns the HLD.</w:t>
      </w:r>
    </w:p>
    <w:p>
      <w:pPr>
        <w:spacing w:after="140" w:line="276"/>
        <w:jc w:val="left"/>
      </w:pPr>
      <w:r>
        <w:rPr>
          <w:b/>
          <w:bCs/>
        </w:rPr>
        <w:t xml:space="preserve">Ops log. </w:t>
      </w:r>
      <w:r>
        <w:t xml:space="preserve">The one-line-per-session operational record (eval rate, latency median, configuration deltas) that serves as the artifact's continuing falsifiable evidence (Appendix C.4).</w:t>
      </w:r>
    </w:p>
    <w:p>
      <w:pPr>
        <w:spacing w:after="120"/>
      </w:pPr>
      <w:r>
        <w:t xml:space="preserve"/>
      </w:r>
    </w:p>
    <w:p>
      <w:pPr>
        <w:spacing w:after="80"/>
      </w:pPr>
      <w:r>
        <w:rPr>
          <w:color w:val="555555"/>
          <w:sz w:val="18"/>
          <w:szCs w:val="18"/>
        </w:rPr>
        <w:t xml:space="preserve">End of paper. © 2026 Max Garcia · ClawMaxxing Research Series · Companion volumes: Vol. 1 The Illusion Engine, Vol. 2 The Build &amp; The Broadcast.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CE3" w:sz="4" w:space="3"/>
      </w:pBdr>
      <w:tabs>
        <w:tab w:val="right" w:pos="9360"/>
      </w:tabs>
    </w:pPr>
    <w:r>
      <w:rPr>
        <w:color w:val="777777"/>
        <w:sz w:val="16"/>
        <w:szCs w:val="16"/>
      </w:rPr>
      <w:t xml:space="preserve">ClawMaxxing · Local LLM Hologram</w:t>
    </w:r>
    <w:r>
      <w:t xml:space="preserve">	</w:t>
    </w:r>
    <w:r>
      <w:rPr>
        <w:color w:val="777777"/>
        <w:sz w:val="16"/>
        <w:szCs w:val="16"/>
      </w:rPr>
      <w:t xml:space="preserve">Page </w:t>
    </w:r>
    <w:r>
      <w:rPr>
        <w:color w:val="777777"/>
        <w:sz w:val="16"/>
        <w:szCs w:val="16"/>
      </w:rPr>
      <w:fldChar w:fldCharType="begin"/>
      <w:instrText xml:space="preserve">PAGE</w:instrText>
      <w:fldChar w:fldCharType="separate"/>
      <w:fldChar w:fldCharType="end"/>
    </w:r>
    <w:r>
      <w:rPr>
        <w:color w:val="777777"/>
        <w:sz w:val="16"/>
        <w:szCs w:val="16"/>
      </w:rPr>
      <w:t xml:space="preserve"> of </w:t>
    </w:r>
    <w:r>
      <w:rPr>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CE3" w:sz="4" w:space="3"/>
      </w:pBdr>
      <w:tabs>
        <w:tab w:val="right" w:pos="9360"/>
      </w:tabs>
    </w:pPr>
    <w:r>
      <w:rPr>
        <w:caps/>
        <w:color w:val="777777"/>
        <w:sz w:val="16"/>
        <w:szCs w:val="16"/>
      </w:rPr>
      <w:t xml:space="preserve">Garcia · Owning the Face · ClawMaxxing Research Series</w:t>
    </w:r>
    <w:r>
      <w:t xml:space="preserve">	</w:t>
    </w:r>
    <w:r>
      <w:rPr>
        <w:color w:val="3D5A80"/>
        <w:sz w:val="16"/>
        <w:szCs w:val="16"/>
      </w:rPr>
      <w:t xml:space="preserve">🦞 July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A1A1A"/>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bi8slgjvswbnldrgjfrj8" Type="http://schemas.openxmlformats.org/officeDocument/2006/relationships/hyperlink" Target="https://lookingglassfactory.com" TargetMode="External"/><Relationship Id="rIdflitif9kp3rib_ze0ipvm" Type="http://schemas.openxmlformats.org/officeDocument/2006/relationships/hyperlink" Target="https://lookingglassfactory.com" TargetMode="External"/><Relationship Id="rIdeexty3-rd_xfngphqnzbs" Type="http://schemas.openxmlformats.org/officeDocument/2006/relationships/hyperlink" Target="https://docs.lookingglassfactory.com" TargetMode="External"/><Relationship Id="rId2csgbhnix45jcbgia0b8a" Type="http://schemas.openxmlformats.org/officeDocument/2006/relationships/hyperlink" Target="https://www.tomshardware.com" TargetMode="External"/><Relationship Id="rIdyvxin6qp8akyeyjifnxem" Type="http://schemas.openxmlformats.org/officeDocument/2006/relationships/hyperlink" Target="https://www.razer.com/razer-ava" TargetMode="External"/><Relationship Id="rIdyhg2ottc0eusktpwnpttw" Type="http://schemas.openxmlformats.org/officeDocument/2006/relationships/hyperlink" Target="https://www.pcguide.com" TargetMode="External"/><Relationship Id="rIdxqieu3o9_eqdwjz2umypc" Type="http://schemas.openxmlformats.org/officeDocument/2006/relationships/hyperlink" Target="https://dasroot.net" TargetMode="External"/><Relationship Id="rIdc6spubjevlu035dvhidms" Type="http://schemas.openxmlformats.org/officeDocument/2006/relationships/hyperlink" Target="https://localscore.ai" TargetMode="External"/><Relationship Id="rIdpf_lpn-de5py62werluyb" Type="http://schemas.openxmlformats.org/officeDocument/2006/relationships/hyperlink" Target="https://binwh.com" TargetMode="External"/><Relationship Id="rIdf13ockxuy7p5kuw4dlbx4" Type="http://schemas.openxmlformats.org/officeDocument/2006/relationships/hyperlink" Target="https://ollama.com" TargetMode="External"/><Relationship Id="rIdz-r_srcfaeekcekc3mn-v" Type="http://schemas.openxmlformats.org/officeDocument/2006/relationships/hyperlink" Target="https://github.com/ggml-org/llama.cpp" TargetMode="External"/><Relationship Id="rIddtdrs9ip5b7kalrjccnz5" Type="http://schemas.openxmlformats.org/officeDocument/2006/relationships/hyperlink" Target="https://github.com/likelovewant/ollama-for-amd" TargetMode="External"/><Relationship Id="rIdw017xeltbw6cv7pynuiq0" Type="http://schemas.openxmlformats.org/officeDocument/2006/relationships/hyperlink" Target="https://www.amd.com" TargetMode="External"/><Relationship Id="rIdf_yl9kwmqdj423zcvh6aq" Type="http://schemas.openxmlformats.org/officeDocument/2006/relationships/hyperlink" Target="https://github.com/SYSTRAN/faster-whisper" TargetMode="External"/><Relationship Id="rIderr4puze8xwtfllme-nhf" Type="http://schemas.openxmlformats.org/officeDocument/2006/relationships/hyperlink" Target="https://huggingface.co/hexgrad/Kokoro-82M" TargetMode="External"/><Relationship Id="rId2iv8adnafnbb5o1hr-li6" Type="http://schemas.openxmlformats.org/officeDocument/2006/relationships/hyperlink" Target="https://github.com/KoljaB/RealtimeTTS" TargetMode="External"/><Relationship Id="rId-xfgu2vvql_gvqwrfbd_e" Type="http://schemas.openxmlformats.org/officeDocument/2006/relationships/hyperlink" Target="https://github.com/dscripka/openWakeWord" TargetMode="External"/><Relationship Id="rId74yjlds7ffidpelyqqock" Type="http://schemas.openxmlformats.org/officeDocument/2006/relationships/hyperlink" Target="https://picovoice.ai/platform/porcupine/" TargetMode="External"/><Relationship Id="rIdqb5ayo8jippjs8qcveurm" Type="http://schemas.openxmlformats.org/officeDocument/2006/relationships/hyperlink" Target="https://github.com/Open-LLM-VTuber/Open-LLM-VTuber" TargetMode="External"/><Relationship Id="rIdh1ng865wwbfrev5-loh7r" Type="http://schemas.openxmlformats.org/officeDocument/2006/relationships/hyperlink" Target="https://github.com/met4citizen/TalkingHead" TargetMode="External"/><Relationship Id="rIds8yxubh_myl7l2jhlfcqw" Type="http://schemas.openxmlformats.org/officeDocument/2006/relationships/hyperlink" Target="https://github.com/hecomi/uLipSync" TargetMode="External"/><Relationship Id="rIdvdvphd0rw4zplfsuv_iok" Type="http://schemas.openxmlformats.org/officeDocument/2006/relationships/hyperlink" Target="https://github.com/vrm-c/UniVRM" TargetMode="External"/><Relationship Id="rIdiwzyaq8r-euqojvap8tfx" Type="http://schemas.openxmlformats.org/officeDocument/2006/relationships/hyperlink" Target="https://langchain-ai.github.io/langgraph/" TargetMode="External"/><Relationship Id="rIdyhu79wmb36xa7nawpfw6i" Type="http://schemas.openxmlformats.org/officeDocument/2006/relationships/hyperlink" Target="https://docs.letta.com" TargetMode="External"/><Relationship Id="rIdumzyh-y6sfbmuzpbuscor" Type="http://schemas.openxmlformats.org/officeDocument/2006/relationships/hyperlink" Target="https://learn.microsoft.com/windows/wsl/" TargetMode="External"/><Relationship Id="rId9xbfcpbejyo8xtwftdxwr" Type="http://schemas.openxmlformats.org/officeDocument/2006/relationships/hyperlink" Target="https://simonwillison.net" TargetMode="External"/><Relationship Id="rIdswjckijk4u2eviju7hx0g" Type="http://schemas.openxmlformats.org/officeDocument/2006/relationships/hyperlink" Target="https://ai.meta.com/llama/" TargetMode="External"/><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2026-07-18T05:58:55.940Z</dcterms:created>
  <dcterms:modified xsi:type="dcterms:W3CDTF">2026-07-18T05:58:55.941Z</dcterms:modified>
</cp:coreProperties>
</file>

<file path=docProps/custom.xml><?xml version="1.0" encoding="utf-8"?>
<Properties xmlns="http://schemas.openxmlformats.org/officeDocument/2006/custom-properties" xmlns:vt="http://schemas.openxmlformats.org/officeDocument/2006/docPropsVTypes"/>
</file>