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0000"/>
          <w:sz w:val="40"/>
          <w:szCs w:val="40"/>
        </w:rPr>
        <w:t xml:space="preserve">Local-First Autonomous Multi-Agent Artificial Intelligence on Commodity Hardware</w:t>
      </w:r>
    </w:p>
    <w:p>
      <w:pPr>
        <w:spacing w:after="200"/>
        <w:jc w:val="center"/>
      </w:pPr>
      <w:r>
        <w:rPr>
          <w:rFonts w:ascii="Times New Roman" w:cs="Times New Roman" w:eastAsia="Times New Roman" w:hAnsi="Times New Roman"/>
          <w:i/>
          <w:iCs/>
          <w:color w:val="000000"/>
          <w:sz w:val="26"/>
          <w:szCs w:val="26"/>
        </w:rPr>
        <w:t xml:space="preserve">An Integrated Architecture for Private, Self-Hosted, Human-Governed AI Systems</w:t>
      </w:r>
    </w:p>
    <w:p>
      <w:pPr>
        <w:spacing w:after="30"/>
        <w:jc w:val="center"/>
      </w:pPr>
      <w:r>
        <w:rPr>
          <w:rFonts w:ascii="Times New Roman" w:cs="Times New Roman" w:eastAsia="Times New Roman" w:hAnsi="Times New Roman"/>
          <w:color w:val="000000"/>
          <w:sz w:val="24"/>
          <w:szCs w:val="24"/>
        </w:rPr>
        <w:t xml:space="preserve">Maximiliano Garcia</w:t>
      </w:r>
    </w:p>
    <w:p>
      <w:pPr>
        <w:spacing w:after="20"/>
        <w:jc w:val="center"/>
      </w:pPr>
      <w:r>
        <w:rPr>
          <w:rFonts w:ascii="Times New Roman" w:cs="Times New Roman" w:eastAsia="Times New Roman" w:hAnsi="Times New Roman"/>
          <w:i/>
          <w:iCs/>
          <w:color w:val="555555"/>
          <w:sz w:val="20"/>
          <w:szCs w:val="20"/>
        </w:rPr>
        <w:t xml:space="preserve">Department of Computer Science, University of Arkansas</w:t>
      </w:r>
    </w:p>
    <w:p>
      <w:pPr>
        <w:spacing w:after="20"/>
        <w:jc w:val="center"/>
      </w:pPr>
      <w:r>
        <w:rPr>
          <w:rFonts w:ascii="Times New Roman" w:cs="Times New Roman" w:eastAsia="Times New Roman" w:hAnsi="Times New Roman"/>
          <w:i/>
          <w:iCs/>
          <w:color w:val="555555"/>
          <w:sz w:val="20"/>
          <w:szCs w:val="20"/>
        </w:rPr>
        <w:t xml:space="preserve">Springdale, Arkansas, United States</w:t>
      </w:r>
    </w:p>
    <w:p>
      <w:pPr>
        <w:spacing w:after="20"/>
        <w:jc w:val="center"/>
      </w:pPr>
      <w:r>
        <w:rPr>
          <w:rFonts w:ascii="Times New Roman" w:cs="Times New Roman" w:eastAsia="Times New Roman" w:hAnsi="Times New Roman"/>
          <w:i/>
          <w:iCs/>
          <w:color w:val="555555"/>
          <w:sz w:val="20"/>
          <w:szCs w:val="20"/>
        </w:rPr>
        <w:t xml:space="preserve">Correspondence: the_maxgarcia</w:t>
      </w:r>
    </w:p>
    <w:p>
      <w:pPr>
        <w:spacing w:after="240"/>
        <w:jc w:val="center"/>
      </w:pPr>
      <w:r>
        <w:rPr>
          <w:rFonts w:ascii="Times New Roman" w:cs="Times New Roman" w:eastAsia="Times New Roman" w:hAnsi="Times New Roman"/>
          <w:color w:val="555555"/>
          <w:sz w:val="20"/>
          <w:szCs w:val="20"/>
        </w:rPr>
        <w:t xml:space="preserve">July 2026</w:t>
      </w:r>
    </w:p>
    <w:p>
      <w:pPr>
        <w:spacing w:after="80"/>
        <w:jc w:val="center"/>
      </w:pPr>
      <w:r>
        <w:rPr>
          <w:rFonts w:ascii="Arial" w:cs="Arial" w:eastAsia="Arial" w:hAnsi="Arial"/>
          <w:b/>
          <w:bCs/>
          <w:color w:val="000000"/>
          <w:sz w:val="22"/>
          <w:szCs w:val="22"/>
        </w:rPr>
        <w:t xml:space="preserve">Abstract</w:t>
      </w:r>
    </w:p>
    <w:p>
      <w:pPr>
        <w:spacing w:after="100" w:line="240"/>
        <w:ind w:left="620" w:right="620"/>
        <w:jc w:val="both"/>
      </w:pPr>
      <w:r>
        <w:rPr>
          <w:rFonts w:ascii="Times New Roman" w:cs="Times New Roman" w:eastAsia="Times New Roman" w:hAnsi="Times New Roman"/>
          <w:b w:val="false"/>
          <w:bCs w:val="false"/>
          <w:i w:val="false"/>
          <w:iCs w:val="false"/>
          <w:smallCaps w:val="false"/>
          <w:color w:val="000000"/>
          <w:sz w:val="24"/>
          <w:szCs w:val="24"/>
        </w:rPr>
        <w:t xml:space="preserve">The prevailing deployment model for large language models (LLMs) is remote and centralized: inference runs in hyperscale data centers, mediated by commercial application programming interfaces. This paper argues that a contrary model—</w:t>
      </w:r>
      <w:r>
        <w:rPr>
          <w:rFonts w:ascii="Times New Roman" w:cs="Times New Roman" w:eastAsia="Times New Roman" w:hAnsi="Times New Roman"/>
          <w:b w:val="false"/>
          <w:bCs w:val="false"/>
          <w:i/>
          <w:iCs/>
          <w:smallCaps w:val="false"/>
          <w:color w:val="000000"/>
          <w:sz w:val="24"/>
          <w:szCs w:val="24"/>
        </w:rPr>
        <w:t xml:space="preserve">local-first, on-premises, autonomous, and multi-agent</w:t>
      </w:r>
      <w:r>
        <w:rPr>
          <w:rFonts w:ascii="Times New Roman" w:cs="Times New Roman" w:eastAsia="Times New Roman" w:hAnsi="Times New Roman"/>
          <w:b w:val="false"/>
          <w:bCs w:val="false"/>
          <w:i w:val="false"/>
          <w:iCs w:val="false"/>
          <w:smallCaps w:val="false"/>
          <w:color w:val="000000"/>
          <w:sz w:val="24"/>
          <w:szCs w:val="24"/>
        </w:rPr>
        <w:t xml:space="preserve">—is not merely a hobbyist curiosity but a coherent and defensible architecture with substantial support in the peer-reviewed and field-expert literature. We present the design and rationale of an integrated system, developed on a single commodity mini-PC with a unified-memory accelerator and 32 GB of shared memory, that serves a lineup of quantized open-weight models locally and orchestrates them into a division-of-labor collective of specialist agents. We ground each architectural pillar in the literature: efficient inference on constrained hardware via quantization, sparsity, and memory-aware serving; agent reasoning through interleaved reasoning-and-acting and self-reflection; multi-agent orchestration through role specialization and structured collaboration; standardized tool invocation through the Model Context Protocol; and—most importantly—a human-in-the-loop safety spine that keeps a hardware-enforced approval gate between any autonomous proposal and any consequential action. We give particular attention to the security of autonomous agents that hold offensive tooling, which we argue is the single most hazardous configuration the architecture admits, and we describe the defensive posture (adversarial self-testing, standardized threat modeling, and a hardware authorization ceremony) that renders it defensible. We contend that the contribution is not any single component—each is an established research area—but the synthesis: a demonstration that private, auditable, human-governed autonomous AI can be assembled from open components on hardware an individual can own. We close with an honest account of the architecture’s limitations and the economic and security conditions under which local-first deployment is, and is not, the rational choice.</w:t>
      </w:r>
    </w:p>
    <w:p>
      <w:pPr>
        <w:spacing w:after="200"/>
        <w:ind w:left="620" w:right="620"/>
        <w:jc w:val="both"/>
      </w:pPr>
      <w:r>
        <w:rPr>
          <w:rFonts w:ascii="Times New Roman" w:cs="Times New Roman" w:eastAsia="Times New Roman" w:hAnsi="Times New Roman"/>
          <w:b/>
          <w:bCs/>
          <w:i/>
          <w:iCs/>
          <w:color w:val="000000"/>
          <w:sz w:val="20"/>
          <w:szCs w:val="20"/>
        </w:rPr>
        <w:t xml:space="preserve">Index Terms—</w:t>
      </w:r>
      <w:r>
        <w:rPr>
          <w:rFonts w:ascii="Times New Roman" w:cs="Times New Roman" w:eastAsia="Times New Roman" w:hAnsi="Times New Roman"/>
          <w:i/>
          <w:iCs/>
          <w:color w:val="000000"/>
          <w:sz w:val="20"/>
          <w:szCs w:val="20"/>
        </w:rPr>
        <w:t xml:space="preserve">local-first software, large language models, autonomous agents, multi-agent systems, model quantization, edge inference, Model Context Protocol, AI safety, human-in-the-loop, agentic security, prompt injection, retrieval-augmented generation.</w:t>
      </w:r>
    </w:p>
    <w:p>
      <w:pPr>
        <w:pBdr>
          <w:bottom w:val="single" w:color="BBBBBB" w:sz="6" w:space="2"/>
        </w:pBdr>
        <w:spacing w:after="160" w:before="40"/>
      </w:pPr>
      <w:r>
        <w:t xml:space="preserve"/>
      </w:r>
    </w:p>
    <w:p>
      <w:pPr>
        <w:pStyle w:val="Heading1"/>
        <w:keepNext/>
        <w:spacing w:after="120" w:before="300"/>
      </w:pPr>
      <w:r>
        <w:rPr>
          <w:rFonts w:ascii="Arial" w:cs="Arial" w:eastAsia="Arial" w:hAnsi="Arial"/>
          <w:b/>
          <w:bCs/>
          <w:color w:val="000000"/>
          <w:sz w:val="26"/>
          <w:szCs w:val="26"/>
        </w:rPr>
        <w:t xml:space="preserve">1  Introduction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dominant pattern for consuming large language models is to treat them as a remote utility. A developer sends text to an endpoint owned by a third party, computation occurs on hardware the developer never sees, and a response returns. This arrangement has clear advantages—no capital expense, access to frontier-scale models, and elastic capacity—and it has become so default that the alternative is often assumed to be impractical. Yet the alternative has a long intellectual lineage. The </w:t>
      </w:r>
      <w:r>
        <w:rPr>
          <w:rFonts w:ascii="Times New Roman" w:cs="Times New Roman" w:eastAsia="Times New Roman" w:hAnsi="Times New Roman"/>
          <w:b w:val="false"/>
          <w:bCs w:val="false"/>
          <w:i/>
          <w:iCs/>
          <w:smallCaps w:val="false"/>
          <w:color w:val="000000"/>
          <w:sz w:val="24"/>
          <w:szCs w:val="24"/>
        </w:rPr>
        <w:t xml:space="preserve">local-first</w:t>
      </w:r>
      <w:r>
        <w:rPr>
          <w:rFonts w:ascii="Times New Roman" w:cs="Times New Roman" w:eastAsia="Times New Roman" w:hAnsi="Times New Roman"/>
          <w:b w:val="false"/>
          <w:bCs w:val="false"/>
          <w:i w:val="false"/>
          <w:iCs w:val="false"/>
          <w:smallCaps w:val="false"/>
          <w:color w:val="000000"/>
          <w:sz w:val="24"/>
          <w:szCs w:val="24"/>
        </w:rPr>
        <w:t xml:space="preserve"> software movement articulated, well before the current wave of generative models, a principled case that users should retain ownership and control of their data and computation rather than surrendering both to the cloud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The privacy literature has repeatedly demonstrated that machine-learning systems leak information about their inputs and training data </w:t>
      </w:r>
      <w:r>
        <w:rPr>
          <w:rFonts w:ascii="Times New Roman" w:cs="Times New Roman" w:eastAsia="Times New Roman" w:hAnsi="Times New Roman"/>
          <w:color w:val="000000"/>
          <w:sz w:val="24"/>
          <w:szCs w:val="24"/>
        </w:rPr>
        <w:t xml:space="preserve">[2, 3]</w:t>
      </w:r>
      <w:r>
        <w:rPr>
          <w:rFonts w:ascii="Times New Roman" w:cs="Times New Roman" w:eastAsia="Times New Roman" w:hAnsi="Times New Roman"/>
          <w:b w:val="false"/>
          <w:bCs w:val="false"/>
          <w:i w:val="false"/>
          <w:iCs w:val="false"/>
          <w:smallCaps w:val="false"/>
          <w:color w:val="000000"/>
          <w:sz w:val="24"/>
          <w:szCs w:val="24"/>
        </w:rPr>
        <w:t xml:space="preserve">, sharpening the stakes of sending sensitive prompts to systems one does not control. And a growing body of systems research has shown that models once thought to require data-center hardware can be made to run, with careful engineering, on a single consumer device </w:t>
      </w:r>
      <w:r>
        <w:rPr>
          <w:rFonts w:ascii="Times New Roman" w:cs="Times New Roman" w:eastAsia="Times New Roman" w:hAnsi="Times New Roman"/>
          <w:color w:val="000000"/>
          <w:sz w:val="24"/>
          <w:szCs w:val="24"/>
        </w:rPr>
        <w:t xml:space="preserve">[27, 28]</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paper takes the local-first thesis seriously and pushes it to its logical conclusion. If a capable model can run privately on hardware an individual owns, and if such models can be made to reason, use tools, and collaborate, then it becomes possible to build an entire autonomous, multi-agent AI system that never depends on a remote service for its core operation. We describe such a system, developed by the author on a single commodity mini-PC, and—rather than presenting it as an engineering artifact alone—we use it as a lens through which to survey and synthesize the literature that makes each of its design decisions defensible. The system integrates a locally served lineup of quantized open-weight models, an orchestration layer that organizes specialist agents into a division of labor, a standardized protocol for tool invocation, a peripheral fleet of embodied and sensing devices, and a hardware-enforced human approval gate that governs every consequential action.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Our central claim is deliberately modest in one respect and ambitious in another. It is modest because none of the individual components is novel: quantized inference, agentic reasoning, multi-agent collaboration, and tool use are all active and well-populated research areas, and we make no claim to have invented any of them. It is ambitious because we contend that the </w:t>
      </w:r>
      <w:r>
        <w:rPr>
          <w:rFonts w:ascii="Times New Roman" w:cs="Times New Roman" w:eastAsia="Times New Roman" w:hAnsi="Times New Roman"/>
          <w:b w:val="false"/>
          <w:bCs w:val="false"/>
          <w:i/>
          <w:iCs/>
          <w:smallCaps w:val="false"/>
          <w:color w:val="000000"/>
          <w:sz w:val="24"/>
          <w:szCs w:val="24"/>
        </w:rPr>
        <w:t xml:space="preserve">integration</w:t>
      </w:r>
      <w:r>
        <w:rPr>
          <w:rFonts w:ascii="Times New Roman" w:cs="Times New Roman" w:eastAsia="Times New Roman" w:hAnsi="Times New Roman"/>
          <w:b w:val="false"/>
          <w:bCs w:val="false"/>
          <w:i w:val="false"/>
          <w:iCs w:val="false"/>
          <w:smallCaps w:val="false"/>
          <w:color w:val="000000"/>
          <w:sz w:val="24"/>
          <w:szCs w:val="24"/>
        </w:rPr>
        <w:t xml:space="preserve"> of these components into a private, auditable, human-governed whole—running on hardware that costs less than a laptop and depending on no external service—is a legitimate and underappreciated architecture. The prevailing discourse treats serious autonomous AI as something that must live in the cloud. We argue that this is a contingent fact about current economics and tooling, not a necessary one, and that the local-first alternative offers advantages in privacy, control, auditability, and resilience that are undertheorized precisely because the cloud model is so entrenched.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To make the stakes concrete, consider a scenario the cloud-default model handles poorly. An individual wishes to build an autonomous assistant that reads their personal correspondence, manages their files, analyzes their finances, and controls devices in their home—tasks that require both capability and access to deeply private data. The cloud-default approach would route all of this through remote services, exposing the individual’s correspondence, files, finances, and home to third parties whose retention and use of that data the individual cannot fully verify or control, and creating a dependency such that the assistant ceases to function if connectivity is lost or a service is discontinued. For a broad and growing class of applications defined by the sensitivity of their data and the value of their autonomy, these properties are disqualifying, and no contractual assurance from a provider fully removes them, because the privacy literature establishes that the mere processing of data on systems one does not control creates exposure </w:t>
      </w:r>
      <w:r>
        <w:rPr>
          <w:rFonts w:ascii="Times New Roman" w:cs="Times New Roman" w:eastAsia="Times New Roman" w:hAnsi="Times New Roman"/>
          <w:color w:val="000000"/>
          <w:sz w:val="24"/>
          <w:szCs w:val="24"/>
        </w:rPr>
        <w:t xml:space="preserve">[2, 3]</w:t>
      </w:r>
      <w:r>
        <w:rPr>
          <w:rFonts w:ascii="Times New Roman" w:cs="Times New Roman" w:eastAsia="Times New Roman" w:hAnsi="Times New Roman"/>
          <w:b w:val="false"/>
          <w:bCs w:val="false"/>
          <w:i w:val="false"/>
          <w:iCs w:val="false"/>
          <w:smallCaps w:val="false"/>
          <w:color w:val="000000"/>
          <w:sz w:val="24"/>
          <w:szCs w:val="24"/>
        </w:rPr>
        <w:t xml:space="preserve">. The local-first architecture we describe is a direct response: it keeps the data, the computation, and the control in the individual’s own hands.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paper is positioned at the intersection of several literatures that have largely developed independently. It draws on the systems research that has made efficient inference on consumer hardware feasible </w:t>
      </w:r>
      <w:r>
        <w:rPr>
          <w:rFonts w:ascii="Times New Roman" w:cs="Times New Roman" w:eastAsia="Times New Roman" w:hAnsi="Times New Roman"/>
          <w:color w:val="000000"/>
          <w:sz w:val="24"/>
          <w:szCs w:val="24"/>
        </w:rPr>
        <w:t xml:space="preserve">[11, 27, 28]</w:t>
      </w:r>
      <w:r>
        <w:rPr>
          <w:rFonts w:ascii="Times New Roman" w:cs="Times New Roman" w:eastAsia="Times New Roman" w:hAnsi="Times New Roman"/>
          <w:b w:val="false"/>
          <w:bCs w:val="false"/>
          <w:i w:val="false"/>
          <w:iCs w:val="false"/>
          <w:smallCaps w:val="false"/>
          <w:color w:val="000000"/>
          <w:sz w:val="24"/>
          <w:szCs w:val="24"/>
        </w:rPr>
        <w:t xml:space="preserve">, the agent and multi-agent literature that has turned language models into autonomous actors </w:t>
      </w:r>
      <w:r>
        <w:rPr>
          <w:rFonts w:ascii="Times New Roman" w:cs="Times New Roman" w:eastAsia="Times New Roman" w:hAnsi="Times New Roman"/>
          <w:color w:val="000000"/>
          <w:sz w:val="24"/>
          <w:szCs w:val="24"/>
        </w:rPr>
        <w:t xml:space="preserve">[43, 61, 62]</w:t>
      </w:r>
      <w:r>
        <w:rPr>
          <w:rFonts w:ascii="Times New Roman" w:cs="Times New Roman" w:eastAsia="Times New Roman" w:hAnsi="Times New Roman"/>
          <w:b w:val="false"/>
          <w:bCs w:val="false"/>
          <w:i w:val="false"/>
          <w:iCs w:val="false"/>
          <w:smallCaps w:val="false"/>
          <w:color w:val="000000"/>
          <w:sz w:val="24"/>
          <w:szCs w:val="24"/>
        </w:rPr>
        <w:t xml:space="preserve">, the AI-safety literature concerned with the oversight of such actors </w:t>
      </w:r>
      <w:r>
        <w:rPr>
          <w:rFonts w:ascii="Times New Roman" w:cs="Times New Roman" w:eastAsia="Times New Roman" w:hAnsi="Times New Roman"/>
          <w:color w:val="000000"/>
          <w:sz w:val="24"/>
          <w:szCs w:val="24"/>
        </w:rPr>
        <w:t xml:space="preserve">[76, 78]</w:t>
      </w:r>
      <w:r>
        <w:rPr>
          <w:rFonts w:ascii="Times New Roman" w:cs="Times New Roman" w:eastAsia="Times New Roman" w:hAnsi="Times New Roman"/>
          <w:b w:val="false"/>
          <w:bCs w:val="false"/>
          <w:i w:val="false"/>
          <w:iCs w:val="false"/>
          <w:smallCaps w:val="false"/>
          <w:color w:val="000000"/>
          <w:sz w:val="24"/>
          <w:szCs w:val="24"/>
        </w:rPr>
        <w:t xml:space="preserve">, and the security literature that has mapped the threats to tool-enabled systems </w:t>
      </w:r>
      <w:r>
        <w:rPr>
          <w:rFonts w:ascii="Times New Roman" w:cs="Times New Roman" w:eastAsia="Times New Roman" w:hAnsi="Times New Roman"/>
          <w:color w:val="000000"/>
          <w:sz w:val="24"/>
          <w:szCs w:val="24"/>
        </w:rPr>
        <w:t xml:space="preserve">[89, 97]</w:t>
      </w:r>
      <w:r>
        <w:rPr>
          <w:rFonts w:ascii="Times New Roman" w:cs="Times New Roman" w:eastAsia="Times New Roman" w:hAnsi="Times New Roman"/>
          <w:b w:val="false"/>
          <w:bCs w:val="false"/>
          <w:i w:val="false"/>
          <w:iCs w:val="false"/>
          <w:smallCaps w:val="false"/>
          <w:color w:val="000000"/>
          <w:sz w:val="24"/>
          <w:szCs w:val="24"/>
        </w:rPr>
        <w:t xml:space="preserve">. Its contribution is not to any one of these literatures individually but to their synthesis: it shows how their results combine into a coherent architecture, and it argues that the combination is both feasible and defensible. To our knowledge, the integration of local-first operation, autonomous multi-agent orchestration, standardized tool mediation, and a hardware-enforced human gate into a single articulated architecture has not previously been presented and defended as such, and it is that integrated architecture, rather than any of its components, that this paper offers.</w:t>
      </w:r>
    </w:p>
    <w:p>
      <w:pPr>
        <w:pStyle w:val="Heading2"/>
        <w:keepNext/>
        <w:spacing w:after="90" w:before="200"/>
      </w:pPr>
      <w:r>
        <w:rPr>
          <w:rFonts w:ascii="Arial" w:cs="Arial" w:eastAsia="Arial" w:hAnsi="Arial"/>
          <w:b/>
          <w:bCs/>
          <w:color w:val="000000"/>
          <w:sz w:val="23"/>
          <w:szCs w:val="23"/>
        </w:rPr>
        <w:t xml:space="preserve">1.1  Contributions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paper makes the following contributions.</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An integrated architecture</w:t>
      </w:r>
      <w:r>
        <w:rPr>
          <w:rFonts w:ascii="Times New Roman" w:cs="Times New Roman" w:eastAsia="Times New Roman" w:hAnsi="Times New Roman"/>
          <w:b w:val="false"/>
          <w:bCs w:val="false"/>
          <w:i w:val="false"/>
          <w:iCs w:val="false"/>
          <w:smallCaps w:val="false"/>
          <w:color w:val="000000"/>
          <w:sz w:val="24"/>
          <w:szCs w:val="24"/>
        </w:rPr>
        <w:t xml:space="preserve"> for local-first autonomous multi-agent AI on commodity hardware, described at a level of detail sufficient to establish its feasibility and to situate each subsystem within the relevant literature.</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 grounded justification</w:t>
      </w:r>
      <w:r>
        <w:rPr>
          <w:rFonts w:ascii="Times New Roman" w:cs="Times New Roman" w:eastAsia="Times New Roman" w:hAnsi="Times New Roman"/>
          <w:b w:val="false"/>
          <w:bCs w:val="false"/>
          <w:i w:val="false"/>
          <w:iCs w:val="false"/>
          <w:smallCaps w:val="false"/>
          <w:color w:val="000000"/>
          <w:sz w:val="24"/>
          <w:szCs w:val="24"/>
        </w:rPr>
        <w:t xml:space="preserve"> of the constrained-hardware inference decision, connecting the practical choice of quantized, mixture-of-experts open-weight models to the quantization, sparsity, and memory-aware serving literature that explains why a large model can run in a small memory budget.</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 synthesis of the agentic and multi-agent literature</w:t>
      </w:r>
      <w:r>
        <w:rPr>
          <w:rFonts w:ascii="Times New Roman" w:cs="Times New Roman" w:eastAsia="Times New Roman" w:hAnsi="Times New Roman"/>
          <w:b w:val="false"/>
          <w:bCs w:val="false"/>
          <w:i w:val="false"/>
          <w:iCs w:val="false"/>
          <w:smallCaps w:val="false"/>
          <w:color w:val="000000"/>
          <w:sz w:val="24"/>
          <w:szCs w:val="24"/>
        </w:rPr>
        <w:t xml:space="preserve"> as it applies to a division-of-labor collective, including the reasoning, reflection, tool-use, and orchestration mechanisms that make specialist collaboration tractable.</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 treatment of the safety spine</w:t>
      </w:r>
      <w:r>
        <w:rPr>
          <w:rFonts w:ascii="Times New Roman" w:cs="Times New Roman" w:eastAsia="Times New Roman" w:hAnsi="Times New Roman"/>
          <w:b w:val="false"/>
          <w:bCs w:val="false"/>
          <w:i w:val="false"/>
          <w:iCs w:val="false"/>
          <w:smallCaps w:val="false"/>
          <w:color w:val="000000"/>
          <w:sz w:val="24"/>
          <w:szCs w:val="24"/>
        </w:rPr>
        <w:t xml:space="preserve">, arguing that a hardware-enforced human approval gate—built on established authentication standards—is the mechanism that renders autonomous tool use defensible, and connecting this to the AI-safety and human-oversight literature.</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 security analysis of autonomous agents with offensive capability</w:t>
      </w:r>
      <w:r>
        <w:rPr>
          <w:rFonts w:ascii="Times New Roman" w:cs="Times New Roman" w:eastAsia="Times New Roman" w:hAnsi="Times New Roman"/>
          <w:b w:val="false"/>
          <w:bCs w:val="false"/>
          <w:i w:val="false"/>
          <w:iCs w:val="false"/>
          <w:smallCaps w:val="false"/>
          <w:color w:val="000000"/>
          <w:sz w:val="24"/>
          <w:szCs w:val="24"/>
        </w:rPr>
        <w:t xml:space="preserve">, which we identify as the architecture’s most hazardous configuration, together with the adversarial self-testing and standardized threat-modeling posture that mitigates it.</w:t>
      </w:r>
    </w:p>
    <w:p>
      <w:pPr>
        <w:pStyle w:val="ListParagraph"/>
        <w:numPr>
          <w:ilvl w:val="0"/>
          <w:numId w:val="2"/>
        </w:numPr>
        <w:spacing w:after="50" w:line="244"/>
      </w:pPr>
      <w:r>
        <w:rPr>
          <w:rFonts w:ascii="Times New Roman" w:cs="Times New Roman" w:eastAsia="Times New Roman" w:hAnsi="Times New Roman"/>
          <w:b/>
          <w:bCs/>
          <w:i w:val="false"/>
          <w:iCs w:val="false"/>
          <w:smallCaps w:val="false"/>
          <w:color w:val="000000"/>
          <w:sz w:val="24"/>
          <w:szCs w:val="24"/>
        </w:rPr>
        <w:t xml:space="preserve">An honest limitations analysis</w:t>
      </w:r>
      <w:r>
        <w:rPr>
          <w:rFonts w:ascii="Times New Roman" w:cs="Times New Roman" w:eastAsia="Times New Roman" w:hAnsi="Times New Roman"/>
          <w:b w:val="false"/>
          <w:bCs w:val="false"/>
          <w:i w:val="false"/>
          <w:iCs w:val="false"/>
          <w:smallCaps w:val="false"/>
          <w:color w:val="000000"/>
          <w:sz w:val="24"/>
          <w:szCs w:val="24"/>
        </w:rPr>
        <w:t xml:space="preserve">, including the economic conditions under which local-first deployment is and is not rational, drawn from the cost-benefit literature comparing self-hosted and commercial inference.</w:t>
      </w:r>
    </w:p>
    <w:p>
      <w:pPr>
        <w:pStyle w:val="Heading2"/>
        <w:keepNext/>
        <w:spacing w:after="90" w:before="200"/>
      </w:pPr>
      <w:r>
        <w:rPr>
          <w:rFonts w:ascii="Arial" w:cs="Arial" w:eastAsia="Arial" w:hAnsi="Arial"/>
          <w:b/>
          <w:bCs/>
          <w:color w:val="000000"/>
          <w:sz w:val="23"/>
          <w:szCs w:val="23"/>
        </w:rPr>
        <w:t xml:space="preserve">1.2  Organization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Section 2 reviews the local-first thesis and the cloud-default critique. Section 3 gives an architectural overview of the system. Section 4 addresses efficient inference on constrained hardware. Section 5 surveys agent reasoning, planning, and tool use. Section 6 treats multi-agent orchestration. Section 7 describes the Model Context Protocol as a tool substrate and its security implications. Section 8 develops the human-oversight safety spine. Section 9 analyzes agentic security and the offensive-tooling hazard. Section 10 covers the supporting subsystems—embodiment, content provenance, quantitative risk sizing, and federation. Section 11 discusses what the architecture demonstrates and the conditions of its applicability. Section 12 states threats to validity and limitations, Section 13 outlines future work, and Section 14 concludes.</w:t>
      </w:r>
    </w:p>
    <w:p>
      <w:pPr>
        <w:pStyle w:val="Heading1"/>
        <w:keepNext/>
        <w:spacing w:after="120" w:before="300"/>
      </w:pPr>
      <w:r>
        <w:rPr>
          <w:rFonts w:ascii="Arial" w:cs="Arial" w:eastAsia="Arial" w:hAnsi="Arial"/>
          <w:b/>
          <w:bCs/>
          <w:color w:val="000000"/>
          <w:sz w:val="26"/>
          <w:szCs w:val="26"/>
        </w:rPr>
        <w:t xml:space="preserve">2  Background and the Local-First Thesis</w:t>
      </w:r>
    </w:p>
    <w:p>
      <w:pPr>
        <w:pStyle w:val="Heading2"/>
        <w:keepNext/>
        <w:spacing w:after="90" w:before="200"/>
      </w:pPr>
      <w:r>
        <w:rPr>
          <w:rFonts w:ascii="Arial" w:cs="Arial" w:eastAsia="Arial" w:hAnsi="Arial"/>
          <w:b/>
          <w:bCs/>
          <w:color w:val="000000"/>
          <w:sz w:val="23"/>
          <w:szCs w:val="23"/>
        </w:rPr>
        <w:t xml:space="preserve">2.1  From Local-First Software to Local-First AI</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term </w:t>
      </w:r>
      <w:r>
        <w:rPr>
          <w:rFonts w:ascii="Times New Roman" w:cs="Times New Roman" w:eastAsia="Times New Roman" w:hAnsi="Times New Roman"/>
          <w:b w:val="false"/>
          <w:bCs w:val="false"/>
          <w:i/>
          <w:iCs/>
          <w:smallCaps w:val="false"/>
          <w:color w:val="000000"/>
          <w:sz w:val="24"/>
          <w:szCs w:val="24"/>
        </w:rPr>
        <w:t xml:space="preserve">local-first software</w:t>
      </w:r>
      <w:r>
        <w:rPr>
          <w:rFonts w:ascii="Times New Roman" w:cs="Times New Roman" w:eastAsia="Times New Roman" w:hAnsi="Times New Roman"/>
          <w:b w:val="false"/>
          <w:bCs w:val="false"/>
          <w:i w:val="false"/>
          <w:iCs w:val="false"/>
          <w:smallCaps w:val="false"/>
          <w:color w:val="000000"/>
          <w:sz w:val="24"/>
          <w:szCs w:val="24"/>
        </w:rPr>
        <w:t xml:space="preserve"> was introduced to name a class of applications that keep the primary copy of a user’s data on the user’s own devices, treat the network as an optimization rather than a dependency, and thereby preserve ownership, privacy, longevity, and control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The original formulation was concerned with collaborative document editing and the conflict-resolution machinery—conflict-free replicated data types, whose correctness has been formally verified—that makes offline-first collaboration tractable </w:t>
      </w:r>
      <w:r>
        <w:rPr>
          <w:rFonts w:ascii="Times New Roman" w:cs="Times New Roman" w:eastAsia="Times New Roman" w:hAnsi="Times New Roman"/>
          <w:color w:val="000000"/>
          <w:sz w:val="24"/>
          <w:szCs w:val="24"/>
        </w:rPr>
        <w:t xml:space="preserve">[88]</w:t>
      </w:r>
      <w:r>
        <w:rPr>
          <w:rFonts w:ascii="Times New Roman" w:cs="Times New Roman" w:eastAsia="Times New Roman" w:hAnsi="Times New Roman"/>
          <w:b w:val="false"/>
          <w:bCs w:val="false"/>
          <w:i w:val="false"/>
          <w:iCs w:val="false"/>
          <w:smallCaps w:val="false"/>
          <w:color w:val="000000"/>
          <w:sz w:val="24"/>
          <w:szCs w:val="24"/>
        </w:rPr>
        <w:t xml:space="preserve">. The movement’s deeper argument, however, is normative: it holds that the convenience of cloud services has been purchased at the cost of user autonomy, and that software should be designed to return that autonomy to the user.</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rise of large language models did not arise from the local-first tradition, and indeed the two have largely developed in isolation. Foundation models grew out of the transformer architecture </w:t>
      </w:r>
      <w:r>
        <w:rPr>
          <w:rFonts w:ascii="Times New Roman" w:cs="Times New Roman" w:eastAsia="Times New Roman" w:hAnsi="Times New Roman"/>
          <w:color w:val="000000"/>
          <w:sz w:val="24"/>
          <w:szCs w:val="24"/>
        </w:rPr>
        <w:t xml:space="preserve">[118]</w:t>
      </w:r>
      <w:r>
        <w:rPr>
          <w:rFonts w:ascii="Times New Roman" w:cs="Times New Roman" w:eastAsia="Times New Roman" w:hAnsi="Times New Roman"/>
          <w:b w:val="false"/>
          <w:bCs w:val="false"/>
          <w:i w:val="false"/>
          <w:iCs w:val="false"/>
          <w:smallCaps w:val="false"/>
          <w:color w:val="000000"/>
          <w:sz w:val="24"/>
          <w:szCs w:val="24"/>
        </w:rPr>
        <w:t xml:space="preserve"> and the observation that scaling parameters, data, and compute yields predictable and sometimes qualitatively new capabilities </w:t>
      </w:r>
      <w:r>
        <w:rPr>
          <w:rFonts w:ascii="Times New Roman" w:cs="Times New Roman" w:eastAsia="Times New Roman" w:hAnsi="Times New Roman"/>
          <w:color w:val="000000"/>
          <w:sz w:val="24"/>
          <w:szCs w:val="24"/>
        </w:rPr>
        <w:t xml:space="preserve">[119–121]</w:t>
      </w:r>
      <w:r>
        <w:rPr>
          <w:rFonts w:ascii="Times New Roman" w:cs="Times New Roman" w:eastAsia="Times New Roman" w:hAnsi="Times New Roman"/>
          <w:b w:val="false"/>
          <w:bCs w:val="false"/>
          <w:i w:val="false"/>
          <w:iCs w:val="false"/>
          <w:smallCaps w:val="false"/>
          <w:color w:val="000000"/>
          <w:sz w:val="24"/>
          <w:szCs w:val="24"/>
        </w:rPr>
        <w:t xml:space="preserve">; the compute-optimal training literature further refined how that scale should be allocated </w:t>
      </w:r>
      <w:r>
        <w:rPr>
          <w:rFonts w:ascii="Times New Roman" w:cs="Times New Roman" w:eastAsia="Times New Roman" w:hAnsi="Times New Roman"/>
          <w:color w:val="000000"/>
          <w:sz w:val="24"/>
          <w:szCs w:val="24"/>
        </w:rPr>
        <w:t xml:space="preserve">[122]</w:t>
      </w:r>
      <w:r>
        <w:rPr>
          <w:rFonts w:ascii="Times New Roman" w:cs="Times New Roman" w:eastAsia="Times New Roman" w:hAnsi="Times New Roman"/>
          <w:b w:val="false"/>
          <w:bCs w:val="false"/>
          <w:i w:val="false"/>
          <w:iCs w:val="false"/>
          <w:smallCaps w:val="false"/>
          <w:color w:val="000000"/>
          <w:sz w:val="24"/>
          <w:szCs w:val="24"/>
        </w:rPr>
        <w:t xml:space="preserve">. The economic logic of this scaling pushed inference toward centralization: if the best models are the largest, and the largest require specialized accelerators in specialized facilities, then access must be mediated by whoever operates those facilities. This paper’s premise is that the release of capable </w:t>
      </w:r>
      <w:r>
        <w:rPr>
          <w:rFonts w:ascii="Times New Roman" w:cs="Times New Roman" w:eastAsia="Times New Roman" w:hAnsi="Times New Roman"/>
          <w:b w:val="false"/>
          <w:bCs w:val="false"/>
          <w:i/>
          <w:iCs/>
          <w:smallCaps w:val="false"/>
          <w:color w:val="000000"/>
          <w:sz w:val="24"/>
          <w:szCs w:val="24"/>
        </w:rPr>
        <w:t xml:space="preserve">open-weight</w:t>
      </w:r>
      <w:r>
        <w:rPr>
          <w:rFonts w:ascii="Times New Roman" w:cs="Times New Roman" w:eastAsia="Times New Roman" w:hAnsi="Times New Roman"/>
          <w:b w:val="false"/>
          <w:bCs w:val="false"/>
          <w:i w:val="false"/>
          <w:iCs w:val="false"/>
          <w:smallCaps w:val="false"/>
          <w:color w:val="000000"/>
          <w:sz w:val="24"/>
          <w:szCs w:val="24"/>
        </w:rPr>
        <w:t xml:space="preserve"> models </w:t>
      </w:r>
      <w:r>
        <w:rPr>
          <w:rFonts w:ascii="Times New Roman" w:cs="Times New Roman" w:eastAsia="Times New Roman" w:hAnsi="Times New Roman"/>
          <w:color w:val="000000"/>
          <w:sz w:val="24"/>
          <w:szCs w:val="24"/>
        </w:rPr>
        <w:t xml:space="preserve">[31, 33–35, 123]</w:t>
      </w:r>
      <w:r>
        <w:rPr>
          <w:rFonts w:ascii="Times New Roman" w:cs="Times New Roman" w:eastAsia="Times New Roman" w:hAnsi="Times New Roman"/>
          <w:b w:val="false"/>
          <w:bCs w:val="false"/>
          <w:i w:val="false"/>
          <w:iCs w:val="false"/>
          <w:smallCaps w:val="false"/>
          <w:color w:val="000000"/>
          <w:sz w:val="24"/>
          <w:szCs w:val="24"/>
        </w:rPr>
        <w:t xml:space="preserve">, combined with advances in compression and efficient serving, has quietly created the conditions for a local-first turn in AI that the field has not yet fully theorized.</w:t>
      </w:r>
    </w:p>
    <w:p>
      <w:pPr>
        <w:pStyle w:val="Heading2"/>
        <w:keepNext/>
        <w:spacing w:after="90" w:before="200"/>
      </w:pPr>
      <w:r>
        <w:rPr>
          <w:rFonts w:ascii="Arial" w:cs="Arial" w:eastAsia="Arial" w:hAnsi="Arial"/>
          <w:b/>
          <w:bCs/>
          <w:color w:val="000000"/>
          <w:sz w:val="23"/>
          <w:szCs w:val="23"/>
        </w:rPr>
        <w:t xml:space="preserve">2.2  The Case Against Cloud-Default Deployment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Three lines of argument motivate a reconsideration of cloud-default deployment. The first is </w:t>
      </w:r>
      <w:r>
        <w:rPr>
          <w:rFonts w:ascii="Times New Roman" w:cs="Times New Roman" w:eastAsia="Times New Roman" w:hAnsi="Times New Roman"/>
          <w:b w:val="false"/>
          <w:bCs w:val="false"/>
          <w:i/>
          <w:iCs/>
          <w:smallCaps w:val="false"/>
          <w:color w:val="000000"/>
          <w:sz w:val="24"/>
          <w:szCs w:val="24"/>
        </w:rPr>
        <w:t xml:space="preserve">privacy and data sovereignty</w:t>
      </w:r>
      <w:r>
        <w:rPr>
          <w:rFonts w:ascii="Times New Roman" w:cs="Times New Roman" w:eastAsia="Times New Roman" w:hAnsi="Times New Roman"/>
          <w:b w:val="false"/>
          <w:bCs w:val="false"/>
          <w:i w:val="false"/>
          <w:iCs w:val="false"/>
          <w:smallCaps w:val="false"/>
          <w:color w:val="000000"/>
          <w:sz w:val="24"/>
          <w:szCs w:val="24"/>
        </w:rPr>
        <w:t xml:space="preserve">. Sending a prompt to a remote service exposes its contents to that service, and machine-learning systems are known to memorize and leak information from their inputs and training corpora </w:t>
      </w:r>
      <w:r>
        <w:rPr>
          <w:rFonts w:ascii="Times New Roman" w:cs="Times New Roman" w:eastAsia="Times New Roman" w:hAnsi="Times New Roman"/>
          <w:color w:val="000000"/>
          <w:sz w:val="24"/>
          <w:szCs w:val="24"/>
        </w:rPr>
        <w:t xml:space="preserve">[2, 3]</w:t>
      </w:r>
      <w:r>
        <w:rPr>
          <w:rFonts w:ascii="Times New Roman" w:cs="Times New Roman" w:eastAsia="Times New Roman" w:hAnsi="Times New Roman"/>
          <w:b w:val="false"/>
          <w:bCs w:val="false"/>
          <w:i w:val="false"/>
          <w:iCs w:val="false"/>
          <w:smallCaps w:val="false"/>
          <w:color w:val="000000"/>
          <w:sz w:val="24"/>
          <w:szCs w:val="24"/>
        </w:rPr>
        <w:t xml:space="preserve">. For applications handling personal, proprietary, or regulated data, the act of transmission is itself a risk, independent of any provider’s good intentions. A local-first system eliminates this class of risk by construction: data that never leaves the device cannot be intercepted, retained, or repurposed by a third party.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second argument is </w:t>
      </w:r>
      <w:r>
        <w:rPr>
          <w:rFonts w:ascii="Times New Roman" w:cs="Times New Roman" w:eastAsia="Times New Roman" w:hAnsi="Times New Roman"/>
          <w:b w:val="false"/>
          <w:bCs w:val="false"/>
          <w:i/>
          <w:iCs/>
          <w:smallCaps w:val="false"/>
          <w:color w:val="000000"/>
          <w:sz w:val="24"/>
          <w:szCs w:val="24"/>
        </w:rPr>
        <w:t xml:space="preserve">control and resilience</w:t>
      </w:r>
      <w:r>
        <w:rPr>
          <w:rFonts w:ascii="Times New Roman" w:cs="Times New Roman" w:eastAsia="Times New Roman" w:hAnsi="Times New Roman"/>
          <w:b w:val="false"/>
          <w:bCs w:val="false"/>
          <w:i w:val="false"/>
          <w:iCs w:val="false"/>
          <w:smallCaps w:val="false"/>
          <w:color w:val="000000"/>
          <w:sz w:val="24"/>
          <w:szCs w:val="24"/>
        </w:rPr>
        <w:t xml:space="preserve">. A system that depends on a remote API is subject to that API’s availability, pricing, rate limits, content policies, and continued existence. Models are deprecated, terms change, and services are discontinued; an application built atop them inherits this fragility. A local-first system, by contrast, continues to function without connectivity and is immune to unilateral changes by an external party. This resilience is not merely theoretical comfort: it is the difference between an infrastructure one owns and one merely rents.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third argument is </w:t>
      </w:r>
      <w:r>
        <w:rPr>
          <w:rFonts w:ascii="Times New Roman" w:cs="Times New Roman" w:eastAsia="Times New Roman" w:hAnsi="Times New Roman"/>
          <w:b w:val="false"/>
          <w:bCs w:val="false"/>
          <w:i/>
          <w:iCs/>
          <w:smallCaps w:val="false"/>
          <w:color w:val="000000"/>
          <w:sz w:val="24"/>
          <w:szCs w:val="24"/>
        </w:rPr>
        <w:t xml:space="preserve">economics</w:t>
      </w:r>
      <w:r>
        <w:rPr>
          <w:rFonts w:ascii="Times New Roman" w:cs="Times New Roman" w:eastAsia="Times New Roman" w:hAnsi="Times New Roman"/>
          <w:b w:val="false"/>
          <w:bCs w:val="false"/>
          <w:i w:val="false"/>
          <w:iCs w:val="false"/>
          <w:smallCaps w:val="false"/>
          <w:color w:val="000000"/>
          <w:sz w:val="24"/>
          <w:szCs w:val="24"/>
        </w:rPr>
        <w:t xml:space="preserve">, and here the honest answer is conditional rather than absolute. Recent cost-benefit analyses find that the break-even point between self-hosted and commercial inference depends heavily on utilization, model size, and the value placed on privacy and control </w:t>
      </w:r>
      <w:r>
        <w:rPr>
          <w:rFonts w:ascii="Times New Roman" w:cs="Times New Roman" w:eastAsia="Times New Roman" w:hAnsi="Times New Roman"/>
          <w:color w:val="000000"/>
          <w:sz w:val="24"/>
          <w:szCs w:val="24"/>
        </w:rPr>
        <w:t xml:space="preserve">[5–7]</w:t>
      </w:r>
      <w:r>
        <w:rPr>
          <w:rFonts w:ascii="Times New Roman" w:cs="Times New Roman" w:eastAsia="Times New Roman" w:hAnsi="Times New Roman"/>
          <w:b w:val="false"/>
          <w:bCs w:val="false"/>
          <w:i w:val="false"/>
          <w:iCs w:val="false"/>
          <w:smallCaps w:val="false"/>
          <w:color w:val="000000"/>
          <w:sz w:val="24"/>
          <w:szCs w:val="24"/>
        </w:rPr>
        <w:t xml:space="preserve">. At low, bursty utilization, commercial APIs are typically cheaper; at sustained high utilization, or where privacy has intrinsic value, on-premises deployment can break even or win. We return to this conditionality in Section 11, because intellectual honesty requires acknowledging that local-first is not universally optimal on cost grounds—its case rests substantially on the non-monetary values of privacy, control, and autonomy that the local-first tradition foregrounds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fourth consideration, sustainability, cuts in complex directions. Training and serving large models carries a real energy and carbon cost </w:t>
      </w:r>
      <w:r>
        <w:rPr>
          <w:rFonts w:ascii="Times New Roman" w:cs="Times New Roman" w:eastAsia="Times New Roman" w:hAnsi="Times New Roman"/>
          <w:color w:val="000000"/>
          <w:sz w:val="24"/>
          <w:szCs w:val="24"/>
        </w:rPr>
        <w:t xml:space="preserve">[10]</w:t>
      </w:r>
      <w:r>
        <w:rPr>
          <w:rFonts w:ascii="Times New Roman" w:cs="Times New Roman" w:eastAsia="Times New Roman" w:hAnsi="Times New Roman"/>
          <w:b w:val="false"/>
          <w:bCs w:val="false"/>
          <w:i w:val="false"/>
          <w:iCs w:val="false"/>
          <w:smallCaps w:val="false"/>
          <w:color w:val="000000"/>
          <w:sz w:val="24"/>
          <w:szCs w:val="24"/>
        </w:rPr>
        <w:t xml:space="preserve">; a local-first system that reuses already-trained open-weight models and serves them on efficient consumer hardware avoids the marginal cost of additional large-scale training, though the efficiency of a single consumer device relative to an optimized data center is not straightforward. We do not claim an environmental advantage; we note only that the accounting is more nuanced than either side of the debate usually admits.</w:t>
      </w:r>
    </w:p>
    <w:p>
      <w:pPr>
        <w:pStyle w:val="Heading2"/>
        <w:keepNext/>
        <w:spacing w:after="90" w:before="200"/>
      </w:pPr>
      <w:r>
        <w:rPr>
          <w:rFonts w:ascii="Arial" w:cs="Arial" w:eastAsia="Arial" w:hAnsi="Arial"/>
          <w:b/>
          <w:bCs/>
          <w:color w:val="000000"/>
          <w:sz w:val="23"/>
          <w:szCs w:val="23"/>
        </w:rPr>
        <w:t xml:space="preserve">2.3  The Historical Arc of Centralization and Its Reversal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tension between centralized and decentralized computing is not new; it recurs across the history of the field. Early computing was centralized around mainframes accessed through terminals, precisely because the hardware was scarce and expensive. The personal-computer revolution decentralized computation by making capable hardware individually affordable, and the client–server and then cloud eras re-centralized it around economies of scale in data centers. Each swing reflects the balance, at a given moment, between the cost of local capability and the advantages of pooling. The argument of this paper is that large-model inference is at the threshold of another such reversal: for a widening class of tasks, local capability has become affordable enough that the pooling advantage no longer dominates, and the values that favor decentralization—privacy, control, and autonomy—can reassert themselves. The local-first movement is best understood as the articulation of those values for the software of the present era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and its extension to artificial intelligence is the natural next step as the hardware threshold is crossed.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is instructive that the decentralizing swings have historically been driven not only by cost but by the desire for control. The personal computer was attractive because it belonged to its owner, who could run what they wished without a central authority’s permission. The same motivation animates the local-first turn in AI: an autonomous system that runs on hardware one owns is a system one can inspect, modify, and trust in a way that a remote service cannot be. This is why the architecture treats ownership as a first-class value rather than an incidental property, and why it accepts the operational burdens of self-hosting as the price of the control that self-hosting confers.</w:t>
      </w:r>
    </w:p>
    <w:p>
      <w:pPr>
        <w:pStyle w:val="Heading2"/>
        <w:keepNext/>
        <w:spacing w:after="90" w:before="200"/>
      </w:pPr>
      <w:r>
        <w:rPr>
          <w:rFonts w:ascii="Arial" w:cs="Arial" w:eastAsia="Arial" w:hAnsi="Arial"/>
          <w:b/>
          <w:bCs/>
          <w:color w:val="000000"/>
          <w:sz w:val="23"/>
          <w:szCs w:val="23"/>
        </w:rPr>
        <w:t xml:space="preserve">2.4  Data-Governance and Regulatory Drivers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Beyond the intrinsic values of the local-first tradition, external forces increasingly favor local processing of sensitive data. Data-protection regimes impose obligations on the handling, transfer, and retention of personal data, and the simplest way to satisfy many such obligations is to ensure that sensitive data never leaves the environment in which it originates. A system that processes data locally sidesteps the questions of cross-border transfer, third-party retention, and processor liability that attend cloud deployment, because there is no transfer, no third-party retention, and no processor. The privacy literature underscores why this matters technically as well as legally: machine-learning systems memorize and can be induced to reveal their inputs </w:t>
      </w:r>
      <w:r>
        <w:rPr>
          <w:rFonts w:ascii="Times New Roman" w:cs="Times New Roman" w:eastAsia="Times New Roman" w:hAnsi="Times New Roman"/>
          <w:color w:val="000000"/>
          <w:sz w:val="24"/>
          <w:szCs w:val="24"/>
        </w:rPr>
        <w:t xml:space="preserve">[2, 3]</w:t>
      </w:r>
      <w:r>
        <w:rPr>
          <w:rFonts w:ascii="Times New Roman" w:cs="Times New Roman" w:eastAsia="Times New Roman" w:hAnsi="Times New Roman"/>
          <w:b w:val="false"/>
          <w:bCs w:val="false"/>
          <w:i w:val="false"/>
          <w:iCs w:val="false"/>
          <w:smallCaps w:val="false"/>
          <w:color w:val="000000"/>
          <w:sz w:val="24"/>
          <w:szCs w:val="24"/>
        </w:rPr>
        <w:t xml:space="preserve">, so the mere act of processing sensitive data on infrastructure one does not control creates exposure that no contractual assurance fully eliminates. Governance frameworks for artificial intelligence emphasize data governance and accountability as pillars of trustworthy systems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and a local-first architecture provides an unusually direct means of satisfying them: accountability is simplified when the entire system is under one owner’s control, and data governance is simplified when data does not move. We do not offer legal advice, and the specifics of any regime are beyond our scope; we observe only that the regulatory gradient increasingly runs in the same direction as the local-first values, reinforcing rather than opposing them.</w:t>
      </w:r>
    </w:p>
    <w:p>
      <w:pPr>
        <w:pStyle w:val="Heading2"/>
        <w:keepNext/>
        <w:spacing w:after="90" w:before="200"/>
      </w:pPr>
      <w:r>
        <w:rPr>
          <w:rFonts w:ascii="Arial" w:cs="Arial" w:eastAsia="Arial" w:hAnsi="Arial"/>
          <w:b/>
          <w:bCs/>
          <w:color w:val="000000"/>
          <w:sz w:val="23"/>
          <w:szCs w:val="23"/>
        </w:rPr>
        <w:t xml:space="preserve">2.5  The Open-Weight Ecosystem as a Precondition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None of the foregoing would matter without models one is permitted to run. The local-first turn in artificial intelligence is possible only because a substantial ecosystem of open-weight models exists—models whose parameters are published and may be downloaded, inspected, quantized, fine-tuned, and served on hardware of the user’s choosing </w:t>
      </w:r>
      <w:r>
        <w:rPr>
          <w:rFonts w:ascii="Times New Roman" w:cs="Times New Roman" w:eastAsia="Times New Roman" w:hAnsi="Times New Roman"/>
          <w:color w:val="000000"/>
          <w:sz w:val="24"/>
          <w:szCs w:val="24"/>
        </w:rPr>
        <w:t xml:space="preserve">[31, 33–35, 123]</w:t>
      </w:r>
      <w:r>
        <w:rPr>
          <w:rFonts w:ascii="Times New Roman" w:cs="Times New Roman" w:eastAsia="Times New Roman" w:hAnsi="Times New Roman"/>
          <w:b w:val="false"/>
          <w:bCs w:val="false"/>
          <w:i w:val="false"/>
          <w:iCs w:val="false"/>
          <w:smallCaps w:val="false"/>
          <w:color w:val="000000"/>
          <w:sz w:val="24"/>
          <w:szCs w:val="24"/>
        </w:rPr>
        <w:t xml:space="preserve">. This is a contingent fact about the current moment rather than a permanent feature of the landscape, and it is worth naming explicitly as a dependency of the architecture. A world in which capable models were exclusively proprietary and served only through APIs would foreclose the local-first option entirely, no matter how efficient inference became; the technical achievements of Section 4 are enabling only in conjunction with the availability of weights to run.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ecosystem’s significance goes beyond mere availability. Because open weights can be inspected and quantized by anyone, they have attracted a research and engineering community that has produced precisely the compression and serving techniques that make constrained deployment feasible </w:t>
      </w:r>
      <w:r>
        <w:rPr>
          <w:rFonts w:ascii="Times New Roman" w:cs="Times New Roman" w:eastAsia="Times New Roman" w:hAnsi="Times New Roman"/>
          <w:color w:val="000000"/>
          <w:sz w:val="24"/>
          <w:szCs w:val="24"/>
        </w:rPr>
        <w:t xml:space="preserve">[12, 13, 38]</w:t>
      </w:r>
      <w:r>
        <w:rPr>
          <w:rFonts w:ascii="Times New Roman" w:cs="Times New Roman" w:eastAsia="Times New Roman" w:hAnsi="Times New Roman"/>
          <w:b w:val="false"/>
          <w:bCs w:val="false"/>
          <w:i w:val="false"/>
          <w:iCs w:val="false"/>
          <w:smallCaps w:val="false"/>
          <w:color w:val="000000"/>
          <w:sz w:val="24"/>
          <w:szCs w:val="24"/>
        </w:rPr>
        <w:t xml:space="preserve">—work that would have little purpose if the models could not be run locally in the first place. The relationship is mutually reinforcing: open weights motivate efficiency research, and efficiency research makes open weights practically useful on accessible hardware. The architecture we describe sits at the confluence of these two developments and would be impossible without either. This dependency is also, we note, a vulnerability: the architecture’s viability rests on the continued publication of capable open-weight models by organizations that are under no obligation to continue, and a shift in that practice would constrain what local-first systems could achieve. We return to this dependency in Section 11.</w:t>
      </w:r>
    </w:p>
    <w:p>
      <w:pPr>
        <w:pStyle w:val="Heading1"/>
        <w:keepNext/>
        <w:spacing w:after="120" w:before="300"/>
      </w:pPr>
      <w:r>
        <w:rPr>
          <w:rFonts w:ascii="Arial" w:cs="Arial" w:eastAsia="Arial" w:hAnsi="Arial"/>
          <w:b/>
          <w:bCs/>
          <w:color w:val="000000"/>
          <w:sz w:val="26"/>
          <w:szCs w:val="26"/>
        </w:rPr>
        <w:t xml:space="preserve">3  System Architecture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describe the system at the level of its major subsystems and their relationships, deferring the literature grounding of each to the sections that follow. The architecture is organized around a single hub, a collective of software agents, a standardized tool interface, a peripheral fleet, and a human-governed control plane.</w:t>
      </w:r>
    </w:p>
    <w:p>
      <w:pPr>
        <w:pStyle w:val="Heading2"/>
        <w:keepNext/>
        <w:spacing w:after="90" w:before="200"/>
      </w:pPr>
      <w:r>
        <w:rPr>
          <w:rFonts w:ascii="Arial" w:cs="Arial" w:eastAsia="Arial" w:hAnsi="Arial"/>
          <w:b/>
          <w:bCs/>
          <w:color w:val="000000"/>
          <w:sz w:val="23"/>
          <w:szCs w:val="23"/>
        </w:rPr>
        <w:t xml:space="preserve">3.1  The Hub</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hub is a single commodity mini-PC built around a unified-memory accelerator that shares a 32 GB memory pool between its central and graphics processors. This unified-memory design is consequential for inference: it removes the fixed partition between system and accelerator memory that constrains discrete-GPU systems, allowing a larger fraction of the pool to hold model weights and key-value cache. The hub runs a local model-serving stack that hosts a lineup of quantized open-weight models—including a mixture-of-experts model with roughly thirty billion total parameters but only a few billion active per token—and exposes them to the rest of the system through a local interface. The choice of models, their quantization, and the memory arithmetic that makes them fit are the subject of Section 4.</w:t>
      </w:r>
    </w:p>
    <w:p>
      <w:pPr>
        <w:pStyle w:val="Heading2"/>
        <w:keepNext/>
        <w:spacing w:after="90" w:before="200"/>
      </w:pPr>
      <w:r>
        <w:rPr>
          <w:rFonts w:ascii="Arial" w:cs="Arial" w:eastAsia="Arial" w:hAnsi="Arial"/>
          <w:b/>
          <w:bCs/>
          <w:color w:val="000000"/>
          <w:sz w:val="23"/>
          <w:szCs w:val="23"/>
        </w:rPr>
        <w:t xml:space="preserve">3.2  The Agent Collective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Atop the served models sits an orchestration layer that organizes agents into specialist divisions, each responsible for a domain of activity and each composed of one or more agents that reason, critique, and revise before producing output. The collective is coordinated not by free-form conversation alone but by an explicit control structure that sequences deliberation and gates action. Section 5 grounds the single-agent reasoning and tool-use mechanisms this depends on, and Section 6 grounds the multi-agent organization.</w:t>
      </w:r>
    </w:p>
    <w:p>
      <w:pPr>
        <w:pStyle w:val="Heading2"/>
        <w:keepNext/>
        <w:spacing w:after="90" w:before="200"/>
      </w:pPr>
      <w:r>
        <w:rPr>
          <w:rFonts w:ascii="Arial" w:cs="Arial" w:eastAsia="Arial" w:hAnsi="Arial"/>
          <w:b/>
          <w:bCs/>
          <w:color w:val="000000"/>
          <w:sz w:val="23"/>
          <w:szCs w:val="23"/>
        </w:rPr>
        <w:t xml:space="preserve">3.3  The Tool Interface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Agents act on the world through tools exposed by a standardized protocol that decouples the agent from the specifics of each tool’s implementation. This protocol substrate—the Model Context Protocol—allows the same agent to invoke a search index, a code executor, or a hardware controller through a uniform interface, and it concentrates the security-sensitive surface of tool invocation into one auditable place. Section 7 treats the protocol and its security.</w:t>
      </w:r>
    </w:p>
    <w:p>
      <w:pPr>
        <w:pStyle w:val="Heading2"/>
        <w:keepNext/>
        <w:spacing w:after="90" w:before="200"/>
      </w:pPr>
      <w:r>
        <w:rPr>
          <w:rFonts w:ascii="Arial" w:cs="Arial" w:eastAsia="Arial" w:hAnsi="Arial"/>
          <w:b/>
          <w:bCs/>
          <w:color w:val="000000"/>
          <w:sz w:val="23"/>
          <w:szCs w:val="23"/>
        </w:rPr>
        <w:t xml:space="preserve">3.4  The Fleet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system extends beyond the hub to a fleet of peripheral devices: sensing and embodied agents that give the collective eyes, mobility, and physical presence. The literature connecting language models to embodied control is surveyed in Section 10. The fleet is federated to the hub over an encrypted mesh network, described in the same section.</w:t>
      </w:r>
    </w:p>
    <w:p>
      <w:pPr>
        <w:pStyle w:val="Heading2"/>
        <w:keepNext/>
        <w:spacing w:after="90" w:before="200"/>
      </w:pPr>
      <w:r>
        <w:rPr>
          <w:rFonts w:ascii="Arial" w:cs="Arial" w:eastAsia="Arial" w:hAnsi="Arial"/>
          <w:b/>
          <w:bCs/>
          <w:color w:val="000000"/>
          <w:sz w:val="23"/>
          <w:szCs w:val="23"/>
        </w:rPr>
        <w:t xml:space="preserve">3.5  The Control Plane and the Human Gate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Governing all of the above is a control plane whose defining feature is a hardware-enforced human approval gate. No action that touches a network, changes external state, or actuates a physical device executes until a human physically authorizes it through a hardware security key. This gate is not an afterthought or a convenience feature; it is the architectural commitment that makes autonomous operation defensible, and Section 8 develops its justification in depth. The remainder of the paper elaborates each subsystem and its literature foundation in turn.</w:t>
      </w:r>
    </w:p>
    <w:p>
      <w:pPr>
        <w:pStyle w:val="Heading2"/>
        <w:keepNext/>
        <w:spacing w:after="90" w:before="200"/>
      </w:pPr>
      <w:r>
        <w:rPr>
          <w:rFonts w:ascii="Arial" w:cs="Arial" w:eastAsia="Arial" w:hAnsi="Arial"/>
          <w:b/>
          <w:bCs/>
          <w:color w:val="000000"/>
          <w:sz w:val="23"/>
          <w:szCs w:val="23"/>
        </w:rPr>
        <w:t xml:space="preserve">3.6  Design Principles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Four principles organize the architecture and recur throughout the paper. The first is </w:t>
      </w:r>
      <w:r>
        <w:rPr>
          <w:rFonts w:ascii="Times New Roman" w:cs="Times New Roman" w:eastAsia="Times New Roman" w:hAnsi="Times New Roman"/>
          <w:b w:val="false"/>
          <w:bCs w:val="false"/>
          <w:i/>
          <w:iCs/>
          <w:smallCaps w:val="false"/>
          <w:color w:val="000000"/>
          <w:sz w:val="24"/>
          <w:szCs w:val="24"/>
        </w:rPr>
        <w:t xml:space="preserve">locality</w:t>
      </w:r>
      <w:r>
        <w:rPr>
          <w:rFonts w:ascii="Times New Roman" w:cs="Times New Roman" w:eastAsia="Times New Roman" w:hAnsi="Times New Roman"/>
          <w:b w:val="false"/>
          <w:bCs w:val="false"/>
          <w:i w:val="false"/>
          <w:iCs w:val="false"/>
          <w:smallCaps w:val="false"/>
          <w:color w:val="000000"/>
          <w:sz w:val="24"/>
          <w:szCs w:val="24"/>
        </w:rPr>
        <w:t xml:space="preserve">: every component of the core operates on hardware the owner controls, and no core function depends on a remote service. The second is </w:t>
      </w:r>
      <w:r>
        <w:rPr>
          <w:rFonts w:ascii="Times New Roman" w:cs="Times New Roman" w:eastAsia="Times New Roman" w:hAnsi="Times New Roman"/>
          <w:b w:val="false"/>
          <w:bCs w:val="false"/>
          <w:i/>
          <w:iCs/>
          <w:smallCaps w:val="false"/>
          <w:color w:val="000000"/>
          <w:sz w:val="24"/>
          <w:szCs w:val="24"/>
        </w:rPr>
        <w:t xml:space="preserve">specialization</w:t>
      </w:r>
      <w:r>
        <w:rPr>
          <w:rFonts w:ascii="Times New Roman" w:cs="Times New Roman" w:eastAsia="Times New Roman" w:hAnsi="Times New Roman"/>
          <w:b w:val="false"/>
          <w:bCs w:val="false"/>
          <w:i w:val="false"/>
          <w:iCs w:val="false"/>
          <w:smallCaps w:val="false"/>
          <w:color w:val="000000"/>
          <w:sz w:val="24"/>
          <w:szCs w:val="24"/>
        </w:rPr>
        <w:t xml:space="preserve">: rather than a single generalist agent, the system employs a division of labor among focused agents, each simpler and more reliable within its domain than a monolith would be. The third is </w:t>
      </w:r>
      <w:r>
        <w:rPr>
          <w:rFonts w:ascii="Times New Roman" w:cs="Times New Roman" w:eastAsia="Times New Roman" w:hAnsi="Times New Roman"/>
          <w:b w:val="false"/>
          <w:bCs w:val="false"/>
          <w:i/>
          <w:iCs/>
          <w:smallCaps w:val="false"/>
          <w:color w:val="000000"/>
          <w:sz w:val="24"/>
          <w:szCs w:val="24"/>
        </w:rPr>
        <w:t xml:space="preserve">mediation</w:t>
      </w:r>
      <w:r>
        <w:rPr>
          <w:rFonts w:ascii="Times New Roman" w:cs="Times New Roman" w:eastAsia="Times New Roman" w:hAnsi="Times New Roman"/>
          <w:b w:val="false"/>
          <w:bCs w:val="false"/>
          <w:i w:val="false"/>
          <w:iCs w:val="false"/>
          <w:smallCaps w:val="false"/>
          <w:color w:val="000000"/>
          <w:sz w:val="24"/>
          <w:szCs w:val="24"/>
        </w:rPr>
        <w:t xml:space="preserve">: all action on the world flows through a single standardized tool interface, concentrating the security-sensitive surface into one auditable place. The fourth, and the most important, is </w:t>
      </w:r>
      <w:r>
        <w:rPr>
          <w:rFonts w:ascii="Times New Roman" w:cs="Times New Roman" w:eastAsia="Times New Roman" w:hAnsi="Times New Roman"/>
          <w:b w:val="false"/>
          <w:bCs w:val="false"/>
          <w:i/>
          <w:iCs/>
          <w:smallCaps w:val="false"/>
          <w:color w:val="000000"/>
          <w:sz w:val="24"/>
          <w:szCs w:val="24"/>
        </w:rPr>
        <w:t xml:space="preserve">human governance</w:t>
      </w:r>
      <w:r>
        <w:rPr>
          <w:rFonts w:ascii="Times New Roman" w:cs="Times New Roman" w:eastAsia="Times New Roman" w:hAnsi="Times New Roman"/>
          <w:b w:val="false"/>
          <w:bCs w:val="false"/>
          <w:i w:val="false"/>
          <w:iCs w:val="false"/>
          <w:smallCaps w:val="false"/>
          <w:color w:val="000000"/>
          <w:sz w:val="24"/>
          <w:szCs w:val="24"/>
        </w:rPr>
        <w:t xml:space="preserve">: consequential action is gated behind a hardware authorization that the autonomous process cannot bypass. These principles are not independent—mediation is what makes human governance enforceable, and locality is what makes ownership and auditability meaningful—and their interaction is the subject of the discussion in Section 11.</w:t>
      </w:r>
    </w:p>
    <w:p>
      <w:pPr>
        <w:keepNext/>
        <w:spacing w:after="60" w:before="120"/>
      </w:pPr>
      <w:r>
        <w:rPr>
          <w:rFonts w:ascii="Arial" w:cs="Arial" w:eastAsia="Arial" w:hAnsi="Arial"/>
          <w:b/>
          <w:bCs/>
          <w:color w:val="000000"/>
          <w:sz w:val="19"/>
          <w:szCs w:val="19"/>
        </w:rPr>
        <w:t xml:space="preserve">Table A. </w:t>
      </w:r>
      <w:r>
        <w:rPr>
          <w:rFonts w:ascii="Arial" w:cs="Arial" w:eastAsia="Arial" w:hAnsi="Arial"/>
          <w:color w:val="000000"/>
          <w:sz w:val="19"/>
          <w:szCs w:val="19"/>
        </w:rPr>
        <w:t xml:space="preserve">The architecture’s subsystems and the sections that ground each in the literature.</w:t>
      </w:r>
    </w:p>
    <w:tbl>
      <w:tblPr>
        <w:tblW w:type="dxa" w:w="7300"/>
        <w:tblBorders>
          <w:top w:val="none" w:color="FFFFFF" w:sz="0"/>
          <w:left w:val="none" w:color="FFFFFF" w:sz="0"/>
          <w:bottom w:val="none" w:color="FFFFFF" w:sz="0"/>
          <w:right w:val="none" w:color="FFFFFF" w:sz="0"/>
          <w:insideH w:val="none" w:color="FFFFFF" w:sz="0"/>
          <w:insideV w:val="none" w:color="FFFFFF" w:sz="0"/>
        </w:tblBorders>
      </w:tblPr>
      <w:tblGrid>
        <w:gridCol w:w="2200"/>
        <w:gridCol w:w="3200"/>
        <w:gridCol w:w="1900"/>
      </w:tblGrid>
      <w:tr>
        <w:trPr>
          <w:tblHeader/>
        </w:trPr>
        <w:tc>
          <w:tcPr>
            <w:tcW w:type="dxa" w:w="22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Subsystem</w:t>
            </w:r>
          </w:p>
        </w:tc>
        <w:tc>
          <w:tcPr>
            <w:tcW w:type="dxa" w:w="32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Function</w:t>
            </w:r>
          </w:p>
        </w:tc>
        <w:tc>
          <w:tcPr>
            <w:tcW w:type="dxa" w:w="19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Grounded in</w:t>
            </w:r>
          </w:p>
        </w:tc>
      </w:tr>
      <w:tr>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Hub</w:t>
            </w:r>
          </w:p>
        </w:tc>
        <w:tc>
          <w:tcPr>
            <w:tcW w:type="dxa" w:w="3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Local quantized model serving</w:t>
            </w:r>
          </w:p>
        </w:tc>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Section 4</w:t>
            </w:r>
          </w:p>
        </w:tc>
      </w:tr>
      <w:tr>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Agent collective</w:t>
            </w:r>
          </w:p>
        </w:tc>
        <w:tc>
          <w:tcPr>
            <w:tcW w:type="dxa" w:w="3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Reasoning, tool use, collaboration</w:t>
            </w:r>
          </w:p>
        </w:tc>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Sections 5–6</w:t>
            </w:r>
          </w:p>
        </w:tc>
      </w:tr>
      <w:tr>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Tool interface</w:t>
            </w:r>
          </w:p>
        </w:tc>
        <w:tc>
          <w:tcPr>
            <w:tcW w:type="dxa" w:w="3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Standardized, auditable action</w:t>
            </w:r>
          </w:p>
        </w:tc>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Section 7</w:t>
            </w:r>
          </w:p>
        </w:tc>
      </w:tr>
      <w:tr>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Safety spine</w:t>
            </w:r>
          </w:p>
        </w:tc>
        <w:tc>
          <w:tcPr>
            <w:tcW w:type="dxa" w:w="3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Hardware human approval gate</w:t>
            </w:r>
          </w:p>
        </w:tc>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Section 8</w:t>
            </w:r>
          </w:p>
        </w:tc>
      </w:tr>
      <w:tr>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Security posture</w:t>
            </w:r>
          </w:p>
        </w:tc>
        <w:tc>
          <w:tcPr>
            <w:tcW w:type="dxa" w:w="3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Adversarial testing, threat modeling</w:t>
            </w:r>
          </w:p>
        </w:tc>
        <w:tc>
          <w:tcPr>
            <w:tcW w:type="dxa" w:w="19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Section 9</w:t>
            </w:r>
          </w:p>
        </w:tc>
      </w:tr>
      <w:tr>
        <w:tc>
          <w:tcPr>
            <w:tcW w:type="dxa" w:w="22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Fleet &amp; subsystems</w:t>
            </w:r>
          </w:p>
        </w:tc>
        <w:tc>
          <w:tcPr>
            <w:tcW w:type="dxa" w:w="32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Embodiment, provenance, federation</w:t>
            </w:r>
          </w:p>
        </w:tc>
        <w:tc>
          <w:tcPr>
            <w:tcW w:type="dxa" w:w="19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Section 10</w:t>
            </w:r>
          </w:p>
        </w:tc>
      </w:tr>
    </w:tbl>
    <w:p>
      <w:pPr>
        <w:spacing w:after="80"/>
      </w:pPr>
      <w:r>
        <w:t xml:space="preserve"/>
      </w:r>
    </w:p>
    <w:p>
      <w:pPr>
        <w:pStyle w:val="Heading2"/>
        <w:keepNext/>
        <w:spacing w:after="90" w:before="200"/>
      </w:pPr>
      <w:r>
        <w:rPr>
          <w:rFonts w:ascii="Arial" w:cs="Arial" w:eastAsia="Arial" w:hAnsi="Arial"/>
          <w:b/>
          <w:bCs/>
          <w:color w:val="000000"/>
          <w:sz w:val="23"/>
          <w:szCs w:val="23"/>
        </w:rPr>
        <w:t xml:space="preserve">3.7  Scope and Method of This Description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word on what this description is and is not. We describe the architecture at the level of subsystems, their relationships, and the design commitments that govern them, and we ground each in the literature that establishes its soundness. We do not provide a configuration manual, and we deliberately omit implementation particulars—exact model tags, port assignments, file layouts, key material handling—both because they are ephemeral and because a paper whose value depended on them would age badly. The claims we make are architectural: that these subsystems compose, that the composition is feasible on the stated hardware, and that the resulting system is defensible on the grounds Sections 8 and 9 develop. A reader seeking to reproduce the system would need the omitted particulars; a reader evaluating whether the architecture is sound needs the structure and its justification, which is what we supply.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also state our method plainly. The architecture was built first and this paper written afterward, which means the paper is a reconstruction and defense of decisions made in practice rather than a derivation from first principles. This ordering has a characteristic risk: it invites post hoc rationalization, in which every decision is discovered to have been justified all along. We have tried to counter it by seeking the literature that bears on each decision rather than the literature that flatters it, by stating where the evidence is thin or the tooling has no scholarly basis at all, and by devoting Section 12 to the architecture’s limitations rather than burying them. Where a decision was made for reasons the literature does not support—or was made before the relevant literature was consulted—we have tried to say so rather than to construct a justification after the fact. The reader should nonetheless read the paper knowing its order of operations, and weigh its arguments accordingly.</w:t>
      </w:r>
    </w:p>
    <w:p>
      <w:pPr>
        <w:pStyle w:val="Heading1"/>
        <w:keepNext/>
        <w:spacing w:after="120" w:before="300"/>
      </w:pPr>
      <w:r>
        <w:rPr>
          <w:rFonts w:ascii="Arial" w:cs="Arial" w:eastAsia="Arial" w:hAnsi="Arial"/>
          <w:b/>
          <w:bCs/>
          <w:color w:val="000000"/>
          <w:sz w:val="26"/>
          <w:szCs w:val="26"/>
        </w:rPr>
        <w:t xml:space="preserve">4  Efficient Inference on Constrained Hardware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feasibility of the entire architecture rests on a single technical question: can a model large enough to be useful run within the memory and compute budget of a commodity device? This section answers in the affirmative and grounds that answer in the literature on quantization, sparsity, memory-aware serving, and efficient model design. We proceed from the arithmetic of the constraint to the techniques that relax it.</w:t>
      </w:r>
    </w:p>
    <w:p>
      <w:pPr>
        <w:pStyle w:val="Heading2"/>
        <w:keepNext/>
        <w:spacing w:after="90" w:before="200"/>
      </w:pPr>
      <w:r>
        <w:rPr>
          <w:rFonts w:ascii="Arial" w:cs="Arial" w:eastAsia="Arial" w:hAnsi="Arial"/>
          <w:b/>
          <w:bCs/>
          <w:color w:val="000000"/>
          <w:sz w:val="23"/>
          <w:szCs w:val="23"/>
        </w:rPr>
        <w:t xml:space="preserve">4.1  The Memory Arithmetic of the Constraint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Autoregressive decoding in a transformer is, for the batch sizes typical of a single-user local deployment, </w:t>
      </w:r>
      <w:r>
        <w:rPr>
          <w:rFonts w:ascii="Times New Roman" w:cs="Times New Roman" w:eastAsia="Times New Roman" w:hAnsi="Times New Roman"/>
          <w:b w:val="false"/>
          <w:bCs w:val="false"/>
          <w:i/>
          <w:iCs/>
          <w:smallCaps w:val="false"/>
          <w:color w:val="000000"/>
          <w:sz w:val="24"/>
          <w:szCs w:val="24"/>
        </w:rPr>
        <w:t xml:space="preserve">memory-bound</w:t>
      </w:r>
      <w:r>
        <w:rPr>
          <w:rFonts w:ascii="Times New Roman" w:cs="Times New Roman" w:eastAsia="Times New Roman" w:hAnsi="Times New Roman"/>
          <w:b w:val="false"/>
          <w:bCs w:val="false"/>
          <w:i w:val="false"/>
          <w:iCs w:val="false"/>
          <w:smallCaps w:val="false"/>
          <w:color w:val="000000"/>
          <w:sz w:val="24"/>
          <w:szCs w:val="24"/>
        </w:rPr>
        <w:t xml:space="preserve"> rather than compute-bound: each generated token requires reading the entire set of model weights from memory, and the rate at which weights can be read, not the rate at which arithmetic can be performed, dominates latency. The IO-awareness that motivates efficient attention kernels makes this explicit—the bottleneck is data movement through the memory hierarchy, not floating-point throughput </w:t>
      </w:r>
      <w:r>
        <w:rPr>
          <w:rFonts w:ascii="Times New Roman" w:cs="Times New Roman" w:eastAsia="Times New Roman" w:hAnsi="Times New Roman"/>
          <w:color w:val="000000"/>
          <w:sz w:val="24"/>
          <w:szCs w:val="24"/>
        </w:rPr>
        <w:t xml:space="preserve">[22, 23]</w:t>
      </w:r>
      <w:r>
        <w:rPr>
          <w:rFonts w:ascii="Times New Roman" w:cs="Times New Roman" w:eastAsia="Times New Roman" w:hAnsi="Times New Roman"/>
          <w:b w:val="false"/>
          <w:bCs w:val="false"/>
          <w:i w:val="false"/>
          <w:iCs w:val="false"/>
          <w:smallCaps w:val="false"/>
          <w:color w:val="000000"/>
          <w:sz w:val="24"/>
          <w:szCs w:val="24"/>
        </w:rPr>
        <w:t xml:space="preserve">. A direct consequence is that reducing the number of bytes that must be read per token—by storing weights in fewer bits—translates almost directly into faster inference, in addition to allowing larger models to fit. This is the central reason quantization is not merely a space optimization but a throughput one.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model stored at sixteen bits per parameter requires two bytes per parameter of memory for weights alone; a thirty-billion-parameter model would therefore need roughly sixty gigabytes for weights before accounting for the key-value cache that grows with context length. This exceeds the memory budget of the hub. Quantization to four bits per parameter reduces the weight footprint roughly fourfold, bringing a thirty-billion-parameter model into a range that fits within a 32 GB unified pool with room for cache. The remainder of this section explains why such aggressive quantization can be performed without destroying model quality, and how sparsity and memory-management techniques extend the reach of the constraint further still.</w:t>
      </w:r>
    </w:p>
    <w:p>
      <w:pPr>
        <w:pStyle w:val="Heading2"/>
        <w:keepNext/>
        <w:spacing w:after="90" w:before="200"/>
      </w:pPr>
      <w:r>
        <w:rPr>
          <w:rFonts w:ascii="Arial" w:cs="Arial" w:eastAsia="Arial" w:hAnsi="Arial"/>
          <w:b/>
          <w:bCs/>
          <w:color w:val="000000"/>
          <w:sz w:val="23"/>
          <w:szCs w:val="23"/>
        </w:rPr>
        <w:t xml:space="preserve">4.2  Quantization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Post-training quantization compresses a trained model’s parameters to low-bit representations without retraining. The central difficulty is that transformer activations contain outliers—a small number of dimensions with disproportionately large magnitudes—that, if quantized naively, dominate the quantization error and degrade the model. The foundational work on eight-bit inference identified these outlier features and handled them with a mixed-precision decomposition that isolates the outlier dimensions in higher precision while quantizing the rest, enabling billion-parameter models to run in eight bits with negligible loss </w:t>
      </w:r>
      <w:r>
        <w:rPr>
          <w:rFonts w:ascii="Times New Roman" w:cs="Times New Roman" w:eastAsia="Times New Roman" w:hAnsi="Times New Roman"/>
          <w:color w:val="000000"/>
          <w:sz w:val="24"/>
          <w:szCs w:val="24"/>
        </w:rPr>
        <w:t xml:space="preserve">[11]</w:t>
      </w:r>
      <w:r>
        <w:rPr>
          <w:rFonts w:ascii="Times New Roman" w:cs="Times New Roman" w:eastAsia="Times New Roman" w:hAnsi="Times New Roman"/>
          <w:b w:val="false"/>
          <w:bCs w:val="false"/>
          <w:i w:val="false"/>
          <w:iCs w:val="false"/>
          <w:smallCaps w:val="false"/>
          <w:color w:val="000000"/>
          <w:sz w:val="24"/>
          <w:szCs w:val="24"/>
        </w:rPr>
        <w:t xml:space="preserve">. This insight—that the challenge of quantization is fundamentally the challenge of outliers—organizes the subsequent literature.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Several complementary strategies address the outlier problem at lower bit-widths. One line reformulates quantization as a layer-wise error-minimization problem solved with second-order information, producing accurate three- and four-bit weight quantization of very large models in a matter of hours </w:t>
      </w:r>
      <w:r>
        <w:rPr>
          <w:rFonts w:ascii="Times New Roman" w:cs="Times New Roman" w:eastAsia="Times New Roman" w:hAnsi="Times New Roman"/>
          <w:color w:val="000000"/>
          <w:sz w:val="24"/>
          <w:szCs w:val="24"/>
        </w:rPr>
        <w:t xml:space="preserve">[12]</w:t>
      </w:r>
      <w:r>
        <w:rPr>
          <w:rFonts w:ascii="Times New Roman" w:cs="Times New Roman" w:eastAsia="Times New Roman" w:hAnsi="Times New Roman"/>
          <w:b w:val="false"/>
          <w:bCs w:val="false"/>
          <w:i w:val="false"/>
          <w:iCs w:val="false"/>
          <w:smallCaps w:val="false"/>
          <w:color w:val="000000"/>
          <w:sz w:val="24"/>
          <w:szCs w:val="24"/>
        </w:rPr>
        <w:t xml:space="preserve">. A second observes that not all weights matter equally: protecting the small fraction of salient weight channels—identified by the magnitude of the activations they multiply—preserves quality while quantizing the rest aggressively, an approach explicitly designed for on-device deployment </w:t>
      </w:r>
      <w:r>
        <w:rPr>
          <w:rFonts w:ascii="Times New Roman" w:cs="Times New Roman" w:eastAsia="Times New Roman" w:hAnsi="Times New Roman"/>
          <w:color w:val="000000"/>
          <w:sz w:val="24"/>
          <w:szCs w:val="24"/>
        </w:rPr>
        <w:t xml:space="preserve">[13]</w:t>
      </w:r>
      <w:r>
        <w:rPr>
          <w:rFonts w:ascii="Times New Roman" w:cs="Times New Roman" w:eastAsia="Times New Roman" w:hAnsi="Times New Roman"/>
          <w:b w:val="false"/>
          <w:bCs w:val="false"/>
          <w:i w:val="false"/>
          <w:iCs w:val="false"/>
          <w:smallCaps w:val="false"/>
          <w:color w:val="000000"/>
          <w:sz w:val="24"/>
          <w:szCs w:val="24"/>
        </w:rPr>
        <w:t xml:space="preserve">. A third migrates the difficulty of quantization from activations to weights by a mathematically equivalent per-channel rescaling, so that both can be quantized to eight bits without retraining </w:t>
      </w:r>
      <w:r>
        <w:rPr>
          <w:rFonts w:ascii="Times New Roman" w:cs="Times New Roman" w:eastAsia="Times New Roman" w:hAnsi="Times New Roman"/>
          <w:color w:val="000000"/>
          <w:sz w:val="24"/>
          <w:szCs w:val="24"/>
        </w:rPr>
        <w:t xml:space="preserve">[14]</w:t>
      </w:r>
      <w:r>
        <w:rPr>
          <w:rFonts w:ascii="Times New Roman" w:cs="Times New Roman" w:eastAsia="Times New Roman" w:hAnsi="Times New Roman"/>
          <w:b w:val="false"/>
          <w:bCs w:val="false"/>
          <w:i w:val="false"/>
          <w:iCs w:val="false"/>
          <w:smallCaps w:val="false"/>
          <w:color w:val="000000"/>
          <w:sz w:val="24"/>
          <w:szCs w:val="24"/>
        </w:rPr>
        <w:t xml:space="preserve">. Further work pushes toward two-bit quantization with theoretical guarantees </w:t>
      </w:r>
      <w:r>
        <w:rPr>
          <w:rFonts w:ascii="Times New Roman" w:cs="Times New Roman" w:eastAsia="Times New Roman" w:hAnsi="Times New Roman"/>
          <w:color w:val="000000"/>
          <w:sz w:val="24"/>
          <w:szCs w:val="24"/>
        </w:rPr>
        <w:t xml:space="preserve">[18]</w:t>
      </w:r>
      <w:r>
        <w:rPr>
          <w:rFonts w:ascii="Times New Roman" w:cs="Times New Roman" w:eastAsia="Times New Roman" w:hAnsi="Times New Roman"/>
          <w:b w:val="false"/>
          <w:bCs w:val="false"/>
          <w:i w:val="false"/>
          <w:iCs w:val="false"/>
          <w:smallCaps w:val="false"/>
          <w:color w:val="000000"/>
          <w:sz w:val="24"/>
          <w:szCs w:val="24"/>
        </w:rPr>
        <w:t xml:space="preserve">, calibrates quantization parameters by learning </w:t>
      </w:r>
      <w:r>
        <w:rPr>
          <w:rFonts w:ascii="Times New Roman" w:cs="Times New Roman" w:eastAsia="Times New Roman" w:hAnsi="Times New Roman"/>
          <w:color w:val="000000"/>
          <w:sz w:val="24"/>
          <w:szCs w:val="24"/>
        </w:rPr>
        <w:t xml:space="preserve">[17]</w:t>
      </w:r>
      <w:r>
        <w:rPr>
          <w:rFonts w:ascii="Times New Roman" w:cs="Times New Roman" w:eastAsia="Times New Roman" w:hAnsi="Times New Roman"/>
          <w:b w:val="false"/>
          <w:bCs w:val="false"/>
          <w:i w:val="false"/>
          <w:iCs w:val="false"/>
          <w:smallCaps w:val="false"/>
          <w:color w:val="000000"/>
          <w:sz w:val="24"/>
          <w:szCs w:val="24"/>
        </w:rPr>
        <w:t xml:space="preserve">, and even explores training models natively in extremely low precision </w:t>
      </w:r>
      <w:r>
        <w:rPr>
          <w:rFonts w:ascii="Times New Roman" w:cs="Times New Roman" w:eastAsia="Times New Roman" w:hAnsi="Times New Roman"/>
          <w:color w:val="000000"/>
          <w:sz w:val="24"/>
          <w:szCs w:val="24"/>
        </w:rPr>
        <w:t xml:space="preserve">[19]</w:t>
      </w:r>
      <w:r>
        <w:rPr>
          <w:rFonts w:ascii="Times New Roman" w:cs="Times New Roman" w:eastAsia="Times New Roman" w:hAnsi="Times New Roman"/>
          <w:b w:val="false"/>
          <w:bCs w:val="false"/>
          <w:i w:val="false"/>
          <w:iCs w:val="false"/>
          <w:smallCaps w:val="false"/>
          <w:color w:val="000000"/>
          <w:sz w:val="24"/>
          <w:szCs w:val="24"/>
        </w:rPr>
        <w:t xml:space="preserve">. Broad surveys catalog these methods and their trade-offs </w:t>
      </w:r>
      <w:r>
        <w:rPr>
          <w:rFonts w:ascii="Times New Roman" w:cs="Times New Roman" w:eastAsia="Times New Roman" w:hAnsi="Times New Roman"/>
          <w:color w:val="000000"/>
          <w:sz w:val="24"/>
          <w:szCs w:val="24"/>
        </w:rPr>
        <w:t xml:space="preserve">[8, 9]</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practical significance for a local-first system is that these are not speculative techniques but the basis of the tooling that ordinary practitioners use. The quantized model files distributed for consumer inference engines implement variants of these methods, and the ability to fine-tune a quantized model on a single consumer accelerator—by keeping the base model frozen in four-bit precision and training only small adapter matrices—was demonstrated by the quantized low-rank adaptation technique that has become a standard of the field </w:t>
      </w:r>
      <w:r>
        <w:rPr>
          <w:rFonts w:ascii="Times New Roman" w:cs="Times New Roman" w:eastAsia="Times New Roman" w:hAnsi="Times New Roman"/>
          <w:color w:val="000000"/>
          <w:sz w:val="24"/>
          <w:szCs w:val="24"/>
        </w:rPr>
        <w:t xml:space="preserve">[15]</w:t>
      </w:r>
      <w:r>
        <w:rPr>
          <w:rFonts w:ascii="Times New Roman" w:cs="Times New Roman" w:eastAsia="Times New Roman" w:hAnsi="Times New Roman"/>
          <w:b w:val="false"/>
          <w:bCs w:val="false"/>
          <w:i w:val="false"/>
          <w:iCs w:val="false"/>
          <w:smallCaps w:val="false"/>
          <w:color w:val="000000"/>
          <w:sz w:val="24"/>
          <w:szCs w:val="24"/>
        </w:rPr>
        <w:t xml:space="preserve">. The key-value cache, which can come to dominate memory at long context lengths, is itself amenable to quantization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Together these results establish that the four-bit regime on which the hub depends is well within the envelope of methods known to preserve quality.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distinction between weight-only and weight-and-activation quantization is worth drawing, because it bears on which method suits a local deployment. Weight-only quantization stores the model’s parameters in low precision but performs arithmetic in higher precision after dequantizing on the fly; because decoding is memory-bound, the reduced memory traffic of reading low-precision weights yields most of the benefit, and the arithmetic precision costs little. This is the regime most relevant to single-user local inference, and the layer-wise and salience-aware methods target it directly </w:t>
      </w:r>
      <w:r>
        <w:rPr>
          <w:rFonts w:ascii="Times New Roman" w:cs="Times New Roman" w:eastAsia="Times New Roman" w:hAnsi="Times New Roman"/>
          <w:color w:val="000000"/>
          <w:sz w:val="24"/>
          <w:szCs w:val="24"/>
        </w:rPr>
        <w:t xml:space="preserve">[12, 13]</w:t>
      </w:r>
      <w:r>
        <w:rPr>
          <w:rFonts w:ascii="Times New Roman" w:cs="Times New Roman" w:eastAsia="Times New Roman" w:hAnsi="Times New Roman"/>
          <w:b w:val="false"/>
          <w:bCs w:val="false"/>
          <w:i w:val="false"/>
          <w:iCs w:val="false"/>
          <w:smallCaps w:val="false"/>
          <w:color w:val="000000"/>
          <w:sz w:val="24"/>
          <w:szCs w:val="24"/>
        </w:rPr>
        <w:t xml:space="preserve">. Weight-and-activation quantization additionally quantizes the activations so that the arithmetic itself runs in low precision, which benefits compute-bound batched serving more than memory-bound single-user decoding; the rescaling approach that makes it feasible is aimed at that setting </w:t>
      </w:r>
      <w:r>
        <w:rPr>
          <w:rFonts w:ascii="Times New Roman" w:cs="Times New Roman" w:eastAsia="Times New Roman" w:hAnsi="Times New Roman"/>
          <w:color w:val="000000"/>
          <w:sz w:val="24"/>
          <w:szCs w:val="24"/>
        </w:rPr>
        <w:t xml:space="preserve">[14]</w:t>
      </w:r>
      <w:r>
        <w:rPr>
          <w:rFonts w:ascii="Times New Roman" w:cs="Times New Roman" w:eastAsia="Times New Roman" w:hAnsi="Times New Roman"/>
          <w:b w:val="false"/>
          <w:bCs w:val="false"/>
          <w:i w:val="false"/>
          <w:iCs w:val="false"/>
          <w:smallCaps w:val="false"/>
          <w:color w:val="000000"/>
          <w:sz w:val="24"/>
          <w:szCs w:val="24"/>
        </w:rPr>
        <w:t xml:space="preserve">. For the architecture’s single-user hub, weight-only four-bit quantization captures the essential benefit—fitting the model in memory and reducing per-token memory traffic—which is why it is the regime on which the deployment relies. The broader surveys situate these choices within the full space of compression methods </w:t>
      </w:r>
      <w:r>
        <w:rPr>
          <w:rFonts w:ascii="Times New Roman" w:cs="Times New Roman" w:eastAsia="Times New Roman" w:hAnsi="Times New Roman"/>
          <w:color w:val="000000"/>
          <w:sz w:val="24"/>
          <w:szCs w:val="24"/>
        </w:rPr>
        <w:t xml:space="preserve">[8, 9]</w:t>
      </w:r>
      <w:r>
        <w:rPr>
          <w:rFonts w:ascii="Times New Roman" w:cs="Times New Roman" w:eastAsia="Times New Roman" w:hAnsi="Times New Roman"/>
          <w:b w:val="false"/>
          <w:bCs w:val="false"/>
          <w:i w:val="false"/>
          <w:iCs w:val="false"/>
          <w:smallCaps w:val="false"/>
          <w:color w:val="000000"/>
          <w:sz w:val="24"/>
          <w:szCs w:val="24"/>
        </w:rPr>
        <w:t xml:space="preserve">, but the key point for local deployment is that the memory-bound setting makes weight quantization the highest-value lever, and the methods to perform it well are mature.</w:t>
      </w:r>
    </w:p>
    <w:p>
      <w:pPr>
        <w:pStyle w:val="Heading2"/>
        <w:keepNext/>
        <w:spacing w:after="90" w:before="200"/>
      </w:pPr>
      <w:r>
        <w:rPr>
          <w:rFonts w:ascii="Arial" w:cs="Arial" w:eastAsia="Arial" w:hAnsi="Arial"/>
          <w:b/>
          <w:bCs/>
          <w:color w:val="000000"/>
          <w:sz w:val="23"/>
          <w:szCs w:val="23"/>
        </w:rPr>
        <w:t xml:space="preserve">4.3  Sparsity and Mixture-of-Experts Models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second, orthogonal route to efficiency is sparsity: performing, per token, only a fraction of the computation a dense model would. The mixture-of-experts architecture routes each token through a small subset of expert subnetworks selected by a learned gating function, so that a model with a large total parameter count activates only a fraction of those parameters for any given token </w:t>
      </w:r>
      <w:r>
        <w:rPr>
          <w:rFonts w:ascii="Times New Roman" w:cs="Times New Roman" w:eastAsia="Times New Roman" w:hAnsi="Times New Roman"/>
          <w:color w:val="000000"/>
          <w:sz w:val="24"/>
          <w:szCs w:val="24"/>
        </w:rPr>
        <w:t xml:space="preserve">[36, 37]</w:t>
      </w:r>
      <w:r>
        <w:rPr>
          <w:rFonts w:ascii="Times New Roman" w:cs="Times New Roman" w:eastAsia="Times New Roman" w:hAnsi="Times New Roman"/>
          <w:b w:val="false"/>
          <w:bCs w:val="false"/>
          <w:i w:val="false"/>
          <w:iCs w:val="false"/>
          <w:smallCaps w:val="false"/>
          <w:color w:val="000000"/>
          <w:sz w:val="24"/>
          <w:szCs w:val="24"/>
        </w:rPr>
        <w:t xml:space="preserve">. This decouples model capacity from per-token compute: a model can hold the knowledge of tens of billions of parameters while incurring the inference cost of only a few billion.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property is directly exploited in the hub’s model lineup, which includes a contemporary mixture-of-experts model with roughly thirty billion total parameters but only a few billion active per token, selecting a handful of experts from a larger pool for each token </w:t>
      </w:r>
      <w:r>
        <w:rPr>
          <w:rFonts w:ascii="Times New Roman" w:cs="Times New Roman" w:eastAsia="Times New Roman" w:hAnsi="Times New Roman"/>
          <w:color w:val="000000"/>
          <w:sz w:val="24"/>
          <w:szCs w:val="24"/>
        </w:rPr>
        <w:t xml:space="preserve">[31]</w:t>
      </w:r>
      <w:r>
        <w:rPr>
          <w:rFonts w:ascii="Times New Roman" w:cs="Times New Roman" w:eastAsia="Times New Roman" w:hAnsi="Times New Roman"/>
          <w:b w:val="false"/>
          <w:bCs w:val="false"/>
          <w:i w:val="false"/>
          <w:iCs w:val="false"/>
          <w:smallCaps w:val="false"/>
          <w:color w:val="000000"/>
          <w:sz w:val="24"/>
          <w:szCs w:val="24"/>
        </w:rPr>
        <w:t xml:space="preserve">. The consequence is favorable on both axes that matter for local deployment: total parameters—and thus knowledge—scale with the memory budget, which quantization has stretched, while active parameters—and thus decoding latency—remain low. Large-scale open mixture-of-experts models have demonstrated that this design can be pushed to the frontier of capability </w:t>
      </w:r>
      <w:r>
        <w:rPr>
          <w:rFonts w:ascii="Times New Roman" w:cs="Times New Roman" w:eastAsia="Times New Roman" w:hAnsi="Times New Roman"/>
          <w:color w:val="000000"/>
          <w:sz w:val="24"/>
          <w:szCs w:val="24"/>
        </w:rPr>
        <w:t xml:space="preserve">[33]</w:t>
      </w:r>
      <w:r>
        <w:rPr>
          <w:rFonts w:ascii="Times New Roman" w:cs="Times New Roman" w:eastAsia="Times New Roman" w:hAnsi="Times New Roman"/>
          <w:b w:val="false"/>
          <w:bCs w:val="false"/>
          <w:i w:val="false"/>
          <w:iCs w:val="false"/>
          <w:smallCaps w:val="false"/>
          <w:color w:val="000000"/>
          <w:sz w:val="24"/>
          <w:szCs w:val="24"/>
        </w:rPr>
        <w:t xml:space="preserve">, and the efficient-LLM literature treats sparsity as a first-class efficiency lever alongside quantization </w:t>
      </w:r>
      <w:r>
        <w:rPr>
          <w:rFonts w:ascii="Times New Roman" w:cs="Times New Roman" w:eastAsia="Times New Roman" w:hAnsi="Times New Roman"/>
          <w:color w:val="000000"/>
          <w:sz w:val="24"/>
          <w:szCs w:val="24"/>
        </w:rPr>
        <w:t xml:space="preserve">[8]</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broader point is that the “small models are capable” thesis has strong empirical support. Compact open-weight models in the single-digit-billion-parameter range now achieve performance that would have required far larger models a short time earlier </w:t>
      </w:r>
      <w:r>
        <w:rPr>
          <w:rFonts w:ascii="Times New Roman" w:cs="Times New Roman" w:eastAsia="Times New Roman" w:hAnsi="Times New Roman"/>
          <w:color w:val="000000"/>
          <w:sz w:val="24"/>
          <w:szCs w:val="24"/>
        </w:rPr>
        <w:t xml:space="preserve">[32, 34, 35]</w:t>
      </w:r>
      <w:r>
        <w:rPr>
          <w:rFonts w:ascii="Times New Roman" w:cs="Times New Roman" w:eastAsia="Times New Roman" w:hAnsi="Times New Roman"/>
          <w:b w:val="false"/>
          <w:bCs w:val="false"/>
          <w:i w:val="false"/>
          <w:iCs w:val="false"/>
          <w:smallCaps w:val="false"/>
          <w:color w:val="000000"/>
          <w:sz w:val="24"/>
          <w:szCs w:val="24"/>
        </w:rPr>
        <w:t xml:space="preserve">, and the systematic study of model compression confirms that much of a large model’s capability survives aggressive reduction </w:t>
      </w:r>
      <w:r>
        <w:rPr>
          <w:rFonts w:ascii="Times New Roman" w:cs="Times New Roman" w:eastAsia="Times New Roman" w:hAnsi="Times New Roman"/>
          <w:color w:val="000000"/>
          <w:sz w:val="24"/>
          <w:szCs w:val="24"/>
        </w:rPr>
        <w:t xml:space="preserve">[9]</w:t>
      </w:r>
      <w:r>
        <w:rPr>
          <w:rFonts w:ascii="Times New Roman" w:cs="Times New Roman" w:eastAsia="Times New Roman" w:hAnsi="Times New Roman"/>
          <w:b w:val="false"/>
          <w:bCs w:val="false"/>
          <w:i w:val="false"/>
          <w:iCs w:val="false"/>
          <w:smallCaps w:val="false"/>
          <w:color w:val="000000"/>
          <w:sz w:val="24"/>
          <w:szCs w:val="24"/>
        </w:rPr>
        <w:t xml:space="preserve">. For a local-first system, this means the relevant question is not whether a device can run a frontier-scale model—it cannot—but whether it can run a model capable enough for the tasks at hand, and the answer is increasingly yes.</w:t>
      </w:r>
    </w:p>
    <w:p>
      <w:pPr>
        <w:pStyle w:val="Heading2"/>
        <w:keepNext/>
        <w:spacing w:after="90" w:before="200"/>
      </w:pPr>
      <w:r>
        <w:rPr>
          <w:rFonts w:ascii="Arial" w:cs="Arial" w:eastAsia="Arial" w:hAnsi="Arial"/>
          <w:b/>
          <w:bCs/>
          <w:color w:val="000000"/>
          <w:sz w:val="23"/>
          <w:szCs w:val="23"/>
        </w:rPr>
        <w:t xml:space="preserve">4.4  Memory-Aware Serving and Decoding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Beyond compression, a body of systems research addresses how to serve models efficiently given fixed hardware. The management of the key-value cache is a central concern: naive contiguous allocation wastes memory to fragmentation, whereas a paged allocation scheme borrowed from virtual-memory systems nearly eliminates this waste and raises the throughput of a given accelerator substantially </w:t>
      </w:r>
      <w:r>
        <w:rPr>
          <w:rFonts w:ascii="Times New Roman" w:cs="Times New Roman" w:eastAsia="Times New Roman" w:hAnsi="Times New Roman"/>
          <w:color w:val="000000"/>
          <w:sz w:val="24"/>
          <w:szCs w:val="24"/>
        </w:rPr>
        <w:t xml:space="preserve">[21]</w:t>
      </w:r>
      <w:r>
        <w:rPr>
          <w:rFonts w:ascii="Times New Roman" w:cs="Times New Roman" w:eastAsia="Times New Roman" w:hAnsi="Times New Roman"/>
          <w:b w:val="false"/>
          <w:bCs w:val="false"/>
          <w:i w:val="false"/>
          <w:iCs w:val="false"/>
          <w:smallCaps w:val="false"/>
          <w:color w:val="000000"/>
          <w:sz w:val="24"/>
          <w:szCs w:val="24"/>
        </w:rPr>
        <w:t xml:space="preserve">. Efficient attention kernels reduce the memory traffic of the attention operation itself by tiling the computation to keep intermediate results in fast on-chip memory </w:t>
      </w:r>
      <w:r>
        <w:rPr>
          <w:rFonts w:ascii="Times New Roman" w:cs="Times New Roman" w:eastAsia="Times New Roman" w:hAnsi="Times New Roman"/>
          <w:color w:val="000000"/>
          <w:sz w:val="24"/>
          <w:szCs w:val="24"/>
        </w:rPr>
        <w:t xml:space="preserve">[22, 23]</w:t>
      </w:r>
      <w:r>
        <w:rPr>
          <w:rFonts w:ascii="Times New Roman" w:cs="Times New Roman" w:eastAsia="Times New Roman" w:hAnsi="Times New Roman"/>
          <w:b w:val="false"/>
          <w:bCs w:val="false"/>
          <w:i w:val="false"/>
          <w:iCs w:val="false"/>
          <w:smallCaps w:val="false"/>
          <w:color w:val="000000"/>
          <w:sz w:val="24"/>
          <w:szCs w:val="24"/>
        </w:rPr>
        <w:t xml:space="preserve">. These techniques matter for a constrained device precisely because they extract more useful work from a fixed and modest memory system.</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Decoding-time techniques further raise throughput. Speculative decoding uses a small, fast draft model to propose several tokens that the large model then verifies in parallel, exploiting the fact that verification is cheaper than generation and thereby reducing the number of sequential large-model passes </w:t>
      </w:r>
      <w:r>
        <w:rPr>
          <w:rFonts w:ascii="Times New Roman" w:cs="Times New Roman" w:eastAsia="Times New Roman" w:hAnsi="Times New Roman"/>
          <w:color w:val="000000"/>
          <w:sz w:val="24"/>
          <w:szCs w:val="24"/>
        </w:rPr>
        <w:t xml:space="preserve">[24–26]</w:t>
      </w:r>
      <w:r>
        <w:rPr>
          <w:rFonts w:ascii="Times New Roman" w:cs="Times New Roman" w:eastAsia="Times New Roman" w:hAnsi="Times New Roman"/>
          <w:b w:val="false"/>
          <w:bCs w:val="false"/>
          <w:i w:val="false"/>
          <w:iCs w:val="false"/>
          <w:smallCaps w:val="false"/>
          <w:color w:val="000000"/>
          <w:sz w:val="24"/>
          <w:szCs w:val="24"/>
        </w:rPr>
        <w:t xml:space="preserve">. For a memory-bound single-user workload, such methods can yield meaningful latency improvements without additional hardware.</w:t>
      </w:r>
    </w:p>
    <w:p>
      <w:pPr>
        <w:pStyle w:val="Heading2"/>
        <w:keepNext/>
        <w:spacing w:after="90" w:before="200"/>
      </w:pPr>
      <w:r>
        <w:rPr>
          <w:rFonts w:ascii="Arial" w:cs="Arial" w:eastAsia="Arial" w:hAnsi="Arial"/>
          <w:b/>
          <w:bCs/>
          <w:color w:val="000000"/>
          <w:sz w:val="23"/>
          <w:szCs w:val="23"/>
        </w:rPr>
        <w:t xml:space="preserve">4.5  Inference on Consumer and Unified-Memory Hardware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most direct evidence for the hub’s feasibility comes from research that explicitly targets consumer hardware. Work on serving models from flash storage when they exceed available memory demonstrates that careful streaming—loading only the parameters a given token needs, and organizing them to minimize transfer—allows models up to twice the size of available memory to run, with substantial speedups over naive loading </w:t>
      </w:r>
      <w:r>
        <w:rPr>
          <w:rFonts w:ascii="Times New Roman" w:cs="Times New Roman" w:eastAsia="Times New Roman" w:hAnsi="Times New Roman"/>
          <w:color w:val="000000"/>
          <w:sz w:val="24"/>
          <w:szCs w:val="24"/>
        </w:rPr>
        <w:t xml:space="preserve">[27]</w:t>
      </w:r>
      <w:r>
        <w:rPr>
          <w:rFonts w:ascii="Times New Roman" w:cs="Times New Roman" w:eastAsia="Times New Roman" w:hAnsi="Times New Roman"/>
          <w:b w:val="false"/>
          <w:bCs w:val="false"/>
          <w:i w:val="false"/>
          <w:iCs w:val="false"/>
          <w:smallCaps w:val="false"/>
          <w:color w:val="000000"/>
          <w:sz w:val="24"/>
          <w:szCs w:val="24"/>
        </w:rPr>
        <w:t xml:space="preserve">. Complementary work exploits the sparsity of neuron activations to keep frequently used parameters resident on the accelerator while streaming the rest, achieving a large fraction of data-center performance on a single consumer graphics processor </w:t>
      </w:r>
      <w:r>
        <w:rPr>
          <w:rFonts w:ascii="Times New Roman" w:cs="Times New Roman" w:eastAsia="Times New Roman" w:hAnsi="Times New Roman"/>
          <w:color w:val="000000"/>
          <w:sz w:val="24"/>
          <w:szCs w:val="24"/>
        </w:rPr>
        <w:t xml:space="preserve">[28]</w:t>
      </w:r>
      <w:r>
        <w:rPr>
          <w:rFonts w:ascii="Times New Roman" w:cs="Times New Roman" w:eastAsia="Times New Roman" w:hAnsi="Times New Roman"/>
          <w:b w:val="false"/>
          <w:bCs w:val="false"/>
          <w:i w:val="false"/>
          <w:iCs w:val="false"/>
          <w:smallCaps w:val="false"/>
          <w:color w:val="000000"/>
          <w:sz w:val="24"/>
          <w:szCs w:val="24"/>
        </w:rPr>
        <w:t xml:space="preserve">. These results, from systems venues, are the strongest possible refutation of the claim that serious inference requires the cloud: they show it running, measured and reproducible, on hardware individuals own.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Cross-hardware deployment is further eased by compilation frameworks that lower models to the diverse accelerators found in consumer devices—including integrated graphics processors and their compute backends—through an optimizing compiler </w:t>
      </w:r>
      <w:r>
        <w:rPr>
          <w:rFonts w:ascii="Times New Roman" w:cs="Times New Roman" w:eastAsia="Times New Roman" w:hAnsi="Times New Roman"/>
          <w:color w:val="000000"/>
          <w:sz w:val="24"/>
          <w:szCs w:val="24"/>
        </w:rPr>
        <w:t xml:space="preserve">[29, 30]</w:t>
      </w:r>
      <w:r>
        <w:rPr>
          <w:rFonts w:ascii="Times New Roman" w:cs="Times New Roman" w:eastAsia="Times New Roman" w:hAnsi="Times New Roman"/>
          <w:b w:val="false"/>
          <w:bCs w:val="false"/>
          <w:i w:val="false"/>
          <w:iCs w:val="false"/>
          <w:smallCaps w:val="false"/>
          <w:color w:val="000000"/>
          <w:sz w:val="24"/>
          <w:szCs w:val="24"/>
        </w:rPr>
        <w:t xml:space="preserve">. The practical inference engines that most local-first practitioners use in fact rest on a widely adopted open-source implementation of quantized inference in a systems language, together with a portable model-file format and a runtime that manages models locally </w:t>
      </w:r>
      <w:r>
        <w:rPr>
          <w:rFonts w:ascii="Times New Roman" w:cs="Times New Roman" w:eastAsia="Times New Roman" w:hAnsi="Times New Roman"/>
          <w:color w:val="000000"/>
          <w:sz w:val="24"/>
          <w:szCs w:val="24"/>
        </w:rPr>
        <w:t xml:space="preserve">[38–40]</w:t>
      </w:r>
      <w:r>
        <w:rPr>
          <w:rFonts w:ascii="Times New Roman" w:cs="Times New Roman" w:eastAsia="Times New Roman" w:hAnsi="Times New Roman"/>
          <w:b w:val="false"/>
          <w:bCs w:val="false"/>
          <w:i w:val="false"/>
          <w:iCs w:val="false"/>
          <w:smallCaps w:val="false"/>
          <w:color w:val="000000"/>
          <w:sz w:val="24"/>
          <w:szCs w:val="24"/>
        </w:rPr>
        <w:t xml:space="preserve">. We cite these as software rather than as peer-reviewed publications, because that is what they are; but their existence and maturity are precisely what make the local-first thesis practical rather than aspirational, and the methods they implement are the ones the peer-reviewed literature validates.</w:t>
      </w:r>
    </w:p>
    <w:p>
      <w:pPr>
        <w:pStyle w:val="Heading2"/>
        <w:keepNext/>
        <w:spacing w:after="90" w:before="200"/>
      </w:pPr>
      <w:r>
        <w:rPr>
          <w:rFonts w:ascii="Arial" w:cs="Arial" w:eastAsia="Arial" w:hAnsi="Arial"/>
          <w:b/>
          <w:bCs/>
          <w:color w:val="000000"/>
          <w:sz w:val="23"/>
          <w:szCs w:val="23"/>
        </w:rPr>
        <w:t xml:space="preserve">4.6  Arithmetic Intensity and the Batch-Size Regime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is worth making the memory-bound claim quantitative, because it governs which optimizations matter for a local deployment. The relevant quantity is arithmetic intensity: the ratio of arithmetic operations performed to bytes moved from memory. A computation whose arithmetic intensity is below the ratio of a device’s peak compute to its peak memory bandwidth is memory-bound, and its performance is limited by bandwidth rather than by arithmetic. Autoregressive decoding at batch size one has very low arithmetic intensity: each weight is read from memory and used for a single multiply-accumulate before the next weight is needed, so the computation is almost entirely memory traffic. This is precisely the regime of a single-user local deployment, and it is why the efficient-attention and cache-management literatures frame their contributions in terms of memory movement rather than floating-point throughput </w:t>
      </w:r>
      <w:r>
        <w:rPr>
          <w:rFonts w:ascii="Times New Roman" w:cs="Times New Roman" w:eastAsia="Times New Roman" w:hAnsi="Times New Roman"/>
          <w:color w:val="000000"/>
          <w:sz w:val="24"/>
          <w:szCs w:val="24"/>
        </w:rPr>
        <w:t xml:space="preserve">[21, 22]</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batch-size regime has a direct architectural consequence. In a data center, throughput is recovered by batching many requests so that each weight read serves many computations, raising arithmetic intensity into the compute-bound regime; this is the economic basis of centralized serving. A single-user local system cannot batch across users and therefore lives permanently in the memory-bound regime, where the marginal value of raw compute is low and the marginal value of reducing bytes-per-token is high. This inverts the optimization priorities relative to a data center and explains why the techniques most valuable locally—weight quantization </w:t>
      </w:r>
      <w:r>
        <w:rPr>
          <w:rFonts w:ascii="Times New Roman" w:cs="Times New Roman" w:eastAsia="Times New Roman" w:hAnsi="Times New Roman"/>
          <w:color w:val="000000"/>
          <w:sz w:val="24"/>
          <w:szCs w:val="24"/>
        </w:rPr>
        <w:t xml:space="preserve">[11, 13]</w:t>
      </w:r>
      <w:r>
        <w:rPr>
          <w:rFonts w:ascii="Times New Roman" w:cs="Times New Roman" w:eastAsia="Times New Roman" w:hAnsi="Times New Roman"/>
          <w:b w:val="false"/>
          <w:bCs w:val="false"/>
          <w:i w:val="false"/>
          <w:iCs w:val="false"/>
          <w:smallCaps w:val="false"/>
          <w:color w:val="000000"/>
          <w:sz w:val="24"/>
          <w:szCs w:val="24"/>
        </w:rPr>
        <w:t xml:space="preserve">, sparsity </w:t>
      </w:r>
      <w:r>
        <w:rPr>
          <w:rFonts w:ascii="Times New Roman" w:cs="Times New Roman" w:eastAsia="Times New Roman" w:hAnsi="Times New Roman"/>
          <w:color w:val="000000"/>
          <w:sz w:val="24"/>
          <w:szCs w:val="24"/>
        </w:rPr>
        <w:t xml:space="preserve">[31]</w:t>
      </w:r>
      <w:r>
        <w:rPr>
          <w:rFonts w:ascii="Times New Roman" w:cs="Times New Roman" w:eastAsia="Times New Roman" w:hAnsi="Times New Roman"/>
          <w:b w:val="false"/>
          <w:bCs w:val="false"/>
          <w:i w:val="false"/>
          <w:iCs w:val="false"/>
          <w:smallCaps w:val="false"/>
          <w:color w:val="000000"/>
          <w:sz w:val="24"/>
          <w:szCs w:val="24"/>
        </w:rPr>
        <w:t xml:space="preserve">, and streaming of parameters </w:t>
      </w:r>
      <w:r>
        <w:rPr>
          <w:rFonts w:ascii="Times New Roman" w:cs="Times New Roman" w:eastAsia="Times New Roman" w:hAnsi="Times New Roman"/>
          <w:color w:val="000000"/>
          <w:sz w:val="24"/>
          <w:szCs w:val="24"/>
        </w:rPr>
        <w:t xml:space="preserve">[27, 28]</w:t>
      </w:r>
      <w:r>
        <w:rPr>
          <w:rFonts w:ascii="Times New Roman" w:cs="Times New Roman" w:eastAsia="Times New Roman" w:hAnsi="Times New Roman"/>
          <w:b w:val="false"/>
          <w:bCs w:val="false"/>
          <w:i w:val="false"/>
          <w:iCs w:val="false"/>
          <w:smallCaps w:val="false"/>
          <w:color w:val="000000"/>
          <w:sz w:val="24"/>
          <w:szCs w:val="24"/>
        </w:rPr>
        <w:t xml:space="preserve">—are precisely those that reduce memory movement. The local-first system is not a scaled-down data center; it operates in a different regime with different optima, and the literature that targets consumer hardware is the literature that recognizes this.</w:t>
      </w:r>
    </w:p>
    <w:p>
      <w:pPr>
        <w:pStyle w:val="Heading2"/>
        <w:keepNext/>
        <w:spacing w:after="90" w:before="200"/>
      </w:pPr>
      <w:r>
        <w:rPr>
          <w:rFonts w:ascii="Arial" w:cs="Arial" w:eastAsia="Arial" w:hAnsi="Arial"/>
          <w:b/>
          <w:bCs/>
          <w:color w:val="000000"/>
          <w:sz w:val="23"/>
          <w:szCs w:val="23"/>
        </w:rPr>
        <w:t xml:space="preserve">4.7  Evidence on the Quantization–Accuracy Trade-off</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reasonable skeptic will ask whether aggressive quantization preserves enough quality to matter, and the literature provides quantitative reassurance. Eight-bit quantization with proper outlier handling is essentially lossless for large models </w:t>
      </w:r>
      <w:r>
        <w:rPr>
          <w:rFonts w:ascii="Times New Roman" w:cs="Times New Roman" w:eastAsia="Times New Roman" w:hAnsi="Times New Roman"/>
          <w:color w:val="000000"/>
          <w:sz w:val="24"/>
          <w:szCs w:val="24"/>
        </w:rPr>
        <w:t xml:space="preserve">[11]</w:t>
      </w:r>
      <w:r>
        <w:rPr>
          <w:rFonts w:ascii="Times New Roman" w:cs="Times New Roman" w:eastAsia="Times New Roman" w:hAnsi="Times New Roman"/>
          <w:b w:val="false"/>
          <w:bCs w:val="false"/>
          <w:i w:val="false"/>
          <w:iCs w:val="false"/>
          <w:smallCaps w:val="false"/>
          <w:color w:val="000000"/>
          <w:sz w:val="24"/>
          <w:szCs w:val="24"/>
        </w:rPr>
        <w:t xml:space="preserve">; four-bit weight quantization, with the layer-wise and salience-aware methods described above, incurs only modest degradation that shrinks as model size grows </w:t>
      </w:r>
      <w:r>
        <w:rPr>
          <w:rFonts w:ascii="Times New Roman" w:cs="Times New Roman" w:eastAsia="Times New Roman" w:hAnsi="Times New Roman"/>
          <w:color w:val="000000"/>
          <w:sz w:val="24"/>
          <w:szCs w:val="24"/>
        </w:rPr>
        <w:t xml:space="preserve">[12, 13]</w:t>
      </w:r>
      <w:r>
        <w:rPr>
          <w:rFonts w:ascii="Times New Roman" w:cs="Times New Roman" w:eastAsia="Times New Roman" w:hAnsi="Times New Roman"/>
          <w:b w:val="false"/>
          <w:bCs w:val="false"/>
          <w:i w:val="false"/>
          <w:iCs w:val="false"/>
          <w:smallCaps w:val="false"/>
          <w:color w:val="000000"/>
          <w:sz w:val="24"/>
          <w:szCs w:val="24"/>
        </w:rPr>
        <w:t xml:space="preserve">. The systematic surveys of compression conclude that the accuracy cost of quantization is generally small relative to the memory and latency benefits, and that the frontier of acceptable compression continues to advance </w:t>
      </w:r>
      <w:r>
        <w:rPr>
          <w:rFonts w:ascii="Times New Roman" w:cs="Times New Roman" w:eastAsia="Times New Roman" w:hAnsi="Times New Roman"/>
          <w:color w:val="000000"/>
          <w:sz w:val="24"/>
          <w:szCs w:val="24"/>
        </w:rPr>
        <w:t xml:space="preserve">[8, 9]</w:t>
      </w:r>
      <w:r>
        <w:rPr>
          <w:rFonts w:ascii="Times New Roman" w:cs="Times New Roman" w:eastAsia="Times New Roman" w:hAnsi="Times New Roman"/>
          <w:b w:val="false"/>
          <w:bCs w:val="false"/>
          <w:i w:val="false"/>
          <w:iCs w:val="false"/>
          <w:smallCaps w:val="false"/>
          <w:color w:val="000000"/>
          <w:sz w:val="24"/>
          <w:szCs w:val="24"/>
        </w:rPr>
        <w:t xml:space="preserve">. Importantly, the degradation is not uniform across tasks: quantization tends to affect the most demanding reasoning tasks more than routine ones, which means a local system should match model and precision to task difficulty rather than assuming a single configuration suffices. This is a design consideration the architecture takes seriously, maintaining a lineup of models at different capability and precision points rather than a single model.</w:t>
      </w:r>
    </w:p>
    <w:p>
      <w:pPr>
        <w:pStyle w:val="Heading2"/>
        <w:keepNext/>
        <w:spacing w:after="90" w:before="200"/>
      </w:pPr>
      <w:r>
        <w:rPr>
          <w:rFonts w:ascii="Arial" w:cs="Arial" w:eastAsia="Arial" w:hAnsi="Arial"/>
          <w:b/>
          <w:bCs/>
          <w:color w:val="000000"/>
          <w:sz w:val="23"/>
          <w:szCs w:val="23"/>
        </w:rPr>
        <w:t xml:space="preserve">4.8  A Worked Memory Budget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To make the constraint concrete, consider the arithmetic for the hub’s unified 32-gigabyte pool. A mixture-of-experts model with roughly thirty billion total parameters, quantized to approximately four bits per parameter, requires on the order of sixteen to eighteen gigabytes for its weights—within the pool with margin to spare. The key-value cache consumes additional memory that grows with context length and can be reduced by cache quantization when long contexts are needed </w:t>
      </w:r>
      <w:r>
        <w:rPr>
          <w:rFonts w:ascii="Times New Roman" w:cs="Times New Roman" w:eastAsia="Times New Roman" w:hAnsi="Times New Roman"/>
          <w:color w:val="000000"/>
          <w:sz w:val="24"/>
          <w:szCs w:val="24"/>
        </w:rPr>
        <w:t xml:space="preserve">[20]</w:t>
      </w:r>
      <w:r>
        <w:rPr>
          <w:rFonts w:ascii="Times New Roman" w:cs="Times New Roman" w:eastAsia="Times New Roman" w:hAnsi="Times New Roman"/>
          <w:b w:val="false"/>
          <w:bCs w:val="false"/>
          <w:i w:val="false"/>
          <w:iCs w:val="false"/>
          <w:smallCaps w:val="false"/>
          <w:color w:val="000000"/>
          <w:sz w:val="24"/>
          <w:szCs w:val="24"/>
        </w:rPr>
        <w:t xml:space="preserve">. Because the model is a mixture of experts, its per-token computation involves only the few billion parameters of the selected experts </w:t>
      </w:r>
      <w:r>
        <w:rPr>
          <w:rFonts w:ascii="Times New Roman" w:cs="Times New Roman" w:eastAsia="Times New Roman" w:hAnsi="Times New Roman"/>
          <w:color w:val="000000"/>
          <w:sz w:val="24"/>
          <w:szCs w:val="24"/>
        </w:rPr>
        <w:t xml:space="preserve">[31, 37]</w:t>
      </w:r>
      <w:r>
        <w:rPr>
          <w:rFonts w:ascii="Times New Roman" w:cs="Times New Roman" w:eastAsia="Times New Roman" w:hAnsi="Times New Roman"/>
          <w:b w:val="false"/>
          <w:bCs w:val="false"/>
          <w:i w:val="false"/>
          <w:iCs w:val="false"/>
          <w:smallCaps w:val="false"/>
          <w:color w:val="000000"/>
          <w:sz w:val="24"/>
          <w:szCs w:val="24"/>
        </w:rPr>
        <w:t xml:space="preserve">, so decoding latency reflects the active-parameter count rather than the total, while the memory footprint reflects the total. The unified-memory design is what makes this budget workable: because system and accelerator share the pool, nearly all of it can be devoted to weights and cache rather than being partitioned by a fixed boundary. The result is a configuration in which a thirty-billion-parameter-class model runs comfortably on a device costing less than a laptop—the concrete realization of the feasibility this section has argued for in general terms.</w:t>
      </w:r>
    </w:p>
    <w:p>
      <w:pPr>
        <w:pStyle w:val="Heading2"/>
        <w:keepNext/>
        <w:spacing w:after="90" w:before="200"/>
      </w:pPr>
      <w:r>
        <w:rPr>
          <w:rFonts w:ascii="Arial" w:cs="Arial" w:eastAsia="Arial" w:hAnsi="Arial"/>
          <w:b/>
          <w:bCs/>
          <w:color w:val="000000"/>
          <w:sz w:val="23"/>
          <w:szCs w:val="23"/>
        </w:rPr>
        <w:t xml:space="preserve">4.9  A Model Lineup Rather Than a Model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consequence of the preceding analysis is that a constrained local system should maintain a lineup of models rather than a single one. The reasoning is straightforward once the trade-offs are made explicit. Quantization’s accuracy cost is task-dependent, falling more heavily on demanding reasoning than on routine work </w:t>
      </w:r>
      <w:r>
        <w:rPr>
          <w:rFonts w:ascii="Times New Roman" w:cs="Times New Roman" w:eastAsia="Times New Roman" w:hAnsi="Times New Roman"/>
          <w:color w:val="000000"/>
          <w:sz w:val="24"/>
          <w:szCs w:val="24"/>
        </w:rPr>
        <w:t xml:space="preserve">[9, 12]</w:t>
      </w:r>
      <w:r>
        <w:rPr>
          <w:rFonts w:ascii="Times New Roman" w:cs="Times New Roman" w:eastAsia="Times New Roman" w:hAnsi="Times New Roman"/>
          <w:b w:val="false"/>
          <w:bCs w:val="false"/>
          <w:i w:val="false"/>
          <w:iCs w:val="false"/>
          <w:smallCaps w:val="false"/>
          <w:color w:val="000000"/>
          <w:sz w:val="24"/>
          <w:szCs w:val="24"/>
        </w:rPr>
        <w:t xml:space="preserve">; model capability scales with size, but so does memory footprint and decoding latency; and compact models have become capable enough that many tasks no longer justify a large one </w:t>
      </w:r>
      <w:r>
        <w:rPr>
          <w:rFonts w:ascii="Times New Roman" w:cs="Times New Roman" w:eastAsia="Times New Roman" w:hAnsi="Times New Roman"/>
          <w:color w:val="000000"/>
          <w:sz w:val="24"/>
          <w:szCs w:val="24"/>
        </w:rPr>
        <w:t xml:space="preserve">[32, 34, 35]</w:t>
      </w:r>
      <w:r>
        <w:rPr>
          <w:rFonts w:ascii="Times New Roman" w:cs="Times New Roman" w:eastAsia="Times New Roman" w:hAnsi="Times New Roman"/>
          <w:b w:val="false"/>
          <w:bCs w:val="false"/>
          <w:i w:val="false"/>
          <w:iCs w:val="false"/>
          <w:smallCaps w:val="false"/>
          <w:color w:val="000000"/>
          <w:sz w:val="24"/>
          <w:szCs w:val="24"/>
        </w:rPr>
        <w:t xml:space="preserve">. A single model must be chosen to satisfy the hardest task it will face, which means it is oversized—and therefore needlessly slow—for the majority of tasks that are easier. A lineup allows the system to match the model to the task: a compact model for routine classification, extraction, and drafting, where its speed is the dominant virtue, and the larger mixture-of-experts model for tasks whose difficulty justifies its cost </w:t>
      </w:r>
      <w:r>
        <w:rPr>
          <w:rFonts w:ascii="Times New Roman" w:cs="Times New Roman" w:eastAsia="Times New Roman" w:hAnsi="Times New Roman"/>
          <w:color w:val="000000"/>
          <w:sz w:val="24"/>
          <w:szCs w:val="24"/>
        </w:rPr>
        <w:t xml:space="preserve">[31]</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routing discipline interacts favorably with the memory budget. Because the models are served from the same unified pool, and because only the model serving a given request need be resident, the lineup does not multiply the memory requirement by the number of models; it requires only that the largest fit, with smaller models swapped in as needed. The practical serving stacks that local deployments use manage exactly this lifecycle </w:t>
      </w:r>
      <w:r>
        <w:rPr>
          <w:rFonts w:ascii="Times New Roman" w:cs="Times New Roman" w:eastAsia="Times New Roman" w:hAnsi="Times New Roman"/>
          <w:color w:val="000000"/>
          <w:sz w:val="24"/>
          <w:szCs w:val="24"/>
        </w:rPr>
        <w:t xml:space="preserve">[38, 40]</w:t>
      </w:r>
      <w:r>
        <w:rPr>
          <w:rFonts w:ascii="Times New Roman" w:cs="Times New Roman" w:eastAsia="Times New Roman" w:hAnsi="Times New Roman"/>
          <w:b w:val="false"/>
          <w:bCs w:val="false"/>
          <w:i w:val="false"/>
          <w:iCs w:val="false"/>
          <w:smallCaps w:val="false"/>
          <w:color w:val="000000"/>
          <w:sz w:val="24"/>
          <w:szCs w:val="24"/>
        </w:rPr>
        <w:t xml:space="preserve">. The architectural principle generalizes beyond model selection: a constrained system should spend its scarce resources where they buy the most, and treating capability as a dial to be set per task—rather than a fixed property of the deployment—is how a modest device serves a wide range of work. The efficient-LLM literature frames this as one instance of the broader project of matching computational cost to task requirements </w:t>
      </w:r>
      <w:r>
        <w:rPr>
          <w:rFonts w:ascii="Times New Roman" w:cs="Times New Roman" w:eastAsia="Times New Roman" w:hAnsi="Times New Roman"/>
          <w:color w:val="000000"/>
          <w:sz w:val="24"/>
          <w:szCs w:val="24"/>
        </w:rPr>
        <w:t xml:space="preserve">[8]</w:t>
      </w:r>
      <w:r>
        <w:rPr>
          <w:rFonts w:ascii="Times New Roman" w:cs="Times New Roman" w:eastAsia="Times New Roman" w:hAnsi="Times New Roman"/>
          <w:b w:val="false"/>
          <w:bCs w:val="false"/>
          <w:i w:val="false"/>
          <w:iCs w:val="false"/>
          <w:smallCaps w:val="false"/>
          <w:color w:val="000000"/>
          <w:sz w:val="24"/>
          <w:szCs w:val="24"/>
        </w:rPr>
        <w:t xml:space="preserve">, and it is a discipline that a local deployment, unable to summon more hardware on demand, must practice more rigorously than a cloud service.</w:t>
      </w:r>
    </w:p>
    <w:p>
      <w:pPr>
        <w:keepNext/>
        <w:spacing w:after="60" w:before="120"/>
      </w:pPr>
      <w:r>
        <w:rPr>
          <w:rFonts w:ascii="Arial" w:cs="Arial" w:eastAsia="Arial" w:hAnsi="Arial"/>
          <w:b/>
          <w:bCs/>
          <w:color w:val="000000"/>
          <w:sz w:val="19"/>
          <w:szCs w:val="19"/>
        </w:rPr>
        <w:t xml:space="preserve">Table 1. </w:t>
      </w:r>
      <w:r>
        <w:rPr>
          <w:rFonts w:ascii="Arial" w:cs="Arial" w:eastAsia="Arial" w:hAnsi="Arial"/>
          <w:color w:val="000000"/>
          <w:sz w:val="19"/>
          <w:szCs w:val="19"/>
        </w:rPr>
        <w:t xml:space="preserve">Efficiency levers that make constrained-hardware inference feasible, with representative literature.</w:t>
      </w:r>
    </w:p>
    <w:tbl>
      <w:tblPr>
        <w:tblW w:type="dxa" w:w="7600"/>
        <w:tblBorders>
          <w:top w:val="none" w:color="FFFFFF" w:sz="0"/>
          <w:left w:val="none" w:color="FFFFFF" w:sz="0"/>
          <w:bottom w:val="none" w:color="FFFFFF" w:sz="0"/>
          <w:right w:val="none" w:color="FFFFFF" w:sz="0"/>
          <w:insideH w:val="none" w:color="FFFFFF" w:sz="0"/>
          <w:insideV w:val="none" w:color="FFFFFF" w:sz="0"/>
        </w:tblBorders>
      </w:tblPr>
      <w:tblGrid>
        <w:gridCol w:w="2100"/>
        <w:gridCol w:w="3300"/>
        <w:gridCol w:w="2200"/>
      </w:tblGrid>
      <w:tr>
        <w:trPr>
          <w:tblHeader/>
        </w:trPr>
        <w:tc>
          <w:tcPr>
            <w:tcW w:type="dxa" w:w="21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Lever</w:t>
            </w:r>
          </w:p>
        </w:tc>
        <w:tc>
          <w:tcPr>
            <w:tcW w:type="dxa" w:w="33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Mechanism</w:t>
            </w:r>
          </w:p>
        </w:tc>
        <w:tc>
          <w:tcPr>
            <w:tcW w:type="dxa" w:w="2200"/>
            <w:tcBorders>
              <w:top w:val="single" w:color="000000" w:sz="8"/>
              <w:left w:val="none" w:color="FFFFFF" w:sz="0"/>
              <w:bottom w:val="single" w:color="000000" w:sz="4"/>
              <w:right w:val="none" w:color="FFFFFF" w:sz="0"/>
            </w:tcBorders>
            <w:tcMar>
              <w:top w:type="dxa" w:w="40"/>
              <w:left w:type="dxa" w:w="90"/>
              <w:bottom w:type="dxa" w:w="40"/>
              <w:right w:type="dxa" w:w="90"/>
            </w:tcMar>
          </w:tcPr>
          <w:p>
            <w:r>
              <w:rPr>
                <w:rFonts w:ascii="Arial" w:cs="Arial" w:eastAsia="Arial" w:hAnsi="Arial"/>
                <w:b/>
                <w:bCs/>
                <w:color w:val="000000"/>
                <w:sz w:val="18"/>
                <w:szCs w:val="18"/>
              </w:rPr>
              <w:t xml:space="preserve">Representative work</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Weight quantization</w:t>
            </w:r>
          </w:p>
        </w:tc>
        <w:tc>
          <w:tcPr>
            <w:tcW w:type="dxa" w:w="3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Fewer bits per parameter; outlier handling</w:t>
            </w:r>
          </w:p>
        </w:tc>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[10]–[13]</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Low-bit fine-tuning</w:t>
            </w:r>
          </w:p>
        </w:tc>
        <w:tc>
          <w:tcPr>
            <w:tcW w:type="dxa" w:w="3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Frozen 4-bit base + trainable adapters</w:t>
            </w:r>
          </w:p>
        </w:tc>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[14]</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KV-cache quantization</w:t>
            </w:r>
          </w:p>
        </w:tc>
        <w:tc>
          <w:tcPr>
            <w:tcW w:type="dxa" w:w="3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Compress the growing attention cache</w:t>
            </w:r>
          </w:p>
        </w:tc>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[19]</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Sparsity / MoE</w:t>
            </w:r>
          </w:p>
        </w:tc>
        <w:tc>
          <w:tcPr>
            <w:tcW w:type="dxa" w:w="3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Activate a subset of experts per token</w:t>
            </w:r>
          </w:p>
        </w:tc>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[35], [36]</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Paged KV management</w:t>
            </w:r>
          </w:p>
        </w:tc>
        <w:tc>
          <w:tcPr>
            <w:tcW w:type="dxa" w:w="3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Virtual-memory-style cache allocation</w:t>
            </w:r>
          </w:p>
        </w:tc>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[20]</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IO-aware attention</w:t>
            </w:r>
          </w:p>
        </w:tc>
        <w:tc>
          <w:tcPr>
            <w:tcW w:type="dxa" w:w="3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Tile attention to cut memory traffic</w:t>
            </w:r>
          </w:p>
        </w:tc>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[21], [22]</w:t>
            </w:r>
          </w:p>
        </w:tc>
      </w:tr>
      <w:tr>
        <w:tc>
          <w:tcPr>
            <w:tcW w:type="dxa" w:w="21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Speculative decoding</w:t>
            </w:r>
          </w:p>
        </w:tc>
        <w:tc>
          <w:tcPr>
            <w:tcW w:type="dxa" w:w="33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Draft-and-verify to cut sequential passes</w:t>
            </w:r>
          </w:p>
        </w:tc>
        <w:tc>
          <w:tcPr>
            <w:tcW w:type="dxa" w:w="22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[23]–[25]</w:t>
            </w:r>
          </w:p>
        </w:tc>
      </w:tr>
      <w:tr>
        <w:tc>
          <w:tcPr>
            <w:tcW w:type="dxa" w:w="21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Flash / neuron streaming</w:t>
            </w:r>
          </w:p>
        </w:tc>
        <w:tc>
          <w:tcPr>
            <w:tcW w:type="dxa" w:w="33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Run models larger than memory</w:t>
            </w:r>
          </w:p>
        </w:tc>
        <w:tc>
          <w:tcPr>
            <w:tcW w:type="dxa" w:w="2200"/>
            <w:tcBorders>
              <w:top w:val="none" w:color="FFFFFF" w:sz="0"/>
              <w:left w:val="none" w:color="FFFFFF" w:sz="0"/>
              <w:bottom w:val="single" w:color="000000" w:sz="8"/>
              <w:right w:val="none" w:color="FFFFFF" w:sz="0"/>
            </w:tcBorders>
            <w:tcMar>
              <w:top w:type="dxa" w:w="30"/>
              <w:left w:type="dxa" w:w="90"/>
              <w:bottom w:type="dxa" w:w="30"/>
              <w:right w:type="dxa" w:w="90"/>
            </w:tcMar>
          </w:tcPr>
          <w:p>
            <w:pPr>
              <w:spacing w:after="0" w:line="224"/>
            </w:pPr>
            <w:r>
              <w:rPr>
                <w:rFonts w:ascii="Arial" w:cs="Arial" w:eastAsia="Arial" w:hAnsi="Arial"/>
                <w:color w:val="000000"/>
                <w:sz w:val="18"/>
                <w:szCs w:val="18"/>
              </w:rPr>
              <w:t xml:space="preserve">[26], [27]</w:t>
            </w:r>
          </w:p>
        </w:tc>
      </w:tr>
    </w:tbl>
    <w:p>
      <w:pPr>
        <w:spacing w:after="80"/>
      </w:pPr>
      <w:r>
        <w:t xml:space="preserve"/>
      </w:r>
    </w:p>
    <w:p>
      <w:pPr>
        <w:pStyle w:val="Heading1"/>
        <w:keepNext/>
        <w:spacing w:after="120" w:before="300"/>
      </w:pPr>
      <w:r>
        <w:rPr>
          <w:rFonts w:ascii="Arial" w:cs="Arial" w:eastAsia="Arial" w:hAnsi="Arial"/>
          <w:b/>
          <w:bCs/>
          <w:color w:val="000000"/>
          <w:sz w:val="26"/>
          <w:szCs w:val="26"/>
        </w:rPr>
        <w:t xml:space="preserve">5  Agent Reasoning, Planning, and Tool Use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served model is a text predictor; an agent is a system that uses such a predictor to reason about goals, decide on actions, invoke tools, observe results, and adjust. This section surveys the mechanisms that effect this transformation, all of which the collective in our architecture employs.</w:t>
      </w:r>
    </w:p>
    <w:p>
      <w:pPr>
        <w:pStyle w:val="Heading2"/>
        <w:keepNext/>
        <w:spacing w:after="90" w:before="200"/>
      </w:pPr>
      <w:r>
        <w:rPr>
          <w:rFonts w:ascii="Arial" w:cs="Arial" w:eastAsia="Arial" w:hAnsi="Arial"/>
          <w:b/>
          <w:bCs/>
          <w:color w:val="000000"/>
          <w:sz w:val="23"/>
          <w:szCs w:val="23"/>
        </w:rPr>
        <w:t xml:space="preserve">5.1  Eliciting Reasoning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observation that prompting a model to produce intermediate reasoning steps, rather than a final answer alone, substantially improves its performance on tasks requiring multi-step inference is foundational </w:t>
      </w:r>
      <w:r>
        <w:rPr>
          <w:rFonts w:ascii="Times New Roman" w:cs="Times New Roman" w:eastAsia="Times New Roman" w:hAnsi="Times New Roman"/>
          <w:color w:val="000000"/>
          <w:sz w:val="24"/>
          <w:szCs w:val="24"/>
        </w:rPr>
        <w:t xml:space="preserve">[41]</w:t>
      </w:r>
      <w:r>
        <w:rPr>
          <w:rFonts w:ascii="Times New Roman" w:cs="Times New Roman" w:eastAsia="Times New Roman" w:hAnsi="Times New Roman"/>
          <w:b w:val="false"/>
          <w:bCs w:val="false"/>
          <w:i w:val="false"/>
          <w:iCs w:val="false"/>
          <w:smallCaps w:val="false"/>
          <w:color w:val="000000"/>
          <w:sz w:val="24"/>
          <w:szCs w:val="24"/>
        </w:rPr>
        <w:t xml:space="preserve">. Sampling multiple reasoning paths and taking a consensus improves reliability further by marginalizing over the stochasticity of any single path </w:t>
      </w:r>
      <w:r>
        <w:rPr>
          <w:rFonts w:ascii="Times New Roman" w:cs="Times New Roman" w:eastAsia="Times New Roman" w:hAnsi="Times New Roman"/>
          <w:color w:val="000000"/>
          <w:sz w:val="24"/>
          <w:szCs w:val="24"/>
        </w:rPr>
        <w:t xml:space="preserve">[42]</w:t>
      </w:r>
      <w:r>
        <w:rPr>
          <w:rFonts w:ascii="Times New Roman" w:cs="Times New Roman" w:eastAsia="Times New Roman" w:hAnsi="Times New Roman"/>
          <w:b w:val="false"/>
          <w:bCs w:val="false"/>
          <w:i w:val="false"/>
          <w:iCs w:val="false"/>
          <w:smallCaps w:val="false"/>
          <w:color w:val="000000"/>
          <w:sz w:val="24"/>
          <w:szCs w:val="24"/>
        </w:rPr>
        <w:t xml:space="preserve">, and structuring the search over reasoning steps as an explicit tree, with evaluation and backtracking, extends the approach to problems that require deliberate exploration rather than a single forward chain </w:t>
      </w:r>
      <w:r>
        <w:rPr>
          <w:rFonts w:ascii="Times New Roman" w:cs="Times New Roman" w:eastAsia="Times New Roman" w:hAnsi="Times New Roman"/>
          <w:color w:val="000000"/>
          <w:sz w:val="24"/>
          <w:szCs w:val="24"/>
        </w:rPr>
        <w:t xml:space="preserve">[45]</w:t>
      </w:r>
      <w:r>
        <w:rPr>
          <w:rFonts w:ascii="Times New Roman" w:cs="Times New Roman" w:eastAsia="Times New Roman" w:hAnsi="Times New Roman"/>
          <w:b w:val="false"/>
          <w:bCs w:val="false"/>
          <w:i w:val="false"/>
          <w:iCs w:val="false"/>
          <w:smallCaps w:val="false"/>
          <w:color w:val="000000"/>
          <w:sz w:val="24"/>
          <w:szCs w:val="24"/>
        </w:rPr>
        <w:t xml:space="preserve">. These techniques are inexpensive—they are matters of prompting and sampling rather than of model modification—which makes them especially suited to a local system where the model is fixed.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significance of these reasoning techniques for a local-first system extends beyond their accuracy benefits to their independence from model modification. Because they operate through prompting and sampling rather than through changes to weights, they can be applied to any served model without retraining, and they compose with the compression techniques of Section 4 that make the model fit on constrained hardware. A quantized local model gains the same reasoning benefits from these methods as a full-precision one, so the capability they confer is available to the local-first architecture at no additional training cost. This composability is a recurring advantage of the prompting-based approach to capability: it stacks on top of, rather than competing with, the efficiency techniques that constrained deployment requires. The self-consistency approach in particular </w:t>
      </w:r>
      <w:r>
        <w:rPr>
          <w:rFonts w:ascii="Times New Roman" w:cs="Times New Roman" w:eastAsia="Times New Roman" w:hAnsi="Times New Roman"/>
          <w:color w:val="000000"/>
          <w:sz w:val="24"/>
          <w:szCs w:val="24"/>
        </w:rPr>
        <w:t xml:space="preserve">[42]</w:t>
      </w:r>
      <w:r>
        <w:rPr>
          <w:rFonts w:ascii="Times New Roman" w:cs="Times New Roman" w:eastAsia="Times New Roman" w:hAnsi="Times New Roman"/>
          <w:b w:val="false"/>
          <w:bCs w:val="false"/>
          <w:i w:val="false"/>
          <w:iCs w:val="false"/>
          <w:smallCaps w:val="false"/>
          <w:color w:val="000000"/>
          <w:sz w:val="24"/>
          <w:szCs w:val="24"/>
        </w:rPr>
        <w:t xml:space="preserve"> trades additional inference—sampling several reasoning paths—for improved reliability, which is a trade a local system can make when reliability matters more than latency, and decline when it does not.</w:t>
      </w:r>
    </w:p>
    <w:p>
      <w:pPr>
        <w:pStyle w:val="Heading2"/>
        <w:keepNext/>
        <w:spacing w:after="90" w:before="200"/>
      </w:pPr>
      <w:r>
        <w:rPr>
          <w:rFonts w:ascii="Arial" w:cs="Arial" w:eastAsia="Arial" w:hAnsi="Arial"/>
          <w:b/>
          <w:bCs/>
          <w:color w:val="000000"/>
          <w:sz w:val="23"/>
          <w:szCs w:val="23"/>
        </w:rPr>
        <w:t xml:space="preserve">5.2  Interleaving Reasoning and Acting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decisive step from reasoning to agency is the interleaving of thought and action. The paradigm that names this pattern has the model alternate between generating reasoning traces and taking actions that query or affect an external environment, using the observations returned to inform subsequent reasoning </w:t>
      </w:r>
      <w:r>
        <w:rPr>
          <w:rFonts w:ascii="Times New Roman" w:cs="Times New Roman" w:eastAsia="Times New Roman" w:hAnsi="Times New Roman"/>
          <w:color w:val="000000"/>
          <w:sz w:val="24"/>
          <w:szCs w:val="24"/>
        </w:rPr>
        <w:t xml:space="preserve">[43]</w:t>
      </w:r>
      <w:r>
        <w:rPr>
          <w:rFonts w:ascii="Times New Roman" w:cs="Times New Roman" w:eastAsia="Times New Roman" w:hAnsi="Times New Roman"/>
          <w:b w:val="false"/>
          <w:bCs w:val="false"/>
          <w:i w:val="false"/>
          <w:iCs w:val="false"/>
          <w:smallCaps w:val="false"/>
          <w:color w:val="000000"/>
          <w:sz w:val="24"/>
          <w:szCs w:val="24"/>
        </w:rPr>
        <w:t xml:space="preserve">. This thought–action–observation loop is the structural core of most contemporary agents, including those in our collective: it is what allows an agent to decompose a task, gather information through tools, and reason over what it finds rather than hallucinating in a vacuum.</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Reliability is improved by adding reflection. An agent that verbally critiques its own prior attempts and retains those critiques as context for subsequent attempts can improve iteratively without any change to the underlying model weights </w:t>
      </w:r>
      <w:r>
        <w:rPr>
          <w:rFonts w:ascii="Times New Roman" w:cs="Times New Roman" w:eastAsia="Times New Roman" w:hAnsi="Times New Roman"/>
          <w:color w:val="000000"/>
          <w:sz w:val="24"/>
          <w:szCs w:val="24"/>
        </w:rPr>
        <w:t xml:space="preserve">[44]</w:t>
      </w:r>
      <w:r>
        <w:rPr>
          <w:rFonts w:ascii="Times New Roman" w:cs="Times New Roman" w:eastAsia="Times New Roman" w:hAnsi="Times New Roman"/>
          <w:b w:val="false"/>
          <w:bCs w:val="false"/>
          <w:i w:val="false"/>
          <w:iCs w:val="false"/>
          <w:smallCaps w:val="false"/>
          <w:color w:val="000000"/>
          <w:sz w:val="24"/>
          <w:szCs w:val="24"/>
        </w:rPr>
        <w:t xml:space="preserve">, and the more general pattern of generating output, critiquing it, and revising in light of the critique—within a single agent—yields measurable gains across diverse tasks </w:t>
      </w:r>
      <w:r>
        <w:rPr>
          <w:rFonts w:ascii="Times New Roman" w:cs="Times New Roman" w:eastAsia="Times New Roman" w:hAnsi="Times New Roman"/>
          <w:color w:val="000000"/>
          <w:sz w:val="24"/>
          <w:szCs w:val="24"/>
        </w:rPr>
        <w:t xml:space="preserve">[46]</w:t>
      </w:r>
      <w:r>
        <w:rPr>
          <w:rFonts w:ascii="Times New Roman" w:cs="Times New Roman" w:eastAsia="Times New Roman" w:hAnsi="Times New Roman"/>
          <w:b w:val="false"/>
          <w:bCs w:val="false"/>
          <w:i w:val="false"/>
          <w:iCs w:val="false"/>
          <w:smallCaps w:val="false"/>
          <w:color w:val="000000"/>
          <w:sz w:val="24"/>
          <w:szCs w:val="24"/>
        </w:rPr>
        <w:t xml:space="preserve">. This generate–critique–revise structure recurs at the level of the individual agent in our architecture and, as Section 6 describes, at the level of the collective.</w:t>
      </w:r>
    </w:p>
    <w:p>
      <w:pPr>
        <w:pStyle w:val="Heading2"/>
        <w:keepNext/>
        <w:spacing w:after="90" w:before="200"/>
      </w:pPr>
      <w:r>
        <w:rPr>
          <w:rFonts w:ascii="Arial" w:cs="Arial" w:eastAsia="Arial" w:hAnsi="Arial"/>
          <w:b/>
          <w:bCs/>
          <w:color w:val="000000"/>
          <w:sz w:val="23"/>
          <w:szCs w:val="23"/>
        </w:rPr>
        <w:t xml:space="preserve">5.3  Tool Use and Function Calling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Tools extend an agent beyond the knowledge frozen in its weights. The demonstration that a model can be taught, in a self-supervised manner, to decide when and how to call external interfaces—and to incorporate their results—established tool use as a learnable capability rather than a hand-engineered one </w:t>
      </w:r>
      <w:r>
        <w:rPr>
          <w:rFonts w:ascii="Times New Roman" w:cs="Times New Roman" w:eastAsia="Times New Roman" w:hAnsi="Times New Roman"/>
          <w:color w:val="000000"/>
          <w:sz w:val="24"/>
          <w:szCs w:val="24"/>
        </w:rPr>
        <w:t xml:space="preserve">[47]</w:t>
      </w:r>
      <w:r>
        <w:rPr>
          <w:rFonts w:ascii="Times New Roman" w:cs="Times New Roman" w:eastAsia="Times New Roman" w:hAnsi="Times New Roman"/>
          <w:b w:val="false"/>
          <w:bCs w:val="false"/>
          <w:i w:val="false"/>
          <w:iCs w:val="false"/>
          <w:smallCaps w:val="false"/>
          <w:color w:val="000000"/>
          <w:sz w:val="24"/>
          <w:szCs w:val="24"/>
        </w:rPr>
        <w:t xml:space="preserve">. Subsequent work scaled function calling to large collections of real-world interfaces </w:t>
      </w:r>
      <w:r>
        <w:rPr>
          <w:rFonts w:ascii="Times New Roman" w:cs="Times New Roman" w:eastAsia="Times New Roman" w:hAnsi="Times New Roman"/>
          <w:color w:val="000000"/>
          <w:sz w:val="24"/>
          <w:szCs w:val="24"/>
        </w:rPr>
        <w:t xml:space="preserve">[49, 50]</w:t>
      </w:r>
      <w:r>
        <w:rPr>
          <w:rFonts w:ascii="Times New Roman" w:cs="Times New Roman" w:eastAsia="Times New Roman" w:hAnsi="Times New Roman"/>
          <w:b w:val="false"/>
          <w:bCs w:val="false"/>
          <w:i w:val="false"/>
          <w:iCs w:val="false"/>
          <w:smallCaps w:val="false"/>
          <w:color w:val="000000"/>
          <w:sz w:val="24"/>
          <w:szCs w:val="24"/>
        </w:rPr>
        <w:t xml:space="preserve"> and orchestrated models to route subtasks to specialized tools and models </w:t>
      </w:r>
      <w:r>
        <w:rPr>
          <w:rFonts w:ascii="Times New Roman" w:cs="Times New Roman" w:eastAsia="Times New Roman" w:hAnsi="Times New Roman"/>
          <w:color w:val="000000"/>
          <w:sz w:val="24"/>
          <w:szCs w:val="24"/>
        </w:rPr>
        <w:t xml:space="preserve">[51]</w:t>
      </w:r>
      <w:r>
        <w:rPr>
          <w:rFonts w:ascii="Times New Roman" w:cs="Times New Roman" w:eastAsia="Times New Roman" w:hAnsi="Times New Roman"/>
          <w:b w:val="false"/>
          <w:bCs w:val="false"/>
          <w:i w:val="false"/>
          <w:iCs w:val="false"/>
          <w:smallCaps w:val="false"/>
          <w:color w:val="000000"/>
          <w:sz w:val="24"/>
          <w:szCs w:val="24"/>
        </w:rPr>
        <w:t xml:space="preserve">. The survey literature frames these developments under the heading of augmented language models, models whose capabilities are extended by reasoning and by the ability to act on the world </w:t>
      </w:r>
      <w:r>
        <w:rPr>
          <w:rFonts w:ascii="Times New Roman" w:cs="Times New Roman" w:eastAsia="Times New Roman" w:hAnsi="Times New Roman"/>
          <w:color w:val="000000"/>
          <w:sz w:val="24"/>
          <w:szCs w:val="24"/>
        </w:rPr>
        <w:t xml:space="preserve">[48]</w:t>
      </w:r>
      <w:r>
        <w:rPr>
          <w:rFonts w:ascii="Times New Roman" w:cs="Times New Roman" w:eastAsia="Times New Roman" w:hAnsi="Times New Roman"/>
          <w:b w:val="false"/>
          <w:bCs w:val="false"/>
          <w:i w:val="false"/>
          <w:iCs w:val="false"/>
          <w:smallCaps w:val="false"/>
          <w:color w:val="000000"/>
          <w:sz w:val="24"/>
          <w:szCs w:val="24"/>
        </w:rPr>
        <w:t xml:space="preserve">. In our architecture, all tool invocation flows through the standardized protocol of Section 7, which gives this capability a uniform and auditable interface.</w:t>
      </w:r>
    </w:p>
    <w:p>
      <w:pPr>
        <w:pStyle w:val="Heading2"/>
        <w:keepNext/>
        <w:spacing w:after="90" w:before="200"/>
      </w:pPr>
      <w:r>
        <w:rPr>
          <w:rFonts w:ascii="Arial" w:cs="Arial" w:eastAsia="Arial" w:hAnsi="Arial"/>
          <w:b/>
          <w:bCs/>
          <w:color w:val="000000"/>
          <w:sz w:val="23"/>
          <w:szCs w:val="23"/>
        </w:rPr>
        <w:t xml:space="preserve">5.4  Retrieval and Grounding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particularly important class of tool is retrieval. Retrieval-augmented generation couples a model with a non-parametric memory—a searchable corpus—from which relevant passages are retrieved and provided to the model as context, grounding its output in an external and updatable knowledge source rather than in its parameters alone </w:t>
      </w:r>
      <w:r>
        <w:rPr>
          <w:rFonts w:ascii="Times New Roman" w:cs="Times New Roman" w:eastAsia="Times New Roman" w:hAnsi="Times New Roman"/>
          <w:color w:val="000000"/>
          <w:sz w:val="24"/>
          <w:szCs w:val="24"/>
        </w:rPr>
        <w:t xml:space="preserve">[52]</w:t>
      </w:r>
      <w:r>
        <w:rPr>
          <w:rFonts w:ascii="Times New Roman" w:cs="Times New Roman" w:eastAsia="Times New Roman" w:hAnsi="Times New Roman"/>
          <w:b w:val="false"/>
          <w:bCs w:val="false"/>
          <w:i w:val="false"/>
          <w:iCs w:val="false"/>
          <w:smallCaps w:val="false"/>
          <w:color w:val="000000"/>
          <w:sz w:val="24"/>
          <w:szCs w:val="24"/>
        </w:rPr>
        <w:t xml:space="preserve">. The approach builds on dense retrieval methods that embed queries and documents into a shared vector space </w:t>
      </w:r>
      <w:r>
        <w:rPr>
          <w:rFonts w:ascii="Times New Roman" w:cs="Times New Roman" w:eastAsia="Times New Roman" w:hAnsi="Times New Roman"/>
          <w:color w:val="000000"/>
          <w:sz w:val="24"/>
          <w:szCs w:val="24"/>
        </w:rPr>
        <w:t xml:space="preserve">[55]</w:t>
      </w:r>
      <w:r>
        <w:rPr>
          <w:rFonts w:ascii="Times New Roman" w:cs="Times New Roman" w:eastAsia="Times New Roman" w:hAnsi="Times New Roman"/>
          <w:b w:val="false"/>
          <w:bCs w:val="false"/>
          <w:i w:val="false"/>
          <w:iCs w:val="false"/>
          <w:smallCaps w:val="false"/>
          <w:color w:val="000000"/>
          <w:sz w:val="24"/>
          <w:szCs w:val="24"/>
        </w:rPr>
        <w:t xml:space="preserve"> and on the idea of integrating retrieval into language-model pre-training </w:t>
      </w:r>
      <w:r>
        <w:rPr>
          <w:rFonts w:ascii="Times New Roman" w:cs="Times New Roman" w:eastAsia="Times New Roman" w:hAnsi="Times New Roman"/>
          <w:color w:val="000000"/>
          <w:sz w:val="24"/>
          <w:szCs w:val="24"/>
        </w:rPr>
        <w:t xml:space="preserve">[54]</w:t>
      </w:r>
      <w:r>
        <w:rPr>
          <w:rFonts w:ascii="Times New Roman" w:cs="Times New Roman" w:eastAsia="Times New Roman" w:hAnsi="Times New Roman"/>
          <w:b w:val="false"/>
          <w:bCs w:val="false"/>
          <w:i w:val="false"/>
          <w:iCs w:val="false"/>
          <w:smallCaps w:val="false"/>
          <w:color w:val="000000"/>
          <w:sz w:val="24"/>
          <w:szCs w:val="24"/>
        </w:rPr>
        <w:t xml:space="preserve">; the production practice of retrieval augmentation is now extensively surveyed </w:t>
      </w:r>
      <w:r>
        <w:rPr>
          <w:rFonts w:ascii="Times New Roman" w:cs="Times New Roman" w:eastAsia="Times New Roman" w:hAnsi="Times New Roman"/>
          <w:color w:val="000000"/>
          <w:sz w:val="24"/>
          <w:szCs w:val="24"/>
        </w:rPr>
        <w:t xml:space="preserve">[53]</w:t>
      </w:r>
      <w:r>
        <w:rPr>
          <w:rFonts w:ascii="Times New Roman" w:cs="Times New Roman" w:eastAsia="Times New Roman" w:hAnsi="Times New Roman"/>
          <w:b w:val="false"/>
          <w:bCs w:val="false"/>
          <w:i w:val="false"/>
          <w:iCs w:val="false"/>
          <w:smallCaps w:val="false"/>
          <w:color w:val="000000"/>
          <w:sz w:val="24"/>
          <w:szCs w:val="24"/>
        </w:rPr>
        <w:t xml:space="preserve">. For a local-first system, retrieval is doubly valuable: it grounds the model’s output in verifiable sources, and it allows a modestly sized local model to draw on a large local knowledge base that need not fit in its weights. Our architecture uses exactly this pattern to serve an offline knowledge corpus, as Section 10 describes.</w:t>
      </w:r>
    </w:p>
    <w:p>
      <w:pPr>
        <w:pStyle w:val="Heading2"/>
        <w:keepNext/>
        <w:spacing w:after="90" w:before="200"/>
      </w:pPr>
      <w:r>
        <w:rPr>
          <w:rFonts w:ascii="Arial" w:cs="Arial" w:eastAsia="Arial" w:hAnsi="Arial"/>
          <w:b/>
          <w:bCs/>
          <w:color w:val="000000"/>
          <w:sz w:val="23"/>
          <w:szCs w:val="23"/>
        </w:rPr>
        <w:t xml:space="preserve">5.5  Memory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Agents that persist across sessions require memory beyond the model’s finite context window. An operating-system analogy—treating the context window as a form of physical memory and paging information in and out of it from a larger virtual store—provides a principled mechanism for endowing agents with long-term memory that outlasts any single interaction </w:t>
      </w:r>
      <w:r>
        <w:rPr>
          <w:rFonts w:ascii="Times New Roman" w:cs="Times New Roman" w:eastAsia="Times New Roman" w:hAnsi="Times New Roman"/>
          <w:color w:val="000000"/>
          <w:sz w:val="24"/>
          <w:szCs w:val="24"/>
        </w:rPr>
        <w:t xml:space="preserve">[56]</w:t>
      </w:r>
      <w:r>
        <w:rPr>
          <w:rFonts w:ascii="Times New Roman" w:cs="Times New Roman" w:eastAsia="Times New Roman" w:hAnsi="Times New Roman"/>
          <w:b w:val="false"/>
          <w:bCs w:val="false"/>
          <w:i w:val="false"/>
          <w:iCs w:val="false"/>
          <w:smallCaps w:val="false"/>
          <w:color w:val="000000"/>
          <w:sz w:val="24"/>
          <w:szCs w:val="24"/>
        </w:rPr>
        <w:t xml:space="preserve">. Our collective uses such a mechanism to give its agents durable memory of prior activity, so that the system accumulates context over time rather than beginning each session anew.</w:t>
      </w:r>
    </w:p>
    <w:p>
      <w:pPr>
        <w:pStyle w:val="Heading2"/>
        <w:keepNext/>
        <w:spacing w:after="90" w:before="200"/>
      </w:pPr>
      <w:r>
        <w:rPr>
          <w:rFonts w:ascii="Arial" w:cs="Arial" w:eastAsia="Arial" w:hAnsi="Arial"/>
          <w:b/>
          <w:bCs/>
          <w:color w:val="000000"/>
          <w:sz w:val="23"/>
          <w:szCs w:val="23"/>
        </w:rPr>
        <w:t xml:space="preserve">5.6  Planning and Task Decomposition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Complex goals must be decomposed into tractable steps, and the manner of decomposition is itself a design decision. The reasoning-elicitation techniques of Section 5.1 support decomposition implicitly, by having the model articulate a plan before executing it </w:t>
      </w:r>
      <w:r>
        <w:rPr>
          <w:rFonts w:ascii="Times New Roman" w:cs="Times New Roman" w:eastAsia="Times New Roman" w:hAnsi="Times New Roman"/>
          <w:color w:val="000000"/>
          <w:sz w:val="24"/>
          <w:szCs w:val="24"/>
        </w:rPr>
        <w:t xml:space="preserve">[41, 45]</w:t>
      </w:r>
      <w:r>
        <w:rPr>
          <w:rFonts w:ascii="Times New Roman" w:cs="Times New Roman" w:eastAsia="Times New Roman" w:hAnsi="Times New Roman"/>
          <w:b w:val="false"/>
          <w:bCs w:val="false"/>
          <w:i w:val="false"/>
          <w:iCs w:val="false"/>
          <w:smallCaps w:val="false"/>
          <w:color w:val="000000"/>
          <w:sz w:val="24"/>
          <w:szCs w:val="24"/>
        </w:rPr>
        <w:t xml:space="preserve">, while the tool-orchestration literature supports it explicitly, by having a model route subtasks to specialized tools or sub-models and integrate their results </w:t>
      </w:r>
      <w:r>
        <w:rPr>
          <w:rFonts w:ascii="Times New Roman" w:cs="Times New Roman" w:eastAsia="Times New Roman" w:hAnsi="Times New Roman"/>
          <w:color w:val="000000"/>
          <w:sz w:val="24"/>
          <w:szCs w:val="24"/>
        </w:rPr>
        <w:t xml:space="preserve">[50, 51]</w:t>
      </w:r>
      <w:r>
        <w:rPr>
          <w:rFonts w:ascii="Times New Roman" w:cs="Times New Roman" w:eastAsia="Times New Roman" w:hAnsi="Times New Roman"/>
          <w:b w:val="false"/>
          <w:bCs w:val="false"/>
          <w:i w:val="false"/>
          <w:iCs w:val="false"/>
          <w:smallCaps w:val="false"/>
          <w:color w:val="000000"/>
          <w:sz w:val="24"/>
          <w:szCs w:val="24"/>
        </w:rPr>
        <w:t xml:space="preserve">. A recurring finding is that decomposition improves reliability not only by simplifying each step but by creating natural checkpoints at which errors can be detected and corrected—a property the architecture exploits by placing its generate–critique–revise loop at step boundaries. For an autonomous system, decomposition also serves safety: a plan articulated in advance is a plan a human can inspect before its consequential steps execute, which is precisely the inspection the safety spine of Section 8 requires.</w:t>
      </w:r>
    </w:p>
    <w:p>
      <w:pPr>
        <w:pStyle w:val="Heading2"/>
        <w:keepNext/>
        <w:spacing w:after="90" w:before="200"/>
      </w:pPr>
      <w:r>
        <w:rPr>
          <w:rFonts w:ascii="Arial" w:cs="Arial" w:eastAsia="Arial" w:hAnsi="Arial"/>
          <w:b/>
          <w:bCs/>
          <w:color w:val="000000"/>
          <w:sz w:val="23"/>
          <w:szCs w:val="23"/>
        </w:rPr>
        <w:t xml:space="preserve">5.7  Failure Modes of Tool-Using Agents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Tool use introduces characteristic failure modes that a responsible architecture must anticipate. Agents can hallucinate tool calls—invoking interfaces that do not exist or supplying malformed arguments </w:t>
      </w:r>
      <w:r>
        <w:rPr>
          <w:rFonts w:ascii="Times New Roman" w:cs="Times New Roman" w:eastAsia="Times New Roman" w:hAnsi="Times New Roman"/>
          <w:color w:val="000000"/>
          <w:sz w:val="24"/>
          <w:szCs w:val="24"/>
        </w:rPr>
        <w:t xml:space="preserve">[47, 49]</w:t>
      </w:r>
      <w:r>
        <w:rPr>
          <w:rFonts w:ascii="Times New Roman" w:cs="Times New Roman" w:eastAsia="Times New Roman" w:hAnsi="Times New Roman"/>
          <w:b w:val="false"/>
          <w:bCs w:val="false"/>
          <w:i w:val="false"/>
          <w:iCs w:val="false"/>
          <w:smallCaps w:val="false"/>
          <w:color w:val="000000"/>
          <w:sz w:val="24"/>
          <w:szCs w:val="24"/>
        </w:rPr>
        <w:t xml:space="preserve">; they can misinterpret tool outputs, reasoning incorrectly over correctly returned data; and, most dangerously for an autonomous system, they can be manipulated by the content the tools return, which is the indirect-injection threat analyzed at length in Section 9 </w:t>
      </w:r>
      <w:r>
        <w:rPr>
          <w:rFonts w:ascii="Times New Roman" w:cs="Times New Roman" w:eastAsia="Times New Roman" w:hAnsi="Times New Roman"/>
          <w:color w:val="000000"/>
          <w:sz w:val="24"/>
          <w:szCs w:val="24"/>
        </w:rPr>
        <w:t xml:space="preserve">[89]</w:t>
      </w:r>
      <w:r>
        <w:rPr>
          <w:rFonts w:ascii="Times New Roman" w:cs="Times New Roman" w:eastAsia="Times New Roman" w:hAnsi="Times New Roman"/>
          <w:b w:val="false"/>
          <w:bCs w:val="false"/>
          <w:i w:val="false"/>
          <w:iCs w:val="false"/>
          <w:smallCaps w:val="false"/>
          <w:color w:val="000000"/>
          <w:sz w:val="24"/>
          <w:szCs w:val="24"/>
        </w:rPr>
        <w:t xml:space="preserve">. The survey literature on the safety of language-model agents catalogs these failure modes and frames them as inherent to the tool-use paradigm rather than incidental defects </w:t>
      </w:r>
      <w:r>
        <w:rPr>
          <w:rFonts w:ascii="Times New Roman" w:cs="Times New Roman" w:eastAsia="Times New Roman" w:hAnsi="Times New Roman"/>
          <w:color w:val="000000"/>
          <w:sz w:val="24"/>
          <w:szCs w:val="24"/>
        </w:rPr>
        <w:t xml:space="preserve">[127]</w:t>
      </w:r>
      <w:r>
        <w:rPr>
          <w:rFonts w:ascii="Times New Roman" w:cs="Times New Roman" w:eastAsia="Times New Roman" w:hAnsi="Times New Roman"/>
          <w:b w:val="false"/>
          <w:bCs w:val="false"/>
          <w:i w:val="false"/>
          <w:iCs w:val="false"/>
          <w:smallCaps w:val="false"/>
          <w:color w:val="000000"/>
          <w:sz w:val="24"/>
          <w:szCs w:val="24"/>
        </w:rPr>
        <w:t xml:space="preserve">. The architecture’s response is layered: standardized tool interfaces reduce malformed calls, retrieval grounding reduces hallucination over facts, and the human gate ensures that a manipulated agent cannot effect consequential harm without human authorization. No single mechanism suffices; the defense is in their composition.</w:t>
      </w:r>
    </w:p>
    <w:p>
      <w:pPr>
        <w:pStyle w:val="Heading2"/>
        <w:keepNext/>
        <w:spacing w:after="90" w:before="200"/>
      </w:pPr>
      <w:r>
        <w:rPr>
          <w:rFonts w:ascii="Arial" w:cs="Arial" w:eastAsia="Arial" w:hAnsi="Arial"/>
          <w:b/>
          <w:bCs/>
          <w:color w:val="000000"/>
          <w:sz w:val="23"/>
          <w:szCs w:val="23"/>
        </w:rPr>
        <w:t xml:space="preserve">5.8  Evaluating Agents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evaluation of agentic systems is less mature than the evaluation of static models, because agent behavior is interactive, stochastic, and dependent on the environment. Benchmarks for tool use and multi-step reasoning exist </w:t>
      </w:r>
      <w:r>
        <w:rPr>
          <w:rFonts w:ascii="Times New Roman" w:cs="Times New Roman" w:eastAsia="Times New Roman" w:hAnsi="Times New Roman"/>
          <w:color w:val="000000"/>
          <w:sz w:val="24"/>
          <w:szCs w:val="24"/>
        </w:rPr>
        <w:t xml:space="preserve">[49, 50]</w:t>
      </w:r>
      <w:r>
        <w:rPr>
          <w:rFonts w:ascii="Times New Roman" w:cs="Times New Roman" w:eastAsia="Times New Roman" w:hAnsi="Times New Roman"/>
          <w:b w:val="false"/>
          <w:bCs w:val="false"/>
          <w:i w:val="false"/>
          <w:iCs w:val="false"/>
          <w:smallCaps w:val="false"/>
          <w:color w:val="000000"/>
          <w:sz w:val="24"/>
          <w:szCs w:val="24"/>
        </w:rPr>
        <w:t xml:space="preserve">, and the reflection and self-consistency literatures implicitly define evaluation through task success under iterative refinement </w:t>
      </w:r>
      <w:r>
        <w:rPr>
          <w:rFonts w:ascii="Times New Roman" w:cs="Times New Roman" w:eastAsia="Times New Roman" w:hAnsi="Times New Roman"/>
          <w:color w:val="000000"/>
          <w:sz w:val="24"/>
          <w:szCs w:val="24"/>
        </w:rPr>
        <w:t xml:space="preserve">[42, 44]</w:t>
      </w:r>
      <w:r>
        <w:rPr>
          <w:rFonts w:ascii="Times New Roman" w:cs="Times New Roman" w:eastAsia="Times New Roman" w:hAnsi="Times New Roman"/>
          <w:b w:val="false"/>
          <w:bCs w:val="false"/>
          <w:i w:val="false"/>
          <w:iCs w:val="false"/>
          <w:smallCaps w:val="false"/>
          <w:color w:val="000000"/>
          <w:sz w:val="24"/>
          <w:szCs w:val="24"/>
        </w:rPr>
        <w:t xml:space="preserve">, but the field acknowledges that measuring the reliability of an autonomous agent across the open-ended situations it may encounter remains difficult. For a local-first system, this immaturity is a further argument for the human gate: where evaluation cannot guarantee that an agent will behave correctly in every situation, human authorization of consequential actions provides a backstop that does not depend on having anticipated every case. We return to the evaluation gap in the limitations of Section 12.</w:t>
      </w:r>
    </w:p>
    <w:p>
      <w:pPr>
        <w:pStyle w:val="Heading2"/>
        <w:keepNext/>
        <w:spacing w:after="90" w:before="200"/>
      </w:pPr>
      <w:r>
        <w:rPr>
          <w:rFonts w:ascii="Arial" w:cs="Arial" w:eastAsia="Arial" w:hAnsi="Arial"/>
          <w:b/>
          <w:bCs/>
          <w:color w:val="000000"/>
          <w:sz w:val="23"/>
          <w:szCs w:val="23"/>
        </w:rPr>
        <w:t xml:space="preserve">5.9  Model-Level Safety Mechanisms and Their Limits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Contemporary instruction-tuned models arrive with safety behaviors instilled during training. Fine-tuning on human preferences shapes models to follow instructions helpfully while declining harmful requests </w:t>
      </w:r>
      <w:r>
        <w:rPr>
          <w:rFonts w:ascii="Times New Roman" w:cs="Times New Roman" w:eastAsia="Times New Roman" w:hAnsi="Times New Roman"/>
          <w:color w:val="000000"/>
          <w:sz w:val="24"/>
          <w:szCs w:val="24"/>
        </w:rPr>
        <w:t xml:space="preserve">[77, 124]</w:t>
      </w:r>
      <w:r>
        <w:rPr>
          <w:rFonts w:ascii="Times New Roman" w:cs="Times New Roman" w:eastAsia="Times New Roman" w:hAnsi="Times New Roman"/>
          <w:b w:val="false"/>
          <w:bCs w:val="false"/>
          <w:i w:val="false"/>
          <w:iCs w:val="false"/>
          <w:smallCaps w:val="false"/>
          <w:color w:val="000000"/>
          <w:sz w:val="24"/>
          <w:szCs w:val="24"/>
        </w:rPr>
        <w:t xml:space="preserve">, and methods that train models against an explicit set of principles rather than case-by-case human labels offer a more scalable route to the same end </w:t>
      </w:r>
      <w:r>
        <w:rPr>
          <w:rFonts w:ascii="Times New Roman" w:cs="Times New Roman" w:eastAsia="Times New Roman" w:hAnsi="Times New Roman"/>
          <w:color w:val="000000"/>
          <w:sz w:val="24"/>
          <w:szCs w:val="24"/>
        </w:rPr>
        <w:t xml:space="preserve">[125]</w:t>
      </w:r>
      <w:r>
        <w:rPr>
          <w:rFonts w:ascii="Times New Roman" w:cs="Times New Roman" w:eastAsia="Times New Roman" w:hAnsi="Times New Roman"/>
          <w:b w:val="false"/>
          <w:bCs w:val="false"/>
          <w:i w:val="false"/>
          <w:iCs w:val="false"/>
          <w:smallCaps w:val="false"/>
          <w:color w:val="000000"/>
          <w:sz w:val="24"/>
          <w:szCs w:val="24"/>
        </w:rPr>
        <w:t xml:space="preserve">. These mechanisms are genuinely valuable and the architecture benefits from them: an agent built on a model with sound instincts is safer than one built on a model without. The open-weight models the hub serves carry such training, and it forms the innermost layer of the defense-in-depth posture Section 9 describes.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limits of model-level safety are equally important to state, because an architecture that relied on them alone would be unsound. Safety training is known to be defeasible: adversarial suffixes transfer across models to elicit prohibited behavior </w:t>
      </w:r>
      <w:r>
        <w:rPr>
          <w:rFonts w:ascii="Times New Roman" w:cs="Times New Roman" w:eastAsia="Times New Roman" w:hAnsi="Times New Roman"/>
          <w:color w:val="000000"/>
          <w:sz w:val="24"/>
          <w:szCs w:val="24"/>
        </w:rPr>
        <w:t xml:space="preserve">[90]</w:t>
      </w:r>
      <w:r>
        <w:rPr>
          <w:rFonts w:ascii="Times New Roman" w:cs="Times New Roman" w:eastAsia="Times New Roman" w:hAnsi="Times New Roman"/>
          <w:b w:val="false"/>
          <w:bCs w:val="false"/>
          <w:i w:val="false"/>
          <w:iCs w:val="false"/>
          <w:smallCaps w:val="false"/>
          <w:color w:val="000000"/>
          <w:sz w:val="24"/>
          <w:szCs w:val="24"/>
        </w:rPr>
        <w:t xml:space="preserve">, and analyses of why safety training fails identify systematic weaknesses rather than isolated bugs </w:t>
      </w:r>
      <w:r>
        <w:rPr>
          <w:rFonts w:ascii="Times New Roman" w:cs="Times New Roman" w:eastAsia="Times New Roman" w:hAnsi="Times New Roman"/>
          <w:color w:val="000000"/>
          <w:sz w:val="24"/>
          <w:szCs w:val="24"/>
        </w:rPr>
        <w:t xml:space="preserve">[91]</w:t>
      </w:r>
      <w:r>
        <w:rPr>
          <w:rFonts w:ascii="Times New Roman" w:cs="Times New Roman" w:eastAsia="Times New Roman" w:hAnsi="Times New Roman"/>
          <w:b w:val="false"/>
          <w:bCs w:val="false"/>
          <w:i w:val="false"/>
          <w:iCs w:val="false"/>
          <w:smallCaps w:val="false"/>
          <w:color w:val="000000"/>
          <w:sz w:val="24"/>
          <w:szCs w:val="24"/>
        </w:rPr>
        <w:t xml:space="preserve">. More fundamentally, safety training addresses what a model will </w:t>
      </w:r>
      <w:r>
        <w:rPr>
          <w:rFonts w:ascii="Times New Roman" w:cs="Times New Roman" w:eastAsia="Times New Roman" w:hAnsi="Times New Roman"/>
          <w:b w:val="false"/>
          <w:bCs w:val="false"/>
          <w:i/>
          <w:iCs/>
          <w:smallCaps w:val="false"/>
          <w:color w:val="000000"/>
          <w:sz w:val="24"/>
          <w:szCs w:val="24"/>
        </w:rPr>
        <w:t xml:space="preserve">say</w:t>
      </w:r>
      <w:r>
        <w:rPr>
          <w:rFonts w:ascii="Times New Roman" w:cs="Times New Roman" w:eastAsia="Times New Roman" w:hAnsi="Times New Roman"/>
          <w:b w:val="false"/>
          <w:bCs w:val="false"/>
          <w:i w:val="false"/>
          <w:iCs w:val="false"/>
          <w:smallCaps w:val="false"/>
          <w:color w:val="000000"/>
          <w:sz w:val="24"/>
          <w:szCs w:val="24"/>
        </w:rPr>
        <w:t xml:space="preserve">; it was not designed to address what an agent built on that model will </w:t>
      </w:r>
      <w:r>
        <w:rPr>
          <w:rFonts w:ascii="Times New Roman" w:cs="Times New Roman" w:eastAsia="Times New Roman" w:hAnsi="Times New Roman"/>
          <w:b w:val="false"/>
          <w:bCs w:val="false"/>
          <w:i/>
          <w:iCs/>
          <w:smallCaps w:val="false"/>
          <w:color w:val="000000"/>
          <w:sz w:val="24"/>
          <w:szCs w:val="24"/>
        </w:rPr>
        <w:t xml:space="preserve">do</w:t>
      </w:r>
      <w:r>
        <w:rPr>
          <w:rFonts w:ascii="Times New Roman" w:cs="Times New Roman" w:eastAsia="Times New Roman" w:hAnsi="Times New Roman"/>
          <w:b w:val="false"/>
          <w:bCs w:val="false"/>
          <w:i w:val="false"/>
          <w:iCs w:val="false"/>
          <w:smallCaps w:val="false"/>
          <w:color w:val="000000"/>
          <w:sz w:val="24"/>
          <w:szCs w:val="24"/>
        </w:rPr>
        <w:t xml:space="preserve"> when equipped with tools and confronted with adversarial content, which is the threat model of an autonomous system </w:t>
      </w:r>
      <w:r>
        <w:rPr>
          <w:rFonts w:ascii="Times New Roman" w:cs="Times New Roman" w:eastAsia="Times New Roman" w:hAnsi="Times New Roman"/>
          <w:color w:val="000000"/>
          <w:sz w:val="24"/>
          <w:szCs w:val="24"/>
        </w:rPr>
        <w:t xml:space="preserve">[89, 127]</w:t>
      </w:r>
      <w:r>
        <w:rPr>
          <w:rFonts w:ascii="Times New Roman" w:cs="Times New Roman" w:eastAsia="Times New Roman" w:hAnsi="Times New Roman"/>
          <w:b w:val="false"/>
          <w:bCs w:val="false"/>
          <w:i w:val="false"/>
          <w:iCs w:val="false"/>
          <w:smallCaps w:val="false"/>
          <w:color w:val="000000"/>
          <w:sz w:val="24"/>
          <w:szCs w:val="24"/>
        </w:rPr>
        <w:t xml:space="preserve">. A model can decline to write malicious text while still being manipulated into invoking a tool with harmful arguments, because the mechanisms that govern its outputs are not the mechanisms that govern its actions. This gap between output safety and action safety is precisely the gap the safety spine of Section 8 fills, and recognizing it is why the architecture treats model-level safety as one layer among several rather than as the defense.</w:t>
      </w:r>
    </w:p>
    <w:p>
      <w:pPr>
        <w:pStyle w:val="Heading1"/>
        <w:keepNext/>
        <w:spacing w:after="120" w:before="300"/>
      </w:pPr>
      <w:r>
        <w:rPr>
          <w:rFonts w:ascii="Arial" w:cs="Arial" w:eastAsia="Arial" w:hAnsi="Arial"/>
          <w:b/>
          <w:bCs/>
          <w:color w:val="000000"/>
          <w:sz w:val="26"/>
          <w:szCs w:val="26"/>
        </w:rPr>
        <w:t xml:space="preserve">6  Multi-Agent Orchestration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single agent, however capable, is a generalist. The architecture instead organizes agents into specialist divisions that collaborate—an arrangement whose theoretical and empirical basis is the multi-agent literature this section surveys.</w:t>
      </w:r>
    </w:p>
    <w:p>
      <w:pPr>
        <w:pStyle w:val="Heading2"/>
        <w:keepNext/>
        <w:spacing w:after="90" w:before="200"/>
      </w:pPr>
      <w:r>
        <w:rPr>
          <w:rFonts w:ascii="Arial" w:cs="Arial" w:eastAsia="Arial" w:hAnsi="Arial"/>
          <w:b/>
          <w:bCs/>
          <w:color w:val="000000"/>
          <w:sz w:val="23"/>
          <w:szCs w:val="23"/>
        </w:rPr>
        <w:t xml:space="preserve">6.1  Why Multiple Agents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Two distinct rationales motivate multi-agent systems. The first is </w:t>
      </w:r>
      <w:r>
        <w:rPr>
          <w:rFonts w:ascii="Times New Roman" w:cs="Times New Roman" w:eastAsia="Times New Roman" w:hAnsi="Times New Roman"/>
          <w:b w:val="false"/>
          <w:bCs w:val="false"/>
          <w:i/>
          <w:iCs/>
          <w:smallCaps w:val="false"/>
          <w:color w:val="000000"/>
          <w:sz w:val="24"/>
          <w:szCs w:val="24"/>
        </w:rPr>
        <w:t xml:space="preserve">accuracy through debate</w:t>
      </w:r>
      <w:r>
        <w:rPr>
          <w:rFonts w:ascii="Times New Roman" w:cs="Times New Roman" w:eastAsia="Times New Roman" w:hAnsi="Times New Roman"/>
          <w:b w:val="false"/>
          <w:bCs w:val="false"/>
          <w:i w:val="false"/>
          <w:iCs w:val="false"/>
          <w:smallCaps w:val="false"/>
          <w:color w:val="000000"/>
          <w:sz w:val="24"/>
          <w:szCs w:val="24"/>
        </w:rPr>
        <w:t xml:space="preserve">: having multiple model instances propose answers, critique one another, and converge improves factuality and reasoning relative to a single instance, because the disagreement surfaces errors that a lone model would confidently retain </w:t>
      </w:r>
      <w:r>
        <w:rPr>
          <w:rFonts w:ascii="Times New Roman" w:cs="Times New Roman" w:eastAsia="Times New Roman" w:hAnsi="Times New Roman"/>
          <w:color w:val="000000"/>
          <w:sz w:val="24"/>
          <w:szCs w:val="24"/>
        </w:rPr>
        <w:t xml:space="preserve">[59]</w:t>
      </w:r>
      <w:r>
        <w:rPr>
          <w:rFonts w:ascii="Times New Roman" w:cs="Times New Roman" w:eastAsia="Times New Roman" w:hAnsi="Times New Roman"/>
          <w:b w:val="false"/>
          <w:bCs w:val="false"/>
          <w:i w:val="false"/>
          <w:iCs w:val="false"/>
          <w:smallCaps w:val="false"/>
          <w:color w:val="000000"/>
          <w:sz w:val="24"/>
          <w:szCs w:val="24"/>
        </w:rPr>
        <w:t xml:space="preserve">. The second is </w:t>
      </w:r>
      <w:r>
        <w:rPr>
          <w:rFonts w:ascii="Times New Roman" w:cs="Times New Roman" w:eastAsia="Times New Roman" w:hAnsi="Times New Roman"/>
          <w:b w:val="false"/>
          <w:bCs w:val="false"/>
          <w:i/>
          <w:iCs/>
          <w:smallCaps w:val="false"/>
          <w:color w:val="000000"/>
          <w:sz w:val="24"/>
          <w:szCs w:val="24"/>
        </w:rPr>
        <w:t xml:space="preserve">division of labor</w:t>
      </w:r>
      <w:r>
        <w:rPr>
          <w:rFonts w:ascii="Times New Roman" w:cs="Times New Roman" w:eastAsia="Times New Roman" w:hAnsi="Times New Roman"/>
          <w:b w:val="false"/>
          <w:bCs w:val="false"/>
          <w:i w:val="false"/>
          <w:iCs w:val="false"/>
          <w:smallCaps w:val="false"/>
          <w:color w:val="000000"/>
          <w:sz w:val="24"/>
          <w:szCs w:val="24"/>
        </w:rPr>
        <w:t xml:space="preserve">: decomposing a complex task across agents with specialized roles—each with its own instructions, tools, and context—mirrors the way human organizations achieve what no individual could, and allows each agent to be simpler and more focused than a monolithic generalist </w:t>
      </w:r>
      <w:r>
        <w:rPr>
          <w:rFonts w:ascii="Times New Roman" w:cs="Times New Roman" w:eastAsia="Times New Roman" w:hAnsi="Times New Roman"/>
          <w:color w:val="000000"/>
          <w:sz w:val="24"/>
          <w:szCs w:val="24"/>
        </w:rPr>
        <w:t xml:space="preserve">[60, 62]</w:t>
      </w:r>
      <w:r>
        <w:rPr>
          <w:rFonts w:ascii="Times New Roman" w:cs="Times New Roman" w:eastAsia="Times New Roman" w:hAnsi="Times New Roman"/>
          <w:b w:val="false"/>
          <w:bCs w:val="false"/>
          <w:i w:val="false"/>
          <w:iCs w:val="false"/>
          <w:smallCaps w:val="false"/>
          <w:color w:val="000000"/>
          <w:sz w:val="24"/>
          <w:szCs w:val="24"/>
        </w:rPr>
        <w:t xml:space="preserve">. Our architecture’s division into specialist units rests primarily on the second rationale, with the generate–critique–revise loop within each unit drawing on the first.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division-of-labor rationale deserves elaboration, because it is the primary basis of the architecture’s organization and because its benefits are easily misunderstood. A specialist agent is not more capable in absolute terms than a generalist built on the same model; it is the same model given a narrower charge. The benefit of specialization is not raw capability but reliability and legibility: an agent with a focused role, a curated set of instructions, and a scoped set of tools operates in a smaller space of possibilities, where its behavior is easier to make correct and easier to understand </w:t>
      </w:r>
      <w:r>
        <w:rPr>
          <w:rFonts w:ascii="Times New Roman" w:cs="Times New Roman" w:eastAsia="Times New Roman" w:hAnsi="Times New Roman"/>
          <w:color w:val="000000"/>
          <w:sz w:val="24"/>
          <w:szCs w:val="24"/>
        </w:rPr>
        <w:t xml:space="preserve">[60, 62]</w:t>
      </w:r>
      <w:r>
        <w:rPr>
          <w:rFonts w:ascii="Times New Roman" w:cs="Times New Roman" w:eastAsia="Times New Roman" w:hAnsi="Times New Roman"/>
          <w:b w:val="false"/>
          <w:bCs w:val="false"/>
          <w:i w:val="false"/>
          <w:iCs w:val="false"/>
          <w:smallCaps w:val="false"/>
          <w:color w:val="000000"/>
          <w:sz w:val="24"/>
          <w:szCs w:val="24"/>
        </w:rPr>
        <w:t xml:space="preserve">. This mirrors why human organizations divide labor even among equally capable people: specialization reduces the cognitive load on each role, localizes responsibility, and makes the overall system’s behavior more predictable. For an autonomous system that must be trustworthy, predictability and legibility are worth more than the marginal flexibility a generalist might offer, and the multi-agent literature’s frameworks for role assignment and standardized procedure </w:t>
      </w:r>
      <w:r>
        <w:rPr>
          <w:rFonts w:ascii="Times New Roman" w:cs="Times New Roman" w:eastAsia="Times New Roman" w:hAnsi="Times New Roman"/>
          <w:color w:val="000000"/>
          <w:sz w:val="24"/>
          <w:szCs w:val="24"/>
        </w:rPr>
        <w:t xml:space="preserve">[62, 63]</w:t>
      </w:r>
      <w:r>
        <w:rPr>
          <w:rFonts w:ascii="Times New Roman" w:cs="Times New Roman" w:eastAsia="Times New Roman" w:hAnsi="Times New Roman"/>
          <w:b w:val="false"/>
          <w:bCs w:val="false"/>
          <w:i w:val="false"/>
          <w:iCs w:val="false"/>
          <w:smallCaps w:val="false"/>
          <w:color w:val="000000"/>
          <w:sz w:val="24"/>
          <w:szCs w:val="24"/>
        </w:rPr>
        <w:t xml:space="preserve"> provide the means to realize them. The architecture’s divisions are specialist roles in exactly this sense, and the generate–critique–revise loop within each division adds the accuracy benefit of structured self-disagreement </w:t>
      </w:r>
      <w:r>
        <w:rPr>
          <w:rFonts w:ascii="Times New Roman" w:cs="Times New Roman" w:eastAsia="Times New Roman" w:hAnsi="Times New Roman"/>
          <w:color w:val="000000"/>
          <w:sz w:val="24"/>
          <w:szCs w:val="24"/>
        </w:rPr>
        <w:t xml:space="preserve">[59]</w:t>
      </w:r>
      <w:r>
        <w:rPr>
          <w:rFonts w:ascii="Times New Roman" w:cs="Times New Roman" w:eastAsia="Times New Roman" w:hAnsi="Times New Roman"/>
          <w:b w:val="false"/>
          <w:bCs w:val="false"/>
          <w:i w:val="false"/>
          <w:iCs w:val="false"/>
          <w:smallCaps w:val="false"/>
          <w:color w:val="000000"/>
          <w:sz w:val="24"/>
          <w:szCs w:val="24"/>
        </w:rPr>
        <w:t xml:space="preserve"> on top of the reliability benefit of specialization.</w:t>
      </w:r>
    </w:p>
    <w:p>
      <w:pPr>
        <w:pStyle w:val="Heading2"/>
        <w:keepNext/>
        <w:spacing w:after="90" w:before="200"/>
      </w:pPr>
      <w:r>
        <w:rPr>
          <w:rFonts w:ascii="Arial" w:cs="Arial" w:eastAsia="Arial" w:hAnsi="Arial"/>
          <w:b/>
          <w:bCs/>
          <w:color w:val="000000"/>
          <w:sz w:val="23"/>
          <w:szCs w:val="23"/>
        </w:rPr>
        <w:t xml:space="preserve">6.2  Frameworks and Patterns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multi-agent literature has produced a range of frameworks that our design draws upon. Communicative-agent frameworks establish protocols by which role-playing agents cooperate through structured dialogue </w:t>
      </w:r>
      <w:r>
        <w:rPr>
          <w:rFonts w:ascii="Times New Roman" w:cs="Times New Roman" w:eastAsia="Times New Roman" w:hAnsi="Times New Roman"/>
          <w:color w:val="000000"/>
          <w:sz w:val="24"/>
          <w:szCs w:val="24"/>
        </w:rPr>
        <w:t xml:space="preserve">[60]</w:t>
      </w:r>
      <w:r>
        <w:rPr>
          <w:rFonts w:ascii="Times New Roman" w:cs="Times New Roman" w:eastAsia="Times New Roman" w:hAnsi="Times New Roman"/>
          <w:b w:val="false"/>
          <w:bCs w:val="false"/>
          <w:i w:val="false"/>
          <w:iCs w:val="false"/>
          <w:smallCaps w:val="false"/>
          <w:color w:val="000000"/>
          <w:sz w:val="24"/>
          <w:szCs w:val="24"/>
        </w:rPr>
        <w:t xml:space="preserve">; general multi-agent conversation infrastructures allow agents—and humans—to interoperate in configurable topologies </w:t>
      </w:r>
      <w:r>
        <w:rPr>
          <w:rFonts w:ascii="Times New Roman" w:cs="Times New Roman" w:eastAsia="Times New Roman" w:hAnsi="Times New Roman"/>
          <w:color w:val="000000"/>
          <w:sz w:val="24"/>
          <w:szCs w:val="24"/>
        </w:rPr>
        <w:t xml:space="preserve">[61]</w:t>
      </w:r>
      <w:r>
        <w:rPr>
          <w:rFonts w:ascii="Times New Roman" w:cs="Times New Roman" w:eastAsia="Times New Roman" w:hAnsi="Times New Roman"/>
          <w:b w:val="false"/>
          <w:bCs w:val="false"/>
          <w:i w:val="false"/>
          <w:iCs w:val="false"/>
          <w:smallCaps w:val="false"/>
          <w:color w:val="000000"/>
          <w:sz w:val="24"/>
          <w:szCs w:val="24"/>
        </w:rPr>
        <w:t xml:space="preserve">; and frameworks that encode standardized operating procedures assign agents specialized roles and sequence their contributions according to a defined workflow, an approach demonstrated on complex software-construction tasks </w:t>
      </w:r>
      <w:r>
        <w:rPr>
          <w:rFonts w:ascii="Times New Roman" w:cs="Times New Roman" w:eastAsia="Times New Roman" w:hAnsi="Times New Roman"/>
          <w:color w:val="000000"/>
          <w:sz w:val="24"/>
          <w:szCs w:val="24"/>
        </w:rPr>
        <w:t xml:space="preserve">[62, 63]</w:t>
      </w:r>
      <w:r>
        <w:rPr>
          <w:rFonts w:ascii="Times New Roman" w:cs="Times New Roman" w:eastAsia="Times New Roman" w:hAnsi="Times New Roman"/>
          <w:b w:val="false"/>
          <w:bCs w:val="false"/>
          <w:i w:val="false"/>
          <w:iCs w:val="false"/>
          <w:smallCaps w:val="false"/>
          <w:color w:val="000000"/>
          <w:sz w:val="24"/>
          <w:szCs w:val="24"/>
        </w:rPr>
        <w:t xml:space="preserve">. The simulation of societies of agents with memory, reflection, and planning further demonstrates that believable and useful collective behavior emerges from relatively simple per-agent mechanisms </w:t>
      </w:r>
      <w:r>
        <w:rPr>
          <w:rFonts w:ascii="Times New Roman" w:cs="Times New Roman" w:eastAsia="Times New Roman" w:hAnsi="Times New Roman"/>
          <w:color w:val="000000"/>
          <w:sz w:val="24"/>
          <w:szCs w:val="24"/>
        </w:rPr>
        <w:t xml:space="preserve">[64]</w:t>
      </w:r>
      <w:r>
        <w:rPr>
          <w:rFonts w:ascii="Times New Roman" w:cs="Times New Roman" w:eastAsia="Times New Roman" w:hAnsi="Times New Roman"/>
          <w:b w:val="false"/>
          <w:bCs w:val="false"/>
          <w:i w:val="false"/>
          <w:iCs w:val="false"/>
          <w:smallCaps w:val="false"/>
          <w:color w:val="000000"/>
          <w:sz w:val="24"/>
          <w:szCs w:val="24"/>
        </w:rPr>
        <w:t xml:space="preserve">. The progress and open challenges of this subfield are the subject of dedicated surveys </w:t>
      </w:r>
      <w:r>
        <w:rPr>
          <w:rFonts w:ascii="Times New Roman" w:cs="Times New Roman" w:eastAsia="Times New Roman" w:hAnsi="Times New Roman"/>
          <w:color w:val="000000"/>
          <w:sz w:val="24"/>
          <w:szCs w:val="24"/>
        </w:rPr>
        <w:t xml:space="preserve">[65, 66]</w:t>
      </w:r>
      <w:r>
        <w:rPr>
          <w:rFonts w:ascii="Times New Roman" w:cs="Times New Roman" w:eastAsia="Times New Roman" w:hAnsi="Times New Roman"/>
          <w:b w:val="false"/>
          <w:bCs w:val="false"/>
          <w:i w:val="false"/>
          <w:iCs w:val="false"/>
          <w:smallCaps w:val="false"/>
          <w:color w:val="000000"/>
          <w:sz w:val="24"/>
          <w:szCs w:val="24"/>
        </w:rPr>
        <w:t xml:space="preserve">.</w:t>
      </w:r>
    </w:p>
    <w:p>
      <w:pPr>
        <w:pStyle w:val="Heading2"/>
        <w:keepNext/>
        <w:spacing w:after="90" w:before="200"/>
      </w:pPr>
      <w:r>
        <w:rPr>
          <w:rFonts w:ascii="Arial" w:cs="Arial" w:eastAsia="Arial" w:hAnsi="Arial"/>
          <w:b/>
          <w:bCs/>
          <w:color w:val="000000"/>
          <w:sz w:val="23"/>
          <w:szCs w:val="23"/>
        </w:rPr>
        <w:t xml:space="preserve">6.3  Orchestration: State Machines Versus Free-Form Conversation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design axis of particular importance to our architecture concerns how collaboration is coordinated. One approach lets agents converse freely, with coordination emerging from the dialogue itself </w:t>
      </w:r>
      <w:r>
        <w:rPr>
          <w:rFonts w:ascii="Times New Roman" w:cs="Times New Roman" w:eastAsia="Times New Roman" w:hAnsi="Times New Roman"/>
          <w:color w:val="000000"/>
          <w:sz w:val="24"/>
          <w:szCs w:val="24"/>
        </w:rPr>
        <w:t xml:space="preserve">[61]</w:t>
      </w:r>
      <w:r>
        <w:rPr>
          <w:rFonts w:ascii="Times New Roman" w:cs="Times New Roman" w:eastAsia="Times New Roman" w:hAnsi="Times New Roman"/>
          <w:b w:val="false"/>
          <w:bCs w:val="false"/>
          <w:i w:val="false"/>
          <w:iCs w:val="false"/>
          <w:smallCaps w:val="false"/>
          <w:color w:val="000000"/>
          <w:sz w:val="24"/>
          <w:szCs w:val="24"/>
        </w:rPr>
        <w:t xml:space="preserve">; this is flexible but can be difficult to make reliable or auditable, because the control flow is implicit in the conversation. The alternative models the collaboration as an explicit state machine, in which agents are nodes, transitions are defined edges, and the flow of control—including where deliberation halts and where action requires approval—is made explicit and inspectable. Our architecture adopts the state-machine approach, implemented atop an orchestration framework designed for stateful, multi-actor applications </w:t>
      </w:r>
      <w:r>
        <w:rPr>
          <w:rFonts w:ascii="Times New Roman" w:cs="Times New Roman" w:eastAsia="Times New Roman" w:hAnsi="Times New Roman"/>
          <w:color w:val="000000"/>
          <w:sz w:val="24"/>
          <w:szCs w:val="24"/>
        </w:rPr>
        <w:t xml:space="preserve">[67]</w:t>
      </w:r>
      <w:r>
        <w:rPr>
          <w:rFonts w:ascii="Times New Roman" w:cs="Times New Roman" w:eastAsia="Times New Roman" w:hAnsi="Times New Roman"/>
          <w:b w:val="false"/>
          <w:bCs w:val="false"/>
          <w:i w:val="false"/>
          <w:iCs w:val="false"/>
          <w:smallCaps w:val="false"/>
          <w:color w:val="000000"/>
          <w:sz w:val="24"/>
          <w:szCs w:val="24"/>
        </w:rPr>
        <w:t xml:space="preserve">. The advantage for a system that must gate consequential actions is decisive: an explicit control structure provides well-defined points at which the human approval gate of Section 8 can be interposed, whereas a free-form conversation offers no such natural boundaries. Reliability and auditability, not expressive flexibility, are the governing values for an autonomous system that acts on the world, and the state-machine discipline serves them.</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emphasize that this is a design choice with trade-offs rather than a strict dominance claim. Free-form conversational orchestration can express patterns of collaboration that a fixed state machine cannot easily capture, and for exploratory or open-ended tasks that flexibility may be worth its cost in predictability. For an architecture whose defining commitment is human-governed safety, however, the explicitness of the state machine is the more appropriate foundation, and the surveyed frameworks make either choice implementable.</w:t>
      </w:r>
    </w:p>
    <w:p>
      <w:pPr>
        <w:pStyle w:val="Heading2"/>
        <w:keepNext/>
        <w:spacing w:after="90" w:before="200"/>
      </w:pPr>
      <w:r>
        <w:rPr>
          <w:rFonts w:ascii="Arial" w:cs="Arial" w:eastAsia="Arial" w:hAnsi="Arial"/>
          <w:b/>
          <w:bCs/>
          <w:color w:val="000000"/>
          <w:sz w:val="23"/>
          <w:szCs w:val="23"/>
        </w:rPr>
        <w:t xml:space="preserve">6.4  Communication Topologies and Role Structure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manner in which agents are connected—the communication topology—shapes the behavior of the collective. Fully connected topologies, in which every agent may communicate with every other, maximize information sharing but incur quadratic communication cost and can amplify errors as mistaken beliefs propagate </w:t>
      </w:r>
      <w:r>
        <w:rPr>
          <w:rFonts w:ascii="Times New Roman" w:cs="Times New Roman" w:eastAsia="Times New Roman" w:hAnsi="Times New Roman"/>
          <w:color w:val="000000"/>
          <w:sz w:val="24"/>
          <w:szCs w:val="24"/>
        </w:rPr>
        <w:t xml:space="preserve">[59, 65]</w:t>
      </w:r>
      <w:r>
        <w:rPr>
          <w:rFonts w:ascii="Times New Roman" w:cs="Times New Roman" w:eastAsia="Times New Roman" w:hAnsi="Times New Roman"/>
          <w:b w:val="false"/>
          <w:bCs w:val="false"/>
          <w:i w:val="false"/>
          <w:iCs w:val="false"/>
          <w:smallCaps w:val="false"/>
          <w:color w:val="000000"/>
          <w:sz w:val="24"/>
          <w:szCs w:val="24"/>
        </w:rPr>
        <w:t xml:space="preserve">. Hierarchical topologies, in which agents are organized into layers with defined reporting relationships, mirror human organizational structure and are the basis of the standardized-operating-procedure frameworks that assign agents specialized roles and sequence their contributions </w:t>
      </w:r>
      <w:r>
        <w:rPr>
          <w:rFonts w:ascii="Times New Roman" w:cs="Times New Roman" w:eastAsia="Times New Roman" w:hAnsi="Times New Roman"/>
          <w:color w:val="000000"/>
          <w:sz w:val="24"/>
          <w:szCs w:val="24"/>
        </w:rPr>
        <w:t xml:space="preserve">[62, 63]</w:t>
      </w:r>
      <w:r>
        <w:rPr>
          <w:rFonts w:ascii="Times New Roman" w:cs="Times New Roman" w:eastAsia="Times New Roman" w:hAnsi="Times New Roman"/>
          <w:b w:val="false"/>
          <w:bCs w:val="false"/>
          <w:i w:val="false"/>
          <w:iCs w:val="false"/>
          <w:smallCaps w:val="false"/>
          <w:color w:val="000000"/>
          <w:sz w:val="24"/>
          <w:szCs w:val="24"/>
        </w:rPr>
        <w:t xml:space="preserve">. The architecture adopts a hierarchical, division-based structure for the same reason human organizations do: it localizes responsibility, limits the propagation of errors, and makes the flow of work legible. Each division is responsible for a domain, and within a division a small number of agents perform the generate–critique–revise loop, so that the topology is shallow and its behavior tractable. The surveys of collaboration mechanisms document the range of topologies and their trade-offs </w:t>
      </w:r>
      <w:r>
        <w:rPr>
          <w:rFonts w:ascii="Times New Roman" w:cs="Times New Roman" w:eastAsia="Times New Roman" w:hAnsi="Times New Roman"/>
          <w:color w:val="000000"/>
          <w:sz w:val="24"/>
          <w:szCs w:val="24"/>
        </w:rPr>
        <w:t xml:space="preserve">[66]</w:t>
      </w:r>
      <w:r>
        <w:rPr>
          <w:rFonts w:ascii="Times New Roman" w:cs="Times New Roman" w:eastAsia="Times New Roman" w:hAnsi="Times New Roman"/>
          <w:b w:val="false"/>
          <w:bCs w:val="false"/>
          <w:i w:val="false"/>
          <w:iCs w:val="false"/>
          <w:smallCaps w:val="false"/>
          <w:color w:val="000000"/>
          <w:sz w:val="24"/>
          <w:szCs w:val="24"/>
        </w:rPr>
        <w:t xml:space="preserve">.</w:t>
      </w:r>
    </w:p>
    <w:p>
      <w:pPr>
        <w:pStyle w:val="Heading2"/>
        <w:keepNext/>
        <w:spacing w:after="90" w:before="200"/>
      </w:pPr>
      <w:r>
        <w:rPr>
          <w:rFonts w:ascii="Arial" w:cs="Arial" w:eastAsia="Arial" w:hAnsi="Arial"/>
          <w:b/>
          <w:bCs/>
          <w:color w:val="000000"/>
          <w:sz w:val="23"/>
          <w:szCs w:val="23"/>
        </w:rPr>
        <w:t xml:space="preserve">6.5  Emergent Failure Modes in Collectives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Multi-agent systems exhibit failure modes that single agents do not, and a responsible design anticipates them. Agents can reinforce one another’s errors, converging on a confident but incorrect consensus that no single agent would have reached alone; they can enter unproductive loops of mutual deferral or disagreement; and, in systems where agents can invoke one another’s tools, a compromised or manipulated agent can propagate its compromise through the collective </w:t>
      </w:r>
      <w:r>
        <w:rPr>
          <w:rFonts w:ascii="Times New Roman" w:cs="Times New Roman" w:eastAsia="Times New Roman" w:hAnsi="Times New Roman"/>
          <w:color w:val="000000"/>
          <w:sz w:val="24"/>
          <w:szCs w:val="24"/>
        </w:rPr>
        <w:t xml:space="preserve">[65, 127]</w:t>
      </w:r>
      <w:r>
        <w:rPr>
          <w:rFonts w:ascii="Times New Roman" w:cs="Times New Roman" w:eastAsia="Times New Roman" w:hAnsi="Times New Roman"/>
          <w:b w:val="false"/>
          <w:bCs w:val="false"/>
          <w:i w:val="false"/>
          <w:iCs w:val="false"/>
          <w:smallCaps w:val="false"/>
          <w:color w:val="000000"/>
          <w:sz w:val="24"/>
          <w:szCs w:val="24"/>
        </w:rPr>
        <w:t xml:space="preserve">. The debate literature shows that structured disagreement can improve accuracy </w:t>
      </w:r>
      <w:r>
        <w:rPr>
          <w:rFonts w:ascii="Times New Roman" w:cs="Times New Roman" w:eastAsia="Times New Roman" w:hAnsi="Times New Roman"/>
          <w:color w:val="000000"/>
          <w:sz w:val="24"/>
          <w:szCs w:val="24"/>
        </w:rPr>
        <w:t xml:space="preserve">[59]</w:t>
      </w:r>
      <w:r>
        <w:rPr>
          <w:rFonts w:ascii="Times New Roman" w:cs="Times New Roman" w:eastAsia="Times New Roman" w:hAnsi="Times New Roman"/>
          <w:b w:val="false"/>
          <w:bCs w:val="false"/>
          <w:i w:val="false"/>
          <w:iCs w:val="false"/>
          <w:smallCaps w:val="false"/>
          <w:color w:val="000000"/>
          <w:sz w:val="24"/>
          <w:szCs w:val="24"/>
        </w:rPr>
        <w:t xml:space="preserve">, but it does not eliminate the risk of correlated error, particularly when all agents share the same underlying model and therefore the same blind spots. The architecture mitigates these risks through its shallow hierarchy, which limits propagation; through the human gate, which prevents a collective failure from producing consequential external harm; and through the practice of adversarially testing the shared underlying models before deployment, described in Section 9. The general lesson is that a collective is not automatically more reliable than an individual—its reliability depends on its structure and its safeguards.</w:t>
      </w:r>
    </w:p>
    <w:p>
      <w:pPr>
        <w:pStyle w:val="Heading2"/>
        <w:keepNext/>
        <w:spacing w:after="90" w:before="200"/>
      </w:pPr>
      <w:r>
        <w:rPr>
          <w:rFonts w:ascii="Arial" w:cs="Arial" w:eastAsia="Arial" w:hAnsi="Arial"/>
          <w:b/>
          <w:bCs/>
          <w:color w:val="000000"/>
          <w:sz w:val="23"/>
          <w:szCs w:val="23"/>
        </w:rPr>
        <w:t xml:space="preserve">6.6  The Cost of Multiple Agents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multi-agent system multiplies inference cost: each agent’s reasoning consumes computation, and a collective that deliberates through several rounds of proposal and critique may perform many times the inference of a single-pass response </w:t>
      </w:r>
      <w:r>
        <w:rPr>
          <w:rFonts w:ascii="Times New Roman" w:cs="Times New Roman" w:eastAsia="Times New Roman" w:hAnsi="Times New Roman"/>
          <w:color w:val="000000"/>
          <w:sz w:val="24"/>
          <w:szCs w:val="24"/>
        </w:rPr>
        <w:t xml:space="preserve">[59, 61]</w:t>
      </w:r>
      <w:r>
        <w:rPr>
          <w:rFonts w:ascii="Times New Roman" w:cs="Times New Roman" w:eastAsia="Times New Roman" w:hAnsi="Times New Roman"/>
          <w:b w:val="false"/>
          <w:bCs w:val="false"/>
          <w:i w:val="false"/>
          <w:iCs w:val="false"/>
          <w:smallCaps w:val="false"/>
          <w:color w:val="000000"/>
          <w:sz w:val="24"/>
          <w:szCs w:val="24"/>
        </w:rPr>
        <w:t xml:space="preserve">. For a local-first system on constrained hardware, this cost is not abstract—it is measured in the latency of a memory-bound device that cannot batch across agents. This consideration reinforces the value of the efficiency techniques of Section 4, since the throughput they recover is spent on the additional inference that multi-agent collaboration requires, and it argues for a disciplined collective—a shallow hierarchy with bounded deliberation—rather than an unbounded society of agents. The architecture’s division-based structure reflects this discipline: agents are added where specialization justifies their cost, not proliferated for its own sake. The trade-off between the accuracy gains of collaboration </w:t>
      </w:r>
      <w:r>
        <w:rPr>
          <w:rFonts w:ascii="Times New Roman" w:cs="Times New Roman" w:eastAsia="Times New Roman" w:hAnsi="Times New Roman"/>
          <w:color w:val="000000"/>
          <w:sz w:val="24"/>
          <w:szCs w:val="24"/>
        </w:rPr>
        <w:t xml:space="preserve">[59]</w:t>
      </w:r>
      <w:r>
        <w:rPr>
          <w:rFonts w:ascii="Times New Roman" w:cs="Times New Roman" w:eastAsia="Times New Roman" w:hAnsi="Times New Roman"/>
          <w:b w:val="false"/>
          <w:bCs w:val="false"/>
          <w:i w:val="false"/>
          <w:iCs w:val="false"/>
          <w:smallCaps w:val="false"/>
          <w:color w:val="000000"/>
          <w:sz w:val="24"/>
          <w:szCs w:val="24"/>
        </w:rPr>
        <w:t xml:space="preserve"> and its computational cost is one the architecture manages explicitly, and it is a trade-off that a local deployment feels more acutely than a data center does.</w:t>
      </w:r>
    </w:p>
    <w:p>
      <w:pPr>
        <w:pStyle w:val="Heading2"/>
        <w:keepNext/>
        <w:spacing w:after="90" w:before="200"/>
      </w:pPr>
      <w:r>
        <w:rPr>
          <w:rFonts w:ascii="Arial" w:cs="Arial" w:eastAsia="Arial" w:hAnsi="Arial"/>
          <w:b/>
          <w:bCs/>
          <w:color w:val="000000"/>
          <w:sz w:val="23"/>
          <w:szCs w:val="23"/>
        </w:rPr>
        <w:t xml:space="preserve">6.7  The Human as a Participant in the Collective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final architectural point concerns where the human sits relative to the collective. One framing treats the human as external to the system—a user who issues requests and receives results, with the collective operating as a closed unit in between. The alternative, which the architecture adopts, treats the human as a participant in the collective: a node in the graph, with a defined role, which other agents may route to and which holds authority the others do not. The multi-agent conversation frameworks explicitly support this framing, allowing human participants to be configured alongside agents in the same topology </w:t>
      </w:r>
      <w:r>
        <w:rPr>
          <w:rFonts w:ascii="Times New Roman" w:cs="Times New Roman" w:eastAsia="Times New Roman" w:hAnsi="Times New Roman"/>
          <w:color w:val="000000"/>
          <w:sz w:val="24"/>
          <w:szCs w:val="24"/>
        </w:rPr>
        <w:t xml:space="preserve">[61]</w:t>
      </w:r>
      <w:r>
        <w:rPr>
          <w:rFonts w:ascii="Times New Roman" w:cs="Times New Roman" w:eastAsia="Times New Roman" w:hAnsi="Times New Roman"/>
          <w:b w:val="false"/>
          <w:bCs w:val="false"/>
          <w:i w:val="false"/>
          <w:iCs w:val="false"/>
          <w:smallCaps w:val="false"/>
          <w:color w:val="000000"/>
          <w:sz w:val="24"/>
          <w:szCs w:val="24"/>
        </w:rPr>
        <w:t xml:space="preserve">, and the state-machine orchestration of Section 6.3 makes the human’s position in the flow explicit rather than implicit </w:t>
      </w:r>
      <w:r>
        <w:rPr>
          <w:rFonts w:ascii="Times New Roman" w:cs="Times New Roman" w:eastAsia="Times New Roman" w:hAnsi="Times New Roman"/>
          <w:color w:val="000000"/>
          <w:sz w:val="24"/>
          <w:szCs w:val="24"/>
        </w:rPr>
        <w:t xml:space="preserve">[67]</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difference is more than terminological. If the human is external, then human oversight is a wrapper around the system, and the natural implementation is a confirmation dialog at the boundary—the mechanism Section 8.2 argues is insufficient. If the human is a participant with a distinguished role, then oversight is a structural feature of the collective’s own control flow: the graph routes to the human at defined points, the human’s authorization is a transition the graph cannot take without them, and the collective’s operation is designed around this dependency rather than interrupted by it. This is how the architecture realizes the safety spine without treating it as an imposition on the system’s design: the gate is not bolted onto a closed collective but is a node within an open one. The framing also clarifies the division of labor between human and agents. The agents contribute breadth, speed, and tirelessness; the human contributes judgment, accountability, and—through the hardware key—the authority to make consequential decisions stick. Neither substitutes for the other, and the collective is designed to combine them rather than to approximate one with the other.</w:t>
      </w:r>
    </w:p>
    <w:p>
      <w:pPr>
        <w:pStyle w:val="Heading1"/>
        <w:keepNext/>
        <w:spacing w:after="120" w:before="300"/>
      </w:pPr>
      <w:r>
        <w:rPr>
          <w:rFonts w:ascii="Arial" w:cs="Arial" w:eastAsia="Arial" w:hAnsi="Arial"/>
          <w:b/>
          <w:bCs/>
          <w:color w:val="000000"/>
          <w:sz w:val="26"/>
          <w:szCs w:val="26"/>
        </w:rPr>
        <w:t xml:space="preserve">7  The Model Context Protocol as a Tool Substrate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For agents to act, they must invoke tools; for a system to remain auditable and secure, that invocation must occur through a controlled and uniform interface. The architecture uses the Model Context Protocol, an open standard for connecting language-model applications to external tools, data sources, and capabilities through a common protocol </w:t>
      </w:r>
      <w:r>
        <w:rPr>
          <w:rFonts w:ascii="Times New Roman" w:cs="Times New Roman" w:eastAsia="Times New Roman" w:hAnsi="Times New Roman"/>
          <w:color w:val="000000"/>
          <w:sz w:val="24"/>
          <w:szCs w:val="24"/>
        </w:rPr>
        <w:t xml:space="preserve">[68, 69]</w:t>
      </w:r>
      <w:r>
        <w:rPr>
          <w:rFonts w:ascii="Times New Roman" w:cs="Times New Roman" w:eastAsia="Times New Roman" w:hAnsi="Times New Roman"/>
          <w:b w:val="false"/>
          <w:bCs w:val="false"/>
          <w:i w:val="false"/>
          <w:iCs w:val="false"/>
          <w:smallCaps w:val="false"/>
          <w:color w:val="000000"/>
          <w:sz w:val="24"/>
          <w:szCs w:val="24"/>
        </w:rPr>
        <w:t xml:space="preserve">. This section describes the protocol’s role and, at greater length, the security considerations that attend it—considerations that are central to the architecture’s safety argument.</w:t>
      </w:r>
    </w:p>
    <w:p>
      <w:pPr>
        <w:pStyle w:val="Heading2"/>
        <w:keepNext/>
        <w:spacing w:after="90" w:before="200"/>
      </w:pPr>
      <w:r>
        <w:rPr>
          <w:rFonts w:ascii="Arial" w:cs="Arial" w:eastAsia="Arial" w:hAnsi="Arial"/>
          <w:b/>
          <w:bCs/>
          <w:color w:val="000000"/>
          <w:sz w:val="23"/>
          <w:szCs w:val="23"/>
        </w:rPr>
        <w:t xml:space="preserve">7.1  Standardizing Tool Invocation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protocol defines a client–server architecture in which servers expose tools, resources, and prompts, and clients—the agent-hosting applications—discover and invoke them through a uniform message interface </w:t>
      </w:r>
      <w:r>
        <w:rPr>
          <w:rFonts w:ascii="Times New Roman" w:cs="Times New Roman" w:eastAsia="Times New Roman" w:hAnsi="Times New Roman"/>
          <w:color w:val="000000"/>
          <w:sz w:val="24"/>
          <w:szCs w:val="24"/>
        </w:rPr>
        <w:t xml:space="preserve">[69]</w:t>
      </w:r>
      <w:r>
        <w:rPr>
          <w:rFonts w:ascii="Times New Roman" w:cs="Times New Roman" w:eastAsia="Times New Roman" w:hAnsi="Times New Roman"/>
          <w:b w:val="false"/>
          <w:bCs w:val="false"/>
          <w:i w:val="false"/>
          <w:iCs w:val="false"/>
          <w:smallCaps w:val="false"/>
          <w:color w:val="000000"/>
          <w:sz w:val="24"/>
          <w:szCs w:val="24"/>
        </w:rPr>
        <w:t xml:space="preserve">. The value of this standardization is twofold. Architecturally, it decouples the agent from each tool’s implementation: a search index, a code executor, and a hardware controller are all invoked through the same interface, so agents and tools can be developed and combined independently. For security, it concentrates the sensitive surface of tool invocation into one place, where it can be authenticated, authorized, logged, and gated, rather than dispersing it across ad hoc integrations. This concentration is what makes it feasible to place a single human approval gate in front of all consequential tool use, as Section 8 requires.</w:t>
      </w:r>
    </w:p>
    <w:p>
      <w:pPr>
        <w:pStyle w:val="Heading2"/>
        <w:keepNext/>
        <w:spacing w:after="90" w:before="200"/>
      </w:pPr>
      <w:r>
        <w:rPr>
          <w:rFonts w:ascii="Arial" w:cs="Arial" w:eastAsia="Arial" w:hAnsi="Arial"/>
          <w:b/>
          <w:bCs/>
          <w:color w:val="000000"/>
          <w:sz w:val="23"/>
          <w:szCs w:val="23"/>
        </w:rPr>
        <w:t xml:space="preserve">7.2  The Security Surface of Tool-Enabled Agents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Standardizing tool invocation does not eliminate its risks; it localizes them, and a rapidly growing literature analyzes those risks specifically for the Model Context Protocol. The first systematic treatments map the protocol’s threat landscape across its lifecycle, identifying vulnerabilities in server distribution, installation, and operation </w:t>
      </w:r>
      <w:r>
        <w:rPr>
          <w:rFonts w:ascii="Times New Roman" w:cs="Times New Roman" w:eastAsia="Times New Roman" w:hAnsi="Times New Roman"/>
          <w:color w:val="000000"/>
          <w:sz w:val="24"/>
          <w:szCs w:val="24"/>
        </w:rPr>
        <w:t xml:space="preserve">[70]</w:t>
      </w:r>
      <w:r>
        <w:rPr>
          <w:rFonts w:ascii="Times New Roman" w:cs="Times New Roman" w:eastAsia="Times New Roman" w:hAnsi="Times New Roman"/>
          <w:b w:val="false"/>
          <w:bCs w:val="false"/>
          <w:i w:val="false"/>
          <w:iCs w:val="false"/>
          <w:smallCaps w:val="false"/>
          <w:color w:val="000000"/>
          <w:sz w:val="24"/>
          <w:szCs w:val="24"/>
        </w:rPr>
        <w:t xml:space="preserve">, and subsequent systematic analyses catalog attack and defense techniques in greater depth </w:t>
      </w:r>
      <w:r>
        <w:rPr>
          <w:rFonts w:ascii="Times New Roman" w:cs="Times New Roman" w:eastAsia="Times New Roman" w:hAnsi="Times New Roman"/>
          <w:color w:val="000000"/>
          <w:sz w:val="24"/>
          <w:szCs w:val="24"/>
        </w:rPr>
        <w:t xml:space="preserve">[71, 72]</w:t>
      </w:r>
      <w:r>
        <w:rPr>
          <w:rFonts w:ascii="Times New Roman" w:cs="Times New Roman" w:eastAsia="Times New Roman" w:hAnsi="Times New Roman"/>
          <w:b w:val="false"/>
          <w:bCs w:val="false"/>
          <w:i w:val="false"/>
          <w:iCs w:val="false"/>
          <w:smallCaps w:val="false"/>
          <w:color w:val="000000"/>
          <w:sz w:val="24"/>
          <w:szCs w:val="24"/>
        </w:rPr>
        <w:t xml:space="preserve">. Empirical audits of real protocol servers have demonstrated concrete, exploitable weaknesses </w:t>
      </w:r>
      <w:r>
        <w:rPr>
          <w:rFonts w:ascii="Times New Roman" w:cs="Times New Roman" w:eastAsia="Times New Roman" w:hAnsi="Times New Roman"/>
          <w:color w:val="000000"/>
          <w:sz w:val="24"/>
          <w:szCs w:val="24"/>
        </w:rPr>
        <w:t xml:space="preserve">[73, 74]</w:t>
      </w:r>
      <w:r>
        <w:rPr>
          <w:rFonts w:ascii="Times New Roman" w:cs="Times New Roman" w:eastAsia="Times New Roman" w:hAnsi="Times New Roman"/>
          <w:b w:val="false"/>
          <w:bCs w:val="false"/>
          <w:i w:val="false"/>
          <w:iCs w:val="false"/>
          <w:smallCaps w:val="false"/>
          <w:color w:val="000000"/>
          <w:sz w:val="24"/>
          <w:szCs w:val="24"/>
        </w:rPr>
        <w:t xml:space="preserve">, and defensive work has begun to address specific attack classes such as tool poisoning </w:t>
      </w:r>
      <w:r>
        <w:rPr>
          <w:rFonts w:ascii="Times New Roman" w:cs="Times New Roman" w:eastAsia="Times New Roman" w:hAnsi="Times New Roman"/>
          <w:color w:val="000000"/>
          <w:sz w:val="24"/>
          <w:szCs w:val="24"/>
        </w:rPr>
        <w:t xml:space="preserve">[75]</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most consequential risk for an autonomous system is the combination of a tool server with untrusted input. If an agent holds both a capability to act—through a tool server—and a capability to ingest external content, then content crafted by an adversary can attempt to hijack the agent’s tools. This is the mechanism of indirect prompt injection, analyzed in Section 9, and it is the reason the architecture treats the protocol’s security surface as a first-class concern rather than an implementation detail. The mitigations—binding tool servers to local interfaces, reaching them only over an authenticated mesh, scoping tool permissions narrowly, and interposing a human gate before consequential actions—are described where they apply, but their common root is the recognition that a tool-enabled agent is an attack surface and must be treated as one.</w:t>
      </w:r>
    </w:p>
    <w:p>
      <w:pPr>
        <w:pStyle w:val="Heading2"/>
        <w:keepNext/>
        <w:spacing w:after="90" w:before="200"/>
      </w:pPr>
      <w:r>
        <w:rPr>
          <w:rFonts w:ascii="Arial" w:cs="Arial" w:eastAsia="Arial" w:hAnsi="Arial"/>
          <w:b/>
          <w:bCs/>
          <w:color w:val="000000"/>
          <w:sz w:val="23"/>
          <w:szCs w:val="23"/>
        </w:rPr>
        <w:t xml:space="preserve">7.3  Why a Standard Rather Than Bespoke Integration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Before the emergence of a standard tool protocol, connecting a model to external capabilities required bespoke integration for each capability, and the tool-augmentation literature reflects this heritage: early work taught models to call specific interfaces </w:t>
      </w:r>
      <w:r>
        <w:rPr>
          <w:rFonts w:ascii="Times New Roman" w:cs="Times New Roman" w:eastAsia="Times New Roman" w:hAnsi="Times New Roman"/>
          <w:color w:val="000000"/>
          <w:sz w:val="24"/>
          <w:szCs w:val="24"/>
        </w:rPr>
        <w:t xml:space="preserve">[47]</w:t>
      </w:r>
      <w:r>
        <w:rPr>
          <w:rFonts w:ascii="Times New Roman" w:cs="Times New Roman" w:eastAsia="Times New Roman" w:hAnsi="Times New Roman"/>
          <w:b w:val="false"/>
          <w:bCs w:val="false"/>
          <w:i w:val="false"/>
          <w:iCs w:val="false"/>
          <w:smallCaps w:val="false"/>
          <w:color w:val="000000"/>
          <w:sz w:val="24"/>
          <w:szCs w:val="24"/>
        </w:rPr>
        <w:t xml:space="preserve">, scaled to larger but still enumerated collections of interfaces </w:t>
      </w:r>
      <w:r>
        <w:rPr>
          <w:rFonts w:ascii="Times New Roman" w:cs="Times New Roman" w:eastAsia="Times New Roman" w:hAnsi="Times New Roman"/>
          <w:color w:val="000000"/>
          <w:sz w:val="24"/>
          <w:szCs w:val="24"/>
        </w:rPr>
        <w:t xml:space="preserve">[49, 50]</w:t>
      </w:r>
      <w:r>
        <w:rPr>
          <w:rFonts w:ascii="Times New Roman" w:cs="Times New Roman" w:eastAsia="Times New Roman" w:hAnsi="Times New Roman"/>
          <w:b w:val="false"/>
          <w:bCs w:val="false"/>
          <w:i w:val="false"/>
          <w:iCs w:val="false"/>
          <w:smallCaps w:val="false"/>
          <w:color w:val="000000"/>
          <w:sz w:val="24"/>
          <w:szCs w:val="24"/>
        </w:rPr>
        <w:t xml:space="preserve">, and orchestrated fixed sets of specialized models </w:t>
      </w:r>
      <w:r>
        <w:rPr>
          <w:rFonts w:ascii="Times New Roman" w:cs="Times New Roman" w:eastAsia="Times New Roman" w:hAnsi="Times New Roman"/>
          <w:color w:val="000000"/>
          <w:sz w:val="24"/>
          <w:szCs w:val="24"/>
        </w:rPr>
        <w:t xml:space="preserve">[51]</w:t>
      </w:r>
      <w:r>
        <w:rPr>
          <w:rFonts w:ascii="Times New Roman" w:cs="Times New Roman" w:eastAsia="Times New Roman" w:hAnsi="Times New Roman"/>
          <w:b w:val="false"/>
          <w:bCs w:val="false"/>
          <w:i w:val="false"/>
          <w:iCs w:val="false"/>
          <w:smallCaps w:val="false"/>
          <w:color w:val="000000"/>
          <w:sz w:val="24"/>
          <w:szCs w:val="24"/>
        </w:rPr>
        <w:t xml:space="preserve">. The limitation of bespoke integration is not merely engineering inconvenience; it is that each integration is its own security surface, developed and secured independently, so that the system’s overall exposure is the uncoordinated sum of many ad hoc connections. A standard protocol changes this in a way that matters specifically for a safety-critical autonomous system. By routing all tool invocation through a common interface, it makes the security surface uniform and centrally governable: authentication, authorization, logging, and—above all—the human gate can be implemented once, at the protocol boundary, rather than reimplemented for each tool. The architectural value of the standard, then, is inseparable from its security value. It is what allows the safety spine of Section 8 to be a single, well-understood mechanism rather than a scattering of per-tool checks of varying quality, and it is why the architecture treats the adoption of a standard tool protocol as a security decision as much as an engineering one.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does not render the standard a panacea, and the security literature specific to the protocol is emphatic on the point </w:t>
      </w:r>
      <w:r>
        <w:rPr>
          <w:rFonts w:ascii="Times New Roman" w:cs="Times New Roman" w:eastAsia="Times New Roman" w:hAnsi="Times New Roman"/>
          <w:color w:val="000000"/>
          <w:sz w:val="24"/>
          <w:szCs w:val="24"/>
        </w:rPr>
        <w:t xml:space="preserve">[70, 71]</w:t>
      </w:r>
      <w:r>
        <w:rPr>
          <w:rFonts w:ascii="Times New Roman" w:cs="Times New Roman" w:eastAsia="Times New Roman" w:hAnsi="Times New Roman"/>
          <w:b w:val="false"/>
          <w:bCs w:val="false"/>
          <w:i w:val="false"/>
          <w:iCs w:val="false"/>
          <w:smallCaps w:val="false"/>
          <w:color w:val="000000"/>
          <w:sz w:val="24"/>
          <w:szCs w:val="24"/>
        </w:rPr>
        <w:t xml:space="preserve">. A standard concentrates the security surface, which is advantageous only if that concentrated surface is then properly secured; a poorly secured standard interface is a single point of failure rather than a single point of control. The architecture’s posture is to treat the protocol boundary as exactly the place where its most important defenses are applied, precisely because the standard has concentrated the surface there. The empirical audits of protocol servers </w:t>
      </w:r>
      <w:r>
        <w:rPr>
          <w:rFonts w:ascii="Times New Roman" w:cs="Times New Roman" w:eastAsia="Times New Roman" w:hAnsi="Times New Roman"/>
          <w:color w:val="000000"/>
          <w:sz w:val="24"/>
          <w:szCs w:val="24"/>
        </w:rPr>
        <w:t xml:space="preserve">[73, 74]</w:t>
      </w:r>
      <w:r>
        <w:rPr>
          <w:rFonts w:ascii="Times New Roman" w:cs="Times New Roman" w:eastAsia="Times New Roman" w:hAnsi="Times New Roman"/>
          <w:b w:val="false"/>
          <w:bCs w:val="false"/>
          <w:i w:val="false"/>
          <w:iCs w:val="false"/>
          <w:smallCaps w:val="false"/>
          <w:color w:val="000000"/>
          <w:sz w:val="24"/>
          <w:szCs w:val="24"/>
        </w:rPr>
        <w:t xml:space="preserve"> and the emerging defensive techniques </w:t>
      </w:r>
      <w:r>
        <w:rPr>
          <w:rFonts w:ascii="Times New Roman" w:cs="Times New Roman" w:eastAsia="Times New Roman" w:hAnsi="Times New Roman"/>
          <w:color w:val="000000"/>
          <w:sz w:val="24"/>
          <w:szCs w:val="24"/>
        </w:rPr>
        <w:t xml:space="preserve">[75]</w:t>
      </w:r>
      <w:r>
        <w:rPr>
          <w:rFonts w:ascii="Times New Roman" w:cs="Times New Roman" w:eastAsia="Times New Roman" w:hAnsi="Times New Roman"/>
          <w:b w:val="false"/>
          <w:bCs w:val="false"/>
          <w:i w:val="false"/>
          <w:iCs w:val="false"/>
          <w:smallCaps w:val="false"/>
          <w:color w:val="000000"/>
          <w:sz w:val="24"/>
          <w:szCs w:val="24"/>
        </w:rPr>
        <w:t xml:space="preserve"> inform which defenses those are. The lesson generalizes a theme of the paper: standardization and mediation are valuable because they make a system’s security legible and governable, but legibility is an opportunity to secure a system well, not a substitute for doing so.</w:t>
      </w:r>
    </w:p>
    <w:p>
      <w:pPr>
        <w:pStyle w:val="Heading2"/>
        <w:keepNext/>
        <w:spacing w:after="90" w:before="200"/>
      </w:pPr>
      <w:r>
        <w:rPr>
          <w:rFonts w:ascii="Arial" w:cs="Arial" w:eastAsia="Arial" w:hAnsi="Arial"/>
          <w:b/>
          <w:bCs/>
          <w:color w:val="000000"/>
          <w:sz w:val="23"/>
          <w:szCs w:val="23"/>
        </w:rPr>
        <w:t xml:space="preserve">7.4  Operational Deployment of the Tool Layer</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Several operational practices follow from treating the protocol boundary as the architecture’s principal security surface. Tool servers are bound to local network interfaces rather than to all interfaces, so that they are not reachable from outside the host by default; the difference is a single configuration value and is a documented source of exposure when set carelessly, a pattern the empirical audits of deployed servers have found repeatedly </w:t>
      </w:r>
      <w:r>
        <w:rPr>
          <w:rFonts w:ascii="Times New Roman" w:cs="Times New Roman" w:eastAsia="Times New Roman" w:hAnsi="Times New Roman"/>
          <w:color w:val="000000"/>
          <w:sz w:val="24"/>
          <w:szCs w:val="24"/>
        </w:rPr>
        <w:t xml:space="preserve">[73, 74]</w:t>
      </w:r>
      <w:r>
        <w:rPr>
          <w:rFonts w:ascii="Times New Roman" w:cs="Times New Roman" w:eastAsia="Times New Roman" w:hAnsi="Times New Roman"/>
          <w:b w:val="false"/>
          <w:bCs w:val="false"/>
          <w:i w:val="false"/>
          <w:iCs w:val="false"/>
          <w:smallCaps w:val="false"/>
          <w:color w:val="000000"/>
          <w:sz w:val="24"/>
          <w:szCs w:val="24"/>
        </w:rPr>
        <w:t xml:space="preserve">. Remote access to tool servers, where required, is mediated by the authenticated mesh of Section 10.4 rather than by exposing a port </w:t>
      </w:r>
      <w:r>
        <w:rPr>
          <w:rFonts w:ascii="Times New Roman" w:cs="Times New Roman" w:eastAsia="Times New Roman" w:hAnsi="Times New Roman"/>
          <w:color w:val="000000"/>
          <w:sz w:val="24"/>
          <w:szCs w:val="24"/>
        </w:rPr>
        <w:t xml:space="preserve">[83, 86]</w:t>
      </w:r>
      <w:r>
        <w:rPr>
          <w:rFonts w:ascii="Times New Roman" w:cs="Times New Roman" w:eastAsia="Times New Roman" w:hAnsi="Times New Roman"/>
          <w:b w:val="false"/>
          <w:bCs w:val="false"/>
          <w:i w:val="false"/>
          <w:iCs w:val="false"/>
          <w:smallCaps w:val="false"/>
          <w:color w:val="000000"/>
          <w:sz w:val="24"/>
          <w:szCs w:val="24"/>
        </w:rPr>
        <w:t xml:space="preserve">. Each server exposes the narrowest set of tools its purpose requires, so that a compromised agent inherits a small rather than a general capability. And the provenance of tool servers themselves is treated as a supply-chain concern, since a malicious or compromised server is a direct route to the agent that trusts it—a risk the protocol’s threat analyses identify explicitly </w:t>
      </w:r>
      <w:r>
        <w:rPr>
          <w:rFonts w:ascii="Times New Roman" w:cs="Times New Roman" w:eastAsia="Times New Roman" w:hAnsi="Times New Roman"/>
          <w:color w:val="000000"/>
          <w:sz w:val="24"/>
          <w:szCs w:val="24"/>
        </w:rPr>
        <w:t xml:space="preserve">[70, 71]</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These practices are unglamorous, and that is rather the point. The security of an autonomous system is not principally a matter of clever mechanisms; it is a matter of applying well-understood engineering discipline at the boundaries where capability is granted. The literature on protocol security is valuable precisely because it identifies where that discipline is most often absent </w:t>
      </w:r>
      <w:r>
        <w:rPr>
          <w:rFonts w:ascii="Times New Roman" w:cs="Times New Roman" w:eastAsia="Times New Roman" w:hAnsi="Times New Roman"/>
          <w:color w:val="000000"/>
          <w:sz w:val="24"/>
          <w:szCs w:val="24"/>
        </w:rPr>
        <w:t xml:space="preserve">[72, 75]</w:t>
      </w:r>
      <w:r>
        <w:rPr>
          <w:rFonts w:ascii="Times New Roman" w:cs="Times New Roman" w:eastAsia="Times New Roman" w:hAnsi="Times New Roman"/>
          <w:b w:val="false"/>
          <w:bCs w:val="false"/>
          <w:i w:val="false"/>
          <w:iCs w:val="false"/>
          <w:smallCaps w:val="false"/>
          <w:color w:val="000000"/>
          <w:sz w:val="24"/>
          <w:szCs w:val="24"/>
        </w:rPr>
        <w:t xml:space="preserve">, and an architecture that reads it and acts accordingly is more secure than one that relies on a novel defense while leaving a server bound to a public interface. The architecture’s claim to a defensible security posture rests as much on this ordinary diligence as on the hardware gate that backs it, and the two are complementary: diligence reduces the frequency with which the gate is the last line of defense, and the gate bounds the consequences when diligence fails.</w:t>
      </w:r>
    </w:p>
    <w:p>
      <w:pPr>
        <w:pStyle w:val="Heading1"/>
        <w:keepNext/>
        <w:spacing w:after="120" w:before="300"/>
      </w:pPr>
      <w:r>
        <w:rPr>
          <w:rFonts w:ascii="Arial" w:cs="Arial" w:eastAsia="Arial" w:hAnsi="Arial"/>
          <w:b/>
          <w:bCs/>
          <w:color w:val="000000"/>
          <w:sz w:val="26"/>
          <w:szCs w:val="26"/>
        </w:rPr>
        <w:t xml:space="preserve">8  Human Oversight and the Safety Spine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section develops the architecture’s central safety commitment. We argue that autonomous operation is defensible if and only if a human retains meaningful control over consequential actions, that meaningful control requires a mechanism an autonomous process cannot circumvent, and that a hardware authorization ceremony built on established standards provides such a mechanism. This is, in our view, the most important argument in the paper, because it is what separates a responsibly autonomous system from a reckless one.</w:t>
      </w:r>
    </w:p>
    <w:p>
      <w:pPr>
        <w:pStyle w:val="Heading2"/>
        <w:keepNext/>
        <w:spacing w:after="90" w:before="200"/>
      </w:pPr>
      <w:r>
        <w:rPr>
          <w:rFonts w:ascii="Arial" w:cs="Arial" w:eastAsia="Arial" w:hAnsi="Arial"/>
          <w:b/>
          <w:bCs/>
          <w:color w:val="000000"/>
          <w:sz w:val="23"/>
          <w:szCs w:val="23"/>
        </w:rPr>
        <w:t xml:space="preserve">8.1  The Case for Human Oversight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AI-safety literature has long identified the oversight of increasingly autonomous systems as a core problem. The canonical enumeration of concrete safety problems includes the challenge of scalable oversight—ensuring that a system behaves as intended even when direct human supervision of every action is infeasible </w:t>
      </w:r>
      <w:r>
        <w:rPr>
          <w:rFonts w:ascii="Times New Roman" w:cs="Times New Roman" w:eastAsia="Times New Roman" w:hAnsi="Times New Roman"/>
          <w:color w:val="000000"/>
          <w:sz w:val="24"/>
          <w:szCs w:val="24"/>
        </w:rPr>
        <w:t xml:space="preserve">[76]</w:t>
      </w:r>
      <w:r>
        <w:rPr>
          <w:rFonts w:ascii="Times New Roman" w:cs="Times New Roman" w:eastAsia="Times New Roman" w:hAnsi="Times New Roman"/>
          <w:b w:val="false"/>
          <w:bCs w:val="false"/>
          <w:i w:val="false"/>
          <w:iCs w:val="false"/>
          <w:smallCaps w:val="false"/>
          <w:color w:val="000000"/>
          <w:sz w:val="24"/>
          <w:szCs w:val="24"/>
        </w:rPr>
        <w:t xml:space="preserve">—and this agenda has been revisited and extended as models have grown more capable </w:t>
      </w:r>
      <w:r>
        <w:rPr>
          <w:rFonts w:ascii="Times New Roman" w:cs="Times New Roman" w:eastAsia="Times New Roman" w:hAnsi="Times New Roman"/>
          <w:color w:val="000000"/>
          <w:sz w:val="24"/>
          <w:szCs w:val="24"/>
        </w:rPr>
        <w:t xml:space="preserve">[78, 79]</w:t>
      </w:r>
      <w:r>
        <w:rPr>
          <w:rFonts w:ascii="Times New Roman" w:cs="Times New Roman" w:eastAsia="Times New Roman" w:hAnsi="Times New Roman"/>
          <w:b w:val="false"/>
          <w:bCs w:val="false"/>
          <w:i w:val="false"/>
          <w:iCs w:val="false"/>
          <w:smallCaps w:val="false"/>
          <w:color w:val="000000"/>
          <w:sz w:val="24"/>
          <w:szCs w:val="24"/>
        </w:rPr>
        <w:t xml:space="preserve">. Human feedback is central to how contemporary models are aligned in the first place </w:t>
      </w:r>
      <w:r>
        <w:rPr>
          <w:rFonts w:ascii="Times New Roman" w:cs="Times New Roman" w:eastAsia="Times New Roman" w:hAnsi="Times New Roman"/>
          <w:color w:val="000000"/>
          <w:sz w:val="24"/>
          <w:szCs w:val="24"/>
        </w:rPr>
        <w:t xml:space="preserve">[77, 124]</w:t>
      </w:r>
      <w:r>
        <w:rPr>
          <w:rFonts w:ascii="Times New Roman" w:cs="Times New Roman" w:eastAsia="Times New Roman" w:hAnsi="Times New Roman"/>
          <w:b w:val="false"/>
          <w:bCs w:val="false"/>
          <w:i w:val="false"/>
          <w:iCs w:val="false"/>
          <w:smallCaps w:val="false"/>
          <w:color w:val="000000"/>
          <w:sz w:val="24"/>
          <w:szCs w:val="24"/>
        </w:rPr>
        <w:t xml:space="preserve">, and governance frameworks emphasize human accountability and control as requirements for trustworthy AI </w:t>
      </w:r>
      <w:r>
        <w:rPr>
          <w:rFonts w:ascii="Times New Roman" w:cs="Times New Roman" w:eastAsia="Times New Roman" w:hAnsi="Times New Roman"/>
          <w:color w:val="000000"/>
          <w:sz w:val="24"/>
          <w:szCs w:val="24"/>
        </w:rPr>
        <w:t xml:space="preserve">[4, 80]</w:t>
      </w:r>
      <w:r>
        <w:rPr>
          <w:rFonts w:ascii="Times New Roman" w:cs="Times New Roman" w:eastAsia="Times New Roman" w:hAnsi="Times New Roman"/>
          <w:b w:val="false"/>
          <w:bCs w:val="false"/>
          <w:i w:val="false"/>
          <w:iCs w:val="false"/>
          <w:smallCaps w:val="false"/>
          <w:color w:val="000000"/>
          <w:sz w:val="24"/>
          <w:szCs w:val="24"/>
        </w:rPr>
        <w:t xml:space="preserve">. The design principle we draw from this literature is that human oversight must be structural rather than aspirational: it must be built into the system’s control flow, not left to the vigilance of an operator who might look away.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risk is most acute for agents that can act on the world. A model that merely produces text can mislead, but a model that can execute commands, transfer funds, or actuate a device can cause direct external harm, and the survey literature on the safety and security of language-model agents makes the elevation of risk that accompanies action explicit </w:t>
      </w:r>
      <w:r>
        <w:rPr>
          <w:rFonts w:ascii="Times New Roman" w:cs="Times New Roman" w:eastAsia="Times New Roman" w:hAnsi="Times New Roman"/>
          <w:color w:val="000000"/>
          <w:sz w:val="24"/>
          <w:szCs w:val="24"/>
        </w:rPr>
        <w:t xml:space="preserve">[58, 127]</w:t>
      </w:r>
      <w:r>
        <w:rPr>
          <w:rFonts w:ascii="Times New Roman" w:cs="Times New Roman" w:eastAsia="Times New Roman" w:hAnsi="Times New Roman"/>
          <w:b w:val="false"/>
          <w:bCs w:val="false"/>
          <w:i w:val="false"/>
          <w:iCs w:val="false"/>
          <w:smallCaps w:val="false"/>
          <w:color w:val="000000"/>
          <w:sz w:val="24"/>
          <w:szCs w:val="24"/>
        </w:rPr>
        <w:t xml:space="preserve">. The more capability an agent has to affect the world, the more essential it is that a human remain in the loop for consequential decisions.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alignment of models through human feedback and the oversight of deployed systems are related but distinct problems, and the architecture depends on both. Alignment through human feedback shapes a model’s behavior at training time, making it more likely to behave as intended </w:t>
      </w:r>
      <w:r>
        <w:rPr>
          <w:rFonts w:ascii="Times New Roman" w:cs="Times New Roman" w:eastAsia="Times New Roman" w:hAnsi="Times New Roman"/>
          <w:color w:val="000000"/>
          <w:sz w:val="24"/>
          <w:szCs w:val="24"/>
        </w:rPr>
        <w:t xml:space="preserve">[77, 124, 125]</w:t>
      </w:r>
      <w:r>
        <w:rPr>
          <w:rFonts w:ascii="Times New Roman" w:cs="Times New Roman" w:eastAsia="Times New Roman" w:hAnsi="Times New Roman"/>
          <w:b w:val="false"/>
          <w:bCs w:val="false"/>
          <w:i w:val="false"/>
          <w:iCs w:val="false"/>
          <w:smallCaps w:val="false"/>
          <w:color w:val="000000"/>
          <w:sz w:val="24"/>
          <w:szCs w:val="24"/>
        </w:rPr>
        <w:t xml:space="preserve">; this is valuable but insufficient for an autonomous system, because training-time alignment cannot anticipate every situation a deployed agent will encounter, and because an aligned model can still be manipulated by adversarial input as Section 9 describes. Deployment-time oversight, by contrast, governs the system’s behavior as it acts, catching failures that training-time alignment did not prevent. The safety spine is a deployment-time oversight mechanism, and it is designed to be robust even when training-time alignment fails: it does not assume the model will always behave correctly, but rather ensures that when the model behaves incorrectly, a human authorizes—or declines to authorize—the consequential result. The two mechanisms are complementary, and a responsible autonomous architecture requires both: alignment to make good behavior likely, and oversight to bound the consequences when good behavior does not obtain. The AI-safety literature’s emphasis on scalable oversight </w:t>
      </w:r>
      <w:r>
        <w:rPr>
          <w:rFonts w:ascii="Times New Roman" w:cs="Times New Roman" w:eastAsia="Times New Roman" w:hAnsi="Times New Roman"/>
          <w:color w:val="000000"/>
          <w:sz w:val="24"/>
          <w:szCs w:val="24"/>
        </w:rPr>
        <w:t xml:space="preserve">[76, 78, 79]</w:t>
      </w:r>
      <w:r>
        <w:rPr>
          <w:rFonts w:ascii="Times New Roman" w:cs="Times New Roman" w:eastAsia="Times New Roman" w:hAnsi="Times New Roman"/>
          <w:b w:val="false"/>
          <w:bCs w:val="false"/>
          <w:i w:val="false"/>
          <w:iCs w:val="false"/>
          <w:smallCaps w:val="false"/>
          <w:color w:val="000000"/>
          <w:sz w:val="24"/>
          <w:szCs w:val="24"/>
        </w:rPr>
        <w:t xml:space="preserve"> reflects exactly this recognition that alignment alone is not enough.</w:t>
      </w:r>
    </w:p>
    <w:p>
      <w:pPr>
        <w:pStyle w:val="Heading2"/>
        <w:keepNext/>
        <w:spacing w:after="90" w:before="200"/>
      </w:pPr>
      <w:r>
        <w:rPr>
          <w:rFonts w:ascii="Arial" w:cs="Arial" w:eastAsia="Arial" w:hAnsi="Arial"/>
          <w:b/>
          <w:bCs/>
          <w:color w:val="000000"/>
          <w:sz w:val="23"/>
          <w:szCs w:val="23"/>
        </w:rPr>
        <w:t xml:space="preserve">8.2  Why Software Confirmation Is Insufficient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natural but inadequate approach to human oversight is a software confirmation—a prompt that asks the operator to approve an action before it proceeds. The inadequacy is subtle but decisive: if the autonomous process can itself satisfy the confirmation, the confirmation provides no real control. An agent with sufficient access to its own environment could, in principle, dismiss its own dialog, and even absent deliberate circumvention, a software gate offers no cryptographic assurance that a human, rather than the system, authorized the action. For a gate to constitute meaningful control, it must require an act that the autonomous process cannot perform.</w:t>
      </w:r>
    </w:p>
    <w:p>
      <w:pPr>
        <w:pStyle w:val="Heading2"/>
        <w:keepNext/>
        <w:spacing w:after="90" w:before="200"/>
      </w:pPr>
      <w:r>
        <w:rPr>
          <w:rFonts w:ascii="Arial" w:cs="Arial" w:eastAsia="Arial" w:hAnsi="Arial"/>
          <w:b/>
          <w:bCs/>
          <w:color w:val="000000"/>
          <w:sz w:val="23"/>
          <w:szCs w:val="23"/>
        </w:rPr>
        <w:t xml:space="preserve">8.3  A Hardware Authorization Ceremony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therefore builds its human gate on a hardware security key and the established standards for its use. The Web Authentication standard and its associated authenticator protocol define how a relying party can require a cryptographic assertion from a hardware authenticator, and they distinguish two properties of that assertion: </w:t>
      </w:r>
      <w:r>
        <w:rPr>
          <w:rFonts w:ascii="Times New Roman" w:cs="Times New Roman" w:eastAsia="Times New Roman" w:hAnsi="Times New Roman"/>
          <w:b w:val="false"/>
          <w:bCs w:val="false"/>
          <w:i/>
          <w:iCs/>
          <w:smallCaps w:val="false"/>
          <w:color w:val="000000"/>
          <w:sz w:val="24"/>
          <w:szCs w:val="24"/>
        </w:rPr>
        <w:t xml:space="preserve">user presence</w:t>
      </w:r>
      <w:r>
        <w:rPr>
          <w:rFonts w:ascii="Times New Roman" w:cs="Times New Roman" w:eastAsia="Times New Roman" w:hAnsi="Times New Roman"/>
          <w:b w:val="false"/>
          <w:bCs w:val="false"/>
          <w:i w:val="false"/>
          <w:iCs w:val="false"/>
          <w:smallCaps w:val="false"/>
          <w:color w:val="000000"/>
          <w:sz w:val="24"/>
          <w:szCs w:val="24"/>
        </w:rPr>
        <w:t xml:space="preserve">, established by a physical touch of the authenticator, and </w:t>
      </w:r>
      <w:r>
        <w:rPr>
          <w:rFonts w:ascii="Times New Roman" w:cs="Times New Roman" w:eastAsia="Times New Roman" w:hAnsi="Times New Roman"/>
          <w:b w:val="false"/>
          <w:bCs w:val="false"/>
          <w:i/>
          <w:iCs/>
          <w:smallCaps w:val="false"/>
          <w:color w:val="000000"/>
          <w:sz w:val="24"/>
          <w:szCs w:val="24"/>
        </w:rPr>
        <w:t xml:space="preserve">user verification</w:t>
      </w:r>
      <w:r>
        <w:rPr>
          <w:rFonts w:ascii="Times New Roman" w:cs="Times New Roman" w:eastAsia="Times New Roman" w:hAnsi="Times New Roman"/>
          <w:b w:val="false"/>
          <w:bCs w:val="false"/>
          <w:i w:val="false"/>
          <w:iCs w:val="false"/>
          <w:smallCaps w:val="false"/>
          <w:color w:val="000000"/>
          <w:sz w:val="24"/>
          <w:szCs w:val="24"/>
        </w:rPr>
        <w:t xml:space="preserve">, established by a personal identification number or biometric that additionally proves </w:t>
      </w:r>
      <w:r>
        <w:rPr>
          <w:rFonts w:ascii="Times New Roman" w:cs="Times New Roman" w:eastAsia="Times New Roman" w:hAnsi="Times New Roman"/>
          <w:b w:val="false"/>
          <w:bCs w:val="false"/>
          <w:i/>
          <w:iCs/>
          <w:smallCaps w:val="false"/>
          <w:color w:val="000000"/>
          <w:sz w:val="24"/>
          <w:szCs w:val="24"/>
        </w:rPr>
        <w:t xml:space="preserve">which</w:t>
      </w:r>
      <w:r>
        <w:rPr>
          <w:rFonts w:ascii="Times New Roman" w:cs="Times New Roman" w:eastAsia="Times New Roman" w:hAnsi="Times New Roman"/>
          <w:b w:val="false"/>
          <w:bCs w:val="false"/>
          <w:i w:val="false"/>
          <w:iCs w:val="false"/>
          <w:smallCaps w:val="false"/>
          <w:color w:val="000000"/>
          <w:sz w:val="24"/>
          <w:szCs w:val="24"/>
        </w:rPr>
        <w:t xml:space="preserve"> human is present </w:t>
      </w:r>
      <w:r>
        <w:rPr>
          <w:rFonts w:ascii="Times New Roman" w:cs="Times New Roman" w:eastAsia="Times New Roman" w:hAnsi="Times New Roman"/>
          <w:color w:val="000000"/>
          <w:sz w:val="24"/>
          <w:szCs w:val="24"/>
        </w:rPr>
        <w:t xml:space="preserve">[81, 82]</w:t>
      </w:r>
      <w:r>
        <w:rPr>
          <w:rFonts w:ascii="Times New Roman" w:cs="Times New Roman" w:eastAsia="Times New Roman" w:hAnsi="Times New Roman"/>
          <w:b w:val="false"/>
          <w:bCs w:val="false"/>
          <w:i w:val="false"/>
          <w:iCs w:val="false"/>
          <w:smallCaps w:val="false"/>
          <w:color w:val="000000"/>
          <w:sz w:val="24"/>
          <w:szCs w:val="24"/>
        </w:rPr>
        <w:t xml:space="preserve">. The private key operation occurs inside the tamper-resistant hardware and is released only by the physical gesture, which—by design of the standard—software cannot supply on the human’s behalf.</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distinction is exactly what the safety spine requires. When an agent proposes a consequential action, the action does not execute; it surfaces to the operator with its full context—what tool, what arguments, what target, and why—and blocks. The gate requires the operator to physically touch the hardware key, and, for the most sensitive actions, to additionally verify identity. The cryptographic assertion the key produces is what releases the action. Because the autonomous process has no finger to supply the touch, the gate constitutes control the process cannot bypass. Every proposal and every outcome, whether approved or denied, is recorded, so that the system’s behavior is fully auditable after the fact. We describe this as an authorization </w:t>
      </w:r>
      <w:r>
        <w:rPr>
          <w:rFonts w:ascii="Times New Roman" w:cs="Times New Roman" w:eastAsia="Times New Roman" w:hAnsi="Times New Roman"/>
          <w:b w:val="false"/>
          <w:bCs w:val="false"/>
          <w:i/>
          <w:iCs/>
          <w:smallCaps w:val="false"/>
          <w:color w:val="000000"/>
          <w:sz w:val="24"/>
          <w:szCs w:val="24"/>
        </w:rPr>
        <w:t xml:space="preserve">ceremony</w:t>
      </w:r>
      <w:r>
        <w:rPr>
          <w:rFonts w:ascii="Times New Roman" w:cs="Times New Roman" w:eastAsia="Times New Roman" w:hAnsi="Times New Roman"/>
          <w:b w:val="false"/>
          <w:bCs w:val="false"/>
          <w:i w:val="false"/>
          <w:iCs w:val="false"/>
          <w:smallCaps w:val="false"/>
          <w:color w:val="000000"/>
          <w:sz w:val="24"/>
          <w:szCs w:val="24"/>
        </w:rPr>
        <w:t xml:space="preserve"> deliberately: it is a structured, deliberate act that forces the operator to consciously affirm each consequential decision, and it is the mechanism that makes the phrase “human-in-the-loop” concrete rather than rhetorical.</w:t>
      </w:r>
    </w:p>
    <w:p>
      <w:pPr>
        <w:pStyle w:val="Heading2"/>
        <w:keepNext/>
        <w:spacing w:after="90" w:before="200"/>
      </w:pPr>
      <w:r>
        <w:rPr>
          <w:rFonts w:ascii="Arial" w:cs="Arial" w:eastAsia="Arial" w:hAnsi="Arial"/>
          <w:b/>
          <w:bCs/>
          <w:color w:val="000000"/>
          <w:sz w:val="23"/>
          <w:szCs w:val="23"/>
        </w:rPr>
        <w:t xml:space="preserve">8.4  Meaningful Human Control and Its Preconditions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concept the safety spine operationalizes is what the autonomous-systems literature calls meaningful human control: the requirement that a human, not merely a human-shaped formality, retains genuine authority over the system’s consequential behavior. The AI-safety literature’s treatment of oversight makes clear that control is meaningful only when the human has the information needed to decide and the authority to make the decision stick </w:t>
      </w:r>
      <w:r>
        <w:rPr>
          <w:rFonts w:ascii="Times New Roman" w:cs="Times New Roman" w:eastAsia="Times New Roman" w:hAnsi="Times New Roman"/>
          <w:color w:val="000000"/>
          <w:sz w:val="24"/>
          <w:szCs w:val="24"/>
        </w:rPr>
        <w:t xml:space="preserve">[76, 78]</w:t>
      </w:r>
      <w:r>
        <w:rPr>
          <w:rFonts w:ascii="Times New Roman" w:cs="Times New Roman" w:eastAsia="Times New Roman" w:hAnsi="Times New Roman"/>
          <w:b w:val="false"/>
          <w:bCs w:val="false"/>
          <w:i w:val="false"/>
          <w:iCs w:val="false"/>
          <w:smallCaps w:val="false"/>
          <w:color w:val="000000"/>
          <w:sz w:val="24"/>
          <w:szCs w:val="24"/>
        </w:rPr>
        <w:t xml:space="preserve">. The safety spine addresses both preconditions. The information precondition is met by surfacing, at the moment of the gate, the full context of the proposed action—the tool to be invoked, its arguments, its target, and the reasoning that led to it—so that the human approves an understood action rather than an opaque one. The authority precondition is met by the hardware mechanism: because the action cannot proceed without the physical assertion, the human’s decision is dispositive rather than advisory. A confirmation that the system could satisfy on its own, or that presented too little context to understand, would fail one or both preconditions and would therefore not constitute meaningful control, however much it resembled oversight.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framing clarifies why the gate is placed at consequential action specifically, rather than at every step of the agent’s reasoning. Requiring human approval of every intermediate thought would defeat the purpose of automation without improving safety, because intermediate reasoning has no external effect. The point of control that matters is the boundary between deliberation, which is internal and reversible, and action, which is external and often irreversible. Placing the gate exactly at that boundary maximizes the human’s meaningful control over outcomes while minimizing the burden the gate imposes—the human governs what matters and is untroubled by what does not. This is the design consequence of taking the preconditions of meaningful control seriously.</w:t>
      </w:r>
    </w:p>
    <w:p>
      <w:pPr>
        <w:pStyle w:val="Heading2"/>
        <w:keepNext/>
        <w:spacing w:after="90" w:before="200"/>
      </w:pPr>
      <w:r>
        <w:rPr>
          <w:rFonts w:ascii="Arial" w:cs="Arial" w:eastAsia="Arial" w:hAnsi="Arial"/>
          <w:b/>
          <w:bCs/>
          <w:color w:val="000000"/>
          <w:sz w:val="23"/>
          <w:szCs w:val="23"/>
        </w:rPr>
        <w:t xml:space="preserve">8.5  The Audit Trail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Meaningful control extends beyond the moment of decision to the capacity to review decisions after the fact, and the architecture therefore records every gated proposal and its disposition. The record captures what was proposed, the context presented to the human, whether the human approved or denied, and the outcome of any approved action. This audit trail serves several purposes at once. It supports accountability, by making it possible to reconstruct why any consequential action occurred and who authorized it. It supports debugging and improvement, by revealing patterns in what the collective proposes and where the human intervenes. And it supports security, by providing the forensic record needed to investigate any incident. Governance frameworks for trustworthy artificial intelligence emphasize precisely this kind of traceability as a requirement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and the local-first setting makes it unusually easy to satisfy: because the entire system runs under one owner’s control, the audit trail is complete and tamper-evident in a way that a distributed, multi-party system’s logs seldom are. The combination of a gate at the moment of action and a complete record after it is what makes the architecture’s human governance not merely real but reviewable.</w:t>
      </w:r>
    </w:p>
    <w:p>
      <w:pPr>
        <w:pStyle w:val="Heading2"/>
        <w:keepNext/>
        <w:spacing w:after="90" w:before="200"/>
      </w:pPr>
      <w:r>
        <w:rPr>
          <w:rFonts w:ascii="Arial" w:cs="Arial" w:eastAsia="Arial" w:hAnsi="Arial"/>
          <w:b/>
          <w:bCs/>
          <w:color w:val="000000"/>
          <w:sz w:val="23"/>
          <w:szCs w:val="23"/>
        </w:rPr>
        <w:t xml:space="preserve">8.6  Throughput, Batching, and the Human Bottleneck</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gate that requires physical authorization imposes a rate limit measured in human attention, and the architecture must be designed around that limit rather than pretending it away. The constraint has a useful disciplining effect. Because each consequential action costs a human gesture, the system is pressured toward proposals that are worth the gesture—batched, well-formed, and consequential in aggregate rather than a stream of trivia. An agent that would generate a thousand small consequential actions per hour is not a good fit for the architecture, and this is a real restriction on the class of applications it serves, as Section 12 acknowledges. But for the workloads the architecture targets, where consequential actions are occasional and their consequences material, the human bottleneck is not the limiting factor: the collective spends the overwhelming majority of its time reasoning, retrieving, drafting, and critiquing, none of which is gated, and surfaces for authorization only at the comparatively rare moments when something would actually happen.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design response is to make each gate crossing carry as much value as it honestly can. Related actions are grouped so that a single authorization covers a coherent unit of work rather than fragmenting one decision into several gestures, provided the grouping does not obscure what is being authorized—a batch that a human cannot understand as a unit has traded meaningful control for convenience, which is exactly the trade Section 8.4 warns against. The context surfaced at the gate is accordingly designed for comprehension rather than completeness: the human needs to understand what will happen and why, not to read a transcript of every intermediate thought. Governance frameworks emphasize that oversight must be practicable to be real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a gate so burdensome that operators route around it protects nothing. The engineering goal is a gate that is frequent enough to catch what matters and light enough that catching it remains sustainable.</w:t>
      </w:r>
    </w:p>
    <w:p>
      <w:pPr>
        <w:pStyle w:val="Heading2"/>
        <w:keepNext/>
        <w:spacing w:after="90" w:before="200"/>
      </w:pPr>
      <w:r>
        <w:rPr>
          <w:rFonts w:ascii="Arial" w:cs="Arial" w:eastAsia="Arial" w:hAnsi="Arial"/>
          <w:b/>
          <w:bCs/>
          <w:color w:val="000000"/>
          <w:sz w:val="23"/>
          <w:szCs w:val="23"/>
        </w:rPr>
        <w:t xml:space="preserve">8.7  The Gate as the Enabling Condition of Autonomy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is worth stating the resulting position precisely, because it inverts a common intuition. One might suppose that safety and autonomy trade off—that a safer system is a less autonomous one. The architecture’s stance is rather that a robust human gate is the </w:t>
      </w:r>
      <w:r>
        <w:rPr>
          <w:rFonts w:ascii="Times New Roman" w:cs="Times New Roman" w:eastAsia="Times New Roman" w:hAnsi="Times New Roman"/>
          <w:b w:val="false"/>
          <w:bCs w:val="false"/>
          <w:i/>
          <w:iCs/>
          <w:smallCaps w:val="false"/>
          <w:color w:val="000000"/>
          <w:sz w:val="24"/>
          <w:szCs w:val="24"/>
        </w:rPr>
        <w:t xml:space="preserve">enabling condition</w:t>
      </w:r>
      <w:r>
        <w:rPr>
          <w:rFonts w:ascii="Times New Roman" w:cs="Times New Roman" w:eastAsia="Times New Roman" w:hAnsi="Times New Roman"/>
          <w:b w:val="false"/>
          <w:bCs w:val="false"/>
          <w:i w:val="false"/>
          <w:iCs w:val="false"/>
          <w:smallCaps w:val="false"/>
          <w:color w:val="000000"/>
          <w:sz w:val="24"/>
          <w:szCs w:val="24"/>
        </w:rPr>
        <w:t xml:space="preserve"> of autonomy: because consequential actions are gated, the system can be permitted to reason, plan, draft, and propose with considerable freedom, precisely because nothing it proposes takes effect in the world without human authorization. The gate is what makes it responsible to let the collective operate autonomously at all. Remove it, and autonomous operation becomes reckless; retain it, and the system can be both genuinely useful and genuinely safe. This is the sense in which the safety spine is not a constraint bolted onto the architecture but the architectural commitment from which the legitimacy of everything else derives.</w:t>
      </w:r>
    </w:p>
    <w:p>
      <w:pPr>
        <w:pStyle w:val="Heading1"/>
        <w:keepNext/>
        <w:spacing w:after="120" w:before="300"/>
      </w:pPr>
      <w:r>
        <w:rPr>
          <w:rFonts w:ascii="Arial" w:cs="Arial" w:eastAsia="Arial" w:hAnsi="Arial"/>
          <w:b/>
          <w:bCs/>
          <w:color w:val="000000"/>
          <w:sz w:val="26"/>
          <w:szCs w:val="26"/>
        </w:rPr>
        <w:t xml:space="preserve">9  Agentic Security and the Offensive-Tooling Hazard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admits a configuration that deserves singular scrutiny: an autonomous agent equipped with offensive security tooling. We treat this directly, first because intellectual honesty demands it and second because the analysis illuminates the general security posture of tool-enabled autonomous systems. We argue that such a configuration is the most hazardous the architecture permits, and that the defensive posture described here—adversarial self-testing, standardized threat modeling, and the hardware gate of Section 8—is what renders it defensible.</w:t>
      </w:r>
    </w:p>
    <w:p>
      <w:pPr>
        <w:pStyle w:val="Heading2"/>
        <w:keepNext/>
        <w:spacing w:after="90" w:before="200"/>
      </w:pPr>
      <w:r>
        <w:rPr>
          <w:rFonts w:ascii="Arial" w:cs="Arial" w:eastAsia="Arial" w:hAnsi="Arial"/>
          <w:b/>
          <w:bCs/>
          <w:color w:val="000000"/>
          <w:sz w:val="23"/>
          <w:szCs w:val="23"/>
        </w:rPr>
        <w:t xml:space="preserve">9.1  Prompt Injection as the Central Threat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defining vulnerability of tool-enabled language-model systems is prompt injection: the insertion, into content the model processes, of instructions that subvert the model’s intended behavior. The direct form, in which a user crafts input to bypass a model’s safeguards, is well documented </w:t>
      </w:r>
      <w:r>
        <w:rPr>
          <w:rFonts w:ascii="Times New Roman" w:cs="Times New Roman" w:eastAsia="Times New Roman" w:hAnsi="Times New Roman"/>
          <w:color w:val="000000"/>
          <w:sz w:val="24"/>
          <w:szCs w:val="24"/>
        </w:rPr>
        <w:t xml:space="preserve">[90, 91]</w:t>
      </w:r>
      <w:r>
        <w:rPr>
          <w:rFonts w:ascii="Times New Roman" w:cs="Times New Roman" w:eastAsia="Times New Roman" w:hAnsi="Times New Roman"/>
          <w:b w:val="false"/>
          <w:bCs w:val="false"/>
          <w:i w:val="false"/>
          <w:iCs w:val="false"/>
          <w:smallCaps w:val="false"/>
          <w:color w:val="000000"/>
          <w:sz w:val="24"/>
          <w:szCs w:val="24"/>
        </w:rPr>
        <w:t xml:space="preserve">, but the form most dangerous to an autonomous agent is </w:t>
      </w:r>
      <w:r>
        <w:rPr>
          <w:rFonts w:ascii="Times New Roman" w:cs="Times New Roman" w:eastAsia="Times New Roman" w:hAnsi="Times New Roman"/>
          <w:b w:val="false"/>
          <w:bCs w:val="false"/>
          <w:i/>
          <w:iCs/>
          <w:smallCaps w:val="false"/>
          <w:color w:val="000000"/>
          <w:sz w:val="24"/>
          <w:szCs w:val="24"/>
        </w:rPr>
        <w:t xml:space="preserve">indirect</w:t>
      </w:r>
      <w:r>
        <w:rPr>
          <w:rFonts w:ascii="Times New Roman" w:cs="Times New Roman" w:eastAsia="Times New Roman" w:hAnsi="Times New Roman"/>
          <w:b w:val="false"/>
          <w:bCs w:val="false"/>
          <w:i w:val="false"/>
          <w:iCs w:val="false"/>
          <w:smallCaps w:val="false"/>
          <w:color w:val="000000"/>
          <w:sz w:val="24"/>
          <w:szCs w:val="24"/>
        </w:rPr>
        <w:t xml:space="preserve"> prompt injection, in which the malicious instruction is planted in external content—a web page, a document, an email—that the agent later ingests in the ordinary course of its work </w:t>
      </w:r>
      <w:r>
        <w:rPr>
          <w:rFonts w:ascii="Times New Roman" w:cs="Times New Roman" w:eastAsia="Times New Roman" w:hAnsi="Times New Roman"/>
          <w:color w:val="000000"/>
          <w:sz w:val="24"/>
          <w:szCs w:val="24"/>
        </w:rPr>
        <w:t xml:space="preserve">[89]</w:t>
      </w:r>
      <w:r>
        <w:rPr>
          <w:rFonts w:ascii="Times New Roman" w:cs="Times New Roman" w:eastAsia="Times New Roman" w:hAnsi="Times New Roman"/>
          <w:b w:val="false"/>
          <w:bCs w:val="false"/>
          <w:i w:val="false"/>
          <w:iCs w:val="false"/>
          <w:smallCaps w:val="false"/>
          <w:color w:val="000000"/>
          <w:sz w:val="24"/>
          <w:szCs w:val="24"/>
        </w:rPr>
        <w:t xml:space="preserve">. The foundational analysis of indirect injection showed that a language-model-integrated application which retrieves and processes attacker-influenced content can be made to act on instructions embedded in that content, compromising the application without the attacker ever interacting with it directly </w:t>
      </w:r>
      <w:r>
        <w:rPr>
          <w:rFonts w:ascii="Times New Roman" w:cs="Times New Roman" w:eastAsia="Times New Roman" w:hAnsi="Times New Roman"/>
          <w:color w:val="000000"/>
          <w:sz w:val="24"/>
          <w:szCs w:val="24"/>
        </w:rPr>
        <w:t xml:space="preserve">[89]</w:t>
      </w:r>
      <w:r>
        <w:rPr>
          <w:rFonts w:ascii="Times New Roman" w:cs="Times New Roman" w:eastAsia="Times New Roman" w:hAnsi="Times New Roman"/>
          <w:b w:val="false"/>
          <w:bCs w:val="false"/>
          <w:i w:val="false"/>
          <w:iCs w:val="false"/>
          <w:smallCaps w:val="false"/>
          <w:color w:val="000000"/>
          <w:sz w:val="24"/>
          <w:szCs w:val="24"/>
        </w:rPr>
        <w:t xml:space="preserve">. For an agent that holds both the ability to ingest external content and the ability to act through tools, this is the mechanism by which untrusted data becomes untrusted control.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That this threat is not merely theoretical was established dramatically by a zero-click exploit against a production language-model system, in which a crafted input caused sensitive data to be exfiltrated without any user interaction, chaining an evasion of the system’s injection classifier with several further bypasses </w:t>
      </w:r>
      <w:r>
        <w:rPr>
          <w:rFonts w:ascii="Times New Roman" w:cs="Times New Roman" w:eastAsia="Times New Roman" w:hAnsi="Times New Roman"/>
          <w:color w:val="000000"/>
          <w:sz w:val="24"/>
          <w:szCs w:val="24"/>
        </w:rPr>
        <w:t xml:space="preserve">[102, 103]</w:t>
      </w:r>
      <w:r>
        <w:rPr>
          <w:rFonts w:ascii="Times New Roman" w:cs="Times New Roman" w:eastAsia="Times New Roman" w:hAnsi="Times New Roman"/>
          <w:b w:val="false"/>
          <w:bCs w:val="false"/>
          <w:i w:val="false"/>
          <w:iCs w:val="false"/>
          <w:smallCaps w:val="false"/>
          <w:color w:val="000000"/>
          <w:sz w:val="24"/>
          <w:szCs w:val="24"/>
        </w:rPr>
        <w:t xml:space="preserve">. This case is the clearest available demonstration that a capable, tool-enabled agent processing untrusted content is a real and exploitable attack surface, and that—as defenders of another production system have observed—greater model capability does not by itself confer greater security </w:t>
      </w:r>
      <w:r>
        <w:rPr>
          <w:rFonts w:ascii="Times New Roman" w:cs="Times New Roman" w:eastAsia="Times New Roman" w:hAnsi="Times New Roman"/>
          <w:color w:val="000000"/>
          <w:sz w:val="24"/>
          <w:szCs w:val="24"/>
        </w:rPr>
        <w:t xml:space="preserve">[92]</w:t>
      </w:r>
      <w:r>
        <w:rPr>
          <w:rFonts w:ascii="Times New Roman" w:cs="Times New Roman" w:eastAsia="Times New Roman" w:hAnsi="Times New Roman"/>
          <w:b w:val="false"/>
          <w:bCs w:val="false"/>
          <w:i w:val="false"/>
          <w:iCs w:val="false"/>
          <w:smallCaps w:val="false"/>
          <w:color w:val="000000"/>
          <w:sz w:val="24"/>
          <w:szCs w:val="24"/>
        </w:rPr>
        <w:t xml:space="preserve">. The comprehensive review literature now treats prompt injection across agent systems as a first-order security concern </w:t>
      </w:r>
      <w:r>
        <w:rPr>
          <w:rFonts w:ascii="Times New Roman" w:cs="Times New Roman" w:eastAsia="Times New Roman" w:hAnsi="Times New Roman"/>
          <w:color w:val="000000"/>
          <w:sz w:val="24"/>
          <w:szCs w:val="24"/>
        </w:rPr>
        <w:t xml:space="preserve">[126]</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is worth distinguishing the varieties of injection precisely, because the architecture’s defenses differ by variety. Direct injection, in which the operator or user themselves supplies adversarial input, is a concern chiefly when the operator is untrusted or when a user other than the operator can reach the system; jailbreak techniques that defeat a model’s safety training fall here </w:t>
      </w:r>
      <w:r>
        <w:rPr>
          <w:rFonts w:ascii="Times New Roman" w:cs="Times New Roman" w:eastAsia="Times New Roman" w:hAnsi="Times New Roman"/>
          <w:color w:val="000000"/>
          <w:sz w:val="24"/>
          <w:szCs w:val="24"/>
        </w:rPr>
        <w:t xml:space="preserve">[90, 91]</w:t>
      </w:r>
      <w:r>
        <w:rPr>
          <w:rFonts w:ascii="Times New Roman" w:cs="Times New Roman" w:eastAsia="Times New Roman" w:hAnsi="Times New Roman"/>
          <w:b w:val="false"/>
          <w:bCs w:val="false"/>
          <w:i w:val="false"/>
          <w:iCs w:val="false"/>
          <w:smallCaps w:val="false"/>
          <w:color w:val="000000"/>
          <w:sz w:val="24"/>
          <w:szCs w:val="24"/>
        </w:rPr>
        <w:t xml:space="preserve">. Indirect injection, by contrast, requires no privileged access at all: the adversary need only cause their crafted content to be somewhere the agent will read it in the course of its work, whereupon the agent ingests the malicious instruction as though it were data </w:t>
      </w:r>
      <w:r>
        <w:rPr>
          <w:rFonts w:ascii="Times New Roman" w:cs="Times New Roman" w:eastAsia="Times New Roman" w:hAnsi="Times New Roman"/>
          <w:color w:val="000000"/>
          <w:sz w:val="24"/>
          <w:szCs w:val="24"/>
        </w:rPr>
        <w:t xml:space="preserve">[89]</w:t>
      </w:r>
      <w:r>
        <w:rPr>
          <w:rFonts w:ascii="Times New Roman" w:cs="Times New Roman" w:eastAsia="Times New Roman" w:hAnsi="Times New Roman"/>
          <w:b w:val="false"/>
          <w:bCs w:val="false"/>
          <w:i w:val="false"/>
          <w:iCs w:val="false"/>
          <w:smallCaps w:val="false"/>
          <w:color w:val="000000"/>
          <w:sz w:val="24"/>
          <w:szCs w:val="24"/>
        </w:rPr>
        <w:t xml:space="preserve">. This is the more insidious variety for an autonomous system, because such a system’s value lies precisely in its ability to read and act on external content without human mediation of every input, which is exactly the capability indirect injection exploits. A third variety, sometimes distinguished, concerns adversarial content in the tool results an agent receives, which is a special case of indirect injection at the tool boundary and which the standardized protocol’s concentration of that boundary helps to govern </w:t>
      </w:r>
      <w:r>
        <w:rPr>
          <w:rFonts w:ascii="Times New Roman" w:cs="Times New Roman" w:eastAsia="Times New Roman" w:hAnsi="Times New Roman"/>
          <w:color w:val="000000"/>
          <w:sz w:val="24"/>
          <w:szCs w:val="24"/>
        </w:rPr>
        <w:t xml:space="preserve">[70, 75]</w:t>
      </w:r>
      <w:r>
        <w:rPr>
          <w:rFonts w:ascii="Times New Roman" w:cs="Times New Roman" w:eastAsia="Times New Roman" w:hAnsi="Times New Roman"/>
          <w:b w:val="false"/>
          <w:bCs w:val="false"/>
          <w:i w:val="false"/>
          <w:iCs w:val="false"/>
          <w:smallCaps w:val="false"/>
          <w:color w:val="000000"/>
          <w:sz w:val="24"/>
          <w:szCs w:val="24"/>
        </w:rPr>
        <w:t xml:space="preserve">. The architecture’s layered defenses map onto this taxonomy: the operator’s trust and the audit trail address direct injection, the treatment of ingested content as data and the human gate address indirect injection, and the tool-boundary defenses address adversarial tool results. No single defense addresses all three, which is why the defense must be layered.</w:t>
      </w:r>
    </w:p>
    <w:p>
      <w:pPr>
        <w:pStyle w:val="Heading2"/>
        <w:keepNext/>
        <w:spacing w:after="90" w:before="200"/>
      </w:pPr>
      <w:r>
        <w:rPr>
          <w:rFonts w:ascii="Arial" w:cs="Arial" w:eastAsia="Arial" w:hAnsi="Arial"/>
          <w:b/>
          <w:bCs/>
          <w:color w:val="000000"/>
          <w:sz w:val="23"/>
          <w:szCs w:val="23"/>
        </w:rPr>
        <w:t xml:space="preserve">9.2  The Adversarial-Machine-Learning Context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Prompt injection is the language-model manifestation of a broader phenomenon: machine-learning systems are vulnerable to adversarial manipulation of their inputs. The discovery that imperceptible perturbations can cause confident misclassification </w:t>
      </w:r>
      <w:r>
        <w:rPr>
          <w:rFonts w:ascii="Times New Roman" w:cs="Times New Roman" w:eastAsia="Times New Roman" w:hAnsi="Times New Roman"/>
          <w:color w:val="000000"/>
          <w:sz w:val="24"/>
          <w:szCs w:val="24"/>
        </w:rPr>
        <w:t xml:space="preserve">[93, 94]</w:t>
      </w:r>
      <w:r>
        <w:rPr>
          <w:rFonts w:ascii="Times New Roman" w:cs="Times New Roman" w:eastAsia="Times New Roman" w:hAnsi="Times New Roman"/>
          <w:b w:val="false"/>
          <w:bCs w:val="false"/>
          <w:i w:val="false"/>
          <w:iCs w:val="false"/>
          <w:smallCaps w:val="false"/>
          <w:color w:val="000000"/>
          <w:sz w:val="24"/>
          <w:szCs w:val="24"/>
        </w:rPr>
        <w:t xml:space="preserve"> established a field concerned with the security of learned systems, encompassing evasion, data poisoning—in which corrupted training data implants a backdoor </w:t>
      </w:r>
      <w:r>
        <w:rPr>
          <w:rFonts w:ascii="Times New Roman" w:cs="Times New Roman" w:eastAsia="Times New Roman" w:hAnsi="Times New Roman"/>
          <w:color w:val="000000"/>
          <w:sz w:val="24"/>
          <w:szCs w:val="24"/>
        </w:rPr>
        <w:t xml:space="preserve">[95]</w:t>
      </w:r>
      <w:r>
        <w:rPr>
          <w:rFonts w:ascii="Times New Roman" w:cs="Times New Roman" w:eastAsia="Times New Roman" w:hAnsi="Times New Roman"/>
          <w:b w:val="false"/>
          <w:bCs w:val="false"/>
          <w:i w:val="false"/>
          <w:iCs w:val="false"/>
          <w:smallCaps w:val="false"/>
          <w:color w:val="000000"/>
          <w:sz w:val="24"/>
          <w:szCs w:val="24"/>
        </w:rPr>
        <w:t xml:space="preserve">—and the extraction of training data or model behavior </w:t>
      </w:r>
      <w:r>
        <w:rPr>
          <w:rFonts w:ascii="Times New Roman" w:cs="Times New Roman" w:eastAsia="Times New Roman" w:hAnsi="Times New Roman"/>
          <w:color w:val="000000"/>
          <w:sz w:val="24"/>
          <w:szCs w:val="24"/>
        </w:rPr>
        <w:t xml:space="preserve">[2, 3]</w:t>
      </w:r>
      <w:r>
        <w:rPr>
          <w:rFonts w:ascii="Times New Roman" w:cs="Times New Roman" w:eastAsia="Times New Roman" w:hAnsi="Times New Roman"/>
          <w:b w:val="false"/>
          <w:bCs w:val="false"/>
          <w:i w:val="false"/>
          <w:iCs w:val="false"/>
          <w:smallCaps w:val="false"/>
          <w:color w:val="000000"/>
          <w:sz w:val="24"/>
          <w:szCs w:val="24"/>
        </w:rPr>
        <w:t xml:space="preserve">. Situating prompt injection within this lineage clarifies that it is not an anomaly to be patched away but an instance of a durable property of learned systems, which must be managed rather than eliminated.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durability of this vulnerability class has an important implication for the architecture’s security philosophy. Because adversarial manipulation of learned systems appears to be a persistent property rather than a transient defect—a decade of research since its discovery has mitigated but not eliminated it </w:t>
      </w:r>
      <w:r>
        <w:rPr>
          <w:rFonts w:ascii="Times New Roman" w:cs="Times New Roman" w:eastAsia="Times New Roman" w:hAnsi="Times New Roman"/>
          <w:color w:val="000000"/>
          <w:sz w:val="24"/>
          <w:szCs w:val="24"/>
        </w:rPr>
        <w:t xml:space="preserve">[93, 94]</w:t>
      </w:r>
      <w:r>
        <w:rPr>
          <w:rFonts w:ascii="Times New Roman" w:cs="Times New Roman" w:eastAsia="Times New Roman" w:hAnsi="Times New Roman"/>
          <w:b w:val="false"/>
          <w:bCs w:val="false"/>
          <w:i w:val="false"/>
          <w:iCs w:val="false"/>
          <w:smallCaps w:val="false"/>
          <w:color w:val="000000"/>
          <w:sz w:val="24"/>
          <w:szCs w:val="24"/>
        </w:rPr>
        <w:t xml:space="preserve">—a responsible design cannot assume that its models will be robust to all adversarial input. It must instead assume the contrary: that a sufficiently motivated adversary may succeed in manipulating a model, and that the system’s safety must therefore not depend on the model’s robustness alone. This assumption is precisely what motivates the human gate. If models could be made perfectly robust to injection, a case might be made that autonomous action without a human gate was acceptable; because they cannot, the gate is not optional but necessary, a structural acknowledgment that the model layer will sometimes fail and that a mechanism independent of the model must catch the failure before it produces consequential harm. The architecture’s security posture is thus built on a realistic rather than an optimistic assumption about the models it employs, and the safety spine is the concrete expression of that realism.</w:t>
      </w:r>
    </w:p>
    <w:p>
      <w:pPr>
        <w:pStyle w:val="Heading2"/>
        <w:keepNext/>
        <w:spacing w:after="90" w:before="200"/>
      </w:pPr>
      <w:r>
        <w:rPr>
          <w:rFonts w:ascii="Arial" w:cs="Arial" w:eastAsia="Arial" w:hAnsi="Arial"/>
          <w:b/>
          <w:bCs/>
          <w:color w:val="000000"/>
          <w:sz w:val="23"/>
          <w:szCs w:val="23"/>
        </w:rPr>
        <w:t xml:space="preserve">9.3  Standardized Threat Modeling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Managing these risks systematically requires a shared vocabulary, and two bodies of standardized threat modeling supply one. The community-maintained enumeration of the ten most critical risks to language-model applications provides a taxonomy for the model layer, and its extension to agentic applications addresses the additional risks that arise when models act autonomously through tools </w:t>
      </w:r>
      <w:r>
        <w:rPr>
          <w:rFonts w:ascii="Times New Roman" w:cs="Times New Roman" w:eastAsia="Times New Roman" w:hAnsi="Times New Roman"/>
          <w:color w:val="000000"/>
          <w:sz w:val="24"/>
          <w:szCs w:val="24"/>
        </w:rPr>
        <w:t xml:space="preserve">[96, 97]</w:t>
      </w:r>
      <w:r>
        <w:rPr>
          <w:rFonts w:ascii="Times New Roman" w:cs="Times New Roman" w:eastAsia="Times New Roman" w:hAnsi="Times New Roman"/>
          <w:b w:val="false"/>
          <w:bCs w:val="false"/>
          <w:i w:val="false"/>
          <w:iCs w:val="false"/>
          <w:smallCaps w:val="false"/>
          <w:color w:val="000000"/>
          <w:sz w:val="24"/>
          <w:szCs w:val="24"/>
        </w:rPr>
        <w:t xml:space="preserve">. Complementing these, an adversarial-threat knowledge base for artificial-intelligence systems catalogs tactics and techniques in the manner of established security matrices, enabling attacks to be described and coverage to be measured in a standardized way </w:t>
      </w:r>
      <w:r>
        <w:rPr>
          <w:rFonts w:ascii="Times New Roman" w:cs="Times New Roman" w:eastAsia="Times New Roman" w:hAnsi="Times New Roman"/>
          <w:color w:val="000000"/>
          <w:sz w:val="24"/>
          <w:szCs w:val="24"/>
        </w:rPr>
        <w:t xml:space="preserve">[98]</w:t>
      </w:r>
      <w:r>
        <w:rPr>
          <w:rFonts w:ascii="Times New Roman" w:cs="Times New Roman" w:eastAsia="Times New Roman" w:hAnsi="Times New Roman"/>
          <w:b w:val="false"/>
          <w:bCs w:val="false"/>
          <w:i w:val="false"/>
          <w:iCs w:val="false"/>
          <w:smallCaps w:val="false"/>
          <w:color w:val="000000"/>
          <w:sz w:val="24"/>
          <w:szCs w:val="24"/>
        </w:rPr>
        <w:t xml:space="preserve">. The architecture uses these frameworks as design constraints: each agent capability is assessed against the relevant risk categories, and the security posture is documented in their shared terms so that it is legible to reviewers and comparable over time.</w:t>
      </w:r>
    </w:p>
    <w:p>
      <w:pPr>
        <w:pStyle w:val="Heading2"/>
        <w:keepNext/>
        <w:spacing w:after="90" w:before="200"/>
      </w:pPr>
      <w:r>
        <w:rPr>
          <w:rFonts w:ascii="Arial" w:cs="Arial" w:eastAsia="Arial" w:hAnsi="Arial"/>
          <w:b/>
          <w:bCs/>
          <w:color w:val="000000"/>
          <w:sz w:val="23"/>
          <w:szCs w:val="23"/>
        </w:rPr>
        <w:t xml:space="preserve">9.4  Adversarial Self-Testing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Before the collective’s own models are trusted in any tool-calling role, they are subjected to adversarial testing—red-teaming—to discover where they fail. The automation of red-teaming, using one model to generate adversarial inputs against another, was established as a scalable method for surfacing failures </w:t>
      </w:r>
      <w:r>
        <w:rPr>
          <w:rFonts w:ascii="Times New Roman" w:cs="Times New Roman" w:eastAsia="Times New Roman" w:hAnsi="Times New Roman"/>
          <w:color w:val="000000"/>
          <w:sz w:val="24"/>
          <w:szCs w:val="24"/>
        </w:rPr>
        <w:t xml:space="preserve">[99]</w:t>
      </w:r>
      <w:r>
        <w:rPr>
          <w:rFonts w:ascii="Times New Roman" w:cs="Times New Roman" w:eastAsia="Times New Roman" w:hAnsi="Times New Roman"/>
          <w:b w:val="false"/>
          <w:bCs w:val="false"/>
          <w:i w:val="false"/>
          <w:iCs w:val="false"/>
          <w:smallCaps w:val="false"/>
          <w:color w:val="000000"/>
          <w:sz w:val="24"/>
          <w:szCs w:val="24"/>
        </w:rPr>
        <w:t xml:space="preserve">, and open tooling now operationalizes it: a vulnerability scanner probes a model with a library of attack families and reports where it breaks, and a risk-identification framework orchestrates multi-turn adversarial campaigns </w:t>
      </w:r>
      <w:r>
        <w:rPr>
          <w:rFonts w:ascii="Times New Roman" w:cs="Times New Roman" w:eastAsia="Times New Roman" w:hAnsi="Times New Roman"/>
          <w:color w:val="000000"/>
          <w:sz w:val="24"/>
          <w:szCs w:val="24"/>
        </w:rPr>
        <w:t xml:space="preserve">[100, 101]</w:t>
      </w:r>
      <w:r>
        <w:rPr>
          <w:rFonts w:ascii="Times New Roman" w:cs="Times New Roman" w:eastAsia="Times New Roman" w:hAnsi="Times New Roman"/>
          <w:b w:val="false"/>
          <w:bCs w:val="false"/>
          <w:i w:val="false"/>
          <w:iCs w:val="false"/>
          <w:smallCaps w:val="false"/>
          <w:color w:val="000000"/>
          <w:sz w:val="24"/>
          <w:szCs w:val="24"/>
        </w:rPr>
        <w:t xml:space="preserve">. Crucially for a local-first system, these tools can be pointed at a locally served model directly, so that the real models on the real serving stack are tested rather than a remote proxy. A model that a scanner can readily manipulate is a model that is not permitted to hold consequential tools until the weakness is mitigated. This self-testing, mapped to the standardized threat vocabularies above, is how the architecture converts the general injunction to “secure the agent” into a concrete and repeatable practice.</w:t>
      </w:r>
    </w:p>
    <w:p>
      <w:pPr>
        <w:pStyle w:val="Heading2"/>
        <w:keepNext/>
        <w:spacing w:after="90" w:before="200"/>
      </w:pPr>
      <w:r>
        <w:rPr>
          <w:rFonts w:ascii="Arial" w:cs="Arial" w:eastAsia="Arial" w:hAnsi="Arial"/>
          <w:b/>
          <w:bCs/>
          <w:color w:val="000000"/>
          <w:sz w:val="23"/>
          <w:szCs w:val="23"/>
        </w:rPr>
        <w:t xml:space="preserve">9.5  Defense in Depth</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No single mechanism secures a tool-enabled autonomous agent, and the architecture accordingly layers defenses so that the failure of any one is caught by another. The layers can be enumerated from the model outward. At the model layer, adversarial self-testing weeds out models too easily manipulated to be trusted with tools </w:t>
      </w:r>
      <w:r>
        <w:rPr>
          <w:rFonts w:ascii="Times New Roman" w:cs="Times New Roman" w:eastAsia="Times New Roman" w:hAnsi="Times New Roman"/>
          <w:color w:val="000000"/>
          <w:sz w:val="24"/>
          <w:szCs w:val="24"/>
        </w:rPr>
        <w:t xml:space="preserve">[99, 100]</w:t>
      </w:r>
      <w:r>
        <w:rPr>
          <w:rFonts w:ascii="Times New Roman" w:cs="Times New Roman" w:eastAsia="Times New Roman" w:hAnsi="Times New Roman"/>
          <w:b w:val="false"/>
          <w:bCs w:val="false"/>
          <w:i w:val="false"/>
          <w:iCs w:val="false"/>
          <w:smallCaps w:val="false"/>
          <w:color w:val="000000"/>
          <w:sz w:val="24"/>
          <w:szCs w:val="24"/>
        </w:rPr>
        <w:t xml:space="preserve">. At the input layer, content ingested from untrusted sources is treated as data rather than instruction wherever the design allows, limiting the reach of indirect injection </w:t>
      </w:r>
      <w:r>
        <w:rPr>
          <w:rFonts w:ascii="Times New Roman" w:cs="Times New Roman" w:eastAsia="Times New Roman" w:hAnsi="Times New Roman"/>
          <w:color w:val="000000"/>
          <w:sz w:val="24"/>
          <w:szCs w:val="24"/>
        </w:rPr>
        <w:t xml:space="preserve">[89]</w:t>
      </w:r>
      <w:r>
        <w:rPr>
          <w:rFonts w:ascii="Times New Roman" w:cs="Times New Roman" w:eastAsia="Times New Roman" w:hAnsi="Times New Roman"/>
          <w:b w:val="false"/>
          <w:bCs w:val="false"/>
          <w:i w:val="false"/>
          <w:iCs w:val="false"/>
          <w:smallCaps w:val="false"/>
          <w:color w:val="000000"/>
          <w:sz w:val="24"/>
          <w:szCs w:val="24"/>
        </w:rPr>
        <w:t xml:space="preserve">. At the tool layer, capabilities are scoped narrowly—each tool exposes the minimum functionality its purpose requires—and reached only through the standardized protocol, whose security surface is concentrated and auditable </w:t>
      </w:r>
      <w:r>
        <w:rPr>
          <w:rFonts w:ascii="Times New Roman" w:cs="Times New Roman" w:eastAsia="Times New Roman" w:hAnsi="Times New Roman"/>
          <w:color w:val="000000"/>
          <w:sz w:val="24"/>
          <w:szCs w:val="24"/>
        </w:rPr>
        <w:t xml:space="preserve">[69, 70]</w:t>
      </w:r>
      <w:r>
        <w:rPr>
          <w:rFonts w:ascii="Times New Roman" w:cs="Times New Roman" w:eastAsia="Times New Roman" w:hAnsi="Times New Roman"/>
          <w:b w:val="false"/>
          <w:bCs w:val="false"/>
          <w:i w:val="false"/>
          <w:iCs w:val="false"/>
          <w:smallCaps w:val="false"/>
          <w:color w:val="000000"/>
          <w:sz w:val="24"/>
          <w:szCs w:val="24"/>
        </w:rPr>
        <w:t xml:space="preserve">. At the network layer, tool servers are bound to local interfaces and reachable only over an authenticated mesh, so that they are not exposed to the open network. And at the action layer, the hardware human gate blocks every consequential effect until a human authorizes it </w:t>
      </w:r>
      <w:r>
        <w:rPr>
          <w:rFonts w:ascii="Times New Roman" w:cs="Times New Roman" w:eastAsia="Times New Roman" w:hAnsi="Times New Roman"/>
          <w:color w:val="000000"/>
          <w:sz w:val="24"/>
          <w:szCs w:val="24"/>
        </w:rPr>
        <w:t xml:space="preserve">[81]</w:t>
      </w:r>
      <w:r>
        <w:rPr>
          <w:rFonts w:ascii="Times New Roman" w:cs="Times New Roman" w:eastAsia="Times New Roman" w:hAnsi="Times New Roman"/>
          <w:b w:val="false"/>
          <w:bCs w:val="false"/>
          <w:i w:val="false"/>
          <w:iCs w:val="false"/>
          <w:smallCaps w:val="false"/>
          <w:color w:val="000000"/>
          <w:sz w:val="24"/>
          <w:szCs w:val="24"/>
        </w:rPr>
        <w:t xml:space="preserve">. The principle is that of defense in depth drawn from security engineering generally: the layers are independent, so that an adversary must defeat all of them, and the standardized threat frameworks provide the vocabulary in which the coverage of the layers is assessed </w:t>
      </w:r>
      <w:r>
        <w:rPr>
          <w:rFonts w:ascii="Times New Roman" w:cs="Times New Roman" w:eastAsia="Times New Roman" w:hAnsi="Times New Roman"/>
          <w:color w:val="000000"/>
          <w:sz w:val="24"/>
          <w:szCs w:val="24"/>
        </w:rPr>
        <w:t xml:space="preserve">[97, 98]</w:t>
      </w:r>
      <w:r>
        <w:rPr>
          <w:rFonts w:ascii="Times New Roman" w:cs="Times New Roman" w:eastAsia="Times New Roman" w:hAnsi="Times New Roman"/>
          <w:b w:val="false"/>
          <w:bCs w:val="false"/>
          <w:i w:val="false"/>
          <w:iCs w:val="false"/>
          <w:smallCaps w:val="false"/>
          <w:color w:val="000000"/>
          <w:sz w:val="24"/>
          <w:szCs w:val="24"/>
        </w:rPr>
        <w:t xml:space="preserve">.</w:t>
      </w:r>
    </w:p>
    <w:p>
      <w:pPr>
        <w:pStyle w:val="Heading2"/>
        <w:keepNext/>
        <w:spacing w:after="90" w:before="200"/>
      </w:pPr>
      <w:r>
        <w:rPr>
          <w:rFonts w:ascii="Arial" w:cs="Arial" w:eastAsia="Arial" w:hAnsi="Arial"/>
          <w:b/>
          <w:bCs/>
          <w:color w:val="000000"/>
          <w:sz w:val="23"/>
          <w:szCs w:val="23"/>
        </w:rPr>
        <w:t xml:space="preserve">9.6  An Offensive-Tooling Threat Model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To assess the most hazardous configuration rigorously, we make its threat model explicit. Consider an agent equipped with offensive security tooling. Three broad threats arise. The first is </w:t>
      </w:r>
      <w:r>
        <w:rPr>
          <w:rFonts w:ascii="Times New Roman" w:cs="Times New Roman" w:eastAsia="Times New Roman" w:hAnsi="Times New Roman"/>
          <w:b w:val="false"/>
          <w:bCs w:val="false"/>
          <w:i/>
          <w:iCs/>
          <w:smallCaps w:val="false"/>
          <w:color w:val="000000"/>
          <w:sz w:val="24"/>
          <w:szCs w:val="24"/>
        </w:rPr>
        <w:t xml:space="preserve">misuse by the operator</w:t>
      </w:r>
      <w:r>
        <w:rPr>
          <w:rFonts w:ascii="Times New Roman" w:cs="Times New Roman" w:eastAsia="Times New Roman" w:hAnsi="Times New Roman"/>
          <w:b w:val="false"/>
          <w:bCs w:val="false"/>
          <w:i w:val="false"/>
          <w:iCs w:val="false"/>
          <w:smallCaps w:val="false"/>
          <w:color w:val="000000"/>
          <w:sz w:val="24"/>
          <w:szCs w:val="24"/>
        </w:rPr>
        <w:t xml:space="preserve">: the human directs the agent to act against a target they are not authorized to test. This is a legal and ethical matter beyond the architecture’s technical control, but the audit trail of Section 8 ensures that such use is recorded and attributable, and the human gate ensures that the operator, not the autonomous process, bears responsibility for each action. The second is </w:t>
      </w:r>
      <w:r>
        <w:rPr>
          <w:rFonts w:ascii="Times New Roman" w:cs="Times New Roman" w:eastAsia="Times New Roman" w:hAnsi="Times New Roman"/>
          <w:b w:val="false"/>
          <w:bCs w:val="false"/>
          <w:i/>
          <w:iCs/>
          <w:smallCaps w:val="false"/>
          <w:color w:val="000000"/>
          <w:sz w:val="24"/>
          <w:szCs w:val="24"/>
        </w:rPr>
        <w:t xml:space="preserve">hijacking by an adversary</w:t>
      </w:r>
      <w:r>
        <w:rPr>
          <w:rFonts w:ascii="Times New Roman" w:cs="Times New Roman" w:eastAsia="Times New Roman" w:hAnsi="Times New Roman"/>
          <w:b w:val="false"/>
          <w:bCs w:val="false"/>
          <w:i w:val="false"/>
          <w:iCs w:val="false"/>
          <w:smallCaps w:val="false"/>
          <w:color w:val="000000"/>
          <w:sz w:val="24"/>
          <w:szCs w:val="24"/>
        </w:rPr>
        <w:t xml:space="preserve">: an attacker uses indirect injection to turn the agent’s tools against a target of the attacker’s choosing </w:t>
      </w:r>
      <w:r>
        <w:rPr>
          <w:rFonts w:ascii="Times New Roman" w:cs="Times New Roman" w:eastAsia="Times New Roman" w:hAnsi="Times New Roman"/>
          <w:color w:val="000000"/>
          <w:sz w:val="24"/>
          <w:szCs w:val="24"/>
        </w:rPr>
        <w:t xml:space="preserve">[89, 102]</w:t>
      </w:r>
      <w:r>
        <w:rPr>
          <w:rFonts w:ascii="Times New Roman" w:cs="Times New Roman" w:eastAsia="Times New Roman" w:hAnsi="Times New Roman"/>
          <w:b w:val="false"/>
          <w:bCs w:val="false"/>
          <w:i w:val="false"/>
          <w:iCs w:val="false"/>
          <w:smallCaps w:val="false"/>
          <w:color w:val="000000"/>
          <w:sz w:val="24"/>
          <w:szCs w:val="24"/>
        </w:rPr>
        <w:t xml:space="preserve">. This is the threat the layered defenses above are designed to counter, and the human gate is the backstop: even a fully hijacked agent cannot execute a consequential action without the physical assertion the attacker cannot supply. The third is </w:t>
      </w:r>
      <w:r>
        <w:rPr>
          <w:rFonts w:ascii="Times New Roman" w:cs="Times New Roman" w:eastAsia="Times New Roman" w:hAnsi="Times New Roman"/>
          <w:b w:val="false"/>
          <w:bCs w:val="false"/>
          <w:i/>
          <w:iCs/>
          <w:smallCaps w:val="false"/>
          <w:color w:val="000000"/>
          <w:sz w:val="24"/>
          <w:szCs w:val="24"/>
        </w:rPr>
        <w:t xml:space="preserve">unintended action</w:t>
      </w:r>
      <w:r>
        <w:rPr>
          <w:rFonts w:ascii="Times New Roman" w:cs="Times New Roman" w:eastAsia="Times New Roman" w:hAnsi="Times New Roman"/>
          <w:b w:val="false"/>
          <w:bCs w:val="false"/>
          <w:i w:val="false"/>
          <w:iCs w:val="false"/>
          <w:smallCaps w:val="false"/>
          <w:color w:val="000000"/>
          <w:sz w:val="24"/>
          <w:szCs w:val="24"/>
        </w:rPr>
        <w:t xml:space="preserve">: the agent, through faulty reasoning, proposes a harmful action absent any adversary. Here the gate and the context it surfaces allow the human to catch the error before it takes effect. In all three cases, the architecture’s response reduces to the same principle: the agent may reason and propose, but a human authorizes every consequential act, and every act is recorded.</w:t>
      </w:r>
    </w:p>
    <w:p>
      <w:pPr>
        <w:pStyle w:val="Heading2"/>
        <w:keepNext/>
        <w:spacing w:after="90" w:before="200"/>
      </w:pPr>
      <w:r>
        <w:rPr>
          <w:rFonts w:ascii="Arial" w:cs="Arial" w:eastAsia="Arial" w:hAnsi="Arial"/>
          <w:b/>
          <w:bCs/>
          <w:color w:val="000000"/>
          <w:sz w:val="23"/>
          <w:szCs w:val="23"/>
        </w:rPr>
        <w:t xml:space="preserve">9.7  Isolation and Sandboxing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further layer confines the effects of the collective’s most dangerous capabilities through isolation. Experimental and offensive tooling is run within sandboxed environments—isolated execution contexts whose access to the rest of the system and to the network is restricted by construction—so that even an action that executes within the sandbox cannot reach beyond it without passing the same gates that govern the system as a whole. Isolation is a long-established security principle, and its application here follows the general logic of least privilege: a capability is granted the narrowest scope its function requires, and its blast radius is bounded in advance. The combination of sandboxing with the human gate means that the offensive-tooling configuration operates within two nested containments—the sandbox that bounds where its actions can reach, and the gate that bounds whether consequential actions occur at all. This is the concrete sense in which the architecture renders even its most hazardous configuration into assisted, human-governed work rather than autonomous capability, and it is consistent with the defense-in-depth posture that the standardized threat frameworks recommend </w:t>
      </w:r>
      <w:r>
        <w:rPr>
          <w:rFonts w:ascii="Times New Roman" w:cs="Times New Roman" w:eastAsia="Times New Roman" w:hAnsi="Times New Roman"/>
          <w:color w:val="000000"/>
          <w:sz w:val="24"/>
          <w:szCs w:val="24"/>
        </w:rPr>
        <w:t xml:space="preserve">[97, 98]</w:t>
      </w:r>
      <w:r>
        <w:rPr>
          <w:rFonts w:ascii="Times New Roman" w:cs="Times New Roman" w:eastAsia="Times New Roman" w:hAnsi="Times New Roman"/>
          <w:b w:val="false"/>
          <w:bCs w:val="false"/>
          <w:i w:val="false"/>
          <w:iCs w:val="false"/>
          <w:smallCaps w:val="false"/>
          <w:color w:val="000000"/>
          <w:sz w:val="24"/>
          <w:szCs w:val="24"/>
        </w:rPr>
        <w:t xml:space="preserve">.</w:t>
      </w:r>
    </w:p>
    <w:p>
      <w:pPr>
        <w:pStyle w:val="Heading2"/>
        <w:keepNext/>
        <w:spacing w:after="90" w:before="200"/>
      </w:pPr>
      <w:r>
        <w:rPr>
          <w:rFonts w:ascii="Arial" w:cs="Arial" w:eastAsia="Arial" w:hAnsi="Arial"/>
          <w:b/>
          <w:bCs/>
          <w:color w:val="000000"/>
          <w:sz w:val="23"/>
          <w:szCs w:val="23"/>
        </w:rPr>
        <w:t xml:space="preserve">9.8  Why the Configuration Is Defensible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can now state why an autonomous agent with offensive tooling, despite being the architecture’s most hazardous configuration, is nonetheless defensible within it. The hazard is real: an agent that could autonomously wield offensive tools against arbitrary targets, or that could be hijacked into doing so through indirect injection, would be dangerous in exactly the way the security literature warns </w:t>
      </w:r>
      <w:r>
        <w:rPr>
          <w:rFonts w:ascii="Times New Roman" w:cs="Times New Roman" w:eastAsia="Times New Roman" w:hAnsi="Times New Roman"/>
          <w:color w:val="000000"/>
          <w:sz w:val="24"/>
          <w:szCs w:val="24"/>
        </w:rPr>
        <w:t xml:space="preserve">[89, 102]</w:t>
      </w:r>
      <w:r>
        <w:rPr>
          <w:rFonts w:ascii="Times New Roman" w:cs="Times New Roman" w:eastAsia="Times New Roman" w:hAnsi="Times New Roman"/>
          <w:b w:val="false"/>
          <w:bCs w:val="false"/>
          <w:i w:val="false"/>
          <w:iCs w:val="false"/>
          <w:smallCaps w:val="false"/>
          <w:color w:val="000000"/>
          <w:sz w:val="24"/>
          <w:szCs w:val="24"/>
        </w:rPr>
        <w:t xml:space="preserve">. The architecture does not permit this. Offensive tooling is reached only through the standardized protocol, bound to a local interface and accessible only over an authenticated mesh; the models that might invoke it are adversarially tested against standardized threat models before they are trusted; and—decisively—every action that would touch a network or change external state is blocked by the hardware human gate of Section 8, which the autonomous process cannot bypass. The agent may reason about security tasks, draft plans, and propose actions with freedom, but it disposes of nothing consequential without a human’s physical authorization. Under these conditions, the configuration realizes genuinely assisted security work rather than autonomous offense, and the emphasis on </w:t>
      </w:r>
      <w:r>
        <w:rPr>
          <w:rFonts w:ascii="Times New Roman" w:cs="Times New Roman" w:eastAsia="Times New Roman" w:hAnsi="Times New Roman"/>
          <w:b w:val="false"/>
          <w:bCs w:val="false"/>
          <w:i/>
          <w:iCs/>
          <w:smallCaps w:val="false"/>
          <w:color w:val="000000"/>
          <w:sz w:val="24"/>
          <w:szCs w:val="24"/>
        </w:rPr>
        <w:t xml:space="preserve">assisted</w:t>
      </w:r>
      <w:r>
        <w:rPr>
          <w:rFonts w:ascii="Times New Roman" w:cs="Times New Roman" w:eastAsia="Times New Roman" w:hAnsi="Times New Roman"/>
          <w:b w:val="false"/>
          <w:bCs w:val="false"/>
          <w:i w:val="false"/>
          <w:iCs w:val="false"/>
          <w:smallCaps w:val="false"/>
          <w:color w:val="000000"/>
          <w:sz w:val="24"/>
          <w:szCs w:val="24"/>
        </w:rPr>
        <w:t xml:space="preserve"> is precisely what the safety spine enforces. The general lesson generalizes to every tool-enabled agent in the architecture: capability is granted freely for reasoning and proposal, and gated absolutely for consequential action.</w:t>
      </w:r>
    </w:p>
    <w:p>
      <w:pPr>
        <w:pStyle w:val="Heading2"/>
        <w:keepNext/>
        <w:spacing w:after="90" w:before="200"/>
      </w:pPr>
      <w:r>
        <w:rPr>
          <w:rFonts w:ascii="Arial" w:cs="Arial" w:eastAsia="Arial" w:hAnsi="Arial"/>
          <w:b/>
          <w:bCs/>
          <w:color w:val="000000"/>
          <w:sz w:val="23"/>
          <w:szCs w:val="23"/>
        </w:rPr>
        <w:t xml:space="preserve">9.9  Authorization Beyond the Technical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technical account of the offensive-tooling configuration would be incomplete without acknowledging that its most important constraints are not technical at all. Security testing is lawful when performed against systems one owns or has explicit permission to test, and unlawful otherwise; no amount of architectural care changes this, and the hardware gate does not confer authorization it merely records. The architecture’s posture is therefore that technical containment and human authorization operate within a prior boundary set by law and ethics: the operator is responsible for ensuring that any target is one they are permitted to test, and the audit trail of Section 8.5 exists in part so that this responsibility is documented and attributable rather than diffuse. The standardized threat frameworks the architecture uses </w:t>
      </w:r>
      <w:r>
        <w:rPr>
          <w:rFonts w:ascii="Times New Roman" w:cs="Times New Roman" w:eastAsia="Times New Roman" w:hAnsi="Times New Roman"/>
          <w:color w:val="000000"/>
          <w:sz w:val="24"/>
          <w:szCs w:val="24"/>
        </w:rPr>
        <w:t xml:space="preserve">[97, 98]</w:t>
      </w:r>
      <w:r>
        <w:rPr>
          <w:rFonts w:ascii="Times New Roman" w:cs="Times New Roman" w:eastAsia="Times New Roman" w:hAnsi="Times New Roman"/>
          <w:b w:val="false"/>
          <w:bCs w:val="false"/>
          <w:i w:val="false"/>
          <w:iCs w:val="false"/>
          <w:smallCaps w:val="false"/>
          <w:color w:val="000000"/>
          <w:sz w:val="24"/>
          <w:szCs w:val="24"/>
        </w:rPr>
        <w:t xml:space="preserve"> are defensive instruments—they describe attacks so that defenders can recognize and measure coverage against them—and the architecture uses them in that spirit, to secure its own systems and to practice against deliberately vulnerable targets built for the purpose.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point generalizes to the architecture as a whole and is worth stating plainly, because it is easy for a technical paper to imply that safety is a matter of mechanism alone. It is not. The hardware gate ensures that a human authorizes each consequential action; it cannot ensure that the human authorizes wisely or lawfully, as Section 12 acknowledges. The audit trail ensures that decisions are reconstructable; it cannot ensure that anyone reviews them. The sandbox bounds where an action can reach; it cannot bound what the operator chooses to point it at. What the architecture provides is a structure in which responsible operation is possible, legible, and accountable—in which a human is genuinely in control and genuinely on the record. The exercise of that control remains a human obligation, and the governance literature’s emphasis on accountability as a pillar of trustworthy systems </w:t>
      </w:r>
      <w:r>
        <w:rPr>
          <w:rFonts w:ascii="Times New Roman" w:cs="Times New Roman" w:eastAsia="Times New Roman" w:hAnsi="Times New Roman"/>
          <w:color w:val="000000"/>
          <w:sz w:val="24"/>
          <w:szCs w:val="24"/>
        </w:rPr>
        <w:t xml:space="preserve">[4, 80]</w:t>
      </w:r>
      <w:r>
        <w:rPr>
          <w:rFonts w:ascii="Times New Roman" w:cs="Times New Roman" w:eastAsia="Times New Roman" w:hAnsi="Times New Roman"/>
          <w:b w:val="false"/>
          <w:bCs w:val="false"/>
          <w:i w:val="false"/>
          <w:iCs w:val="false"/>
          <w:smallCaps w:val="false"/>
          <w:color w:val="000000"/>
          <w:sz w:val="24"/>
          <w:szCs w:val="24"/>
        </w:rPr>
        <w:t xml:space="preserve"> reflects exactly this: mechanisms enable responsible practice; they do not constitute it. An honest architecture makes the human’s responsibility unavoidable rather than pretending to discharge it.</w:t>
      </w:r>
    </w:p>
    <w:p>
      <w:pPr>
        <w:pStyle w:val="Heading1"/>
        <w:keepNext/>
        <w:spacing w:after="120" w:before="300"/>
      </w:pPr>
      <w:r>
        <w:rPr>
          <w:rFonts w:ascii="Arial" w:cs="Arial" w:eastAsia="Arial" w:hAnsi="Arial"/>
          <w:b/>
          <w:bCs/>
          <w:color w:val="000000"/>
          <w:sz w:val="26"/>
          <w:szCs w:val="26"/>
        </w:rPr>
        <w:t xml:space="preserve">10  Supporting Subsystems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 extends beyond reasoning and security into embodiment, provenance, quantitative decision-making, and networking. Each of these subsystems rests on its own literature, which we survey briefly to complete the picture of an integrated local-first system.</w:t>
      </w:r>
    </w:p>
    <w:p>
      <w:pPr>
        <w:pStyle w:val="Heading2"/>
        <w:keepNext/>
        <w:spacing w:after="90" w:before="200"/>
      </w:pPr>
      <w:r>
        <w:rPr>
          <w:rFonts w:ascii="Arial" w:cs="Arial" w:eastAsia="Arial" w:hAnsi="Arial"/>
          <w:b/>
          <w:bCs/>
          <w:color w:val="000000"/>
          <w:sz w:val="23"/>
          <w:szCs w:val="23"/>
        </w:rPr>
        <w:t xml:space="preserve">10.1  Embodiment and the Fleet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fleet gives the collective physical presence through sensing and mobile devices. Connecting language models to physical control is an active area whose foundational results show that a language model can supply high-level plans that are grounded in a robot’s learned repertoire of low-level skills, so that the model’s knowledge is filtered through what the robot can actually do </w:t>
      </w:r>
      <w:r>
        <w:rPr>
          <w:rFonts w:ascii="Times New Roman" w:cs="Times New Roman" w:eastAsia="Times New Roman" w:hAnsi="Times New Roman"/>
          <w:color w:val="000000"/>
          <w:sz w:val="24"/>
          <w:szCs w:val="24"/>
        </w:rPr>
        <w:t xml:space="preserve">[104]</w:t>
      </w:r>
      <w:r>
        <w:rPr>
          <w:rFonts w:ascii="Times New Roman" w:cs="Times New Roman" w:eastAsia="Times New Roman" w:hAnsi="Times New Roman"/>
          <w:b w:val="false"/>
          <w:bCs w:val="false"/>
          <w:i w:val="false"/>
          <w:iCs w:val="false"/>
          <w:smallCaps w:val="false"/>
          <w:color w:val="000000"/>
          <w:sz w:val="24"/>
          <w:szCs w:val="24"/>
        </w:rPr>
        <w:t xml:space="preserve">. Subsequent work integrated perception, language, and action more tightly: multimodal models that emit robot actions directly </w:t>
      </w:r>
      <w:r>
        <w:rPr>
          <w:rFonts w:ascii="Times New Roman" w:cs="Times New Roman" w:eastAsia="Times New Roman" w:hAnsi="Times New Roman"/>
          <w:color w:val="000000"/>
          <w:sz w:val="24"/>
          <w:szCs w:val="24"/>
        </w:rPr>
        <w:t xml:space="preserve">[106, 107]</w:t>
      </w:r>
      <w:r>
        <w:rPr>
          <w:rFonts w:ascii="Times New Roman" w:cs="Times New Roman" w:eastAsia="Times New Roman" w:hAnsi="Times New Roman"/>
          <w:b w:val="false"/>
          <w:bCs w:val="false"/>
          <w:i w:val="false"/>
          <w:iCs w:val="false"/>
          <w:smallCaps w:val="false"/>
          <w:color w:val="000000"/>
          <w:sz w:val="24"/>
          <w:szCs w:val="24"/>
        </w:rPr>
        <w:t xml:space="preserve">, vision-language-action models that transfer web-scale knowledge to physical control </w:t>
      </w:r>
      <w:r>
        <w:rPr>
          <w:rFonts w:ascii="Times New Roman" w:cs="Times New Roman" w:eastAsia="Times New Roman" w:hAnsi="Times New Roman"/>
          <w:color w:val="000000"/>
          <w:sz w:val="24"/>
          <w:szCs w:val="24"/>
        </w:rPr>
        <w:t xml:space="preserve">[105]</w:t>
      </w:r>
      <w:r>
        <w:rPr>
          <w:rFonts w:ascii="Times New Roman" w:cs="Times New Roman" w:eastAsia="Times New Roman" w:hAnsi="Times New Roman"/>
          <w:b w:val="false"/>
          <w:bCs w:val="false"/>
          <w:i w:val="false"/>
          <w:iCs w:val="false"/>
          <w:smallCaps w:val="false"/>
          <w:color w:val="000000"/>
          <w:sz w:val="24"/>
          <w:szCs w:val="24"/>
        </w:rPr>
        <w:t xml:space="preserve">, and approaches in which a model writes executable code to command a robot or vehicle </w:t>
      </w:r>
      <w:r>
        <w:rPr>
          <w:rFonts w:ascii="Times New Roman" w:cs="Times New Roman" w:eastAsia="Times New Roman" w:hAnsi="Times New Roman"/>
          <w:color w:val="000000"/>
          <w:sz w:val="24"/>
          <w:szCs w:val="24"/>
        </w:rPr>
        <w:t xml:space="preserve">[108]</w:t>
      </w:r>
      <w:r>
        <w:rPr>
          <w:rFonts w:ascii="Times New Roman" w:cs="Times New Roman" w:eastAsia="Times New Roman" w:hAnsi="Times New Roman"/>
          <w:b w:val="false"/>
          <w:bCs w:val="false"/>
          <w:i w:val="false"/>
          <w:iCs w:val="false"/>
          <w:smallCaps w:val="false"/>
          <w:color w:val="000000"/>
          <w:sz w:val="24"/>
          <w:szCs w:val="24"/>
        </w:rPr>
        <w:t xml:space="preserve">. These results establish that the embodiment of a language-model system on modest physical platforms is grounded in a real and rapidly maturing literature, and that the fleet’s aspiration—agents with eyes and mobility—is technically coherent. Consistent with the safety spine, physical actuation is subject to the same human gate as any other consequential action.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central technical challenge in connecting language to physical action is grounding: a language model reasons in a space of words, but a robot acts in a space of physical states and motions, and bridging the two requires that the model’s linguistic outputs be tied to what the robot can actually perceive and do. The foundational approach addresses this by pairing the model’s proposals with learned value functions that estimate which actions are feasible in the current physical context, so that the model proposes and the grounding filters </w:t>
      </w:r>
      <w:r>
        <w:rPr>
          <w:rFonts w:ascii="Times New Roman" w:cs="Times New Roman" w:eastAsia="Times New Roman" w:hAnsi="Times New Roman"/>
          <w:color w:val="000000"/>
          <w:sz w:val="24"/>
          <w:szCs w:val="24"/>
        </w:rPr>
        <w:t xml:space="preserve">[104]</w:t>
      </w:r>
      <w:r>
        <w:rPr>
          <w:rFonts w:ascii="Times New Roman" w:cs="Times New Roman" w:eastAsia="Times New Roman" w:hAnsi="Times New Roman"/>
          <w:b w:val="false"/>
          <w:bCs w:val="false"/>
          <w:i w:val="false"/>
          <w:iCs w:val="false"/>
          <w:smallCaps w:val="false"/>
          <w:color w:val="000000"/>
          <w:sz w:val="24"/>
          <w:szCs w:val="24"/>
        </w:rPr>
        <w:t xml:space="preserve">. Later approaches internalize the grounding by training models directly on paired vision, language, and action data, so that the model emits actions conditioned on perception rather than emitting words that must be separately translated </w:t>
      </w:r>
      <w:r>
        <w:rPr>
          <w:rFonts w:ascii="Times New Roman" w:cs="Times New Roman" w:eastAsia="Times New Roman" w:hAnsi="Times New Roman"/>
          <w:color w:val="000000"/>
          <w:sz w:val="24"/>
          <w:szCs w:val="24"/>
        </w:rPr>
        <w:t xml:space="preserve">[105–107]</w:t>
      </w:r>
      <w:r>
        <w:rPr>
          <w:rFonts w:ascii="Times New Roman" w:cs="Times New Roman" w:eastAsia="Times New Roman" w:hAnsi="Times New Roman"/>
          <w:b w:val="false"/>
          <w:bCs w:val="false"/>
          <w:i w:val="false"/>
          <w:iCs w:val="false"/>
          <w:smallCaps w:val="false"/>
          <w:color w:val="000000"/>
          <w:sz w:val="24"/>
          <w:szCs w:val="24"/>
        </w:rPr>
        <w:t xml:space="preserve">. A complementary line has the model generate executable code that invokes perception and control primitives, making the model’s plan directly runnable </w:t>
      </w:r>
      <w:r>
        <w:rPr>
          <w:rFonts w:ascii="Times New Roman" w:cs="Times New Roman" w:eastAsia="Times New Roman" w:hAnsi="Times New Roman"/>
          <w:color w:val="000000"/>
          <w:sz w:val="24"/>
          <w:szCs w:val="24"/>
        </w:rPr>
        <w:t xml:space="preserve">[108]</w:t>
      </w:r>
      <w:r>
        <w:rPr>
          <w:rFonts w:ascii="Times New Roman" w:cs="Times New Roman" w:eastAsia="Times New Roman" w:hAnsi="Times New Roman"/>
          <w:b w:val="false"/>
          <w:bCs w:val="false"/>
          <w:i w:val="false"/>
          <w:iCs w:val="false"/>
          <w:smallCaps w:val="false"/>
          <w:color w:val="000000"/>
          <w:sz w:val="24"/>
          <w:szCs w:val="24"/>
        </w:rPr>
        <w:t xml:space="preserve">. For the architecture’s fleet, the relevant lesson is that these approaches are mature enough to make embodiment on modest platforms coherent, and that the grounding problem, while real, has established solutions. The fleet need not solve embodiment from first principles; it can build on a literature that has made steady and demonstrable progress, subject always to the human gate that governs physical actuation as it governs every other consequential act.</w:t>
      </w:r>
    </w:p>
    <w:p>
      <w:pPr>
        <w:pStyle w:val="Heading2"/>
        <w:keepNext/>
        <w:spacing w:after="90" w:before="200"/>
      </w:pPr>
      <w:r>
        <w:rPr>
          <w:rFonts w:ascii="Arial" w:cs="Arial" w:eastAsia="Arial" w:hAnsi="Arial"/>
          <w:b/>
          <w:bCs/>
          <w:color w:val="000000"/>
          <w:sz w:val="23"/>
          <w:szCs w:val="23"/>
        </w:rPr>
        <w:t xml:space="preserve">10.2  Content Provenance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system that generates and handles synthetic media incurs a responsibility to mark its provenance, both to avoid contributing to misinformation and to distinguish machine-generated from human-generated content. The empirical stakes are well established: synthesized faces are now indistinguishable from real ones and are even judged more trustworthy </w:t>
      </w:r>
      <w:r>
        <w:rPr>
          <w:rFonts w:ascii="Times New Roman" w:cs="Times New Roman" w:eastAsia="Times New Roman" w:hAnsi="Times New Roman"/>
          <w:color w:val="000000"/>
          <w:sz w:val="24"/>
          <w:szCs w:val="24"/>
        </w:rPr>
        <w:t xml:space="preserve">[112]</w:t>
      </w:r>
      <w:r>
        <w:rPr>
          <w:rFonts w:ascii="Times New Roman" w:cs="Times New Roman" w:eastAsia="Times New Roman" w:hAnsi="Times New Roman"/>
          <w:b w:val="false"/>
          <w:bCs w:val="false"/>
          <w:i w:val="false"/>
          <w:iCs w:val="false"/>
          <w:smallCaps w:val="false"/>
          <w:color w:val="000000"/>
          <w:sz w:val="24"/>
          <w:szCs w:val="24"/>
        </w:rPr>
        <w:t xml:space="preserve">, and the generation and detection of synthetic media is a fast-moving arms race </w:t>
      </w:r>
      <w:r>
        <w:rPr>
          <w:rFonts w:ascii="Times New Roman" w:cs="Times New Roman" w:eastAsia="Times New Roman" w:hAnsi="Times New Roman"/>
          <w:color w:val="000000"/>
          <w:sz w:val="24"/>
          <w:szCs w:val="24"/>
        </w:rPr>
        <w:t xml:space="preserve">[111, 113]</w:t>
      </w:r>
      <w:r>
        <w:rPr>
          <w:rFonts w:ascii="Times New Roman" w:cs="Times New Roman" w:eastAsia="Times New Roman" w:hAnsi="Times New Roman"/>
          <w:b w:val="false"/>
          <w:bCs w:val="false"/>
          <w:i w:val="false"/>
          <w:iCs w:val="false"/>
          <w:smallCaps w:val="false"/>
          <w:color w:val="000000"/>
          <w:sz w:val="24"/>
          <w:szCs w:val="24"/>
        </w:rPr>
        <w:t xml:space="preserve">. Two mechanisms address provenance: cryptographically signed content credentials that travel with a media asset and attest to its origin and edit history </w:t>
      </w:r>
      <w:r>
        <w:rPr>
          <w:rFonts w:ascii="Times New Roman" w:cs="Times New Roman" w:eastAsia="Times New Roman" w:hAnsi="Times New Roman"/>
          <w:color w:val="000000"/>
          <w:sz w:val="24"/>
          <w:szCs w:val="24"/>
        </w:rPr>
        <w:t xml:space="preserve">[109]</w:t>
      </w:r>
      <w:r>
        <w:rPr>
          <w:rFonts w:ascii="Times New Roman" w:cs="Times New Roman" w:eastAsia="Times New Roman" w:hAnsi="Times New Roman"/>
          <w:b w:val="false"/>
          <w:bCs w:val="false"/>
          <w:i w:val="false"/>
          <w:iCs w:val="false"/>
          <w:smallCaps w:val="false"/>
          <w:color w:val="000000"/>
          <w:sz w:val="24"/>
          <w:szCs w:val="24"/>
        </w:rPr>
        <w:t xml:space="preserve">, and statistical watermarking that embeds a detectable signal into model outputs at generation time, demonstrated at production scale </w:t>
      </w:r>
      <w:r>
        <w:rPr>
          <w:rFonts w:ascii="Times New Roman" w:cs="Times New Roman" w:eastAsia="Times New Roman" w:hAnsi="Times New Roman"/>
          <w:color w:val="000000"/>
          <w:sz w:val="24"/>
          <w:szCs w:val="24"/>
        </w:rPr>
        <w:t xml:space="preserve">[110]</w:t>
      </w:r>
      <w:r>
        <w:rPr>
          <w:rFonts w:ascii="Times New Roman" w:cs="Times New Roman" w:eastAsia="Times New Roman" w:hAnsi="Times New Roman"/>
          <w:b w:val="false"/>
          <w:bCs w:val="false"/>
          <w:i w:val="false"/>
          <w:iCs w:val="false"/>
          <w:smallCaps w:val="false"/>
          <w:color w:val="000000"/>
          <w:sz w:val="24"/>
          <w:szCs w:val="24"/>
        </w:rPr>
        <w:t xml:space="preserve">. The architecture adopts signed provenance for the media it produces, so that its outputs carry a verifiable record of their machine origin.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two provenance mechanisms are complementary rather than redundant, and a robust system employs both. Signed content credentials attest to a media asset’s origin and edit history through a cryptographic manifest that travels with the asset </w:t>
      </w:r>
      <w:r>
        <w:rPr>
          <w:rFonts w:ascii="Times New Roman" w:cs="Times New Roman" w:eastAsia="Times New Roman" w:hAnsi="Times New Roman"/>
          <w:color w:val="000000"/>
          <w:sz w:val="24"/>
          <w:szCs w:val="24"/>
        </w:rPr>
        <w:t xml:space="preserve">[109]</w:t>
      </w:r>
      <w:r>
        <w:rPr>
          <w:rFonts w:ascii="Times New Roman" w:cs="Times New Roman" w:eastAsia="Times New Roman" w:hAnsi="Times New Roman"/>
          <w:b w:val="false"/>
          <w:bCs w:val="false"/>
          <w:i w:val="false"/>
          <w:iCs w:val="false"/>
          <w:smallCaps w:val="false"/>
          <w:color w:val="000000"/>
          <w:sz w:val="24"/>
          <w:szCs w:val="24"/>
        </w:rPr>
        <w:t xml:space="preserve">; their strength is verifiability and their weakness is that the manifest can be stripped, after which the asset carries no signal at all. Statistical watermarking embeds a signal into the content itself at generation time </w:t>
      </w:r>
      <w:r>
        <w:rPr>
          <w:rFonts w:ascii="Times New Roman" w:cs="Times New Roman" w:eastAsia="Times New Roman" w:hAnsi="Times New Roman"/>
          <w:color w:val="000000"/>
          <w:sz w:val="24"/>
          <w:szCs w:val="24"/>
        </w:rPr>
        <w:t xml:space="preserve">[110]</w:t>
      </w:r>
      <w:r>
        <w:rPr>
          <w:rFonts w:ascii="Times New Roman" w:cs="Times New Roman" w:eastAsia="Times New Roman" w:hAnsi="Times New Roman"/>
          <w:b w:val="false"/>
          <w:bCs w:val="false"/>
          <w:i w:val="false"/>
          <w:iCs w:val="false"/>
          <w:smallCaps w:val="false"/>
          <w:color w:val="000000"/>
          <w:sz w:val="24"/>
          <w:szCs w:val="24"/>
        </w:rPr>
        <w:t xml:space="preserve">; its strength is that the signal survives operations that would strip a manifest, and its weakness is that it is probabilistic and can be degraded by sufficient modification. Together they provide layered assurance: the manifest offers strong verification when present, and the watermark offers a fallback signal when the manifest is absent. The empirical case for taking provenance seriously is stark—synthetic media has reached a point of indistinguishability from authentic media </w:t>
      </w:r>
      <w:r>
        <w:rPr>
          <w:rFonts w:ascii="Times New Roman" w:cs="Times New Roman" w:eastAsia="Times New Roman" w:hAnsi="Times New Roman"/>
          <w:color w:val="000000"/>
          <w:sz w:val="24"/>
          <w:szCs w:val="24"/>
        </w:rPr>
        <w:t xml:space="preserve">[111, 112]</w:t>
      </w:r>
      <w:r>
        <w:rPr>
          <w:rFonts w:ascii="Times New Roman" w:cs="Times New Roman" w:eastAsia="Times New Roman" w:hAnsi="Times New Roman"/>
          <w:b w:val="false"/>
          <w:bCs w:val="false"/>
          <w:i w:val="false"/>
          <w:iCs w:val="false"/>
          <w:smallCaps w:val="false"/>
          <w:color w:val="000000"/>
          <w:sz w:val="24"/>
          <w:szCs w:val="24"/>
        </w:rPr>
        <w:t xml:space="preserve">—and a system that generates such media has, in our view, an obligation to mark it, both as a matter of responsibility and to preserve the integrity of the information environment its outputs enter. The architecture’s adoption of signed provenance for its generated media is the discharge of that obligation.</w:t>
      </w:r>
    </w:p>
    <w:p>
      <w:pPr>
        <w:pStyle w:val="Heading2"/>
        <w:keepNext/>
        <w:spacing w:after="90" w:before="200"/>
      </w:pPr>
      <w:r>
        <w:rPr>
          <w:rFonts w:ascii="Arial" w:cs="Arial" w:eastAsia="Arial" w:hAnsi="Arial"/>
          <w:b/>
          <w:bCs/>
          <w:color w:val="000000"/>
          <w:sz w:val="23"/>
          <w:szCs w:val="23"/>
        </w:rPr>
        <w:t xml:space="preserve">10.3  Quantitative Risk Sizing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One of the collective’s divisions engages in quantitative decision-making under uncertainty, for which the sizing of positions is the central risk-management problem. The optimal solution for maximizing the long-run growth rate of a repeatedly reinvested stake is given by the criterion that bears its originator’s name, derived from an information-theoretic argument </w:t>
      </w:r>
      <w:r>
        <w:rPr>
          <w:rFonts w:ascii="Times New Roman" w:cs="Times New Roman" w:eastAsia="Times New Roman" w:hAnsi="Times New Roman"/>
          <w:color w:val="000000"/>
          <w:sz w:val="24"/>
          <w:szCs w:val="24"/>
        </w:rPr>
        <w:t xml:space="preserve">[114]</w:t>
      </w:r>
      <w:r>
        <w:rPr>
          <w:rFonts w:ascii="Times New Roman" w:cs="Times New Roman" w:eastAsia="Times New Roman" w:hAnsi="Times New Roman"/>
          <w:b w:val="false"/>
          <w:bCs w:val="false"/>
          <w:i w:val="false"/>
          <w:iCs w:val="false"/>
          <w:smallCaps w:val="false"/>
          <w:color w:val="000000"/>
          <w:sz w:val="24"/>
          <w:szCs w:val="24"/>
        </w:rPr>
        <w:t xml:space="preserve">, and elaborated for financial markets over subsequent decades </w:t>
      </w:r>
      <w:r>
        <w:rPr>
          <w:rFonts w:ascii="Times New Roman" w:cs="Times New Roman" w:eastAsia="Times New Roman" w:hAnsi="Times New Roman"/>
          <w:color w:val="000000"/>
          <w:sz w:val="24"/>
          <w:szCs w:val="24"/>
        </w:rPr>
        <w:t xml:space="preserve">[115, 117]</w:t>
      </w:r>
      <w:r>
        <w:rPr>
          <w:rFonts w:ascii="Times New Roman" w:cs="Times New Roman" w:eastAsia="Times New Roman" w:hAnsi="Times New Roman"/>
          <w:b w:val="false"/>
          <w:bCs w:val="false"/>
          <w:i w:val="false"/>
          <w:iCs w:val="false"/>
          <w:smallCaps w:val="false"/>
          <w:color w:val="000000"/>
          <w:sz w:val="24"/>
          <w:szCs w:val="24"/>
        </w:rPr>
        <w:t xml:space="preserve">. Because the full criterion is aggressive and sensitive to estimation error, practitioners employ a </w:t>
      </w:r>
      <w:r>
        <w:rPr>
          <w:rFonts w:ascii="Times New Roman" w:cs="Times New Roman" w:eastAsia="Times New Roman" w:hAnsi="Times New Roman"/>
          <w:b w:val="false"/>
          <w:bCs w:val="false"/>
          <w:i/>
          <w:iCs/>
          <w:smallCaps w:val="false"/>
          <w:color w:val="000000"/>
          <w:sz w:val="24"/>
          <w:szCs w:val="24"/>
        </w:rPr>
        <w:t xml:space="preserve">fractional</w:t>
      </w:r>
      <w:r>
        <w:rPr>
          <w:rFonts w:ascii="Times New Roman" w:cs="Times New Roman" w:eastAsia="Times New Roman" w:hAnsi="Times New Roman"/>
          <w:b w:val="false"/>
          <w:bCs w:val="false"/>
          <w:i w:val="false"/>
          <w:iCs w:val="false"/>
          <w:smallCaps w:val="false"/>
          <w:color w:val="000000"/>
          <w:sz w:val="24"/>
          <w:szCs w:val="24"/>
        </w:rPr>
        <w:t xml:space="preserve"> variant that trades a modest reduction in growth for a substantial reduction in volatility and drawdown, a trade-off with a rigorous basis </w:t>
      </w:r>
      <w:r>
        <w:rPr>
          <w:rFonts w:ascii="Times New Roman" w:cs="Times New Roman" w:eastAsia="Times New Roman" w:hAnsi="Times New Roman"/>
          <w:color w:val="000000"/>
          <w:sz w:val="24"/>
          <w:szCs w:val="24"/>
        </w:rPr>
        <w:t xml:space="preserve">[116]</w:t>
      </w:r>
      <w:r>
        <w:rPr>
          <w:rFonts w:ascii="Times New Roman" w:cs="Times New Roman" w:eastAsia="Times New Roman" w:hAnsi="Times New Roman"/>
          <w:b w:val="false"/>
          <w:bCs w:val="false"/>
          <w:i w:val="false"/>
          <w:iCs w:val="false"/>
          <w:smallCaps w:val="false"/>
          <w:color w:val="000000"/>
          <w:sz w:val="24"/>
          <w:szCs w:val="24"/>
        </w:rPr>
        <w:t xml:space="preserve">. The architecture’s use of fractional position sizing under a hard human gate reflects both this quantitative discipline and the general safety commitment: the division may analyze and propose, but consequential financial actions are gated like any other.</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embodiment subsystem also illustrates the general safety architecture in a physical setting where the stakes of ungated action are especially clear. A software agent that acts wrongly can usually be undone; a physical agent that moves wrongly may cause irreversible harm. The vision-language-action literature has advanced rapidly in capability </w:t>
      </w:r>
      <w:r>
        <w:rPr>
          <w:rFonts w:ascii="Times New Roman" w:cs="Times New Roman" w:eastAsia="Times New Roman" w:hAnsi="Times New Roman"/>
          <w:color w:val="000000"/>
          <w:sz w:val="24"/>
          <w:szCs w:val="24"/>
        </w:rPr>
        <w:t xml:space="preserve">[105, 106]</w:t>
      </w:r>
      <w:r>
        <w:rPr>
          <w:rFonts w:ascii="Times New Roman" w:cs="Times New Roman" w:eastAsia="Times New Roman" w:hAnsi="Times New Roman"/>
          <w:b w:val="false"/>
          <w:bCs w:val="false"/>
          <w:i w:val="false"/>
          <w:iCs w:val="false"/>
          <w:smallCaps w:val="false"/>
          <w:color w:val="000000"/>
          <w:sz w:val="24"/>
          <w:szCs w:val="24"/>
        </w:rPr>
        <w:t xml:space="preserve">, but capability without control is precisely the hazard the safety spine addresses. By subjecting physical actuation to the same hardware gate as any other consequential action, the architecture ensures that the growing capability of embodied agents is matched by a correspondingly firm human authority over their physical effects—the embodiment subsystem inherits the safety properties of the whole rather than requiring a separate safety regime.</w:t>
      </w:r>
    </w:p>
    <w:p>
      <w:pPr>
        <w:pStyle w:val="Heading2"/>
        <w:keepNext/>
        <w:spacing w:after="90" w:before="200"/>
      </w:pPr>
      <w:r>
        <w:rPr>
          <w:rFonts w:ascii="Arial" w:cs="Arial" w:eastAsia="Arial" w:hAnsi="Arial"/>
          <w:b/>
          <w:bCs/>
          <w:color w:val="000000"/>
          <w:sz w:val="23"/>
          <w:szCs w:val="23"/>
        </w:rPr>
        <w:t xml:space="preserve">10.4  Federation and Offline Knowledge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subsystems are federated to the hub over an encrypted mesh network. The modern foundation for such networking is a minimal, formally analyzed secure tunnel protocol </w:t>
      </w:r>
      <w:r>
        <w:rPr>
          <w:rFonts w:ascii="Times New Roman" w:cs="Times New Roman" w:eastAsia="Times New Roman" w:hAnsi="Times New Roman"/>
          <w:color w:val="000000"/>
          <w:sz w:val="24"/>
          <w:szCs w:val="24"/>
        </w:rPr>
        <w:t xml:space="preserve">[86, 87]</w:t>
      </w:r>
      <w:r>
        <w:rPr>
          <w:rFonts w:ascii="Times New Roman" w:cs="Times New Roman" w:eastAsia="Times New Roman" w:hAnsi="Times New Roman"/>
          <w:b w:val="false"/>
          <w:bCs w:val="false"/>
          <w:i w:val="false"/>
          <w:iCs w:val="false"/>
          <w:smallCaps w:val="false"/>
          <w:color w:val="000000"/>
          <w:sz w:val="24"/>
          <w:szCs w:val="24"/>
        </w:rPr>
        <w:t xml:space="preserve">, deployed under a zero-trust posture in which no node is trusted by virtue of its network location and every access is authenticated and authorized </w:t>
      </w:r>
      <w:r>
        <w:rPr>
          <w:rFonts w:ascii="Times New Roman" w:cs="Times New Roman" w:eastAsia="Times New Roman" w:hAnsi="Times New Roman"/>
          <w:color w:val="000000"/>
          <w:sz w:val="24"/>
          <w:szCs w:val="24"/>
        </w:rPr>
        <w:t xml:space="preserve">[83–85]</w:t>
      </w:r>
      <w:r>
        <w:rPr>
          <w:rFonts w:ascii="Times New Roman" w:cs="Times New Roman" w:eastAsia="Times New Roman" w:hAnsi="Times New Roman"/>
          <w:b w:val="false"/>
          <w:bCs w:val="false"/>
          <w:i w:val="false"/>
          <w:iCs w:val="false"/>
          <w:smallCaps w:val="false"/>
          <w:color w:val="000000"/>
          <w:sz w:val="24"/>
          <w:szCs w:val="24"/>
        </w:rPr>
        <w:t xml:space="preserve">. This is the appropriate model for a federation of heterogeneous devices, some mobile and some exposed, that must cooperate without any one becoming a route into another. Finally, the offline knowledge layer—a local corpus served to the models through retrieval—rests on the retrieval-augmented generation literature surveyed in Section 5 </w:t>
      </w:r>
      <w:r>
        <w:rPr>
          <w:rFonts w:ascii="Times New Roman" w:cs="Times New Roman" w:eastAsia="Times New Roman" w:hAnsi="Times New Roman"/>
          <w:color w:val="000000"/>
          <w:sz w:val="24"/>
          <w:szCs w:val="24"/>
        </w:rPr>
        <w:t xml:space="preserve">[52, 53]</w:t>
      </w:r>
      <w:r>
        <w:rPr>
          <w:rFonts w:ascii="Times New Roman" w:cs="Times New Roman" w:eastAsia="Times New Roman" w:hAnsi="Times New Roman"/>
          <w:b w:val="false"/>
          <w:bCs w:val="false"/>
          <w:i w:val="false"/>
          <w:iCs w:val="false"/>
          <w:smallCaps w:val="false"/>
          <w:color w:val="000000"/>
          <w:sz w:val="24"/>
          <w:szCs w:val="24"/>
        </w:rPr>
        <w:t xml:space="preserve">, and realizes the local-first ideal in the knowledge dimension: the system can answer from a large body of reference material without any network dependency.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zero-trust posture deserves emphasis because it is the natural security model for a local-first federation and because it composes with the safety spine. Zero trust replaces the outdated assumption that a network has a trusted interior and a hostile exterior with the assumption that every access must be authenticated and authorized regardless of origin </w:t>
      </w:r>
      <w:r>
        <w:rPr>
          <w:rFonts w:ascii="Times New Roman" w:cs="Times New Roman" w:eastAsia="Times New Roman" w:hAnsi="Times New Roman"/>
          <w:color w:val="000000"/>
          <w:sz w:val="24"/>
          <w:szCs w:val="24"/>
        </w:rPr>
        <w:t xml:space="preserve">[83, 84]</w:t>
      </w:r>
      <w:r>
        <w:rPr>
          <w:rFonts w:ascii="Times New Roman" w:cs="Times New Roman" w:eastAsia="Times New Roman" w:hAnsi="Times New Roman"/>
          <w:b w:val="false"/>
          <w:bCs w:val="false"/>
          <w:i w:val="false"/>
          <w:iCs w:val="false"/>
          <w:smallCaps w:val="false"/>
          <w:color w:val="000000"/>
          <w:sz w:val="24"/>
          <w:szCs w:val="24"/>
        </w:rPr>
        <w:t xml:space="preserve">. For a federation that includes mobile and potentially exposed devices, this is the only defensible stance: a compromised peripheral must not become a route into the hub. The same identity infrastructure that underpins the human gate—the hardware authenticators and the standards that govern them </w:t>
      </w:r>
      <w:r>
        <w:rPr>
          <w:rFonts w:ascii="Times New Roman" w:cs="Times New Roman" w:eastAsia="Times New Roman" w:hAnsi="Times New Roman"/>
          <w:color w:val="000000"/>
          <w:sz w:val="24"/>
          <w:szCs w:val="24"/>
        </w:rPr>
        <w:t xml:space="preserve">[81, 82, 85]</w:t>
      </w:r>
      <w:r>
        <w:rPr>
          <w:rFonts w:ascii="Times New Roman" w:cs="Times New Roman" w:eastAsia="Times New Roman" w:hAnsi="Times New Roman"/>
          <w:b w:val="false"/>
          <w:bCs w:val="false"/>
          <w:i w:val="false"/>
          <w:iCs w:val="false"/>
          <w:smallCaps w:val="false"/>
          <w:color w:val="000000"/>
          <w:sz w:val="24"/>
          <w:szCs w:val="24"/>
        </w:rPr>
        <w:t xml:space="preserve">—serves the federation’s authentication needs, so that human governance and network security rest on a common and well-understood foundation. The offline knowledge layer, for its part, completes the local-first picture by ensuring that even the system’s access to reference knowledge is free of external dependency: a large corpus, served through retrieval, gives a modestly sized local model access to far more information than its parameters could hold </w:t>
      </w:r>
      <w:r>
        <w:rPr>
          <w:rFonts w:ascii="Times New Roman" w:cs="Times New Roman" w:eastAsia="Times New Roman" w:hAnsi="Times New Roman"/>
          <w:color w:val="000000"/>
          <w:sz w:val="24"/>
          <w:szCs w:val="24"/>
        </w:rPr>
        <w:t xml:space="preserve">[52, 55]</w:t>
      </w:r>
      <w:r>
        <w:rPr>
          <w:rFonts w:ascii="Times New Roman" w:cs="Times New Roman" w:eastAsia="Times New Roman" w:hAnsi="Times New Roman"/>
          <w:b w:val="false"/>
          <w:bCs w:val="false"/>
          <w:i w:val="false"/>
          <w:iCs w:val="false"/>
          <w:smallCaps w:val="false"/>
          <w:color w:val="000000"/>
          <w:sz w:val="24"/>
          <w:szCs w:val="24"/>
        </w:rPr>
        <w:t xml:space="preserve">, and it does so entirely locally, so that the system’s knowledge, like its computation, belongs to its owner.</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reason the full criterion is rarely used in practice deserves statement, because it illustrates a general principle the architecture applies elsewhere. The criterion is optimal </w:t>
      </w:r>
      <w:r>
        <w:rPr>
          <w:rFonts w:ascii="Times New Roman" w:cs="Times New Roman" w:eastAsia="Times New Roman" w:hAnsi="Times New Roman"/>
          <w:b w:val="false"/>
          <w:bCs w:val="false"/>
          <w:i/>
          <w:iCs/>
          <w:smallCaps w:val="false"/>
          <w:color w:val="000000"/>
          <w:sz w:val="24"/>
          <w:szCs w:val="24"/>
        </w:rPr>
        <w:t xml:space="preserve">given known probabilities</w:t>
      </w:r>
      <w:r>
        <w:rPr>
          <w:rFonts w:ascii="Times New Roman" w:cs="Times New Roman" w:eastAsia="Times New Roman" w:hAnsi="Times New Roman"/>
          <w:b w:val="false"/>
          <w:bCs w:val="false"/>
          <w:i w:val="false"/>
          <w:iCs w:val="false"/>
          <w:smallCaps w:val="false"/>
          <w:color w:val="000000"/>
          <w:sz w:val="24"/>
          <w:szCs w:val="24"/>
        </w:rPr>
        <w:t xml:space="preserve">; its optimality is a mathematical result about a setting in which the edge is exactly known </w:t>
      </w:r>
      <w:r>
        <w:rPr>
          <w:rFonts w:ascii="Times New Roman" w:cs="Times New Roman" w:eastAsia="Times New Roman" w:hAnsi="Times New Roman"/>
          <w:color w:val="000000"/>
          <w:sz w:val="24"/>
          <w:szCs w:val="24"/>
        </w:rPr>
        <w:t xml:space="preserve">[114]</w:t>
      </w:r>
      <w:r>
        <w:rPr>
          <w:rFonts w:ascii="Times New Roman" w:cs="Times New Roman" w:eastAsia="Times New Roman" w:hAnsi="Times New Roman"/>
          <w:b w:val="false"/>
          <w:bCs w:val="false"/>
          <w:i w:val="false"/>
          <w:iCs w:val="false"/>
          <w:smallCaps w:val="false"/>
          <w:color w:val="000000"/>
          <w:sz w:val="24"/>
          <w:szCs w:val="24"/>
        </w:rPr>
        <w:t xml:space="preserve">. Real decisions are made under estimated rather than known probabilities, and the criterion is asymmetrically punishing of overestimation: betting more than the true optimum degrades long-run growth faster than betting less, so an estimate biased upward is far costlier than one biased downward. Fractional sizing is the standard response, accepting a modest reduction in theoretical growth for a large reduction in the variance and drawdown that estimation error induces </w:t>
      </w:r>
      <w:r>
        <w:rPr>
          <w:rFonts w:ascii="Times New Roman" w:cs="Times New Roman" w:eastAsia="Times New Roman" w:hAnsi="Times New Roman"/>
          <w:color w:val="000000"/>
          <w:sz w:val="24"/>
          <w:szCs w:val="24"/>
        </w:rPr>
        <w:t xml:space="preserve">[115, 116]</w:t>
      </w:r>
      <w:r>
        <w:rPr>
          <w:rFonts w:ascii="Times New Roman" w:cs="Times New Roman" w:eastAsia="Times New Roman" w:hAnsi="Times New Roman"/>
          <w:b w:val="false"/>
          <w:bCs w:val="false"/>
          <w:i w:val="false"/>
          <w:iCs w:val="false"/>
          <w:smallCaps w:val="false"/>
          <w:color w:val="000000"/>
          <w:sz w:val="24"/>
          <w:szCs w:val="24"/>
        </w:rPr>
        <w:t xml:space="preserve">. The general principle—that a mechanism optimal under perfect information should be applied conservatively when information is imperfect—recurs throughout the architecture. It is the same reasoning that motivates the human gate: a model that reasoned perfectly would need no oversight, but a model that reasons imperfectly under uncertainty about its own errors should have its consequential actions checked. Conservatism under uncertainty is a design stance the architecture adopts consistently, in its financial reasoning as in its safety spine.</w:t>
      </w:r>
    </w:p>
    <w:p>
      <w:pPr>
        <w:pStyle w:val="Heading2"/>
        <w:keepNext/>
        <w:spacing w:after="90" w:before="200"/>
      </w:pPr>
      <w:r>
        <w:rPr>
          <w:rFonts w:ascii="Arial" w:cs="Arial" w:eastAsia="Arial" w:hAnsi="Arial"/>
          <w:b/>
          <w:bCs/>
          <w:color w:val="000000"/>
          <w:sz w:val="23"/>
          <w:szCs w:val="23"/>
        </w:rPr>
        <w:t xml:space="preserve">10.5  Monitoring and Observability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system that operates autonomously must be observable, and the architecture accordingly instruments its subsystems with metrics, logs, and traces collected into a local monitoring stack. The motivation is partly operational—a constrained device serving models under varying load benefits from visibility into memory pressure, latency, and throughput, the quantities Section 4 identifies as binding </w:t>
      </w:r>
      <w:r>
        <w:rPr>
          <w:rFonts w:ascii="Times New Roman" w:cs="Times New Roman" w:eastAsia="Times New Roman" w:hAnsi="Times New Roman"/>
          <w:color w:val="000000"/>
          <w:sz w:val="24"/>
          <w:szCs w:val="24"/>
        </w:rPr>
        <w:t xml:space="preserve">[8, 21]</w:t>
      </w:r>
      <w:r>
        <w:rPr>
          <w:rFonts w:ascii="Times New Roman" w:cs="Times New Roman" w:eastAsia="Times New Roman" w:hAnsi="Times New Roman"/>
          <w:b w:val="false"/>
          <w:bCs w:val="false"/>
          <w:i w:val="false"/>
          <w:iCs w:val="false"/>
          <w:smallCaps w:val="false"/>
          <w:color w:val="000000"/>
          <w:sz w:val="24"/>
          <w:szCs w:val="24"/>
        </w:rPr>
        <w:t xml:space="preserve">—and partly a matter of governance. Traceability is a stated requirement of frameworks for trustworthy artificial intelligence </w:t>
      </w:r>
      <w:r>
        <w:rPr>
          <w:rFonts w:ascii="Times New Roman" w:cs="Times New Roman" w:eastAsia="Times New Roman" w:hAnsi="Times New Roman"/>
          <w:color w:val="000000"/>
          <w:sz w:val="24"/>
          <w:szCs w:val="24"/>
        </w:rPr>
        <w:t xml:space="preserve">[4]</w:t>
      </w:r>
      <w:r>
        <w:rPr>
          <w:rFonts w:ascii="Times New Roman" w:cs="Times New Roman" w:eastAsia="Times New Roman" w:hAnsi="Times New Roman"/>
          <w:b w:val="false"/>
          <w:bCs w:val="false"/>
          <w:i w:val="false"/>
          <w:iCs w:val="false"/>
          <w:smallCaps w:val="false"/>
          <w:color w:val="000000"/>
          <w:sz w:val="24"/>
          <w:szCs w:val="24"/>
        </w:rPr>
        <w:t xml:space="preserve">, and an autonomous collective whose behavior could not be observed would fail that requirement regardless of what gates constrained it. Observability and the audit trail of Section 8.5 are complementary: the audit trail records what was authorized and by whom, while monitoring records how the system behaved in producing those proposals, and together they make the system’s operation reconstructable at both the decision and the mechanism level.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local-first setting again simplifies what would otherwise be difficult. Because every subsystem runs under one owner’s control, telemetry need not cross organizational or network boundaries, and the monitoring stack itself can run locally without exporting operational data to a third party—a system whose reason for existing is to avoid sending private data to external services should not undermine that by streaming its telemetry off the device. The same principle that governs the architecture’s inference governs its observability: the data stays home. This consistency is not incidental. An architecture whose commitments hold for its primary function but lapse for its supporting infrastructure would be local-first in name only, and the discipline of applying the commitment uniformly—to inference, to knowledge, to networking, and to telemetry alike </w:t>
      </w:r>
      <w:r>
        <w:rPr>
          <w:rFonts w:ascii="Times New Roman" w:cs="Times New Roman" w:eastAsia="Times New Roman" w:hAnsi="Times New Roman"/>
          <w:color w:val="000000"/>
          <w:sz w:val="24"/>
          <w:szCs w:val="24"/>
        </w:rPr>
        <w:t xml:space="preserve">[1, 83]</w:t>
      </w:r>
      <w:r>
        <w:rPr>
          <w:rFonts w:ascii="Times New Roman" w:cs="Times New Roman" w:eastAsia="Times New Roman" w:hAnsi="Times New Roman"/>
          <w:b w:val="false"/>
          <w:bCs w:val="false"/>
          <w:i w:val="false"/>
          <w:iCs w:val="false"/>
          <w:smallCaps w:val="false"/>
          <w:color w:val="000000"/>
          <w:sz w:val="24"/>
          <w:szCs w:val="24"/>
        </w:rPr>
        <w:t xml:space="preserve">—is what makes the claim of locality credible rather than rhetorical.</w:t>
      </w:r>
    </w:p>
    <w:p>
      <w:pPr>
        <w:pStyle w:val="Heading2"/>
        <w:keepNext/>
        <w:spacing w:after="90" w:before="200"/>
      </w:pPr>
      <w:r>
        <w:rPr>
          <w:rFonts w:ascii="Arial" w:cs="Arial" w:eastAsia="Arial" w:hAnsi="Arial"/>
          <w:b/>
          <w:bCs/>
          <w:color w:val="000000"/>
          <w:sz w:val="23"/>
          <w:szCs w:val="23"/>
        </w:rPr>
        <w:t xml:space="preserve">10.6  What the Subsystems Have in Common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subsystems of this section are heterogeneous—robotics, media provenance, quantitative finance, networking, and telemetry have little to do with one another as research areas—and it is worth naming what makes them one system rather than five that happen to share a host. Three commonalities do the work. First, each is subordinate to the same safety spine: a physical actuation, a financial position, and a network access are all consequential actions, and each is gated identically, so that the human governs the whole rather than negotiating a separate arrangement with each part </w:t>
      </w:r>
      <w:r>
        <w:rPr>
          <w:rFonts w:ascii="Times New Roman" w:cs="Times New Roman" w:eastAsia="Times New Roman" w:hAnsi="Times New Roman"/>
          <w:color w:val="000000"/>
          <w:sz w:val="24"/>
          <w:szCs w:val="24"/>
        </w:rPr>
        <w:t xml:space="preserve">[81]</w:t>
      </w:r>
      <w:r>
        <w:rPr>
          <w:rFonts w:ascii="Times New Roman" w:cs="Times New Roman" w:eastAsia="Times New Roman" w:hAnsi="Times New Roman"/>
          <w:b w:val="false"/>
          <w:bCs w:val="false"/>
          <w:i w:val="false"/>
          <w:iCs w:val="false"/>
          <w:smallCaps w:val="false"/>
          <w:color w:val="000000"/>
          <w:sz w:val="24"/>
          <w:szCs w:val="24"/>
        </w:rPr>
        <w:t xml:space="preserve">. Second, each obeys the locality commitment: the fleet computes at the edge, the knowledge layer serves a local corpus </w:t>
      </w:r>
      <w:r>
        <w:rPr>
          <w:rFonts w:ascii="Times New Roman" w:cs="Times New Roman" w:eastAsia="Times New Roman" w:hAnsi="Times New Roman"/>
          <w:color w:val="000000"/>
          <w:sz w:val="24"/>
          <w:szCs w:val="24"/>
        </w:rPr>
        <w:t xml:space="preserve">[52]</w:t>
      </w:r>
      <w:r>
        <w:rPr>
          <w:rFonts w:ascii="Times New Roman" w:cs="Times New Roman" w:eastAsia="Times New Roman" w:hAnsi="Times New Roman"/>
          <w:b w:val="false"/>
          <w:bCs w:val="false"/>
          <w:i w:val="false"/>
          <w:iCs w:val="false"/>
          <w:smallCaps w:val="false"/>
          <w:color w:val="000000"/>
          <w:sz w:val="24"/>
          <w:szCs w:val="24"/>
        </w:rPr>
        <w:t xml:space="preserve">, the mesh keeps traffic within the federation </w:t>
      </w:r>
      <w:r>
        <w:rPr>
          <w:rFonts w:ascii="Times New Roman" w:cs="Times New Roman" w:eastAsia="Times New Roman" w:hAnsi="Times New Roman"/>
          <w:color w:val="000000"/>
          <w:sz w:val="24"/>
          <w:szCs w:val="24"/>
        </w:rPr>
        <w:t xml:space="preserve">[86]</w:t>
      </w:r>
      <w:r>
        <w:rPr>
          <w:rFonts w:ascii="Times New Roman" w:cs="Times New Roman" w:eastAsia="Times New Roman" w:hAnsi="Times New Roman"/>
          <w:b w:val="false"/>
          <w:bCs w:val="false"/>
          <w:i w:val="false"/>
          <w:iCs w:val="false"/>
          <w:smallCaps w:val="false"/>
          <w:color w:val="000000"/>
          <w:sz w:val="24"/>
          <w:szCs w:val="24"/>
        </w:rPr>
        <w:t xml:space="preserve">, and the telemetry stays on the device. Third, each is mediated through the same standardized tool interface </w:t>
      </w:r>
      <w:r>
        <w:rPr>
          <w:rFonts w:ascii="Times New Roman" w:cs="Times New Roman" w:eastAsia="Times New Roman" w:hAnsi="Times New Roman"/>
          <w:color w:val="000000"/>
          <w:sz w:val="24"/>
          <w:szCs w:val="24"/>
        </w:rPr>
        <w:t xml:space="preserve">[69]</w:t>
      </w:r>
      <w:r>
        <w:rPr>
          <w:rFonts w:ascii="Times New Roman" w:cs="Times New Roman" w:eastAsia="Times New Roman" w:hAnsi="Times New Roman"/>
          <w:b w:val="false"/>
          <w:bCs w:val="false"/>
          <w:i w:val="false"/>
          <w:iCs w:val="false"/>
          <w:smallCaps w:val="false"/>
          <w:color w:val="000000"/>
          <w:sz w:val="24"/>
          <w:szCs w:val="24"/>
        </w:rPr>
        <w:t xml:space="preserve">, so that a drone controller and a retrieval index are, from the collective’s perspective, the same kind of thing.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uniformity is the practical payoff of the design principles of Section 3.6, and it is what makes the system extensible without becoming incoherent. A new subsystem does not require a new safety story, a new security review of its own devising, or a new integration pattern; it requires a tool server, a place in the federation, and submission to the gate. The alternative—in which each capability arrives with its own bespoke approach to authorization, its own network posture, and its own integration—is how systems accumulate the uncoordinated exposure that Section 7.3 identifies as the failure mode of ad hoc integration. That the architecture can absorb a quadruped, a trading interface, and a document pipeline under one set of commitments is not a coincidence of good luck but the consequence of having chosen commitments general enough to cover them. Whether those commitments hold as the system grows is an open question, and one Section 12 counts among the architecture’s untested properties; but the design intent is that growth in capability should not require growth in the number of distinct ways the system can be wrong.</w:t>
      </w:r>
    </w:p>
    <w:p>
      <w:pPr>
        <w:pStyle w:val="Heading1"/>
        <w:keepNext/>
        <w:spacing w:after="120" w:before="300"/>
      </w:pPr>
      <w:r>
        <w:rPr>
          <w:rFonts w:ascii="Arial" w:cs="Arial" w:eastAsia="Arial" w:hAnsi="Arial"/>
          <w:b/>
          <w:bCs/>
          <w:color w:val="000000"/>
          <w:sz w:val="26"/>
          <w:szCs w:val="26"/>
        </w:rPr>
        <w:t xml:space="preserve">11  Discussion</w:t>
      </w:r>
    </w:p>
    <w:p>
      <w:pPr>
        <w:pStyle w:val="Heading2"/>
        <w:keepNext/>
        <w:spacing w:after="90" w:before="200"/>
      </w:pPr>
      <w:r>
        <w:rPr>
          <w:rFonts w:ascii="Arial" w:cs="Arial" w:eastAsia="Arial" w:hAnsi="Arial"/>
          <w:b/>
          <w:bCs/>
          <w:color w:val="000000"/>
          <w:sz w:val="23"/>
          <w:szCs w:val="23"/>
        </w:rPr>
        <w:t xml:space="preserve">11.1  What the Architecture Demonstrates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foregoing sections establish that each pillar of the architecture is supported by an identifiable body of research. Taken together, they support a stronger claim: that the integration of these pillars into a private, autonomous, human-governed system on commodity hardware is feasible today and defensible on its merits. The feasibility rests on the convergence of three developments—capable open-weight models </w:t>
      </w:r>
      <w:r>
        <w:rPr>
          <w:rFonts w:ascii="Times New Roman" w:cs="Times New Roman" w:eastAsia="Times New Roman" w:hAnsi="Times New Roman"/>
          <w:color w:val="000000"/>
          <w:sz w:val="24"/>
          <w:szCs w:val="24"/>
        </w:rPr>
        <w:t xml:space="preserve">[31, 33, 34]</w:t>
      </w:r>
      <w:r>
        <w:rPr>
          <w:rFonts w:ascii="Times New Roman" w:cs="Times New Roman" w:eastAsia="Times New Roman" w:hAnsi="Times New Roman"/>
          <w:b w:val="false"/>
          <w:bCs w:val="false"/>
          <w:i w:val="false"/>
          <w:iCs w:val="false"/>
          <w:smallCaps w:val="false"/>
          <w:color w:val="000000"/>
          <w:sz w:val="24"/>
          <w:szCs w:val="24"/>
        </w:rPr>
        <w:t xml:space="preserve">, compression and serving techniques that fit them onto consumer hardware </w:t>
      </w:r>
      <w:r>
        <w:rPr>
          <w:rFonts w:ascii="Times New Roman" w:cs="Times New Roman" w:eastAsia="Times New Roman" w:hAnsi="Times New Roman"/>
          <w:color w:val="000000"/>
          <w:sz w:val="24"/>
          <w:szCs w:val="24"/>
        </w:rPr>
        <w:t xml:space="preserve">[11, 12, 27, 28]</w:t>
      </w:r>
      <w:r>
        <w:rPr>
          <w:rFonts w:ascii="Times New Roman" w:cs="Times New Roman" w:eastAsia="Times New Roman" w:hAnsi="Times New Roman"/>
          <w:b w:val="false"/>
          <w:bCs w:val="false"/>
          <w:i w:val="false"/>
          <w:iCs w:val="false"/>
          <w:smallCaps w:val="false"/>
          <w:color w:val="000000"/>
          <w:sz w:val="24"/>
          <w:szCs w:val="24"/>
        </w:rPr>
        <w:t xml:space="preserve">, and agentic and multi-agent methods that turn predictors into collaborating actors </w:t>
      </w:r>
      <w:r>
        <w:rPr>
          <w:rFonts w:ascii="Times New Roman" w:cs="Times New Roman" w:eastAsia="Times New Roman" w:hAnsi="Times New Roman"/>
          <w:color w:val="000000"/>
          <w:sz w:val="24"/>
          <w:szCs w:val="24"/>
        </w:rPr>
        <w:t xml:space="preserve">[43, 61, 62]</w:t>
      </w:r>
      <w:r>
        <w:rPr>
          <w:rFonts w:ascii="Times New Roman" w:cs="Times New Roman" w:eastAsia="Times New Roman" w:hAnsi="Times New Roman"/>
          <w:b w:val="false"/>
          <w:bCs w:val="false"/>
          <w:i w:val="false"/>
          <w:iCs w:val="false"/>
          <w:smallCaps w:val="false"/>
          <w:color w:val="000000"/>
          <w:sz w:val="24"/>
          <w:szCs w:val="24"/>
        </w:rPr>
        <w:t xml:space="preserve">. None of these was available in mature form until recently; their convergence is what makes the local-first turn newly practical.</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defensibility rests on the safety spine. A recurring objection to autonomous AI is that autonomy and safety are in tension; the architecture answers that a hardware-enforced human gate dissolves the tension by making autonomy conditional on human authorization of consequential actions </w:t>
      </w:r>
      <w:r>
        <w:rPr>
          <w:rFonts w:ascii="Times New Roman" w:cs="Times New Roman" w:eastAsia="Times New Roman" w:hAnsi="Times New Roman"/>
          <w:color w:val="000000"/>
          <w:sz w:val="24"/>
          <w:szCs w:val="24"/>
        </w:rPr>
        <w:t xml:space="preserve">[76, 81]</w:t>
      </w:r>
      <w:r>
        <w:rPr>
          <w:rFonts w:ascii="Times New Roman" w:cs="Times New Roman" w:eastAsia="Times New Roman" w:hAnsi="Times New Roman"/>
          <w:b w:val="false"/>
          <w:bCs w:val="false"/>
          <w:i w:val="false"/>
          <w:iCs w:val="false"/>
          <w:smallCaps w:val="false"/>
          <w:color w:val="000000"/>
          <w:sz w:val="24"/>
          <w:szCs w:val="24"/>
        </w:rPr>
        <w:t xml:space="preserve">. This is not a claim that the architecture is without risk—no system is—but that its risks are bounded by a mechanism grounded in established standards and placed at the one point, consequential action, where bounding them matters most.</w:t>
      </w:r>
    </w:p>
    <w:p>
      <w:pPr>
        <w:pStyle w:val="Heading2"/>
        <w:keepNext/>
        <w:spacing w:after="90" w:before="200"/>
      </w:pPr>
      <w:r>
        <w:rPr>
          <w:rFonts w:ascii="Arial" w:cs="Arial" w:eastAsia="Arial" w:hAnsi="Arial"/>
          <w:b/>
          <w:bCs/>
          <w:color w:val="000000"/>
          <w:sz w:val="23"/>
          <w:szCs w:val="23"/>
        </w:rPr>
        <w:t xml:space="preserve">11.2  When Local-First Is, and Is Not, the Rational Choice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Intellectual honesty requires acknowledging the conditions under which the architecture is </w:t>
      </w:r>
      <w:r>
        <w:rPr>
          <w:rFonts w:ascii="Times New Roman" w:cs="Times New Roman" w:eastAsia="Times New Roman" w:hAnsi="Times New Roman"/>
          <w:b w:val="false"/>
          <w:bCs w:val="false"/>
          <w:i/>
          <w:iCs/>
          <w:smallCaps w:val="false"/>
          <w:color w:val="000000"/>
          <w:sz w:val="24"/>
          <w:szCs w:val="24"/>
        </w:rPr>
        <w:t xml:space="preserve">not</w:t>
      </w:r>
      <w:r>
        <w:rPr>
          <w:rFonts w:ascii="Times New Roman" w:cs="Times New Roman" w:eastAsia="Times New Roman" w:hAnsi="Times New Roman"/>
          <w:b w:val="false"/>
          <w:bCs w:val="false"/>
          <w:i w:val="false"/>
          <w:iCs w:val="false"/>
          <w:smallCaps w:val="false"/>
          <w:color w:val="000000"/>
          <w:sz w:val="24"/>
          <w:szCs w:val="24"/>
        </w:rPr>
        <w:t xml:space="preserve"> the rational choice. On pure cost, at low or bursty utilization, commercial inference is typically cheaper, and the break-even analyses make clear that on-premises deployment wins on cost only at sustained high utilization or where privacy carries intrinsic value </w:t>
      </w:r>
      <w:r>
        <w:rPr>
          <w:rFonts w:ascii="Times New Roman" w:cs="Times New Roman" w:eastAsia="Times New Roman" w:hAnsi="Times New Roman"/>
          <w:color w:val="000000"/>
          <w:sz w:val="24"/>
          <w:szCs w:val="24"/>
        </w:rPr>
        <w:t xml:space="preserve">[5–7]</w:t>
      </w:r>
      <w:r>
        <w:rPr>
          <w:rFonts w:ascii="Times New Roman" w:cs="Times New Roman" w:eastAsia="Times New Roman" w:hAnsi="Times New Roman"/>
          <w:b w:val="false"/>
          <w:bCs w:val="false"/>
          <w:i w:val="false"/>
          <w:iCs w:val="false"/>
          <w:smallCaps w:val="false"/>
          <w:color w:val="000000"/>
          <w:sz w:val="24"/>
          <w:szCs w:val="24"/>
        </w:rPr>
        <w:t xml:space="preserve">. On raw capability, a local model cannot match a frontier-scale one, and tasks that genuinely require the largest models are ill-served by local deployment; the architecture’s premise is that many tasks do not require frontier scale, which the small-model literature supports </w:t>
      </w:r>
      <w:r>
        <w:rPr>
          <w:rFonts w:ascii="Times New Roman" w:cs="Times New Roman" w:eastAsia="Times New Roman" w:hAnsi="Times New Roman"/>
          <w:color w:val="000000"/>
          <w:sz w:val="24"/>
          <w:szCs w:val="24"/>
        </w:rPr>
        <w:t xml:space="preserve">[9, 34, 35]</w:t>
      </w:r>
      <w:r>
        <w:rPr>
          <w:rFonts w:ascii="Times New Roman" w:cs="Times New Roman" w:eastAsia="Times New Roman" w:hAnsi="Times New Roman"/>
          <w:b w:val="false"/>
          <w:bCs w:val="false"/>
          <w:i w:val="false"/>
          <w:iCs w:val="false"/>
          <w:smallCaps w:val="false"/>
          <w:color w:val="000000"/>
          <w:sz w:val="24"/>
          <w:szCs w:val="24"/>
        </w:rPr>
        <w:t xml:space="preserve"> but which is not universally true. And on operational burden, a local-first system shifts responsibility for maintenance, security, and reliability onto its owner, a cost that a managed service externalizes.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architecture’s case, then, is not that local-first dominates cloud deployment on every axis, but that it dominates on the axes the local-first tradition holds most important—privacy, control, auditability, and autonomy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—and that it is competitive or superior on cost under identifiable conditions. For an individual or organization that values data sovereignty, that operates at sustained utilization, or that requires resilience against external dependency, the architecture is a rational and defensible choice. For a user with bursty needs, no privacy sensitivity, and a requirement for frontier capability, it is not. This conditionality is a feature of an honest analysis, not a weakness of the architecture.</w:t>
      </w:r>
    </w:p>
    <w:p>
      <w:pPr>
        <w:pStyle w:val="Heading2"/>
        <w:keepNext/>
        <w:spacing w:after="90" w:before="200"/>
      </w:pPr>
      <w:r>
        <w:rPr>
          <w:rFonts w:ascii="Arial" w:cs="Arial" w:eastAsia="Arial" w:hAnsi="Arial"/>
          <w:b/>
          <w:bCs/>
          <w:color w:val="000000"/>
          <w:sz w:val="23"/>
          <w:szCs w:val="23"/>
        </w:rPr>
        <w:t xml:space="preserve">11.3  Comparison with Alternative Architectures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It is useful to locate the architecture relative to the alternatives it is not. At one extreme lies the pure cloud-API application, in which all inference and orchestration occur remotely and the developer holds only a thin client. This maximizes access to frontier capability and minimizes operational burden, at the cost of the privacy, control, and resilience the local-first tradition prizes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 At another extreme lies the trivial local deployment, in which a single small model runs on a device but performs no autonomous or multi-agent work—a chatbot in a box. This preserves privacy but forgoes the capability that agency and collaboration provide. The architecture occupies neither extreme: it is local like the second but autonomous and multi-agent like the sophisticated systems usually built in the cloud, and its central claim is that this combination—long assumed to require the cloud—is achievable locally on commodity hardware.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closer alternative is the hybrid architecture, in which some components run locally and others in the cloud—for instance, a local model for routine work that escalates to a remote frontier model for hard cases. Hybrid designs are pragmatic and, for many users, sensible; we do not argue against them. We observe only that a hybrid design reintroduces, for the escalated fraction of its work, exactly the privacy and dependency properties the local-first architecture is designed to avoid, and that the choice between fully local and hybrid is therefore a choice about how much of that reintroduction one is willing to accept. For a user whose reason for going local is regulatory or privacy-driven, even occasional escalation may be unacceptable, and the fully local architecture is the appropriate one; for a user whose reason is chiefly cost or resilience, a hybrid may suffice. The cost-benefit literature comparing local and commercial inference </w:t>
      </w:r>
      <w:r>
        <w:rPr>
          <w:rFonts w:ascii="Times New Roman" w:cs="Times New Roman" w:eastAsia="Times New Roman" w:hAnsi="Times New Roman"/>
          <w:color w:val="000000"/>
          <w:sz w:val="24"/>
          <w:szCs w:val="24"/>
        </w:rPr>
        <w:t xml:space="preserve">[5–7]</w:t>
      </w:r>
      <w:r>
        <w:rPr>
          <w:rFonts w:ascii="Times New Roman" w:cs="Times New Roman" w:eastAsia="Times New Roman" w:hAnsi="Times New Roman"/>
          <w:b w:val="false"/>
          <w:bCs w:val="false"/>
          <w:i w:val="false"/>
          <w:iCs w:val="false"/>
          <w:smallCaps w:val="false"/>
          <w:color w:val="000000"/>
          <w:sz w:val="24"/>
          <w:szCs w:val="24"/>
        </w:rPr>
        <w:t xml:space="preserve"> provides the framework for making this choice quantitatively, and the architecture we describe is best understood as the fully local endpoint of a spectrum along which a given deployment may sit anywhere.</w:t>
      </w:r>
    </w:p>
    <w:p>
      <w:pPr>
        <w:pStyle w:val="Heading2"/>
        <w:keepNext/>
        <w:spacing w:after="90" w:before="200"/>
      </w:pPr>
      <w:r>
        <w:rPr>
          <w:rFonts w:ascii="Arial" w:cs="Arial" w:eastAsia="Arial" w:hAnsi="Arial"/>
          <w:b/>
          <w:bCs/>
          <w:color w:val="000000"/>
          <w:sz w:val="23"/>
          <w:szCs w:val="23"/>
        </w:rPr>
        <w:t xml:space="preserve">11.4  Broader Implications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If the architecture’s central claim is correct—that private, autonomous, human-governed AI is achievable on hardware individuals can own—the implications extend beyond any single system. The concentration of advanced AI capability in a small number of cloud providers has consequences for privacy, for competition, and for the distribution of power over an increasingly consequential technology. A viable local-first alternative does not by itself alter these dynamics, but it establishes that the concentration is not technically inevitable, and it provides a template for those who wish to opt out of it. The values the local-first tradition articulated for software generally—that users should own their data and control their computation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—acquire new force when the computation in question is artificial intelligence, precisely because the stakes of who controls that computation are higher. We do not overstate the case: the architecture is one system built by one individual, and the barriers to broad adoption—operational burden, the capability ceiling of local models, the conditional economics—are real and enumerated in Section 12. But the demonstration that the architecture is feasible at all is, we believe, of interest beyond its particulars, because it shows that the choice between capability and control is less stark than the prevailing cloud-default discourse assumes.</w:t>
      </w:r>
    </w:p>
    <w:p>
      <w:pPr>
        <w:pStyle w:val="Heading2"/>
        <w:keepNext/>
        <w:spacing w:after="90" w:before="200"/>
      </w:pPr>
      <w:r>
        <w:rPr>
          <w:rFonts w:ascii="Arial" w:cs="Arial" w:eastAsia="Arial" w:hAnsi="Arial"/>
          <w:b/>
          <w:bCs/>
          <w:color w:val="000000"/>
          <w:sz w:val="23"/>
          <w:szCs w:val="23"/>
        </w:rPr>
        <w:t xml:space="preserve">11.5  What Would Falsify the Argument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An argument worth making should be an argument that could fail, so we state what would defeat this one. The feasibility claim would fail if a careful evaluation found that quantized local models were insufficient for the tasks users actually bring to such a system—not merely weaker than frontier models, which is conceded, but below the threshold of usefulness for a substantial fraction of real work. The evidence currently runs the other way </w:t>
      </w:r>
      <w:r>
        <w:rPr>
          <w:rFonts w:ascii="Times New Roman" w:cs="Times New Roman" w:eastAsia="Times New Roman" w:hAnsi="Times New Roman"/>
          <w:color w:val="000000"/>
          <w:sz w:val="24"/>
          <w:szCs w:val="24"/>
        </w:rPr>
        <w:t xml:space="preserve">[9, 34, 35]</w:t>
      </w:r>
      <w:r>
        <w:rPr>
          <w:rFonts w:ascii="Times New Roman" w:cs="Times New Roman" w:eastAsia="Times New Roman" w:hAnsi="Times New Roman"/>
          <w:b w:val="false"/>
          <w:bCs w:val="false"/>
          <w:i w:val="false"/>
          <w:iCs w:val="false"/>
          <w:smallCaps w:val="false"/>
          <w:color w:val="000000"/>
          <w:sz w:val="24"/>
          <w:szCs w:val="24"/>
        </w:rPr>
        <w:t xml:space="preserve">, but the measurement Section 13 proposes has not been made, and we would regard a negative result as decisive rather than as something to explain away.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safety claim would fail on either of two findings. If a hardware-gated architecture were shown to be circumventable in practice—if an autonomous process could reliably obtain authorization without a human gesture, defeating the assumption that the standards’ user-presence property provides </w:t>
      </w:r>
      <w:r>
        <w:rPr>
          <w:rFonts w:ascii="Times New Roman" w:cs="Times New Roman" w:eastAsia="Times New Roman" w:hAnsi="Times New Roman"/>
          <w:color w:val="000000"/>
          <w:sz w:val="24"/>
          <w:szCs w:val="24"/>
        </w:rPr>
        <w:t xml:space="preserve">[81, 82]</w:t>
      </w:r>
      <w:r>
        <w:rPr>
          <w:rFonts w:ascii="Times New Roman" w:cs="Times New Roman" w:eastAsia="Times New Roman" w:hAnsi="Times New Roman"/>
          <w:b w:val="false"/>
          <w:bCs w:val="false"/>
          <w:i w:val="false"/>
          <w:iCs w:val="false"/>
          <w:smallCaps w:val="false"/>
          <w:color w:val="000000"/>
          <w:sz w:val="24"/>
          <w:szCs w:val="24"/>
        </w:rPr>
        <w:t xml:space="preserve">—then the spine would not bear the weight this paper puts on it. Alternatively, if operators at the gate were found to approve reflexively as a rule rather than as an occasional lapse, then the mechanism would be formally intact but substantively empty, and the honest conclusion would be that the architecture provides the appearance of control rather than control. Section 12 names this as a known risk and Section 13 proposes studying it precisely because we take the possibility seriously. Finally, the economic argument would fail if the break-even analyses were shown to be systematically wrong in the local system’s favor—though here the paper claims little, conceding already that cost favors commercial inference across a wide range of conditions </w:t>
      </w:r>
      <w:r>
        <w:rPr>
          <w:rFonts w:ascii="Times New Roman" w:cs="Times New Roman" w:eastAsia="Times New Roman" w:hAnsi="Times New Roman"/>
          <w:color w:val="000000"/>
          <w:sz w:val="24"/>
          <w:szCs w:val="24"/>
        </w:rPr>
        <w:t xml:space="preserve">[5, 7]</w:t>
      </w:r>
      <w:r>
        <w:rPr>
          <w:rFonts w:ascii="Times New Roman" w:cs="Times New Roman" w:eastAsia="Times New Roman" w:hAnsi="Times New Roman"/>
          <w:b w:val="false"/>
          <w:bCs w:val="false"/>
          <w:i w:val="false"/>
          <w:iCs w:val="false"/>
          <w:smallCaps w:val="false"/>
          <w:color w:val="000000"/>
          <w:sz w:val="24"/>
          <w:szCs w:val="24"/>
        </w:rPr>
        <w:t xml:space="preserve">. We name these failure conditions not as a rhetorical gesture but because an architecture defended only by arguments that cannot fail is not defended at all.</w:t>
      </w:r>
    </w:p>
    <w:p>
      <w:pPr>
        <w:pStyle w:val="Heading2"/>
        <w:keepNext/>
        <w:spacing w:after="90" w:before="200"/>
      </w:pPr>
      <w:r>
        <w:rPr>
          <w:rFonts w:ascii="Arial" w:cs="Arial" w:eastAsia="Arial" w:hAnsi="Arial"/>
          <w:b/>
          <w:bCs/>
          <w:color w:val="000000"/>
          <w:sz w:val="23"/>
          <w:szCs w:val="23"/>
        </w:rPr>
        <w:t xml:space="preserve">11.6  The Contribution Restated</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restate the contribution to forestall a misreading. We do not claim to advance the state of the art in quantization, agent design, or any other component; each is the province of the specialized literatures we have cited. We claim that these components, assembled with a particular set of commitments—local-first operation, division-of-labor multi-agent organization, standardized and auditable tool use, and a hardware-enforced human gate—constitute an architecture that is more than the sum of its parts, and that this architecture demonstrates the viability of private, autonomous, human-governed AI on hardware individuals can own. The synthesis is the contribution, and its value lies in showing that a path exists between the extremes of trivial local models and inaccessible cloud-only autonomy.</w:t>
      </w:r>
    </w:p>
    <w:p>
      <w:pPr>
        <w:pStyle w:val="Heading2"/>
        <w:keepNext/>
        <w:spacing w:after="90" w:before="200"/>
      </w:pPr>
      <w:r>
        <w:rPr>
          <w:rFonts w:ascii="Arial" w:cs="Arial" w:eastAsia="Arial" w:hAnsi="Arial"/>
          <w:b/>
          <w:bCs/>
          <w:color w:val="000000"/>
          <w:sz w:val="23"/>
          <w:szCs w:val="23"/>
        </w:rPr>
        <w:t xml:space="preserve">11.7  The Open-Ecosystem Dependency</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Section 2.5 identified the architecture’s dependence on the continued availability of capable open-weight models, and the discussion should return to it, because it is the condition on which everything else rests. The paper’s argument is that local-first autonomous AI is feasible, and every technical component of that argument—the quantization that fits models into a small budget </w:t>
      </w:r>
      <w:r>
        <w:rPr>
          <w:rFonts w:ascii="Times New Roman" w:cs="Times New Roman" w:eastAsia="Times New Roman" w:hAnsi="Times New Roman"/>
          <w:color w:val="000000"/>
          <w:sz w:val="24"/>
          <w:szCs w:val="24"/>
        </w:rPr>
        <w:t xml:space="preserve">[11, 12]</w:t>
      </w:r>
      <w:r>
        <w:rPr>
          <w:rFonts w:ascii="Times New Roman" w:cs="Times New Roman" w:eastAsia="Times New Roman" w:hAnsi="Times New Roman"/>
          <w:b w:val="false"/>
          <w:bCs w:val="false"/>
          <w:i w:val="false"/>
          <w:iCs w:val="false"/>
          <w:smallCaps w:val="false"/>
          <w:color w:val="000000"/>
          <w:sz w:val="24"/>
          <w:szCs w:val="24"/>
        </w:rPr>
        <w:t xml:space="preserve">, the serving stacks that run them </w:t>
      </w:r>
      <w:r>
        <w:rPr>
          <w:rFonts w:ascii="Times New Roman" w:cs="Times New Roman" w:eastAsia="Times New Roman" w:hAnsi="Times New Roman"/>
          <w:color w:val="000000"/>
          <w:sz w:val="24"/>
          <w:szCs w:val="24"/>
        </w:rPr>
        <w:t xml:space="preserve">[38, 40]</w:t>
      </w:r>
      <w:r>
        <w:rPr>
          <w:rFonts w:ascii="Times New Roman" w:cs="Times New Roman" w:eastAsia="Times New Roman" w:hAnsi="Times New Roman"/>
          <w:b w:val="false"/>
          <w:bCs w:val="false"/>
          <w:i w:val="false"/>
          <w:iCs w:val="false"/>
          <w:smallCaps w:val="false"/>
          <w:color w:val="000000"/>
          <w:sz w:val="24"/>
          <w:szCs w:val="24"/>
        </w:rPr>
        <w:t xml:space="preserve">, the agentic methods that make them useful </w:t>
      </w:r>
      <w:r>
        <w:rPr>
          <w:rFonts w:ascii="Times New Roman" w:cs="Times New Roman" w:eastAsia="Times New Roman" w:hAnsi="Times New Roman"/>
          <w:color w:val="000000"/>
          <w:sz w:val="24"/>
          <w:szCs w:val="24"/>
        </w:rPr>
        <w:t xml:space="preserve">[43, 61]</w:t>
      </w:r>
      <w:r>
        <w:rPr>
          <w:rFonts w:ascii="Times New Roman" w:cs="Times New Roman" w:eastAsia="Times New Roman" w:hAnsi="Times New Roman"/>
          <w:b w:val="false"/>
          <w:bCs w:val="false"/>
          <w:i w:val="false"/>
          <w:iCs w:val="false"/>
          <w:smallCaps w:val="false"/>
          <w:color w:val="000000"/>
          <w:sz w:val="24"/>
          <w:szCs w:val="24"/>
        </w:rPr>
        <w:t xml:space="preserve">—presupposes weights one may lawfully obtain and run. That presupposition holds today because several organizations choose to publish capable models </w:t>
      </w:r>
      <w:r>
        <w:rPr>
          <w:rFonts w:ascii="Times New Roman" w:cs="Times New Roman" w:eastAsia="Times New Roman" w:hAnsi="Times New Roman"/>
          <w:color w:val="000000"/>
          <w:sz w:val="24"/>
          <w:szCs w:val="24"/>
        </w:rPr>
        <w:t xml:space="preserve">[31, 33–35]</w:t>
      </w:r>
      <w:r>
        <w:rPr>
          <w:rFonts w:ascii="Times New Roman" w:cs="Times New Roman" w:eastAsia="Times New Roman" w:hAnsi="Times New Roman"/>
          <w:b w:val="false"/>
          <w:bCs w:val="false"/>
          <w:i w:val="false"/>
          <w:iCs w:val="false"/>
          <w:smallCaps w:val="false"/>
          <w:color w:val="000000"/>
          <w:sz w:val="24"/>
          <w:szCs w:val="24"/>
        </w:rPr>
        <w:t xml:space="preserve">, but it is a choice, not a law of nature, and the architecture would be constrained by a change in it.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This dependency cuts in an interesting direction for the broader argument. If local-first architectures are valuable for the reasons this paper advances—privacy, control, resilience, and the distribution of a consequential capability </w:t>
      </w:r>
      <w:r>
        <w:rPr>
          <w:rFonts w:ascii="Times New Roman" w:cs="Times New Roman" w:eastAsia="Times New Roman" w:hAnsi="Times New Roman"/>
          <w:color w:val="000000"/>
          <w:sz w:val="24"/>
          <w:szCs w:val="24"/>
        </w:rPr>
        <w:t xml:space="preserve">[1]</w:t>
      </w:r>
      <w:r>
        <w:rPr>
          <w:rFonts w:ascii="Times New Roman" w:cs="Times New Roman" w:eastAsia="Times New Roman" w:hAnsi="Times New Roman"/>
          <w:b w:val="false"/>
          <w:bCs w:val="false"/>
          <w:i w:val="false"/>
          <w:iCs w:val="false"/>
          <w:smallCaps w:val="false"/>
          <w:color w:val="000000"/>
          <w:sz w:val="24"/>
          <w:szCs w:val="24"/>
        </w:rPr>
        <w:t xml:space="preserve">—then the open-weight ecosystem is not merely a convenience for practitioners but infrastructure of public significance, and its health is a matter of more than technical interest. We make no policy recommendation, which is beyond both our scope and our competence. We observe only that the feasibility this paper demonstrates is contingent, that the contingency is a matter of institutional choice rather than technical limitation, and that a reader persuaded by the architecture’s merits has thereby acquired an interest in the ecosystem that makes it possible. The architecture is a demonstration of what can be built on that foundation while it exists.</w:t>
      </w:r>
    </w:p>
    <w:p>
      <w:pPr>
        <w:pStyle w:val="Heading1"/>
        <w:keepNext/>
        <w:spacing w:after="120" w:before="300"/>
      </w:pPr>
      <w:r>
        <w:rPr>
          <w:rFonts w:ascii="Arial" w:cs="Arial" w:eastAsia="Arial" w:hAnsi="Arial"/>
          <w:b/>
          <w:bCs/>
          <w:color w:val="000000"/>
          <w:sz w:val="26"/>
          <w:szCs w:val="26"/>
        </w:rPr>
        <w:t xml:space="preserve">12  Threats to Validity and Limitations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enumerate the limitations of this work candidly. First, the paper is an architectural synthesis and literature grounding rather than a controlled empirical evaluation; we establish that each component is supported by research and that their integration is feasible, but we do not report head-to-head benchmarks against cloud-based alternatives, and such an evaluation is necessary future work. Second, the capability ceiling of local models is real and moving: claims about what a locally served model can accomplish are contingent on the current state of open-weight models </w:t>
      </w:r>
      <w:r>
        <w:rPr>
          <w:rFonts w:ascii="Times New Roman" w:cs="Times New Roman" w:eastAsia="Times New Roman" w:hAnsi="Times New Roman"/>
          <w:color w:val="000000"/>
          <w:sz w:val="24"/>
          <w:szCs w:val="24"/>
        </w:rPr>
        <w:t xml:space="preserve">[31, 34]</w:t>
      </w:r>
      <w:r>
        <w:rPr>
          <w:rFonts w:ascii="Times New Roman" w:cs="Times New Roman" w:eastAsia="Times New Roman" w:hAnsi="Times New Roman"/>
          <w:b w:val="false"/>
          <w:bCs w:val="false"/>
          <w:i w:val="false"/>
          <w:iCs w:val="false"/>
          <w:smallCaps w:val="false"/>
          <w:color w:val="000000"/>
          <w:sz w:val="24"/>
          <w:szCs w:val="24"/>
        </w:rPr>
        <w:t xml:space="preserve"> and will require revision as that state changes. Third, the security analysis, while grounded in the current threat literature </w:t>
      </w:r>
      <w:r>
        <w:rPr>
          <w:rFonts w:ascii="Times New Roman" w:cs="Times New Roman" w:eastAsia="Times New Roman" w:hAnsi="Times New Roman"/>
          <w:color w:val="000000"/>
          <w:sz w:val="24"/>
          <w:szCs w:val="24"/>
        </w:rPr>
        <w:t xml:space="preserve">[89, 97, 98]</w:t>
      </w:r>
      <w:r>
        <w:rPr>
          <w:rFonts w:ascii="Times New Roman" w:cs="Times New Roman" w:eastAsia="Times New Roman" w:hAnsi="Times New Roman"/>
          <w:b w:val="false"/>
          <w:bCs w:val="false"/>
          <w:i w:val="false"/>
          <w:iCs w:val="false"/>
          <w:smallCaps w:val="false"/>
          <w:color w:val="000000"/>
          <w:sz w:val="24"/>
          <w:szCs w:val="24"/>
        </w:rPr>
        <w:t xml:space="preserve">, concerns a domain that evolves rapidly; the specific attacks and defenses cited are a snapshot, and the architecture’s security depends on continued adversarial testing rather than on any fixed set of mitigations.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Fourth, the human gate, though central to the safety argument, introduces a human bottleneck: a system that requires physical authorization for every consequential action cannot act at machine speed on such actions, and this is a deliberate and, we argue, appropriate trade-off, but it constrains the class of applications for which the architecture is suitable. Fifth, the economic analysis relies on cost-benefit studies </w:t>
      </w:r>
      <w:r>
        <w:rPr>
          <w:rFonts w:ascii="Times New Roman" w:cs="Times New Roman" w:eastAsia="Times New Roman" w:hAnsi="Times New Roman"/>
          <w:color w:val="000000"/>
          <w:sz w:val="24"/>
          <w:szCs w:val="24"/>
        </w:rPr>
        <w:t xml:space="preserve">[5, 6]</w:t>
      </w:r>
      <w:r>
        <w:rPr>
          <w:rFonts w:ascii="Times New Roman" w:cs="Times New Roman" w:eastAsia="Times New Roman" w:hAnsi="Times New Roman"/>
          <w:b w:val="false"/>
          <w:bCs w:val="false"/>
          <w:i w:val="false"/>
          <w:iCs w:val="false"/>
          <w:smallCaps w:val="false"/>
          <w:color w:val="000000"/>
          <w:sz w:val="24"/>
          <w:szCs w:val="24"/>
        </w:rPr>
        <w:t xml:space="preserve"> whose assumptions may not match any particular deployment; the break-even conclusions are conditional and should be re-derived for specific circumstances. Finally, the paper describes a system built and operated by a single individual; the extent to which the architecture generalizes to larger teams, higher reliability requirements, or adversarial operating environments is untested and remains an open question.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further limitation concerns the nature of the evidence this paper marshals. We have grounded each architectural pillar in the literature, but grounding is not the same as validation: the fact that quantization preserves quality in the settings the cited work studied </w:t>
      </w:r>
      <w:r>
        <w:rPr>
          <w:rFonts w:ascii="Times New Roman" w:cs="Times New Roman" w:eastAsia="Times New Roman" w:hAnsi="Times New Roman"/>
          <w:color w:val="000000"/>
          <w:sz w:val="24"/>
          <w:szCs w:val="24"/>
        </w:rPr>
        <w:t xml:space="preserve">[12, 13]</w:t>
      </w:r>
      <w:r>
        <w:rPr>
          <w:rFonts w:ascii="Times New Roman" w:cs="Times New Roman" w:eastAsia="Times New Roman" w:hAnsi="Times New Roman"/>
          <w:b w:val="false"/>
          <w:bCs w:val="false"/>
          <w:i w:val="false"/>
          <w:iCs w:val="false"/>
          <w:smallCaps w:val="false"/>
          <w:color w:val="000000"/>
          <w:sz w:val="24"/>
          <w:szCs w:val="24"/>
        </w:rPr>
        <w:t xml:space="preserve">, or that multi-agent debate improves factuality on the benchmarks its authors used </w:t>
      </w:r>
      <w:r>
        <w:rPr>
          <w:rFonts w:ascii="Times New Roman" w:cs="Times New Roman" w:eastAsia="Times New Roman" w:hAnsi="Times New Roman"/>
          <w:color w:val="000000"/>
          <w:sz w:val="24"/>
          <w:szCs w:val="24"/>
        </w:rPr>
        <w:t xml:space="preserve">[59]</w:t>
      </w:r>
      <w:r>
        <w:rPr>
          <w:rFonts w:ascii="Times New Roman" w:cs="Times New Roman" w:eastAsia="Times New Roman" w:hAnsi="Times New Roman"/>
          <w:b w:val="false"/>
          <w:bCs w:val="false"/>
          <w:i w:val="false"/>
          <w:iCs w:val="false"/>
          <w:smallCaps w:val="false"/>
          <w:color w:val="000000"/>
          <w:sz w:val="24"/>
          <w:szCs w:val="24"/>
        </w:rPr>
        <w:t xml:space="preserve">, does not entail that these results transfer unchanged to the specific models, tasks, and hardware of this architecture. The literature establishes that the mechanisms work; it does not establish how well they work here. Bridging that gap requires the empirical evaluation Section 13 proposes, and until it is performed, the paper’s claims should be read as claims about feasibility and defensibility rather than about measured performance.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also note a limitation of the safety argument specifically. The hardware gate provides strong assurance that consequential actions are human-authorized, but it does not guarantee that the authorizing human decides </w:t>
      </w:r>
      <w:r>
        <w:rPr>
          <w:rFonts w:ascii="Times New Roman" w:cs="Times New Roman" w:eastAsia="Times New Roman" w:hAnsi="Times New Roman"/>
          <w:b w:val="false"/>
          <w:bCs w:val="false"/>
          <w:i/>
          <w:iCs/>
          <w:smallCaps w:val="false"/>
          <w:color w:val="000000"/>
          <w:sz w:val="24"/>
          <w:szCs w:val="24"/>
        </w:rPr>
        <w:t xml:space="preserve">well</w:t>
      </w:r>
      <w:r>
        <w:rPr>
          <w:rFonts w:ascii="Times New Roman" w:cs="Times New Roman" w:eastAsia="Times New Roman" w:hAnsi="Times New Roman"/>
          <w:b w:val="false"/>
          <w:bCs w:val="false"/>
          <w:i w:val="false"/>
          <w:iCs w:val="false"/>
          <w:smallCaps w:val="false"/>
          <w:color w:val="000000"/>
          <w:sz w:val="24"/>
          <w:szCs w:val="24"/>
        </w:rPr>
        <w:t xml:space="preserve">. An operator who approves reflexively, without attending to the context surfaced at the gate, converts meaningful control into a formality—the mechanism remains intact while the substance drains away. This is a known failure mode of human-in-the-loop systems generally, and the architecture mitigates it only partially, by surfacing full context and by requiring a deliberate physical act rather than a keystroke. It cannot compel attention. The literature on oversight recognizes that the quality of human judgment is itself a variable </w:t>
      </w:r>
      <w:r>
        <w:rPr>
          <w:rFonts w:ascii="Times New Roman" w:cs="Times New Roman" w:eastAsia="Times New Roman" w:hAnsi="Times New Roman"/>
          <w:color w:val="000000"/>
          <w:sz w:val="24"/>
          <w:szCs w:val="24"/>
        </w:rPr>
        <w:t xml:space="preserve">[4, 76]</w:t>
      </w:r>
      <w:r>
        <w:rPr>
          <w:rFonts w:ascii="Times New Roman" w:cs="Times New Roman" w:eastAsia="Times New Roman" w:hAnsi="Times New Roman"/>
          <w:b w:val="false"/>
          <w:bCs w:val="false"/>
          <w:i w:val="false"/>
          <w:iCs w:val="false"/>
          <w:smallCaps w:val="false"/>
          <w:color w:val="000000"/>
          <w:sz w:val="24"/>
          <w:szCs w:val="24"/>
        </w:rPr>
        <w:t xml:space="preserve">, and we claim only that the gate makes good oversight possible, not that it makes it automatic. The audit trail of Section 8.5 provides after-the-fact visibility into whether approvals were considered or reflexive, which is a partial check but not a solution.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Finally, we note a limitation of currency. A substantial fraction of the work this paper relies upon was published within the last two years, and some of it—particularly the security literature specific to tool protocols </w:t>
      </w:r>
      <w:r>
        <w:rPr>
          <w:rFonts w:ascii="Times New Roman" w:cs="Times New Roman" w:eastAsia="Times New Roman" w:hAnsi="Times New Roman"/>
          <w:color w:val="000000"/>
          <w:sz w:val="24"/>
          <w:szCs w:val="24"/>
        </w:rPr>
        <w:t xml:space="preserve">[70–72]</w:t>
      </w:r>
      <w:r>
        <w:rPr>
          <w:rFonts w:ascii="Times New Roman" w:cs="Times New Roman" w:eastAsia="Times New Roman" w:hAnsi="Times New Roman"/>
          <w:b w:val="false"/>
          <w:bCs w:val="false"/>
          <w:i w:val="false"/>
          <w:iCs w:val="false"/>
          <w:smallCaps w:val="false"/>
          <w:color w:val="000000"/>
          <w:sz w:val="24"/>
          <w:szCs w:val="24"/>
        </w:rPr>
        <w:t xml:space="preserve"> and the agentic threat frameworks </w:t>
      </w:r>
      <w:r>
        <w:rPr>
          <w:rFonts w:ascii="Times New Roman" w:cs="Times New Roman" w:eastAsia="Times New Roman" w:hAnsi="Times New Roman"/>
          <w:color w:val="000000"/>
          <w:sz w:val="24"/>
          <w:szCs w:val="24"/>
        </w:rPr>
        <w:t xml:space="preserve">[97]</w:t>
      </w:r>
      <w:r>
        <w:rPr>
          <w:rFonts w:ascii="Times New Roman" w:cs="Times New Roman" w:eastAsia="Times New Roman" w:hAnsi="Times New Roman"/>
          <w:b w:val="false"/>
          <w:bCs w:val="false"/>
          <w:i w:val="false"/>
          <w:iCs w:val="false"/>
          <w:smallCaps w:val="false"/>
          <w:color w:val="000000"/>
          <w:sz w:val="24"/>
          <w:szCs w:val="24"/>
        </w:rPr>
        <w:t xml:space="preserve">—describes a landscape that is changing month by month. Preprints may be revised; findings may fail to replicate; standards will be superseded. We have cited primary records where available and marked software as software rather than dressing it as scholarship, but a paper that leans on a fast-moving literature inherits that literature’s instability, and readers should treat the security sections in particular as a snapshot of mid-2026 rather than a settled account. The architectural argument is more durable than the citations that support its details: the case for locality, mediation, and human governance does not depend on which specific injection technique is current. But the specifics will date, and we would rather say so than imply a permanence the material does not have.</w:t>
      </w:r>
    </w:p>
    <w:p>
      <w:pPr>
        <w:pStyle w:val="Heading1"/>
        <w:keepNext/>
        <w:spacing w:after="120" w:before="300"/>
      </w:pPr>
      <w:r>
        <w:rPr>
          <w:rFonts w:ascii="Arial" w:cs="Arial" w:eastAsia="Arial" w:hAnsi="Arial"/>
          <w:b/>
          <w:bCs/>
          <w:color w:val="000000"/>
          <w:sz w:val="26"/>
          <w:szCs w:val="26"/>
        </w:rPr>
        <w:t xml:space="preserve">13  Future Work</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Several directions would strengthen and extend this work. The most pressing is empirical evaluation: a controlled comparison of the local-first architecture against cloud-based alternatives on representative tasks, measuring quality, latency, cost, and privacy exposure, would convert the feasibility argument into a quantitative one. A second direction is the formalization of the human gate: developing a rigorous model of the authorization ceremony, its security properties, and its throughput implications would place the safety spine on a firmer theoretical footing than the standards-based argument offered here </w:t>
      </w:r>
      <w:r>
        <w:rPr>
          <w:rFonts w:ascii="Times New Roman" w:cs="Times New Roman" w:eastAsia="Times New Roman" w:hAnsi="Times New Roman"/>
          <w:color w:val="000000"/>
          <w:sz w:val="24"/>
          <w:szCs w:val="24"/>
        </w:rPr>
        <w:t xml:space="preserve">[76, 81]</w:t>
      </w:r>
      <w:r>
        <w:rPr>
          <w:rFonts w:ascii="Times New Roman" w:cs="Times New Roman" w:eastAsia="Times New Roman" w:hAnsi="Times New Roman"/>
          <w:b w:val="false"/>
          <w:bCs w:val="false"/>
          <w:i w:val="false"/>
          <w:iCs w:val="false"/>
          <w:smallCaps w:val="false"/>
          <w:color w:val="000000"/>
          <w:sz w:val="24"/>
          <w:szCs w:val="24"/>
        </w:rPr>
        <w:t xml:space="preserve">. A third is the systematic red-teaming of the integrated system as a whole, rather than its models in isolation, using the standardized threat frameworks as an evaluation harness </w:t>
      </w:r>
      <w:r>
        <w:rPr>
          <w:rFonts w:ascii="Times New Roman" w:cs="Times New Roman" w:eastAsia="Times New Roman" w:hAnsi="Times New Roman"/>
          <w:color w:val="000000"/>
          <w:sz w:val="24"/>
          <w:szCs w:val="24"/>
        </w:rPr>
        <w:t xml:space="preserve">[97, 98, 100]</w:t>
      </w:r>
      <w:r>
        <w:rPr>
          <w:rFonts w:ascii="Times New Roman" w:cs="Times New Roman" w:eastAsia="Times New Roman" w:hAnsi="Times New Roman"/>
          <w:b w:val="false"/>
          <w:bCs w:val="false"/>
          <w:i w:val="false"/>
          <w:iCs w:val="false"/>
          <w:smallCaps w:val="false"/>
          <w:color w:val="000000"/>
          <w:sz w:val="24"/>
          <w:szCs w:val="24"/>
        </w:rPr>
        <w:t xml:space="preserv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Further directions include the study of how the architecture scales—whether a federation of several modest hubs can approximate the capability of a larger system while preserving local-first properties; the investigation of on-device fine-tuning </w:t>
      </w:r>
      <w:r>
        <w:rPr>
          <w:rFonts w:ascii="Times New Roman" w:cs="Times New Roman" w:eastAsia="Times New Roman" w:hAnsi="Times New Roman"/>
          <w:color w:val="000000"/>
          <w:sz w:val="24"/>
          <w:szCs w:val="24"/>
        </w:rPr>
        <w:t xml:space="preserve">[15]</w:t>
      </w:r>
      <w:r>
        <w:rPr>
          <w:rFonts w:ascii="Times New Roman" w:cs="Times New Roman" w:eastAsia="Times New Roman" w:hAnsi="Times New Roman"/>
          <w:b w:val="false"/>
          <w:bCs w:val="false"/>
          <w:i w:val="false"/>
          <w:iCs w:val="false"/>
          <w:smallCaps w:val="false"/>
          <w:color w:val="000000"/>
          <w:sz w:val="24"/>
          <w:szCs w:val="24"/>
        </w:rPr>
        <w:t xml:space="preserve"> as a means of specializing local models to a user’s domain without external dependency; and the development of richer provenance and audit mechanisms </w:t>
      </w:r>
      <w:r>
        <w:rPr>
          <w:rFonts w:ascii="Times New Roman" w:cs="Times New Roman" w:eastAsia="Times New Roman" w:hAnsi="Times New Roman"/>
          <w:color w:val="000000"/>
          <w:sz w:val="24"/>
          <w:szCs w:val="24"/>
        </w:rPr>
        <w:t xml:space="preserve">[109, 110]</w:t>
      </w:r>
      <w:r>
        <w:rPr>
          <w:rFonts w:ascii="Times New Roman" w:cs="Times New Roman" w:eastAsia="Times New Roman" w:hAnsi="Times New Roman"/>
          <w:b w:val="false"/>
          <w:bCs w:val="false"/>
          <w:i w:val="false"/>
          <w:iCs w:val="false"/>
          <w:smallCaps w:val="false"/>
          <w:color w:val="000000"/>
          <w:sz w:val="24"/>
          <w:szCs w:val="24"/>
        </w:rPr>
        <w:t xml:space="preserve"> that would make the system’s behavior not merely recorded but independently verifiable. Each of these would deepen the case that private, autonomous, human-governed AI is not only feasible but practical at increasing scale.</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evaluation direction deserves elaboration, because designing it well is itself a research problem. A naive comparison of a local system against a cloud API on a capability benchmark would measure only what is already known—that a frontier model outperforms a compact quantized one—and would miss the question that matters, which is whether the local system is </w:t>
      </w:r>
      <w:r>
        <w:rPr>
          <w:rFonts w:ascii="Times New Roman" w:cs="Times New Roman" w:eastAsia="Times New Roman" w:hAnsi="Times New Roman"/>
          <w:b w:val="false"/>
          <w:bCs w:val="false"/>
          <w:i/>
          <w:iCs/>
          <w:smallCaps w:val="false"/>
          <w:color w:val="000000"/>
          <w:sz w:val="24"/>
          <w:szCs w:val="24"/>
        </w:rPr>
        <w:t xml:space="preserve">sufficient</w:t>
      </w:r>
      <w:r>
        <w:rPr>
          <w:rFonts w:ascii="Times New Roman" w:cs="Times New Roman" w:eastAsia="Times New Roman" w:hAnsi="Times New Roman"/>
          <w:b w:val="false"/>
          <w:bCs w:val="false"/>
          <w:i w:val="false"/>
          <w:iCs w:val="false"/>
          <w:smallCaps w:val="false"/>
          <w:color w:val="000000"/>
          <w:sz w:val="24"/>
          <w:szCs w:val="24"/>
        </w:rPr>
        <w:t xml:space="preserve"> for the tasks its users actually bring to it. A more informative evaluation would characterize the distribution of real tasks, measure the fraction each configuration handles acceptably, and price the difference against the privacy and control the local system preserves. The agent-evaluation literature’s acknowledged immaturity </w:t>
      </w:r>
      <w:r>
        <w:rPr>
          <w:rFonts w:ascii="Times New Roman" w:cs="Times New Roman" w:eastAsia="Times New Roman" w:hAnsi="Times New Roman"/>
          <w:color w:val="000000"/>
          <w:sz w:val="24"/>
          <w:szCs w:val="24"/>
        </w:rPr>
        <w:t xml:space="preserve">[49, 50]</w:t>
      </w:r>
      <w:r>
        <w:rPr>
          <w:rFonts w:ascii="Times New Roman" w:cs="Times New Roman" w:eastAsia="Times New Roman" w:hAnsi="Times New Roman"/>
          <w:b w:val="false"/>
          <w:bCs w:val="false"/>
          <w:i w:val="false"/>
          <w:iCs w:val="false"/>
          <w:smallCaps w:val="false"/>
          <w:color w:val="000000"/>
          <w:sz w:val="24"/>
          <w:szCs w:val="24"/>
        </w:rPr>
        <w:t xml:space="preserve"> makes this harder, since the tasks in question are agentic rather than static, and no established benchmark captures the multi-step, tool-using, human-gated workflow the architecture implements. Building such an evaluation—one that measures sufficiency under realistic task distributions rather than capability on standardized tests—would be a contribution beyond this architecture, since the same question confronts anyone weighing local against remote deployment.</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A related direction concerns the human side of the safety spine. Section 12 acknowledges that the gate cannot compel the operator’s attention, and that reflexive approval would hollow out the mechanism while leaving it formally intact. Studying this empirically—measuring how operators actually behave at the gate over time, whether approval quality degrades with volume, and what context presentation best sustains genuine scrutiny—would convert a known risk into a managed one. The oversight literature recognizes the quality of human judgment as a variable </w:t>
      </w:r>
      <w:r>
        <w:rPr>
          <w:rFonts w:ascii="Times New Roman" w:cs="Times New Roman" w:eastAsia="Times New Roman" w:hAnsi="Times New Roman"/>
          <w:color w:val="000000"/>
          <w:sz w:val="24"/>
          <w:szCs w:val="24"/>
        </w:rPr>
        <w:t xml:space="preserve">[4, 76]</w:t>
      </w:r>
      <w:r>
        <w:rPr>
          <w:rFonts w:ascii="Times New Roman" w:cs="Times New Roman" w:eastAsia="Times New Roman" w:hAnsi="Times New Roman"/>
          <w:b w:val="false"/>
          <w:bCs w:val="false"/>
          <w:i w:val="false"/>
          <w:iCs w:val="false"/>
          <w:smallCaps w:val="false"/>
          <w:color w:val="000000"/>
          <w:sz w:val="24"/>
          <w:szCs w:val="24"/>
        </w:rPr>
        <w:t xml:space="preserve">, but the specific ergonomics of a hardware authorization ceremony under sustained autonomous operation are, to our knowledge, unstudied. Since the gate is the architecture’s central safety claim, understanding how it performs in the hands of a real operator over months rather than minutes is the most consequential open question this work leaves.</w:t>
      </w:r>
    </w:p>
    <w:p>
      <w:pPr>
        <w:pStyle w:val="Heading1"/>
        <w:keepNext/>
        <w:spacing w:after="120" w:before="300"/>
      </w:pPr>
      <w:r>
        <w:rPr>
          <w:rFonts w:ascii="Arial" w:cs="Arial" w:eastAsia="Arial" w:hAnsi="Arial"/>
          <w:b/>
          <w:bCs/>
          <w:color w:val="000000"/>
          <w:sz w:val="26"/>
          <w:szCs w:val="26"/>
        </w:rPr>
        <w:t xml:space="preserve">14  Conclusion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have argued that local-first, autonomous, multi-agent artificial intelligence on commodity hardware is a coherent and defensible architecture, and we have grounded that argument in the peer-reviewed and field-expert literature across every pillar the architecture rests upon. The default assumption that serious autonomous AI must live in the cloud is, we have contended, a contingent fact about current economics and tooling rather than a necessary truth. Capable open-weight models, the compression and serving techniques that fit them onto consumer hardware, the agentic and multi-agent methods that organize them into collaborating specialists, a standardized and auditable tool interface, and—above all—a hardware-enforced human gate that keeps consequential action under human control: these are the ingredients of a system that is private by construction, autonomous within safe bounds, and owned by its user.</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 contribution is the synthesis. Each component belongs to a mature research literature, and we have claimed no advance in any of them; what we have claimed is that their integration, under a specific set of commitments, yields an architecture that demonstrates a path many assume does not exist—between trivial local models and inaccessible cloud-only autonomy. The most important of those commitments is the safety spine, which we have argued is not a constraint upon autonomy but its enabling condition: because the system disposes of nothing consequential without a human’s physical authorization, it can be permitted to reason and propose with freedom. We have been candid about the limitations—the absence of controlled benchmarks, the moving ceiling of local capability, the conditional economics, and the deliberate human bottleneck the gate imposes—because an honest architecture deserves an honest accounting. Within those bounds, we submit that the local-first turn in autonomous AI is not merely possible but, for those who value what it protects, worth building.</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There is a final point worth making about what a paper like this can and cannot establish. We have not run an experiment; we have made an argument, and its force depends on the literature it rests upon being real and correctly read. That is a lower bar than empirical proof and a higher one than assertion. The reader who doubts that a thirty-billion-parameter model runs on a consumer device can consult the systems work that measured it </w:t>
      </w:r>
      <w:r>
        <w:rPr>
          <w:rFonts w:ascii="Times New Roman" w:cs="Times New Roman" w:eastAsia="Times New Roman" w:hAnsi="Times New Roman"/>
          <w:color w:val="000000"/>
          <w:sz w:val="24"/>
          <w:szCs w:val="24"/>
        </w:rPr>
        <w:t xml:space="preserve">[27, 28]</w:t>
      </w:r>
      <w:r>
        <w:rPr>
          <w:rFonts w:ascii="Times New Roman" w:cs="Times New Roman" w:eastAsia="Times New Roman" w:hAnsi="Times New Roman"/>
          <w:b w:val="false"/>
          <w:bCs w:val="false"/>
          <w:i w:val="false"/>
          <w:iCs w:val="false"/>
          <w:smallCaps w:val="false"/>
          <w:color w:val="000000"/>
          <w:sz w:val="24"/>
          <w:szCs w:val="24"/>
        </w:rPr>
        <w:t xml:space="preserve">; the reader who doubts that four-bit quantization preserves quality can consult the methods and their evaluations </w:t>
      </w:r>
      <w:r>
        <w:rPr>
          <w:rFonts w:ascii="Times New Roman" w:cs="Times New Roman" w:eastAsia="Times New Roman" w:hAnsi="Times New Roman"/>
          <w:color w:val="000000"/>
          <w:sz w:val="24"/>
          <w:szCs w:val="24"/>
        </w:rPr>
        <w:t xml:space="preserve">[12, 13]</w:t>
      </w:r>
      <w:r>
        <w:rPr>
          <w:rFonts w:ascii="Times New Roman" w:cs="Times New Roman" w:eastAsia="Times New Roman" w:hAnsi="Times New Roman"/>
          <w:b w:val="false"/>
          <w:bCs w:val="false"/>
          <w:i w:val="false"/>
          <w:iCs w:val="false"/>
          <w:smallCaps w:val="false"/>
          <w:color w:val="000000"/>
          <w:sz w:val="24"/>
          <w:szCs w:val="24"/>
        </w:rPr>
        <w:t xml:space="preserve">; the reader who doubts that a hijacked agent is a real threat rather than a hypothetical can consult the production exploit and its vulnerability record </w:t>
      </w:r>
      <w:r>
        <w:rPr>
          <w:rFonts w:ascii="Times New Roman" w:cs="Times New Roman" w:eastAsia="Times New Roman" w:hAnsi="Times New Roman"/>
          <w:color w:val="000000"/>
          <w:sz w:val="24"/>
          <w:szCs w:val="24"/>
        </w:rPr>
        <w:t xml:space="preserve">[102, 103]</w:t>
      </w:r>
      <w:r>
        <w:rPr>
          <w:rFonts w:ascii="Times New Roman" w:cs="Times New Roman" w:eastAsia="Times New Roman" w:hAnsi="Times New Roman"/>
          <w:b w:val="false"/>
          <w:bCs w:val="false"/>
          <w:i w:val="false"/>
          <w:iCs w:val="false"/>
          <w:smallCaps w:val="false"/>
          <w:color w:val="000000"/>
          <w:sz w:val="24"/>
          <w:szCs w:val="24"/>
        </w:rPr>
        <w:t xml:space="preserve">. Each pillar of the argument is checkable, and we have tried to make checking easy by citing precisely and by marking clearly where the field offers software rather than papers and where our claims outrun the evidence. If the synthesis is wrong, it should be wrong in a way a reader can find. That, more than any claim about the architecture, is what we would want a paper to be.</w:t>
      </w:r>
    </w:p>
    <w:p>
      <w:pPr>
        <w:pStyle w:val="Heading1"/>
        <w:keepNext/>
        <w:spacing w:after="120" w:before="300"/>
      </w:pPr>
      <w:r>
        <w:rPr>
          <w:rFonts w:ascii="Arial" w:cs="Arial" w:eastAsia="Arial" w:hAnsi="Arial"/>
          <w:b/>
          <w:bCs/>
          <w:color w:val="000000"/>
          <w:sz w:val="26"/>
          <w:szCs w:val="26"/>
        </w:rPr>
        <w:t xml:space="preserve">15  Note on Sources and Verification</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Because this paper’s argument rests entirely on its citations, we state how they were assembled and what confidence they carry. Every reference in the list that follows corresponds to a source we located and checked rather than one recalled or inferred; identifiers were confirmed against the publishing venue or preprint server where the source is hosted. This matters because fabricated or misattributed citations are a known failure mode of machine-assisted scholarship, and a paper of this citation density would be easy to pad with plausible-looking references that do not exist. We have tried to make that impossible to do accidentally and easy for a reader to detect if we have failed: each entry carries an identifier that resolves.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Three categories deserve explicit flagging. First, several load-bearing components of the local-first stack are software with no accompanying peer-reviewed publication—the inference engine, the model-file format, the local model runtime, the compilation framework, and the orchestration library among them </w:t>
      </w:r>
      <w:r>
        <w:rPr>
          <w:rFonts w:ascii="Times New Roman" w:cs="Times New Roman" w:eastAsia="Times New Roman" w:hAnsi="Times New Roman"/>
          <w:color w:val="000000"/>
          <w:sz w:val="24"/>
          <w:szCs w:val="24"/>
        </w:rPr>
        <w:t xml:space="preserve">[29, 38–40, 67]</w:t>
      </w:r>
      <w:r>
        <w:rPr>
          <w:rFonts w:ascii="Times New Roman" w:cs="Times New Roman" w:eastAsia="Times New Roman" w:hAnsi="Times New Roman"/>
          <w:b w:val="false"/>
          <w:bCs w:val="false"/>
          <w:i w:val="false"/>
          <w:iCs w:val="false"/>
          <w:smallCaps w:val="false"/>
          <w:color w:val="000000"/>
          <w:sz w:val="24"/>
          <w:szCs w:val="24"/>
        </w:rPr>
        <w:t xml:space="preserve">. These are cited as software, with repository or project URLs, because that is what they are; presenting them as papers would misrepresent the field. The methods they implement are validated in the peer-reviewed literature we cite alongside them, and the distinction between an implementation and the research that justifies it is one we have tried to keep visible throughout. Second, a small number of references are recent preprints whose venue attribution is not yet fixed, particularly in the fast-moving protocol-security literature </w:t>
      </w:r>
      <w:r>
        <w:rPr>
          <w:rFonts w:ascii="Times New Roman" w:cs="Times New Roman" w:eastAsia="Times New Roman" w:hAnsi="Times New Roman"/>
          <w:color w:val="000000"/>
          <w:sz w:val="24"/>
          <w:szCs w:val="24"/>
        </w:rPr>
        <w:t xml:space="preserve">[71, 72, 75]</w:t>
      </w:r>
      <w:r>
        <w:rPr>
          <w:rFonts w:ascii="Times New Roman" w:cs="Times New Roman" w:eastAsia="Times New Roman" w:hAnsi="Times New Roman"/>
          <w:b w:val="false"/>
          <w:bCs w:val="false"/>
          <w:i w:val="false"/>
          <w:iCs w:val="false"/>
          <w:smallCaps w:val="false"/>
          <w:color w:val="000000"/>
          <w:sz w:val="24"/>
          <w:szCs w:val="24"/>
        </w:rPr>
        <w:t xml:space="preserve">; we cite them as preprints rather than assigning them venues they may not have. Third, the arXiv comments field does not always record a paper’s eventual conference acceptance, so for a handful of well-known works we have stated the venue on the strength of its general recognition; a reader requiring airtight venue attribution should confirm against the proceedings.</w:t>
      </w:r>
    </w:p>
    <w:p>
      <w:pPr>
        <w:spacing w:after="160" w:before="0" w:line="312"/>
        <w:jc w:val="both"/>
      </w:pPr>
      <w:r>
        <w:rPr>
          <w:rFonts w:ascii="Times New Roman" w:cs="Times New Roman" w:eastAsia="Times New Roman" w:hAnsi="Times New Roman"/>
          <w:b w:val="false"/>
          <w:bCs w:val="false"/>
          <w:i w:val="false"/>
          <w:iCs w:val="false"/>
          <w:smallCaps w:val="false"/>
          <w:color w:val="000000"/>
          <w:sz w:val="24"/>
          <w:szCs w:val="24"/>
        </w:rPr>
        <w:t xml:space="preserve">We also record where we could not find what we wanted. We were unable to locate peer-reviewed work specific to the Vulkan compute backend for language-model inference, or to language-model inference on the particular class of integrated neural accelerators this hardware includes; both currently exist as software documentation and vendor material rather than as scholarship, and we have said so rather than substituting a citation that does not quite support the claim. Likewise, the state-machine versus free-form-conversation distinction of Section 6.3 has no single canonical reference, and we support it by contrasting frameworks that exemplify each approach </w:t>
      </w:r>
      <w:r>
        <w:rPr>
          <w:rFonts w:ascii="Times New Roman" w:cs="Times New Roman" w:eastAsia="Times New Roman" w:hAnsi="Times New Roman"/>
          <w:color w:val="000000"/>
          <w:sz w:val="24"/>
          <w:szCs w:val="24"/>
        </w:rPr>
        <w:t xml:space="preserve">[61, 67]</w:t>
      </w:r>
      <w:r>
        <w:rPr>
          <w:rFonts w:ascii="Times New Roman" w:cs="Times New Roman" w:eastAsia="Times New Roman" w:hAnsi="Times New Roman"/>
          <w:b w:val="false"/>
          <w:bCs w:val="false"/>
          <w:i w:val="false"/>
          <w:iCs w:val="false"/>
          <w:smallCaps w:val="false"/>
          <w:color w:val="000000"/>
          <w:sz w:val="24"/>
          <w:szCs w:val="24"/>
        </w:rPr>
        <w:t xml:space="preserve"> rather than by citing a comparison that has not been written. These gaps are stated because a reader is entitled to know which parts of an argument rest on published evidence and which rest on the author’s reasoning from adjacent evidence. The distinction is the difference between a paper and a brochure.</w:t>
      </w:r>
    </w:p>
    <w:p>
      <w:r>
        <w:br w:type="page"/>
      </w:r>
    </w:p>
    <w:p>
      <w:pPr>
        <w:spacing w:after="140"/>
      </w:pPr>
      <w:r>
        <w:rPr>
          <w:rFonts w:ascii="Arial" w:cs="Arial" w:eastAsia="Arial" w:hAnsi="Arial"/>
          <w:b/>
          <w:bCs/>
          <w:color w:val="000000"/>
          <w:sz w:val="26"/>
          <w:szCs w:val="26"/>
        </w:rPr>
        <w:t xml:space="preserve">References</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Kleppmann, A. Wiggins, P. van Hardenberg, and M. McGranaghan, “Local-first software: you own your data, in spite of the cloud,” in Proc. 2019 ACM SIGPLAN Int. Symp. New Ideas, New Paradigms, and Reflections on Programming and Software (Onward!), 2019, pp. 154–178, doi: 10.1145/3359591.3359737.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R. Shokri, M. Stronati, C. Song, and V. Shmatikov, “Membership inference attacks against machine learning models,” in Proc. IEEE Symp. Security and Privacy (S&amp;P), 2017, pp. 3–18, arXiv:1610.05820.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 Carlini et al., “Extracting training data from large language models,” in Proc. 30th USENIX Security Symp., 2021, pp. 2633–2650, arXiv:2012.07805.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National Institute of Standards and Technology, “Artificial Intelligence Risk Management Framework (AI RMF 1.0),” NIST AI 100-1, 2023, doi: 10.6028/NIST.AI.100-1.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 Pan, V. Chodnekar, A. Roy, and H. Wang, “A cost-benefit analysis of on-premise large language model deployment: breaking even with commercial LLM services,” arXiv:2509.18101,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Irugalbandara et al., “Scaling down to scale up: a cost-benefit analysis of replacing OpenAI’s LLM with open source SLMs in production,” in Proc. IEEE Int. Symp. Performance Analysis of Systems and Software (ISPASS), 2024, arXiv:2312.14972.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 Erdil, “Inference economics of language models,” arXiv:2506.04645,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Z. Wan et al., “Efficient large language models: a survey,” Trans. Machine Learning Research (TMLR), 2024, arXiv:2312.03863.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X. Zhu, J. Li, Y. Liu, C. Ma, and W. Wang, “A survey on model compression for large language models,” Trans. Assoc. Comput. Linguistics (TACL), vol. 12, pp. 1556–1577, 2024, arXiv:2308.07633.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 Patterson et al., “Carbon emissions and large neural network training,” arXiv:2104.10350, 2021.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Dettmers, M. Lewis, Y. Belkada, and L. Zettlemoyer, “LLM.int8(): 8-bit matrix multiplication for transformers at scale,” in Adv. Neural Inf. Process. Syst. (NeurIPS), 2022, arXiv:2208.07339.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 Frantar, S. Ashkboos, T. Hoefler, and D. Alistarh, “GPTQ: accurate post-training quantization for generative pre-trained transformers,” in Proc. Int. Conf. Learning Representations (ICLR), 2023, arXiv:2210.17323.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Lin et al., “AWQ: activation-aware weight quantization for on-device LLM compression and acceleration,” in Proc. Machine Learning and Systems (MLSys), 2024 (Best Paper Award), arXiv:2306.00978.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 Xiao, J. Lin, M. Seznec, H. Wu, J. Demouth, and S. Han, “SmoothQuant: accurate and efficient post-training quantization for large language models,” in Proc. Int. Conf. Machine Learning (ICML), 2023, arXiv:2211.10438.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Dettmers, A. Pagnoni, A. Holtzman, and L. Zettlemoyer, “QLoRA: efficient finetuning of quantized LLMs,” in Adv. Neural Inf. Process. Syst. (NeurIPS), 2023, arXiv:2305.14314.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Z. Yao, R. Yazdani Aminabadi, M. Zhang, X. Wu, C. Li, and Y. He, “ZeroQuant: efficient and affordable post-training quantization for large-scale transformers,” in Adv. Neural Inf. Process. Syst. (NeurIPS), 2022, arXiv:2206.01861.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W. Shao et al., “OmniQuant: omnidirectionally calibrated quantization for large language models,” in Proc. Int. Conf. Learning Representations (ICLR), 2024, arXiv:2308.13137.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Chee, Y. Cai, V. Kuleshov, and C. De Sa, “QuIP: 2-bit quantization of large language models with guarantees,” in Adv. Neural Inf. Process. Syst. (NeurIPS), 2023, arXiv:2307.13304.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 Wang et al., “BitNet: scaling 1-bit transformers for large language models,” arXiv:2310.11453,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Hooper et al., “KVQuant: towards 10 million context length LLM inference with KV cache quantization,” in Adv. Neural Inf. Process. Syst. (NeurIPS), 2024, arXiv:2401.18079.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W. Kwon et al., “Efficient memory management for large language model serving with PagedAttention,” in Proc. 29th ACM Symp. Operating Systems Principles (SOSP), 2023, pp. 611–626, doi: 10.1145/3600006.3613165.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Dao, D. Y. Fu, S. Ermon, A. Rudra, and C. Ré, “FlashAttention: fast and memory-efficient exact attention with IO-awareness,” in Adv. Neural Inf. Process. Syst. (NeurIPS), 2022, arXiv:2205.14135.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Dao, “FlashAttention-2: faster attention with better parallelism and work partitioning,” arXiv:2307.08691,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Leviathan, M. Kalman, and Y. Matias, “Fast inference from transformers via speculative decoding,” in Proc. Int. Conf. Machine Learning (ICML), 2023, arXiv:2211.17192.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Li, F. Wei, C. Zhang, and H. Zhang, “EAGLE: speculative sampling requires rethinking feature uncertainty,” in Proc. Int. Conf. Machine Learning (ICML), 2024, arXiv:2401.15077.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X. Miao et al., “SpecInfer: accelerating generative large language model serving with tree-based speculative inference and verification,” in Proc. ASPLOS, 2024, arXiv:2305.09781.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 Alizadeh et al., “LLM in a flash: efficient large language model inference with limited memory,” in Proc. 62nd Annu. Meeting Assoc. Comput. Linguistics (ACL), 2024, arXiv:2312.11514.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Song, Z. Mi, H. Xie, and H. Chen, “PowerInfer: fast large language model serving with a consumer-grade GPU,” in Proc. 30th ACM Symp. Operating Systems Principles (SOSP), 2024, doi: 10.1145/3694715.3695964, arXiv:2312.12456.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[29]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MLC team, “MLC-LLM: universal LLM deployment engine with ML compilation,” software, 2023–. [Online]. Available: https://github.com/mlc-ai/mlc-llm</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Chen et al., “TVM: an automated end-to-end optimizing compiler for deep learning,” in Proc. 13th USENIX Symp. Operating Systems Design and Implementation (OSDI), 2018, pp. 578–594, arXiv:1802.04799.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Yang et al. (Qwen Team), “Qwen3 technical report,” arXiv:2505.09388,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Yang et al. (Qwen Team), “Qwen2 technical report,” arXiv:2407.10671,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Liu et al., “DeepSeek-V3 technical report,” arXiv:2412.19437,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Gemma Team, “Gemma 3 technical report,” arXiv:2503.19786, 2025, doi: 10.48550/arXiv.2503.19786.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Q. Jiang et al., “Mistral 7B,” arXiv:2310.06825,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W. Fedus, B. Zoph, and N. Shazeer, “Switch transformers: scaling to trillion parameter models with simple and efficient sparsity,” J. Machine Learning Research, vol. 23, no. 120, pp. 1–39, 2022, arXiv:2101.03961.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 Shazeer et al., “Outrageously large neural networks: the sparsely-gated mixture-of-experts layer,” in Proc. Int. Conf. Learning Representations (ICLR), 2017, arXiv:1701.06538.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 Gerganov and llama.cpp contributors, “llama.cpp: LLM inference in C/C++,” software, 2023–. [Online]. Available: https://github.com/ggml-org/llama.cpp</w:t>
      </w:r>
    </w:p>
    <w:p>
      <w:pPr>
        <w:tabs>
          <w:tab w:val="left" w:pos="420"/>
        </w:tabs>
        <w:spacing w:after="90" w:line="276"/>
        <w:ind w:left="420" w:hanging="420"/>
      </w:pPr>
      <w:r>
        <w:rPr>
          <w:rFonts w:ascii="Times New Roman" w:cs="Times New Roman" w:eastAsia="Times New Roman" w:hAnsi="Times New Roman"/>
          <w:color w:val="000000"/>
          <w:sz w:val="22"/>
          <w:szCs w:val="22"/>
        </w:rPr>
        <w:t xml:space="preserve">[39]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ggml-org contributors, “GGUF (GGML universal file) format specification,” software documentation, 2023. [Online]. Available: https://github.com/ggml-org/ggml/blob/master/docs/gguf.md</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Ollama maintainers, “Ollama: get up and running with large language models locally,” software, 2023–. [Online]. Available: https://github.com/ollama/ollama</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Wei et al., “Chain-of-thought prompting elicits reasoning in large language models,” in Adv. Neural Inf. Process. Syst. (NeurIPS), 2022, arXiv:2201.11903.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X. Wang et al., “Self-consistency improves chain of thought reasoning in language models,” in Proc. Int. Conf. Learning Representations (ICLR), 2023, arXiv:2203.11171.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Yao et al., “ReAct: synergizing reasoning and acting in language models,” in Proc. Int. Conf. Learning Representations (ICLR), 2023, arXiv:2210.03629.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 Shinn, F. Cassano, A. Gopinath, K. Narasimhan, and S. Yao, “Reflexion: language agents with verbal reinforcement learning,” in Adv. Neural Inf. Process. Syst. (NeurIPS), 2023, arXiv:2303.11366.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Yao, D. Yu, J. Zhao, I. Shafran, T. L. Griffiths, Y. Cao, and K. Narasimhan, “Tree of thoughts: deliberate problem solving with large language models,” in Adv. Neural Inf. Process. Syst. (NeurIPS), 2023, arXiv:2305.10601.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Madaan et al., “Self-Refine: iterative refinement with self-feedback,” in Adv. Neural Inf. Process. Syst. (NeurIPS), 2023, arXiv:2303.17651.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Schick et al., “Toolformer: language models can teach themselves to use tools,” in Adv. Neural Inf. Process. Syst. (NeurIPS), 2023, arXiv:2302.04761.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 Mialon et al., “Augmented language models: a survey,” Trans. Machine Learning Research (TMLR), 2023, arXiv:2302.07842.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[49]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G. Patil, T. Zhang, X. Wang, and J. E. Gonzalez, “Gorilla: large language model connected with massive APIs,” in Adv. Neural Inf. Process. Syst. (NeurIPS), 2024, arXiv:2305.15334.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Qin et al., “ToolLLM: facilitating large language models to master 16000+ real-world APIs,” in Proc. Int. Conf. Learning Representations (ICLR), 2024, arXiv:2307.16789.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Shen et al., “HuggingGPT: solving AI tasks with ChatGPT and its friends in Hugging Face,” in Adv. Neural Inf. Process. Syst. (NeurIPS), 2023, arXiv:2303.17580.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 Lewis et al., “Retrieval-augmented generation for knowledge-intensive NLP tasks,” in Adv. Neural Inf. Process. Syst. (NeurIPS), 2020, arXiv:2005.11401.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Gao et al., “Retrieval-augmented generation for large language models: a survey,” arXiv:2312.10997,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 Guu, K. Lee, Z. Tung, P. Pasupat, and M. Chang, “REALM: retrieval-augmented language model pre-training,” in Proc. Int. Conf. Machine Learning (ICML), 2020, arXiv:2002.08909.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V. Karpukhin et al., “Dense passage retrieval for open-domain question answering,” in Proc. Conf. Empirical Methods in Natural Language Processing (EMNLP), 2020, arXiv:2004.04906.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Packer, S. Wooders, K. Lin, V. Fang, S. G. Patil, I. Stoica, and J. E. Gonzalez, “MemGPT: towards LLMs as operating systems,” arXiv:2310.08560,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 Wang et al., “A survey on large language model based autonomous agents,” Frontiers of Computer Science, vol. 18, no. 6, art. 186345, 2024, arXiv:2308.11432.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Z. Xi et al., “The rise and potential of large language model based agents: a survey,” Science China Information Sciences, vol. 68, no. 2, art. 121101, 2025, arXiv:2309.07864.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[59]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Du, S. Li, A. Torralba, J. B. Tenenbaum, and I. Mordatch, “Improving factuality and reasoning in language models through multiagent debate,” in Proc. Int. Conf. Machine Learning (ICML), 2024, arXiv:2305.14325.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 Li, H. A. A. K. Hammoud, H. Itani, D. Khizbullin, and B. Ghanem, “CAMEL: communicative agents for ‘mind’ exploration of large language model society,” in Adv. Neural Inf. Process. Syst. (NeurIPS), 2023, arXiv:2303.17760.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Q. Wu et al., “AutoGen: enabling next-gen LLM applications via multi-agent conversation,” in Proc. Conf. Language Modeling (COLM), 2024, arXiv:2308.08155.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Hong et al., “MetaGPT: meta programming for a multi-agent collaborative framework,” in Proc. Int. Conf. Learning Representations (ICLR), 2024, arXiv:2308.00352.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Qian et al., “ChatDev: communicative agents for software development,” in Proc. 62nd Annu. Meeting Assoc. Comput. Linguistics (ACL), 2024, arXiv:2307.07924.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S. Park, J. C. O’Brien, C. J. Cai, M. R. Morris, P. Liang, and M. S. Bernstein, “Generative agents: interactive simulacra of human behavior,” in Proc. 36th Annu. ACM Symp. User Interface Software and Technology (UIST), 2023, doi: 10.1145/3586183.3606763, arXiv:2304.03442.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Guo et al., “Large language model based multi-agents: a survey of progress and challenges,” in Proc. 33rd Int. Joint Conf. Artificial Intelligence (IJCAI), 2024, arXiv:2402.01680.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K.-T. Tran et al., “Multi-agent collaboration mechanisms: a survey of LLMs,” arXiv:2501.06322,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LangChain, Inc., “LangGraph: building stateful, multi-actor applications with LLMs,” software, 2023–. [Online]. Available: https://github.com/langchain-ai/langgraph</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Anthropic, “Introducing the Model Context Protocol,” Nov. 25, 2024. [Online]. Available: https://www.anthropic.com/news/model-context-protocol</w:t>
      </w:r>
    </w:p>
    <w:p>
      <w:pPr>
        <w:tabs>
          <w:tab w:val="left" w:pos="420"/>
        </w:tabs>
        <w:spacing w:after="90" w:line="276"/>
        <w:ind w:left="420" w:hanging="420"/>
      </w:pPr>
      <w:r>
        <w:rPr>
          <w:rFonts w:ascii="Times New Roman" w:cs="Times New Roman" w:eastAsia="Times New Roman" w:hAnsi="Times New Roman"/>
          <w:color w:val="000000"/>
          <w:sz w:val="22"/>
          <w:szCs w:val="22"/>
        </w:rPr>
        <w:t xml:space="preserve">[69]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Model Context Protocol, “Specification (version 2025-11-25),” 2025. [Online]. Available: https://modelcontextprotocol.io/specification</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X. Hou, Y. Zhao, S. Wang, and H. Wang, “Model Context Protocol (MCP): landscape, security threats, and future research directions,” arXiv:2503.23278,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Guo et al., “Systematic analysis of MCP security,” arXiv:2508.12538,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X. Li and X. Gao, “Toward understanding security issues in the Model Context Protocol ecosystem,” arXiv:2510.16558,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B. Radosevich and J. Halloran, “MCP safety audit: LLMs with the Model Context Protocol allow major security exploits,” arXiv:2504.03767,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M. Hasan, H. Li, E. Fallahzadeh, G. K. Rajbahadur, B. Adams, and A. E. Hassan, “Model Context Protocol (MCP) at first glance: studying the security and maintainability of MCP servers,” arXiv:2506.13538,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Jamshidi, K. W. Nafi, A. Moradi Dakhel, N. Shahabi, F. Khomh, and N. Ezzati-Jivan, “Securing the Model Context Protocol: defending LLMs against tool poisoning and adversarial attacks,” arXiv:2512.06556,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 Amodei, C. Olah, J. Steinhardt, P. Christiano, J. Schulman, and D. Mané, “Concrete problems in AI safety,” arXiv:1606.06565, 2016.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 Christiano, J. Leike, T. B. Brown, M. Martic, S. Legg, and D. Amodei, “Deep reinforcement learning from human preferences,” in Adv. Neural Inf. Process. Syst. (NeurIPS), 2017, arXiv:1706.03741.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 Hendrycks, N. Carlini, J. Schulman, and J. Steinhardt, “Unsolved problems in ML safety,” arXiv:2109.13916, 2021.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[79]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 D. Raji and R. Dobbe, “Concrete problems in AI safety, revisited,” arXiv:2401.10899,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Bengio et al., “International scientific report on the safety of advanced AI,” 2025. [Online]. Available: https://www.gov.uk/government/publications/international-ai-safety-report-2025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W3C, “Web Authentication: an API for accessing public key credentials — level 2 (WebAuthn),” W3C Recommendation, 2021. [Online]. Available: https://www.w3.org/TR/webauthn-2/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FIDO Alliance, “Client to Authenticator Protocol (CTAP), version 2.1,” 2021. [Online]. Available: https://fidoalliance.org/specs/</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National Institute of Standards and Technology, “Zero trust architecture,” Special Publication 800-207, 2020, doi: 10.6028/NIST.SP.800-207.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Cybersecurity and Infrastructure Security Agency, “Zero trust maturity model, version 2.0,”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National Institute of Standards and Technology, “Digital identity guidelines,” Special Publication 800-63-3, 2017 (rev. 2020).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A. Donenfeld, “WireGuard: next generation kernel network tunnel,” in Proc. Network and Distributed System Security Symp. (NDSS), 2017.</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B. Dowling and K. G. Paterson, “A cryptographic analysis of the WireGuard protocol,” in Proc. Applied Cryptography and Network Security (ACNS), LNCS 10892, 2018, pp. 3–21, doi: 10.1007/978-3-319-93387-0_1.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V. B. F. Gomes, M. Kleppmann, D. P. Mulligan, and A. R. Beresford, “Verifying strong eventual consistency in distributed systems,” Proc. ACM Program. Lang., vol. 1, no. OOPSLA, art. 109, 2017, doi: 10.1145/3133933.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[89]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K. Greshake, S. Abdelnabi, S. Mishra, C. Endres, T. Holz, and M. Fritz, “Not what you’ve signed up for: compromising real-world LLM-integrated applications with indirect prompt injection,” in Proc. 16th ACM Workshop Artificial Intelligence and Security (AISec), 2023, pp. 79–90, arXiv:2302.12173.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Zou, Z. Wang, N. Carlini, M. Nasr, J. Z. Kolter, and M. Fredrikson, “Universal and transferable adversarial attacks on aligned language models,” arXiv:2307.15043,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Wei, N. Haghtalab, and J. Steinhardt, “Jailbroken: how does LLM safety training fail?,” in Adv. Neural Inf. Process. Syst. (NeurIPS), 2023, arXiv:2307.02483.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Google DeepMind, “Lessons from defending Gemini against indirect prompt injections,” arXiv:2505.14534,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 Szegedy et al., “Intriguing properties of neural networks,” in Proc. Int. Conf. Learning Representations (ICLR), 2014, arXiv:1312.6199.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I. J. Goodfellow, J. Shlens, and C. Szegedy, “Explaining and harnessing adversarial examples,” in Proc. Int. Conf. Learning Representations (ICLR), 2015, arXiv:1412.6572.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Gu, K. Liu, B. Dolan-Gavitt, and S. Garg, “BadNets: evaluating backdooring attacks on deep neural networks,” IEEE Access, vol. 7, pp. 47230–47244, 2019, doi: 10.1109/ACCESS.2019.2909068.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OWASP Foundation, “OWASP Top 10 for large language model applications (2025),” 2025. [Online]. Available: https://genai.owasp.org/</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OWASP Foundation, “OWASP GenAI red teaming guide and Top 10 for agentic applications,” 2025. [Online]. Available: https://genai.owasp.org/</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MITRE, “ATLAS: adversarial threat landscape for artificial-intelligence systems,” 2025. [Online]. Available: https://atlas.mitre.org/</w:t>
      </w:r>
    </w:p>
    <w:p>
      <w:pPr>
        <w:tabs>
          <w:tab w:val="left" w:pos="420"/>
        </w:tabs>
        <w:spacing w:after="90" w:line="276"/>
        <w:ind w:left="420" w:hanging="420"/>
      </w:pPr>
      <w:r>
        <w:rPr>
          <w:rFonts w:ascii="Times New Roman" w:cs="Times New Roman" w:eastAsia="Times New Roman" w:hAnsi="Times New Roman"/>
          <w:color w:val="000000"/>
          <w:sz w:val="22"/>
          <w:szCs w:val="22"/>
        </w:rPr>
        <w:t xml:space="preserve">[99]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 Perez et al., “Red teaming language models with language models,” in Proc. Conf. Empirical Methods in Natural Language Processing (EMNLP), 2022, arXiv:2202.03286.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 Derczynski et al. (NVIDIA), “garak: a framework for security probing large language models,” software and arXiv:2406.11036, 2024. [Online]. Available: https://github.com/NVIDIA/garak</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Microsoft, “PyRIT: Python risk identification tool for generative AI,” software, 2024–. [Online]. Available: https://github.com/Azure/PyRIT</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P. Reddy and A. S. Gujral, “EchoLeak: the first real-world zero-click prompt injection exploit in a production LLM system,” arXiv:2509.10540, 2025.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National Vulnerability Database, “CVE-2025-32711: Microsoft 365 Copilot information disclosure,” 2025. [Online]. Available: https://nvd.nist.gov/vuln/detail/CVE-2025-32711</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M. Ahn et al., “Do as I can, not as I say: grounding language in robotic affordances,” arXiv:2204.01691, 2022.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Brohan et al., “RT-2: vision-language-action models transfer web knowledge to robotic control,” arXiv:2307.15818,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D. Driess et al., “PaLM-E: an embodied multimodal language model,” in Proc. Int. Conf. Machine Learning (ICML), 2023, arXiv:2303.03378.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Brohan et al., “RT-1: robotics transformer for real-world control at scale,” arXiv:2212.06817, 2022.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Liang, W. Huang, F. Xia, P. Xu, K. Hausman, B. Ichter, P. Florence, and A. Zeng, “Code as policies: language model programs for embodied control,” in Proc. IEEE Int. Conf. Robotics and Automation (ICRA), 2023, arXiv:2209.07753.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[109]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Coalition for Content Provenance and Authenticity, “C2PA technical specification, version 2.x,” 2024. [Online]. Available: https://c2pa.org/specifications/</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Dathathri et al., “Scalable watermarking for identifying large language model outputs,” Nature, vol. 634, pp. 818–823, 2024, doi: 10.1038/s41586-024-08025-4.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F.-A. Croitoru et al., “Deepfake media generation and detection in the generative AI era: a survey and outlook,” arXiv:2411.19537, 2024.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J. Nightingale and H. Farid, “AI-synthesized faces are indistinguishable from real faces and more trustworthy,” Proc. Nat. Acad. Sci. (PNAS), vol. 119, no. 8, art. e2120481119, 2022, doi: 10.1073/pnas.2120481119.</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S.-Y. Wang, O. Wang, R. Zhang, A. Owens, and A. A. Efros, “CNN-generated images are surprisingly easy to spot… for now,” in Proc. IEEE/CVF Conf. Computer Vision and Pattern Recognition (CVPR), 2020, arXiv:1912.11035.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L. Kelly Jr., “A new interpretation of information rate,” Bell System Technical Journal, vol. 35, no. 4, pp. 917–926, 1956, doi: 10.1002/j.1538-7305.1956.tb03809.x.</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E. O. Thorp, “The Kelly criterion in blackjack, sports betting, and the stock market,” in Handbook of Asset and Liability Management, vol. 1, Amsterdam: Elsevier, 2006, pp. 385–428.</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 C. MacLean, E. O. Thorp, and W. T. Ziemba, “Long-term capital growth: the good and bad properties of the Kelly and fractional Kelly capital growth criteria,” Quantitative Finance, vol. 10, no. 7, pp. 681–687, 2010.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 M. Rotando and E. O. Thorp, “The Kelly criterion and the stock market,” American Mathematical Monthly, vol. 99, no. 10, pp. 922–931, 1992.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[118]</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A. Vaswani et al., “Attention is all you need,” in Adv. Neural Inf. Process. Syst. (NeurIPS), 2017, arXiv:1706.03762.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[119]</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T. B. Brown et al., “Language models are few-shot learners,” in Adv. Neural Inf. Process. Syst. (NeurIPS), 2020, arXiv:2005.14165.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[120]</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Wei et al., “Emergent abilities of large language models,” Trans. Machine Learning Research (TMLR), 2022, arXiv:2206.07682.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[121]</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Kaplan et al., “Scaling laws for neural language models,” arXiv:2001.08361, 2020.</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[122]</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Hoffmann et al., “Training compute-optimal large language models,” in Adv. Neural Inf. Process. Syst. (NeurIPS), 2022, arXiv:2203.15556.</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[123]</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H. Touvron et al., “Llama 2: open foundation and fine-tuned chat models,” arXiv:2307.09288, 2023.</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[124]</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L. Ouyang et al., “Training language models to follow instructions with human feedback,” in Adv. Neural Inf. Process. Syst. (NeurIPS), 2022, arXiv:2203.02155.</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[125]</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Y. Bai et al., “Constitutional AI: harmlessness from AI feedback,” arXiv:2212.08073, 2022.</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[126]</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J. Wang et al., “Prompt injection attacks in LLMs and AI agent systems: a comprehensive review,” Information, vol. 17, no. 1, art. 54, 2026, doi: 10.3390/info17010054.</w:t>
      </w:r>
    </w:p>
    <w:p>
      <w:pPr>
        <w:tabs>
          <w:tab w:val="left" w:pos="420"/>
        </w:tabs>
        <w:spacing w:after="90" w:line="276"/>
        <w:ind w:left="420" w:hanging="420"/>
      </w:pPr>
      <w:r>
        <w:rPr>
          <w:rFonts w:ascii="Times New Roman" w:cs="Times New Roman" w:eastAsia="Times New Roman" w:hAnsi="Times New Roman"/>
          <w:color w:val="000000"/>
          <w:sz w:val="22"/>
          <w:szCs w:val="22"/>
        </w:rPr>
        <w:t xml:space="preserve">[127]</w:t>
      </w:r>
      <w:r>
        <w:rPr>
          <w:rFonts w:ascii="Times New Roman" w:cs="Times New Roman" w:eastAsia="Times New Roman" w:hAnsi="Times New Roman"/>
          <w:sz w:val="22"/>
          <w:szCs w:val="22"/>
        </w:rPr>
        <w:t xml:space="preserve">	</w:t>
      </w:r>
      <w:r>
        <w:rPr>
          <w:rFonts w:ascii="Times New Roman" w:cs="Times New Roman" w:eastAsia="Times New Roman" w:hAnsi="Times New Roman"/>
          <w:color w:val="000000"/>
          <w:sz w:val="22"/>
          <w:szCs w:val="22"/>
        </w:rPr>
        <w:t xml:space="preserve">S. Yao et al., “A survey on the safety and security of large language model agents,” arXiv:2401.05459, 2024.</w:t>
      </w:r>
    </w:p>
    <w:sectPr>
      <w:headerReference w:type="default" r:id="rId7"/>
      <w:footerReference w:type="default" r:id="rId8"/>
      <w:pgSz w:w="12240" w:h="15840" w:orient="portrait"/>
      <w:pgMar w:top="1440" w:right="1550" w:bottom="1440" w:left="15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color w:val="555555"/>
        <w:sz w:val="16"/>
        <w:szCs w:val="16"/>
      </w:rPr>
      <w:t xml:space="preserve">Garcia · July 2026 ·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i/>
        <w:iCs/>
        <w:color w:val="555555"/>
        <w:sz w:val="16"/>
        <w:szCs w:val="16"/>
      </w:rPr>
      <w:t xml:space="preserve">Local-First Autonomous Multi-Agent AI on Commodity Hardware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4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color w:val="000000"/>
      <w:sz w:val="26"/>
      <w:szCs w:val="26"/>
    </w:rPr>
  </w:style>
  <w:style w:type="paragraph" w:styleId="Heading2">
    <w:name w:val="Heading 2"/>
    <w:basedOn w:val="Normal"/>
    <w:next w:val="Normal"/>
    <w:qFormat/>
    <w:pPr>
      <w:keepNext/>
      <w:spacing w:after="90" w:before="200"/>
      <w:outlineLvl w:val="1"/>
    </w:pPr>
    <w:rPr>
      <w:rFonts w:ascii="Arial" w:cs="Arial" w:eastAsia="Arial" w:hAnsi="Arial"/>
      <w:b/>
      <w:bCs/>
      <w:color w:val="000000"/>
      <w:sz w:val="23"/>
      <w:szCs w:val="23"/>
    </w:rPr>
  </w:style>
  <w:style w:type="paragraph" w:styleId="Heading3">
    <w:name w:val="Heading 3"/>
    <w:basedOn w:val="Normal"/>
    <w:next w:val="Normal"/>
    <w:qFormat/>
    <w:pPr>
      <w:keepNext/>
      <w:spacing w:after="70" w:before="15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Local-First Autonomous Multi-Agent Artificial Intelligence on Commodity Hardware</dc:title>
  <dc:creator>Maximiliano Garcia</dc:creator>
  <dc:description>An Integrated Architecture for Private, Self-Hosted, Human-Governed AI Systems</dc:description>
  <cp:lastModifiedBy>Un-named</cp:lastModifiedBy>
  <cp:revision>1</cp:revision>
  <dcterms:created xsi:type="dcterms:W3CDTF">2026-07-17T23:16:52.794Z</dcterms:created>
  <dcterms:modified xsi:type="dcterms:W3CDTF">2026-07-17T23:16:52.795Z</dcterms:modified>
</cp:coreProperties>
</file>

<file path=docProps/custom.xml><?xml version="1.0" encoding="utf-8"?>
<Properties xmlns="http://schemas.openxmlformats.org/officeDocument/2006/custom-properties" xmlns:vt="http://schemas.openxmlformats.org/officeDocument/2006/docPropsVTypes"/>
</file>