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mbria" w:cs="Cambria" w:eastAsia="Cambria" w:hAnsi="Cambria"/>
          <w:b/>
          <w:bCs/>
          <w:color w:val="1A3A5C"/>
          <w:sz w:val="48"/>
          <w:szCs w:val="48"/>
        </w:rPr>
        <w:t xml:space="preserve">The Council in the Basement</w:t>
      </w:r>
    </w:p>
    <w:p>
      <w:pPr>
        <w:spacing w:after="0" w:before="160"/>
        <w:jc w:val="center"/>
      </w:pPr>
      <w:r>
        <w:rPr>
          <w:rFonts w:ascii="Cambria" w:cs="Cambria" w:eastAsia="Cambria" w:hAnsi="Cambria"/>
          <w:b/>
          <w:bCs/>
          <w:color w:val="1D1D1F"/>
          <w:sz w:val="30"/>
          <w:szCs w:val="30"/>
        </w:rPr>
        <w:t xml:space="preserve">Local-First, Embodied, Multi-Agent Artificial Intelligence on Commodity Hardware</w:t>
      </w:r>
    </w:p>
    <w:p>
      <w:pPr>
        <w:spacing w:after="0" w:before="200"/>
        <w:jc w:val="center"/>
      </w:pPr>
      <w:r>
        <w:rPr>
          <w:rFonts w:ascii="Cambria" w:cs="Cambria" w:eastAsia="Cambria" w:hAnsi="Cambria"/>
          <w:i/>
          <w:iCs/>
          <w:color w:val="3A3A3A"/>
          <w:sz w:val="24"/>
          <w:szCs w:val="24"/>
        </w:rPr>
        <w:t xml:space="preserve">A Design-Science Case Study in Human–Machine Interaction,
Data Sovereignty, and the Honest Ceiling</w:t>
      </w:r>
    </w:p>
    <w:p>
      <w:pPr>
        <w:pBdr>
          <w:bottom w:val="single" w:color="1A3A5C" w:sz="8" w:space="8"/>
        </w:pBdr>
        <w:spacing w:after="0" w:before="420"/>
        <w:jc w:val="center"/>
      </w:pPr>
      <w:r>
        <w:rPr>
          <w:rFonts w:ascii="Cambria" w:cs="Cambria" w:eastAsia="Cambria" w:hAnsi="Cambria"/>
          <w:color w:val="111111"/>
          <w:sz w:val="22"/>
          <w:szCs w:val="22"/>
        </w:rPr>
        <w:t xml:space="preserve"/>
      </w:r>
    </w:p>
    <w:p>
      <w:pPr>
        <w:spacing w:after="0" w:before="400"/>
        <w:jc w:val="center"/>
      </w:pPr>
      <w:r>
        <w:rPr>
          <w:rFonts w:ascii="Cambria" w:cs="Cambria" w:eastAsia="Cambria" w:hAnsi="Cambria"/>
          <w:b/>
          <w:bCs/>
          <w:color w:val="1D1D1F"/>
          <w:sz w:val="28"/>
          <w:szCs w:val="28"/>
        </w:rPr>
        <w:t xml:space="preserve">Max Garcia</w:t>
      </w:r>
    </w:p>
    <w:p>
      <w:pPr>
        <w:spacing w:after="0" w:before="80"/>
        <w:jc w:val="center"/>
      </w:pPr>
      <w:r>
        <w:rPr>
          <w:rFonts w:ascii="Cambria" w:cs="Cambria" w:eastAsia="Cambria" w:hAnsi="Cambria"/>
          <w:color w:val="3A3A3A"/>
          <w:sz w:val="22"/>
          <w:szCs w:val="22"/>
        </w:rPr>
        <w:t xml:space="preserve">University of Arkansas</w:t>
      </w:r>
    </w:p>
    <w:p>
      <w:pPr>
        <w:spacing w:after="0" w:before="40"/>
        <w:jc w:val="center"/>
      </w:pPr>
      <w:r>
        <w:rPr>
          <w:rFonts w:ascii="Cambria" w:cs="Cambria" w:eastAsia="Cambria" w:hAnsi="Cambria"/>
          <w:i/>
          <w:iCs/>
          <w:color w:val="6E6E6E"/>
          <w:sz w:val="20"/>
          <w:szCs w:val="20"/>
        </w:rPr>
        <w:t xml:space="preserve">Research on Human–Machine Interaction and AI Communication</w:t>
      </w:r>
    </w:p>
    <w:p>
      <w:pPr>
        <w:spacing w:after="0" w:before="700"/>
        <w:jc w:val="center"/>
      </w:pPr>
      <w:r>
        <w:rPr>
          <w:rFonts w:ascii="Cambria" w:cs="Cambria" w:eastAsia="Cambria" w:hAnsi="Cambria"/>
          <w:color w:val="6E6E6E"/>
          <w:sz w:val="21"/>
          <w:szCs w:val="21"/>
        </w:rPr>
        <w:t xml:space="preserve">July 2026</w:t>
      </w:r>
    </w:p>
    <w:p>
      <w:pPr>
        <w:spacing w:after="0" w:before="500"/>
        <w:jc w:val="center"/>
      </w:pPr>
      <w:r>
        <w:rPr>
          <w:rFonts w:ascii="Cambria" w:cs="Cambria" w:eastAsia="Cambria" w:hAnsi="Cambria"/>
          <w:i/>
          <w:iCs/>
          <w:color w:val="6E6E6E"/>
          <w:sz w:val="19"/>
          <w:szCs w:val="19"/>
        </w:rPr>
        <w:t xml:space="preserve">Working paper · v1.0</w:t>
      </w:r>
    </w:p>
    <w:p>
      <w:pPr>
        <w:spacing w:after="0" w:before="260"/>
        <w:jc w:val="center"/>
      </w:pPr>
      <w:r>
        <w:rPr>
          <w:rFonts w:ascii="Cambria" w:cs="Cambria" w:eastAsia="Cambria" w:hAnsi="Cambria"/>
          <w:i/>
          <w:iCs/>
          <w:color w:val="6E6E6E"/>
          <w:sz w:val="18"/>
          <w:szCs w:val="18"/>
        </w:rPr>
        <w:t xml:space="preserve">All claims in this paper are sourced. Where a source could not be verified,
the text says so rather than asserting it.</w:t>
      </w:r>
    </w:p>
    <w:p>
      <w:r>
        <w:br w:type="page"/>
      </w:r>
    </w:p>
    <w:p>
      <w:pPr>
        <w:pStyle w:val="Heading1"/>
        <w:spacing w:after="180" w:before="240"/>
      </w:pPr>
      <w:r>
        <w:t xml:space="preserve">Abstract</w:t>
      </w:r>
    </w:p>
    <w:p>
      <w:pPr>
        <w:spacing w:after="140" w:before="0" w:line="300" w:lineRule="auto"/>
        <w:jc w:val="both"/>
      </w:pPr>
      <w:r>
        <w:rPr>
          <w:rFonts w:ascii="Cambria" w:cs="Cambria" w:eastAsia="Cambria" w:hAnsi="Cambria"/>
          <w:color w:val="111111"/>
          <w:sz w:val="22"/>
          <w:szCs w:val="22"/>
        </w:rPr>
        <w:t xml:space="preserve">Contemporary conversational artificial intelligence is delivered almost exclusively as a rented service: the model weights, the conversational memory, and the user's data reside on infrastructure the user neither owns nor inspects. This arrangement is so dominant that it is rarely argued for — it is simply the shape the technology arrived in. This paper asks whether a serious alternative exists, not as a thought experiment but as a working artifact on hardware an undergraduate can afford, and asks what such a system reveals about human–machine interaction once the machine is genuinely local, persistent, embodied, and plural.</w:t>
      </w:r>
    </w:p>
    <w:p>
      <w:pPr>
        <w:spacing w:after="140" w:before="0" w:line="300" w:lineRule="auto"/>
        <w:jc w:val="both"/>
      </w:pPr>
      <w:r>
        <w:rPr>
          <w:rFonts w:ascii="Cambria" w:cs="Cambria" w:eastAsia="Cambria" w:hAnsi="Cambria"/>
          <w:color w:val="111111"/>
          <w:sz w:val="22"/>
          <w:szCs w:val="22"/>
        </w:rPr>
        <w:t xml:space="preserve">We present </w:t>
      </w:r>
      <w:r>
        <w:rPr>
          <w:rFonts w:ascii="Cambria" w:cs="Cambria" w:eastAsia="Cambria" w:hAnsi="Cambria"/>
          <w:b/>
          <w:bCs/>
          <w:color w:val="111111"/>
          <w:sz w:val="22"/>
          <w:szCs w:val="22"/>
        </w:rPr>
        <w:t xml:space="preserve">ClawMaxxing</w:t>
      </w:r>
      <w:r>
        <w:rPr>
          <w:rFonts w:ascii="Cambria" w:cs="Cambria" w:eastAsia="Cambria" w:hAnsi="Cambria"/>
          <w:color w:val="111111"/>
          <w:sz w:val="22"/>
          <w:szCs w:val="22"/>
        </w:rPr>
        <w:t xml:space="preserve">, a local-first multi-agent AI ecosystem built end-to-end on a single commodity mini-PC (AMD Ryzen AI 9 HX 370; Radeon 890M integrated GPU; 32 GB unified LPDDR5X) with no cloud dependency anywhere in its inference path. The system comprises a supervisor orchestrator routing to seven scoped specialist agents; a tiered persistent memory layer; a retrieval-grounded offline knowledge base serving a complete Wikipedia corpus; a heterogeneous fleet of embodied peripherals spanning a quadruped, an aerial platform, first-person camera glasses, and a light-field holographic avatar; an encrypted mesh binding them; and a written constitution of fifteen behavioral rules enforced mechanically rather than aspirationally. The artifact is documented across six technical volumes and has been iteratively rebuilt three times over eighteen months.</w:t>
      </w:r>
    </w:p>
    <w:p>
      <w:pPr>
        <w:spacing w:after="140" w:before="0" w:line="300" w:lineRule="auto"/>
        <w:jc w:val="both"/>
      </w:pPr>
      <w:r>
        <w:rPr>
          <w:rFonts w:ascii="Cambria" w:cs="Cambria" w:eastAsia="Cambria" w:hAnsi="Cambria"/>
          <w:color w:val="111111"/>
          <w:sz w:val="22"/>
          <w:szCs w:val="22"/>
        </w:rPr>
        <w:t xml:space="preserve">Our contribution is fourfold. First, we demonstrate through construction that a capable, useful, multi-agent AI system runs entirely on consumer hardware, and we report the exact arithmetic of where that ceiling sits — including the cases where it is decisively lower than the cloud's. Second, we identify and name design patterns that emerge only under local-first constraints: the </w:t>
      </w:r>
      <w:r>
        <w:rPr>
          <w:rFonts w:ascii="Cambria" w:cs="Cambria" w:eastAsia="Cambria" w:hAnsi="Cambria"/>
          <w:i/>
          <w:iCs/>
          <w:color w:val="111111"/>
          <w:sz w:val="22"/>
          <w:szCs w:val="22"/>
        </w:rPr>
        <w:t xml:space="preserve">two-mode doctrine</w:t>
      </w:r>
      <w:r>
        <w:rPr>
          <w:rFonts w:ascii="Cambria" w:cs="Cambria" w:eastAsia="Cambria" w:hAnsi="Cambria"/>
          <w:color w:val="111111"/>
          <w:sz w:val="22"/>
          <w:szCs w:val="22"/>
        </w:rPr>
        <w:t xml:space="preserve"> for resource contention, the </w:t>
      </w:r>
      <w:r>
        <w:rPr>
          <w:rFonts w:ascii="Cambria" w:cs="Cambria" w:eastAsia="Cambria" w:hAnsi="Cambria"/>
          <w:i/>
          <w:iCs/>
          <w:color w:val="111111"/>
          <w:sz w:val="22"/>
          <w:szCs w:val="22"/>
        </w:rPr>
        <w:t xml:space="preserve">honest ceiling</w:t>
      </w:r>
      <w:r>
        <w:rPr>
          <w:rFonts w:ascii="Cambria" w:cs="Cambria" w:eastAsia="Cambria" w:hAnsi="Cambria"/>
          <w:color w:val="111111"/>
          <w:sz w:val="22"/>
          <w:szCs w:val="22"/>
        </w:rPr>
        <w:t xml:space="preserve"> as a design rule, the </w:t>
      </w:r>
      <w:r>
        <w:rPr>
          <w:rFonts w:ascii="Cambria" w:cs="Cambria" w:eastAsia="Cambria" w:hAnsi="Cambria"/>
          <w:i/>
          <w:iCs/>
          <w:color w:val="111111"/>
          <w:sz w:val="22"/>
          <w:szCs w:val="22"/>
        </w:rPr>
        <w:t xml:space="preserve">post-work heartbeat</w:t>
      </w:r>
      <w:r>
        <w:rPr>
          <w:rFonts w:ascii="Cambria" w:cs="Cambria" w:eastAsia="Cambria" w:hAnsi="Cambria"/>
          <w:color w:val="111111"/>
          <w:sz w:val="22"/>
          <w:szCs w:val="22"/>
        </w:rPr>
        <w:t xml:space="preserve"> as a mechanical guarantee against agent dishonesty, and the </w:t>
      </w:r>
      <w:r>
        <w:rPr>
          <w:rFonts w:ascii="Cambria" w:cs="Cambria" w:eastAsia="Cambria" w:hAnsi="Cambria"/>
          <w:i/>
          <w:iCs/>
          <w:color w:val="111111"/>
          <w:sz w:val="22"/>
          <w:szCs w:val="22"/>
        </w:rPr>
        <w:t xml:space="preserve">documented exit</w:t>
      </w:r>
      <w:r>
        <w:rPr>
          <w:rFonts w:ascii="Cambria" w:cs="Cambria" w:eastAsia="Cambria" w:hAnsi="Cambria"/>
          <w:color w:val="111111"/>
          <w:sz w:val="22"/>
          <w:szCs w:val="22"/>
        </w:rPr>
        <w:t xml:space="preserve"> as a precondition for adopting any dependency. Third, we connect these patterns to established human–machine interaction theory — trust calibration </w:t>
      </w:r>
      <w:r>
        <w:rPr>
          <w:rFonts w:ascii="Cambria" w:cs="Cambria" w:eastAsia="Cambria" w:hAnsi="Cambria"/>
          <w:color w:val="111111"/>
          <w:sz w:val="22"/>
          <w:szCs w:val="22"/>
        </w:rPr>
        <w:t xml:space="preserve">[89, 129]</w:t>
      </w:r>
      <w:r>
        <w:rPr>
          <w:rFonts w:ascii="Cambria" w:cs="Cambria" w:eastAsia="Cambria" w:hAnsi="Cambria"/>
          <w:color w:val="111111"/>
          <w:sz w:val="22"/>
          <w:szCs w:val="22"/>
        </w:rPr>
        <w:t xml:space="preserve">, the Computers-Are-Social-Actors paradigm </w:t>
      </w:r>
      <w:r>
        <w:rPr>
          <w:rFonts w:ascii="Cambria" w:cs="Cambria" w:eastAsia="Cambria" w:hAnsi="Cambria"/>
          <w:color w:val="111111"/>
          <w:sz w:val="22"/>
          <w:szCs w:val="22"/>
        </w:rPr>
        <w:t xml:space="preserve">[118, 140]</w:t>
      </w:r>
      <w:r>
        <w:rPr>
          <w:rFonts w:ascii="Cambria" w:cs="Cambria" w:eastAsia="Cambria" w:hAnsi="Cambria"/>
          <w:color w:val="111111"/>
          <w:sz w:val="22"/>
          <w:szCs w:val="22"/>
        </w:rPr>
        <w:t xml:space="preserve">, anthropomorphism </w:t>
      </w:r>
      <w:r>
        <w:rPr>
          <w:rFonts w:ascii="Cambria" w:cs="Cambria" w:eastAsia="Cambria" w:hAnsi="Cambria"/>
          <w:color w:val="111111"/>
          <w:sz w:val="22"/>
          <w:szCs w:val="22"/>
        </w:rPr>
        <w:t xml:space="preserve">[41]</w:t>
      </w:r>
      <w:r>
        <w:rPr>
          <w:rFonts w:ascii="Cambria" w:cs="Cambria" w:eastAsia="Cambria" w:hAnsi="Cambria"/>
          <w:color w:val="111111"/>
          <w:sz w:val="22"/>
          <w:szCs w:val="22"/>
        </w:rPr>
        <w:t xml:space="preserve">, and calm computing </w:t>
      </w:r>
      <w:r>
        <w:rPr>
          <w:rFonts w:ascii="Cambria" w:cs="Cambria" w:eastAsia="Cambria" w:hAnsi="Cambria"/>
          <w:color w:val="111111"/>
          <w:sz w:val="22"/>
          <w:szCs w:val="22"/>
        </w:rPr>
        <w:t xml:space="preserve">[172]</w:t>
      </w:r>
      <w:r>
        <w:rPr>
          <w:rFonts w:ascii="Cambria" w:cs="Cambria" w:eastAsia="Cambria" w:hAnsi="Cambria"/>
          <w:color w:val="111111"/>
          <w:sz w:val="22"/>
          <w:szCs w:val="22"/>
        </w:rPr>
        <w:t xml:space="preserve"> — arguing that locality and embodiment change trust formation in ways the cloud-assistant literature has not had to confront. Fourth, and most importantly, we report where the thesis fails: local models remain measurably behind frontier cloud models; quantization degrades quality nonlinearly below four bits </w:t>
      </w:r>
      <w:r>
        <w:rPr>
          <w:rFonts w:ascii="Cambria" w:cs="Cambria" w:eastAsia="Cambria" w:hAnsi="Cambria"/>
          <w:color w:val="111111"/>
          <w:sz w:val="22"/>
          <w:szCs w:val="22"/>
        </w:rPr>
        <w:t xml:space="preserve">[34]</w:t>
      </w:r>
      <w:r>
        <w:rPr>
          <w:rFonts w:ascii="Cambria" w:cs="Cambria" w:eastAsia="Cambria" w:hAnsi="Cambria"/>
          <w:color w:val="111111"/>
          <w:sz w:val="22"/>
          <w:szCs w:val="22"/>
        </w:rPr>
        <w:t xml:space="preserve">; embodiment does </w:t>
      </w:r>
      <w:r>
        <w:rPr>
          <w:rFonts w:ascii="Cambria" w:cs="Cambria" w:eastAsia="Cambria" w:hAnsi="Cambria"/>
          <w:i/>
          <w:iCs/>
          <w:color w:val="111111"/>
          <w:sz w:val="22"/>
          <w:szCs w:val="22"/>
        </w:rPr>
        <w:t xml:space="preserve">not</w:t>
      </w:r>
      <w:r>
        <w:rPr>
          <w:rFonts w:ascii="Cambria" w:cs="Cambria" w:eastAsia="Cambria" w:hAnsi="Cambria"/>
          <w:color w:val="111111"/>
          <w:sz w:val="22"/>
          <w:szCs w:val="22"/>
        </w:rPr>
        <w:t xml:space="preserve"> uniformly improve interaction and can actively induce miscalibrated over-trust </w:t>
      </w:r>
      <w:r>
        <w:rPr>
          <w:rFonts w:ascii="Cambria" w:cs="Cambria" w:eastAsia="Cambria" w:hAnsi="Cambria"/>
          <w:color w:val="111111"/>
          <w:sz w:val="22"/>
          <w:szCs w:val="22"/>
        </w:rPr>
        <w:t xml:space="preserve">[143, 144]</w:t>
      </w:r>
      <w:r>
        <w:rPr>
          <w:rFonts w:ascii="Cambria" w:cs="Cambria" w:eastAsia="Cambria" w:hAnsi="Cambria"/>
          <w:color w:val="111111"/>
          <w:sz w:val="22"/>
          <w:szCs w:val="22"/>
        </w:rPr>
        <w:t xml:space="preserve">; and the most capable robot policies still require off-board compute </w:t>
      </w:r>
      <w:r>
        <w:rPr>
          <w:rFonts w:ascii="Cambria" w:cs="Cambria" w:eastAsia="Cambria" w:hAnsi="Cambria"/>
          <w:color w:val="111111"/>
          <w:sz w:val="22"/>
          <w:szCs w:val="22"/>
        </w:rPr>
        <w:t xml:space="preserve">[189]</w:t>
      </w:r>
      <w:r>
        <w:rPr>
          <w:rFonts w:ascii="Cambria" w:cs="Cambria" w:eastAsia="Cambria" w:hAnsi="Cambria"/>
          <w:color w:val="111111"/>
          <w:sz w:val="22"/>
          <w:szCs w:val="22"/>
        </w:rPr>
        <w:t xml:space="preserve">.</w:t>
      </w:r>
    </w:p>
    <w:p>
      <w:pPr>
        <w:spacing w:after="140" w:before="0" w:line="300" w:lineRule="auto"/>
        <w:jc w:val="both"/>
      </w:pPr>
      <w:r>
        <w:rPr>
          <w:rFonts w:ascii="Cambria" w:cs="Cambria" w:eastAsia="Cambria" w:hAnsi="Cambria"/>
          <w:color w:val="111111"/>
          <w:sz w:val="22"/>
          <w:szCs w:val="22"/>
        </w:rPr>
        <w:t xml:space="preserve">We situate the work methodologically as design science </w:t>
      </w:r>
      <w:r>
        <w:rPr>
          <w:rFonts w:ascii="Cambria" w:cs="Cambria" w:eastAsia="Cambria" w:hAnsi="Cambria"/>
          <w:color w:val="111111"/>
          <w:sz w:val="22"/>
          <w:szCs w:val="22"/>
        </w:rPr>
        <w:t xml:space="preserve">[61]</w:t>
      </w:r>
      <w:r>
        <w:rPr>
          <w:rFonts w:ascii="Cambria" w:cs="Cambria" w:eastAsia="Cambria" w:hAnsi="Cambria"/>
          <w:color w:val="111111"/>
          <w:sz w:val="22"/>
          <w:szCs w:val="22"/>
        </w:rPr>
        <w:t xml:space="preserve">, in which a constructed artifact is itself the research contribution, evaluated against the requirements it was built to satisfy. We further connect the Council's plural architecture to an independent and rapidly consolidating research direction — orchestration and mixture-of-agents </w:t>
      </w:r>
      <w:r>
        <w:rPr>
          <w:rFonts w:ascii="Cambria" w:cs="Cambria" w:eastAsia="Cambria" w:hAnsi="Cambria"/>
          <w:color w:val="111111"/>
          <w:sz w:val="22"/>
          <w:szCs w:val="22"/>
        </w:rPr>
        <w:t xml:space="preserve">[124, 169]</w:t>
      </w:r>
      <w:r>
        <w:rPr>
          <w:rFonts w:ascii="Cambria" w:cs="Cambria" w:eastAsia="Cambria" w:hAnsi="Cambria"/>
          <w:color w:val="111111"/>
          <w:sz w:val="22"/>
          <w:szCs w:val="22"/>
        </w:rPr>
        <w:t xml:space="preserve"> — arguing that ClawMaxxing is the local-first, data-sovereign instance of the same “orchestration as intelligence” thesis that frontier systems now productize (§6.8). We conclude that local-first, embodied, multi-agent AI is a </w:t>
      </w:r>
      <w:r>
        <w:rPr>
          <w:rFonts w:ascii="Cambria" w:cs="Cambria" w:eastAsia="Cambria" w:hAnsi="Cambria"/>
          <w:b/>
          <w:bCs/>
          <w:color w:val="111111"/>
          <w:sz w:val="22"/>
          <w:szCs w:val="22"/>
        </w:rPr>
        <w:t xml:space="preserve">viable and meaningfully distinct design point</w:t>
      </w:r>
      <w:r>
        <w:rPr>
          <w:rFonts w:ascii="Cambria" w:cs="Cambria" w:eastAsia="Cambria" w:hAnsi="Cambria"/>
          <w:color w:val="111111"/>
          <w:sz w:val="22"/>
          <w:szCs w:val="22"/>
        </w:rPr>
        <w:t xml:space="preserve"> — not a strictly superior one, and not a compromise, but a different position in a real tradeoff space whose axes are ownership, capability, resilience, and trust. The honest claim is not that the basement beats the datacenter. It is that the basement is a place where a different kind of machine can exist at all, and that this difference is worth the arithmetic it costs.</w:t>
      </w:r>
    </w:p>
    <w:p>
      <w:pPr>
        <w:spacing w:after="140" w:before="0" w:line="300" w:lineRule="auto"/>
        <w:jc w:val="both"/>
      </w:pPr>
      <w:r>
        <w:rPr>
          <w:rFonts w:ascii="Cambria" w:cs="Cambria" w:eastAsia="Cambria" w:hAnsi="Cambria"/>
          <w:b/>
          <w:bCs/>
          <w:i/>
          <w:iCs/>
          <w:color w:val="111111"/>
          <w:sz w:val="22"/>
          <w:szCs w:val="22"/>
        </w:rPr>
        <w:t xml:space="preserve">Scope and currency. </w:t>
      </w:r>
      <w:r>
        <w:rPr>
          <w:rFonts w:ascii="Cambria" w:cs="Cambria" w:eastAsia="Cambria" w:hAnsi="Cambria"/>
          <w:i/>
          <w:iCs/>
          <w:color w:val="111111"/>
          <w:sz w:val="22"/>
          <w:szCs w:val="22"/>
        </w:rPr>
        <w:t xml:space="preserve">This is a July 2026 snapshot of a field that ships weekly, and every model, price, and benchmark below is date-stamped and tiered accordingly. The frontier now has specific names — Claude Fable 5 and Opus 4.8, GPT-5.6 Sol, Gemini 3.1 Pro, Grok 4.5 — and the open-weight contenders that most sharpen this paper's capability-gap argument (Kimi K3, DeepSeek V4, GLM-5.2) are real and downloadable but, at 400 GB to 1.5 TB of weights, “open” without being “local” on commodity hardware (§7.1). We also treat a hardware upgrade path — an external RTX 5090 over OCuLink — with honest arithmetic (§3.9): it is the single largest capability jump available to the artifact and it still does not reach the frontier-scale tier.</w:t>
      </w:r>
    </w:p>
    <w:p>
      <w:pPr>
        <w:spacing w:after="80"/>
      </w:pPr>
      <w:r>
        <w:rPr>
          <w:rFonts w:ascii="Cambria" w:cs="Cambria" w:eastAsia="Cambria" w:hAnsi="Cambria"/>
          <w:color w:val="111111"/>
          <w:sz w:val="22"/>
          <w:szCs w:val="22"/>
        </w:rPr>
        <w:t xml:space="preserve"/>
      </w:r>
    </w:p>
    <w:p>
      <w:pPr>
        <w:spacing w:after="140" w:before="0" w:line="300" w:lineRule="auto"/>
        <w:jc w:val="both"/>
      </w:pPr>
      <w:r>
        <w:rPr>
          <w:rFonts w:ascii="Cambria" w:cs="Cambria" w:eastAsia="Cambria" w:hAnsi="Cambria"/>
          <w:b/>
          <w:bCs/>
          <w:color w:val="111111"/>
          <w:sz w:val="22"/>
          <w:szCs w:val="22"/>
        </w:rPr>
        <w:t xml:space="preserve">Keywords: </w:t>
      </w:r>
      <w:r>
        <w:rPr>
          <w:rFonts w:ascii="Cambria" w:cs="Cambria" w:eastAsia="Cambria" w:hAnsi="Cambria"/>
          <w:i/>
          <w:iCs/>
          <w:color w:val="111111"/>
          <w:sz w:val="22"/>
          <w:szCs w:val="22"/>
        </w:rPr>
        <w:t xml:space="preserve">local-first computing; on-device inference; multi-agent systems; large language models; human–machine interaction; trust calibration; embodied agents; retrieval-augmented generation; data sovereignty; design science; edge AI; agent safety</w:t>
      </w:r>
    </w:p>
    <w:p>
      <w:pPr>
        <w:spacing w:after="120"/>
      </w:pPr>
      <w:r>
        <w:rPr>
          <w:rFonts w:ascii="Cambria" w:cs="Cambria" w:eastAsia="Cambria" w:hAnsi="Cambria"/>
          <w:color w:val="111111"/>
          <w:sz w:val="22"/>
          <w:szCs w:val="22"/>
        </w:rPr>
        <w:t xml:space="preserve"/>
      </w:r>
    </w:p>
    <w:p>
      <w:pPr>
        <w:spacing w:after="140" w:before="0" w:line="300" w:lineRule="auto"/>
        <w:jc w:val="both"/>
      </w:pPr>
      <w:r>
        <w:rPr>
          <w:rFonts w:ascii="Cambria" w:cs="Cambria" w:eastAsia="Cambria" w:hAnsi="Cambria"/>
          <w:b/>
          <w:bCs/>
          <w:i/>
          <w:iCs/>
          <w:color w:val="111111"/>
          <w:sz w:val="22"/>
          <w:szCs w:val="22"/>
        </w:rPr>
        <w:t xml:space="preserve">A note on verification. </w:t>
      </w:r>
      <w:r>
        <w:rPr>
          <w:rFonts w:ascii="Cambria" w:cs="Cambria" w:eastAsia="Cambria" w:hAnsi="Cambria"/>
          <w:i/>
          <w:iCs/>
          <w:color w:val="111111"/>
          <w:sz w:val="22"/>
          <w:szCs w:val="22"/>
        </w:rPr>
        <w:t xml:space="preserve">This paper's reference list is tiered. Entries marked ● were located and cross-referenced against primary venues during the research pass conducted for this work. Unmarked entries are canonical works of their fields cited from the established record but not re-verified in that pass; readers relying on them for exact page ranges or identifiers should confirm them independently. This distinction is made explicit because the project this paper describes was itself shaped by an incident in which a confidently-asserted but nonexistent model cost the author several days — an experience that produced the verification discipline documented in §4.4 and applied here to the paper's own bibliography.</w:t>
      </w:r>
    </w:p>
    <w:p>
      <w:r>
        <w:br w:type="page"/>
      </w:r>
    </w:p>
    <w:p>
      <w:pPr>
        <w:spacing w:after="200"/>
      </w:pPr>
      <w:r>
        <w:rPr>
          <w:rFonts w:ascii="Cambria" w:cs="Cambria" w:eastAsia="Cambria" w:hAnsi="Cambria"/>
          <w:b/>
          <w:bCs/>
          <w:color w:val="1A3A5C"/>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80" w:before="240"/>
      </w:pPr>
      <w:r>
        <w:t xml:space="preserve">1. Introduction</w:t>
      </w:r>
    </w:p>
    <w:p>
      <w:pPr>
        <w:spacing w:after="140" w:before="0" w:line="300" w:lineRule="auto"/>
        <w:jc w:val="both"/>
      </w:pPr>
      <w:r>
        <w:rPr>
          <w:rFonts w:ascii="Cambria" w:cs="Cambria" w:eastAsia="Cambria" w:hAnsi="Cambria"/>
          <w:color w:val="111111"/>
          <w:sz w:val="22"/>
          <w:szCs w:val="22"/>
        </w:rPr>
        <w:t xml:space="preserve">In the space of four years, a particular arrangement of artificial intelligence became so ubiquitous that it stopped looking like an arrangement at all. A user types into a text box. The text travels to a datacenter. A model the user cannot inspect, running on hardware the user does not own, produces a response, which travels back. The conversation is retained on the provider's terms. The model may be updated, deprecated, or withdrawn without notice or recourse. This is not a criticism of the engineering, which is extraordinary. It is an observation that a contingent architectural choice has acquired the texture of a natural fact.</w:t>
      </w:r>
    </w:p>
    <w:p>
      <w:pPr>
        <w:spacing w:after="140" w:before="0" w:line="300" w:lineRule="auto"/>
        <w:jc w:val="both"/>
      </w:pPr>
      <w:r>
        <w:rPr>
          <w:rFonts w:ascii="Cambria" w:cs="Cambria" w:eastAsia="Cambria" w:hAnsi="Cambria"/>
          <w:color w:val="111111"/>
          <w:sz w:val="22"/>
          <w:szCs w:val="22"/>
        </w:rPr>
        <w:t xml:space="preserve">The alternative is not obvious, and for most of the period in question it was not available. Running a capable language model locally required hardware that cost more than a car. The situation has changed rapidly and asymmetrically. Quantization research has compressed model weights by a factor of four to eight with modest quality cost </w:t>
      </w:r>
      <w:r>
        <w:rPr>
          <w:rFonts w:ascii="Cambria" w:cs="Cambria" w:eastAsia="Cambria" w:hAnsi="Cambria"/>
          <w:color w:val="111111"/>
          <w:sz w:val="22"/>
          <w:szCs w:val="22"/>
        </w:rPr>
        <w:t xml:space="preserve">[33, 46, 96]</w:t>
      </w:r>
      <w:r>
        <w:rPr>
          <w:rFonts w:ascii="Cambria" w:cs="Cambria" w:eastAsia="Cambria" w:hAnsi="Cambria"/>
          <w:color w:val="111111"/>
          <w:sz w:val="22"/>
          <w:szCs w:val="22"/>
        </w:rPr>
        <w:t xml:space="preserve">; small models trained on carefully curated data have closed much of the gap to their larger predecessors </w:t>
      </w:r>
      <w:r>
        <w:rPr>
          <w:rFonts w:ascii="Cambria" w:cs="Cambria" w:eastAsia="Cambria" w:hAnsi="Cambria"/>
          <w:color w:val="111111"/>
          <w:sz w:val="22"/>
          <w:szCs w:val="22"/>
        </w:rPr>
        <w:t xml:space="preserve">[2, 50]</w:t>
      </w:r>
      <w:r>
        <w:rPr>
          <w:rFonts w:ascii="Cambria" w:cs="Cambria" w:eastAsia="Cambria" w:hAnsi="Cambria"/>
          <w:color w:val="111111"/>
          <w:sz w:val="22"/>
          <w:szCs w:val="22"/>
        </w:rPr>
        <w:t xml:space="preserve">; sparse mixture-of-experts architectures have decoupled parameter count from inference cost </w:t>
      </w:r>
      <w:r>
        <w:rPr>
          <w:rFonts w:ascii="Cambria" w:cs="Cambria" w:eastAsia="Cambria" w:hAnsi="Cambria"/>
          <w:color w:val="111111"/>
          <w:sz w:val="22"/>
          <w:szCs w:val="22"/>
        </w:rPr>
        <w:t xml:space="preserve">[44, 76, 151]</w:t>
      </w:r>
      <w:r>
        <w:rPr>
          <w:rFonts w:ascii="Cambria" w:cs="Cambria" w:eastAsia="Cambria" w:hAnsi="Cambria"/>
          <w:color w:val="111111"/>
          <w:sz w:val="22"/>
          <w:szCs w:val="22"/>
        </w:rPr>
        <w:t xml:space="preserve">; and open-weights releases have made frontier-adjacent models downloadable </w:t>
      </w:r>
      <w:r>
        <w:rPr>
          <w:rFonts w:ascii="Cambria" w:cs="Cambria" w:eastAsia="Cambria" w:hAnsi="Cambria"/>
          <w:color w:val="111111"/>
          <w:sz w:val="22"/>
          <w:szCs w:val="22"/>
        </w:rPr>
        <w:t xml:space="preserve">[73, 161]</w:t>
      </w:r>
      <w:r>
        <w:rPr>
          <w:rFonts w:ascii="Cambria" w:cs="Cambria" w:eastAsia="Cambria" w:hAnsi="Cambria"/>
          <w:color w:val="111111"/>
          <w:sz w:val="22"/>
          <w:szCs w:val="22"/>
        </w:rPr>
        <w:t xml:space="preserve">. Microsoft's phi-3-mini report is the cleanest single demonstration: a 3.8-billion-parameter model reaching 69% on MMLU which, quantized to four bits, occupies roughly 1.8 GB and runs on an iPhone 14 at more than twelve tokens per second, entirely offline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The question is no longer whether local inference is possible. It is what a system built around that possibility should look like, and what it costs.</w:t>
      </w:r>
    </w:p>
    <w:p>
      <w:pPr>
        <w:spacing w:after="140" w:before="0" w:line="300" w:lineRule="auto"/>
        <w:jc w:val="both"/>
      </w:pPr>
      <w:r>
        <w:rPr>
          <w:rFonts w:ascii="Cambria" w:cs="Cambria" w:eastAsia="Cambria" w:hAnsi="Cambria"/>
          <w:color w:val="111111"/>
          <w:sz w:val="22"/>
          <w:szCs w:val="22"/>
        </w:rPr>
        <w:t xml:space="preserve">This paper answers that question by construction. Over eighteen months and three complete architectural rebuilds, we built ClawMaxxing: a multi-agent AI ecosystem running on a single commodity mini-PC, with a fleet of embodied peripherals, an offline encyclopedic knowledge base, an autonomous trading desk under coded risk constraints, and a written constitution governing agent behavior. Nothing in its inference path touches a cloud. It is not a demonstration; it is the author's working system, documented across six technical volumes and rebuilt whenever its assumptions failed verification.</w:t>
      </w:r>
    </w:p>
    <w:p>
      <w:pPr>
        <w:pStyle w:val="Heading2"/>
      </w:pPr>
      <w:r>
        <w:t xml:space="preserve">1.1 The Research Question</w:t>
      </w:r>
    </w:p>
    <w:p>
      <w:pPr>
        <w:spacing w:after="140" w:before="0" w:line="300" w:lineRule="auto"/>
        <w:jc w:val="both"/>
      </w:pPr>
      <w:r>
        <w:rPr>
          <w:rFonts w:ascii="Cambria" w:cs="Cambria" w:eastAsia="Cambria" w:hAnsi="Cambria"/>
          <w:color w:val="111111"/>
          <w:sz w:val="22"/>
          <w:szCs w:val="22"/>
        </w:rPr>
        <w:t xml:space="preserve">The question this work addresses is not “can a language model run locally?” That is settled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The question is:</w:t>
      </w:r>
    </w:p>
    <w:p>
      <w:pPr>
        <w:spacing w:after="140" w:before="120" w:line="280" w:lineRule="auto"/>
        <w:ind w:left="560" w:right="400"/>
        <w:jc w:val="both"/>
      </w:pPr>
      <w:r>
        <w:rPr>
          <w:rFonts w:ascii="Cambria" w:cs="Cambria" w:eastAsia="Cambria" w:hAnsi="Cambria"/>
          <w:i/>
          <w:iCs/>
          <w:color w:val="111111"/>
          <w:sz w:val="22"/>
          <w:szCs w:val="22"/>
        </w:rPr>
        <w:t xml:space="preserve">What kind of human–machine relationship becomes possible — and what kind becomes impossible — when the machine is local, persistent, plural, and embodied, rather than remote, ephemeral, singular, and disembodied?</w:t>
      </w:r>
    </w:p>
    <w:p>
      <w:pPr>
        <w:spacing w:after="140" w:before="0" w:line="300" w:lineRule="auto"/>
        <w:jc w:val="both"/>
      </w:pPr>
      <w:r>
        <w:rPr>
          <w:rFonts w:ascii="Cambria" w:cs="Cambria" w:eastAsia="Cambria" w:hAnsi="Cambria"/>
          <w:color w:val="111111"/>
          <w:sz w:val="22"/>
          <w:szCs w:val="22"/>
        </w:rPr>
        <w:t xml:space="preserve">This is a human–machine interaction question before it is a systems question, and the distinction matters. A local model is not merely a cloud model with different hosting. It has different failure modes, different trust properties, different latency characteristics, different persistence, and — critically — a different relationship to the user's data and to the user's authority over the system. These differences are not implementation details; they are the substance of the interaction. Locality is an interaction design decision that happens to be implemented in infrastructure.</w:t>
      </w:r>
    </w:p>
    <w:p>
      <w:pPr>
        <w:spacing w:after="140" w:before="0" w:line="300" w:lineRule="auto"/>
        <w:jc w:val="both"/>
      </w:pPr>
      <w:r>
        <w:rPr>
          <w:rFonts w:ascii="Cambria" w:cs="Cambria" w:eastAsia="Cambria" w:hAnsi="Cambria"/>
          <w:color w:val="111111"/>
          <w:sz w:val="22"/>
          <w:szCs w:val="22"/>
        </w:rPr>
        <w:t xml:space="preserve">We decompose the question into four sub-questions that structure the paper:</w:t>
      </w:r>
    </w:p>
    <w:p>
      <w:pPr>
        <w:pStyle w:val="ListParagraph"/>
        <w:numPr>
          <w:ilvl w:val="0"/>
          <w:numId w:val="2"/>
        </w:numPr>
        <w:spacing w:after="80" w:line="290" w:lineRule="auto"/>
      </w:pPr>
      <w:r>
        <w:rPr>
          <w:rFonts w:ascii="Cambria" w:cs="Cambria" w:eastAsia="Cambria" w:hAnsi="Cambria"/>
          <w:b/>
          <w:bCs/>
          <w:color w:val="111111"/>
          <w:sz w:val="22"/>
          <w:szCs w:val="22"/>
        </w:rPr>
        <w:t xml:space="preserve">RQ1 (Feasibility and its ceiling). </w:t>
      </w:r>
      <w:r>
        <w:rPr>
          <w:rFonts w:ascii="Cambria" w:cs="Cambria" w:eastAsia="Cambria" w:hAnsi="Cambria"/>
          <w:color w:val="111111"/>
          <w:sz w:val="22"/>
          <w:szCs w:val="22"/>
        </w:rPr>
        <w:t xml:space="preserve">What can a multi-agent AI system actually do on 32 GB of unified consumer memory, and — stated with equal precision — what can it not do? (§3, §5)</w:t>
      </w:r>
    </w:p>
    <w:p>
      <w:pPr>
        <w:pStyle w:val="ListParagraph"/>
        <w:numPr>
          <w:ilvl w:val="0"/>
          <w:numId w:val="2"/>
        </w:numPr>
        <w:spacing w:after="80" w:line="290" w:lineRule="auto"/>
      </w:pPr>
      <w:r>
        <w:rPr>
          <w:rFonts w:ascii="Cambria" w:cs="Cambria" w:eastAsia="Cambria" w:hAnsi="Cambria"/>
          <w:b/>
          <w:bCs/>
          <w:color w:val="111111"/>
          <w:sz w:val="22"/>
          <w:szCs w:val="22"/>
        </w:rPr>
        <w:t xml:space="preserve">RQ2 (Emergent design patterns). </w:t>
      </w:r>
      <w:r>
        <w:rPr>
          <w:rFonts w:ascii="Cambria" w:cs="Cambria" w:eastAsia="Cambria" w:hAnsi="Cambria"/>
          <w:color w:val="111111"/>
          <w:sz w:val="22"/>
          <w:szCs w:val="22"/>
        </w:rPr>
        <w:t xml:space="preserve">Which architectural patterns are forced into existence by local-first constraints that cloud architectures never need? (§3, §6)</w:t>
      </w:r>
    </w:p>
    <w:p>
      <w:pPr>
        <w:pStyle w:val="ListParagraph"/>
        <w:numPr>
          <w:ilvl w:val="0"/>
          <w:numId w:val="2"/>
        </w:numPr>
        <w:spacing w:after="80" w:line="290" w:lineRule="auto"/>
      </w:pPr>
      <w:r>
        <w:rPr>
          <w:rFonts w:ascii="Cambria" w:cs="Cambria" w:eastAsia="Cambria" w:hAnsi="Cambria"/>
          <w:b/>
          <w:bCs/>
          <w:color w:val="111111"/>
          <w:sz w:val="22"/>
          <w:szCs w:val="22"/>
        </w:rPr>
        <w:t xml:space="preserve">RQ3 (Interaction consequences). </w:t>
      </w:r>
      <w:r>
        <w:rPr>
          <w:rFonts w:ascii="Cambria" w:cs="Cambria" w:eastAsia="Cambria" w:hAnsi="Cambria"/>
          <w:color w:val="111111"/>
          <w:sz w:val="22"/>
          <w:szCs w:val="22"/>
        </w:rPr>
        <w:t xml:space="preserve">How do locality, persistence, plurality, and embodiment change trust formation and interaction, in light of established HMI theory? (§2.5, §6)</w:t>
      </w:r>
    </w:p>
    <w:p>
      <w:pPr>
        <w:pStyle w:val="ListParagraph"/>
        <w:numPr>
          <w:ilvl w:val="0"/>
          <w:numId w:val="2"/>
        </w:numPr>
        <w:spacing w:after="80" w:line="290" w:lineRule="auto"/>
      </w:pPr>
      <w:r>
        <w:rPr>
          <w:rFonts w:ascii="Cambria" w:cs="Cambria" w:eastAsia="Cambria" w:hAnsi="Cambria"/>
          <w:b/>
          <w:bCs/>
          <w:color w:val="111111"/>
          <w:sz w:val="22"/>
          <w:szCs w:val="22"/>
        </w:rPr>
        <w:t xml:space="preserve">RQ4 (Honest failure). </w:t>
      </w:r>
      <w:r>
        <w:rPr>
          <w:rFonts w:ascii="Cambria" w:cs="Cambria" w:eastAsia="Cambria" w:hAnsi="Cambria"/>
          <w:color w:val="111111"/>
          <w:sz w:val="22"/>
          <w:szCs w:val="22"/>
        </w:rPr>
        <w:t xml:space="preserve">Where does the local-first thesis measurably fail, and what does the evidence against it look like? (§7)</w:t>
      </w:r>
    </w:p>
    <w:p>
      <w:pPr>
        <w:pStyle w:val="Heading2"/>
      </w:pPr>
      <w:r>
        <w:t xml:space="preserve">1.2 Why Build Rather Than Argue</w:t>
      </w:r>
    </w:p>
    <w:p>
      <w:pPr>
        <w:spacing w:after="140" w:before="0" w:line="300" w:lineRule="auto"/>
        <w:jc w:val="both"/>
      </w:pPr>
      <w:r>
        <w:rPr>
          <w:rFonts w:ascii="Cambria" w:cs="Cambria" w:eastAsia="Cambria" w:hAnsi="Cambria"/>
          <w:color w:val="111111"/>
          <w:sz w:val="22"/>
          <w:szCs w:val="22"/>
        </w:rPr>
        <w:t xml:space="preserve">A purely analytical treatment of this question would be cheaper and less convincing. The claims at stake — that a local system is capable enough to be useful, that plurality and embodiment change interaction, that constraints produce patterns — are claims about what happens when the thing exists. They are not derivable from first principles because the binding constraints are empirical: how much memory a 30-billion-parameter model consumes at four-bit quantization with a 64,000-token context window on a specific integrated GPU with no ROCm support is not a philosophical question.</w:t>
      </w:r>
    </w:p>
    <w:p>
      <w:pPr>
        <w:spacing w:after="140" w:before="0" w:line="300" w:lineRule="auto"/>
        <w:jc w:val="both"/>
      </w:pPr>
      <w:r>
        <w:rPr>
          <w:rFonts w:ascii="Cambria" w:cs="Cambria" w:eastAsia="Cambria" w:hAnsi="Cambria"/>
          <w:color w:val="111111"/>
          <w:sz w:val="22"/>
          <w:szCs w:val="22"/>
        </w:rPr>
        <w:t xml:space="preserve">This is the design-science position </w:t>
      </w:r>
      <w:r>
        <w:rPr>
          <w:rFonts w:ascii="Cambria" w:cs="Cambria" w:eastAsia="Cambria" w:hAnsi="Cambria"/>
          <w:color w:val="111111"/>
          <w:sz w:val="22"/>
          <w:szCs w:val="22"/>
        </w:rPr>
        <w:t xml:space="preserve">[61, 133]</w:t>
      </w:r>
      <w:r>
        <w:rPr>
          <w:rFonts w:ascii="Cambria" w:cs="Cambria" w:eastAsia="Cambria" w:hAnsi="Cambria"/>
          <w:color w:val="111111"/>
          <w:sz w:val="22"/>
          <w:szCs w:val="22"/>
        </w:rPr>
        <w:t xml:space="preserve">: the artifact is the contribution, and knowledge is produced by building and evaluating it against the requirements it was meant to satisfy. It is closely allied to research-through-design in HCI </w:t>
      </w:r>
      <w:r>
        <w:rPr>
          <w:rFonts w:ascii="Cambria" w:cs="Cambria" w:eastAsia="Cambria" w:hAnsi="Cambria"/>
          <w:color w:val="111111"/>
          <w:sz w:val="22"/>
          <w:szCs w:val="22"/>
        </w:rPr>
        <w:t xml:space="preserve">[49, 188]</w:t>
      </w:r>
      <w:r>
        <w:rPr>
          <w:rFonts w:ascii="Cambria" w:cs="Cambria" w:eastAsia="Cambria" w:hAnsi="Cambria"/>
          <w:color w:val="111111"/>
          <w:sz w:val="22"/>
          <w:szCs w:val="22"/>
        </w:rPr>
        <w:t xml:space="preserve"> and to autobiographical design </w:t>
      </w:r>
      <w:r>
        <w:rPr>
          <w:rFonts w:ascii="Cambria" w:cs="Cambria" w:eastAsia="Cambria" w:hAnsi="Cambria"/>
          <w:color w:val="111111"/>
          <w:sz w:val="22"/>
          <w:szCs w:val="22"/>
        </w:rPr>
        <w:t xml:space="preserve">[119]</w:t>
      </w:r>
      <w:r>
        <w:rPr>
          <w:rFonts w:ascii="Cambria" w:cs="Cambria" w:eastAsia="Cambria" w:hAnsi="Cambria"/>
          <w:color w:val="111111"/>
          <w:sz w:val="22"/>
          <w:szCs w:val="22"/>
        </w:rPr>
        <w:t xml:space="preserve">, in which the researcher's sustained personal use of a system is the method rather than a confound. We take that position seriously, including its liabilities, which we treat at length in §7.5 rather than eliding: a system built and evaluated by its author is vulnerable to exactly the biases that make single-subject work difficult to trust.</w:t>
      </w:r>
    </w:p>
    <w:p>
      <w:pPr>
        <w:spacing w:after="140" w:before="0" w:line="300" w:lineRule="auto"/>
        <w:jc w:val="both"/>
      </w:pPr>
      <w:r>
        <w:rPr>
          <w:rFonts w:ascii="Cambria" w:cs="Cambria" w:eastAsia="Cambria" w:hAnsi="Cambria"/>
          <w:color w:val="111111"/>
          <w:sz w:val="22"/>
          <w:szCs w:val="22"/>
        </w:rPr>
        <w:t xml:space="preserve">The choice also reflects something the literature cannot easily supply. Papers report what worked. The lessons that shaped this system — an agent that repeatedly claimed to be working while sitting idle; a model that did not exist being confidently recommended; an architecture chosen without a documented way back — are the kind of failures that rarely survive into a publication's narrative, and they are precisely the failures that produced this system's most load-bearing rules. We report them (§4.4) because the rules make no sense without them.</w:t>
      </w:r>
    </w:p>
    <w:p>
      <w:pPr>
        <w:pStyle w:val="Heading2"/>
      </w:pPr>
      <w:r>
        <w:t xml:space="preserve">1.3 The Artifact in Brief</w:t>
      </w:r>
    </w:p>
    <w:p>
      <w:pPr>
        <w:spacing w:after="140" w:before="0" w:line="300" w:lineRule="auto"/>
        <w:jc w:val="both"/>
      </w:pPr>
      <w:r>
        <w:rPr>
          <w:rFonts w:ascii="Cambria" w:cs="Cambria" w:eastAsia="Cambria" w:hAnsi="Cambria"/>
          <w:color w:val="111111"/>
          <w:sz w:val="22"/>
          <w:szCs w:val="22"/>
        </w:rPr>
        <w:t xml:space="preserve">ClawMaxxing runs on a GMKtec EVO-X1: an AMD Ryzen AI 9 HX 370 (12 cores, 24 threads) with a Radeon 890M integrated GPU and 32 GB of unified LPDDR5X memory shared between CPU and GPU. Two hardware facts govern every subsequent decision. The 890M reports as LLVM target gfx1150 and is unsupported by AMD's ROCm compute stack on either operating system, leaving the Vulkan backend as the only viable acceleration path. And the 32 GB is unified: the game, the operating system, the integrated GPU's frame buffer, and the model weights all draw from one pool. There is no separate VRAM to hide in.</w:t>
      </w:r>
    </w:p>
    <w:p>
      <w:pPr>
        <w:spacing w:after="140" w:before="0" w:line="300" w:lineRule="auto"/>
        <w:jc w:val="both"/>
      </w:pPr>
      <w:r>
        <w:rPr>
          <w:rFonts w:ascii="Cambria" w:cs="Cambria" w:eastAsia="Cambria" w:hAnsi="Cambria"/>
          <w:color w:val="111111"/>
          <w:sz w:val="22"/>
          <w:szCs w:val="22"/>
        </w:rPr>
        <w:t xml:space="preserve">On that hardware sits a supervisor orchestrator routing to seven scoped specialist agents; Letta — the productionized descendant of MemGPT </w:t>
      </w:r>
      <w:r>
        <w:rPr>
          <w:rFonts w:ascii="Cambria" w:cs="Cambria" w:eastAsia="Cambria" w:hAnsi="Cambria"/>
          <w:color w:val="111111"/>
          <w:sz w:val="22"/>
          <w:szCs w:val="22"/>
        </w:rPr>
        <w:t xml:space="preserve">[127]</w:t>
      </w:r>
      <w:r>
        <w:rPr>
          <w:rFonts w:ascii="Cambria" w:cs="Cambria" w:eastAsia="Cambria" w:hAnsi="Cambria"/>
          <w:color w:val="111111"/>
          <w:sz w:val="22"/>
          <w:szCs w:val="22"/>
        </w:rPr>
        <w:t xml:space="preserve"> — providing tiered persistent memory over Postgres with pgvector; a retrieval layer serving a complete offline Wikipedia corpus through Kiwix </w:t>
      </w:r>
      <w:r>
        <w:rPr>
          <w:rFonts w:ascii="Cambria" w:cs="Cambria" w:eastAsia="Cambria" w:hAnsi="Cambria"/>
          <w:color w:val="111111"/>
          <w:sz w:val="22"/>
          <w:szCs w:val="22"/>
        </w:rPr>
        <w:t xml:space="preserve">[86]</w:t>
      </w:r>
      <w:r>
        <w:rPr>
          <w:rFonts w:ascii="Cambria" w:cs="Cambria" w:eastAsia="Cambria" w:hAnsi="Cambria"/>
          <w:color w:val="111111"/>
          <w:sz w:val="22"/>
          <w:szCs w:val="22"/>
        </w:rPr>
        <w:t xml:space="preserve"> indexed with nomic-embed-text embeddings </w:t>
      </w:r>
      <w:r>
        <w:rPr>
          <w:rFonts w:ascii="Cambria" w:cs="Cambria" w:eastAsia="Cambria" w:hAnsi="Cambria"/>
          <w:color w:val="111111"/>
          <w:sz w:val="22"/>
          <w:szCs w:val="22"/>
        </w:rPr>
        <w:t xml:space="preserve">[122]</w:t>
      </w:r>
      <w:r>
        <w:rPr>
          <w:rFonts w:ascii="Cambria" w:cs="Cambria" w:eastAsia="Cambria" w:hAnsi="Cambria"/>
          <w:color w:val="111111"/>
          <w:sz w:val="22"/>
          <w:szCs w:val="22"/>
        </w:rPr>
        <w:t xml:space="preserve">; and a fleet of embodied peripherals bound by an encrypted Tailscale mesh with role-scoped access control. §3 develops the architecture in full.</w:t>
      </w:r>
    </w:p>
    <w:p>
      <w:pPr>
        <w:spacing w:after="140" w:before="0" w:line="300" w:lineRule="auto"/>
        <w:jc w:val="both"/>
      </w:pPr>
      <w:r>
        <w:rPr>
          <w:rFonts w:ascii="Cambria" w:cs="Cambria" w:eastAsia="Cambria" w:hAnsi="Cambria"/>
          <w:color w:val="111111"/>
          <w:sz w:val="22"/>
          <w:szCs w:val="22"/>
        </w:rPr>
        <w:t xml:space="preserve">Two properties are worth naming immediately because they recur throughout. First, the system is </w:t>
      </w:r>
      <w:r>
        <w:rPr>
          <w:rFonts w:ascii="Cambria" w:cs="Cambria" w:eastAsia="Cambria" w:hAnsi="Cambria"/>
          <w:i/>
          <w:iCs/>
          <w:color w:val="111111"/>
          <w:sz w:val="22"/>
          <w:szCs w:val="22"/>
        </w:rPr>
        <w:t xml:space="preserve">plural</w:t>
      </w:r>
      <w:r>
        <w:rPr>
          <w:rFonts w:ascii="Cambria" w:cs="Cambria" w:eastAsia="Cambria" w:hAnsi="Cambria"/>
          <w:color w:val="111111"/>
          <w:sz w:val="22"/>
          <w:szCs w:val="22"/>
        </w:rPr>
        <w:t xml:space="preserve">: it is not an assistant but a council of scoped specialists, each with its own model, tool permissions, risk gates, and schedule. Second, it is </w:t>
      </w:r>
      <w:r>
        <w:rPr>
          <w:rFonts w:ascii="Cambria" w:cs="Cambria" w:eastAsia="Cambria" w:hAnsi="Cambria"/>
          <w:i/>
          <w:iCs/>
          <w:color w:val="111111"/>
          <w:sz w:val="22"/>
          <w:szCs w:val="22"/>
        </w:rPr>
        <w:t xml:space="preserve">governed</w:t>
      </w:r>
      <w:r>
        <w:rPr>
          <w:rFonts w:ascii="Cambria" w:cs="Cambria" w:eastAsia="Cambria" w:hAnsi="Cambria"/>
          <w:color w:val="111111"/>
          <w:sz w:val="22"/>
          <w:szCs w:val="22"/>
        </w:rPr>
        <w:t xml:space="preserve">: fifteen written rules constrain agent behavior, and the rules that matter most are enforced by code rather than by prompt, because prompts can be argued with and code cannot.</w:t>
      </w:r>
    </w:p>
    <w:p>
      <w:pPr>
        <w:pStyle w:val="Heading2"/>
      </w:pPr>
      <w:r>
        <w:t xml:space="preserve">1.4 Contributions</w:t>
      </w:r>
    </w:p>
    <w:p>
      <w:pPr>
        <w:pStyle w:val="ListParagraph"/>
        <w:numPr>
          <w:ilvl w:val="0"/>
          <w:numId w:val="3"/>
        </w:numPr>
        <w:spacing w:after="80" w:line="290" w:lineRule="auto"/>
      </w:pPr>
      <w:r>
        <w:rPr>
          <w:rFonts w:ascii="Cambria" w:cs="Cambria" w:eastAsia="Cambria" w:hAnsi="Cambria"/>
          <w:b/>
          <w:bCs/>
          <w:color w:val="111111"/>
          <w:sz w:val="22"/>
          <w:szCs w:val="22"/>
        </w:rPr>
        <w:t xml:space="preserve">A constructed, documented, and sustained artifact </w:t>
      </w:r>
      <w:r>
        <w:rPr>
          <w:rFonts w:ascii="Cambria" w:cs="Cambria" w:eastAsia="Cambria" w:hAnsi="Cambria"/>
          <w:color w:val="111111"/>
          <w:sz w:val="22"/>
          <w:szCs w:val="22"/>
        </w:rPr>
        <w:t xml:space="preserve">demonstrating that a multi-agent, embodied, retrieval-grounded AI system runs end-to-end on a single 32 GB consumer machine with no cloud in its inference path — with the ceiling reported as arithmetic rather than asserted as capability (§3, §5).</w:t>
      </w:r>
    </w:p>
    <w:p>
      <w:pPr>
        <w:pStyle w:val="ListParagraph"/>
        <w:numPr>
          <w:ilvl w:val="0"/>
          <w:numId w:val="3"/>
        </w:numPr>
        <w:spacing w:after="80" w:line="290" w:lineRule="auto"/>
      </w:pPr>
      <w:r>
        <w:rPr>
          <w:rFonts w:ascii="Cambria" w:cs="Cambria" w:eastAsia="Cambria" w:hAnsi="Cambria"/>
          <w:b/>
          <w:bCs/>
          <w:color w:val="111111"/>
          <w:sz w:val="22"/>
          <w:szCs w:val="22"/>
        </w:rPr>
        <w:t xml:space="preserve">Four named design patterns </w:t>
      </w:r>
      <w:r>
        <w:rPr>
          <w:rFonts w:ascii="Cambria" w:cs="Cambria" w:eastAsia="Cambria" w:hAnsi="Cambria"/>
          <w:color w:val="111111"/>
          <w:sz w:val="22"/>
          <w:szCs w:val="22"/>
        </w:rPr>
        <w:t xml:space="preserve">that emerge specifically under local-first constraints and have no cloud analogue: the two-mode doctrine, the honest ceiling, the post-work heartbeat, and the documented exit (§6.1–§6.4).</w:t>
      </w:r>
    </w:p>
    <w:p>
      <w:pPr>
        <w:pStyle w:val="ListParagraph"/>
        <w:numPr>
          <w:ilvl w:val="0"/>
          <w:numId w:val="3"/>
        </w:numPr>
        <w:spacing w:after="80" w:line="290" w:lineRule="auto"/>
      </w:pPr>
      <w:r>
        <w:rPr>
          <w:rFonts w:ascii="Cambria" w:cs="Cambria" w:eastAsia="Cambria" w:hAnsi="Cambria"/>
          <w:b/>
          <w:bCs/>
          <w:color w:val="111111"/>
          <w:sz w:val="22"/>
          <w:szCs w:val="22"/>
        </w:rPr>
        <w:t xml:space="preserve">A theoretical bridge </w:t>
      </w:r>
      <w:r>
        <w:rPr>
          <w:rFonts w:ascii="Cambria" w:cs="Cambria" w:eastAsia="Cambria" w:hAnsi="Cambria"/>
          <w:color w:val="111111"/>
          <w:sz w:val="22"/>
          <w:szCs w:val="22"/>
        </w:rPr>
        <w:t xml:space="preserve">connecting local-first system properties to established HMI findings on trust calibration, social response, anthropomorphism, and calm computing — including the argument that a persuasive embodied local agent is a trust-calibration hazard rather than an unambiguous interaction win (§6.5).</w:t>
      </w:r>
    </w:p>
    <w:p>
      <w:pPr>
        <w:pStyle w:val="ListParagraph"/>
        <w:numPr>
          <w:ilvl w:val="0"/>
          <w:numId w:val="3"/>
        </w:numPr>
        <w:spacing w:after="80" w:line="290" w:lineRule="auto"/>
      </w:pPr>
      <w:r>
        <w:rPr>
          <w:rFonts w:ascii="Cambria" w:cs="Cambria" w:eastAsia="Cambria" w:hAnsi="Cambria"/>
          <w:b/>
          <w:bCs/>
          <w:color w:val="111111"/>
          <w:sz w:val="22"/>
          <w:szCs w:val="22"/>
        </w:rPr>
        <w:t xml:space="preserve">An honest negative account </w:t>
      </w:r>
      <w:r>
        <w:rPr>
          <w:rFonts w:ascii="Cambria" w:cs="Cambria" w:eastAsia="Cambria" w:hAnsi="Cambria"/>
          <w:color w:val="111111"/>
          <w:sz w:val="22"/>
          <w:szCs w:val="22"/>
        </w:rPr>
        <w:t xml:space="preserve">of where the thesis fails, assembled from evidence that contradicts it rather than from evidence that supports it (§7).</w:t>
      </w:r>
    </w:p>
    <w:p>
      <w:pPr>
        <w:pStyle w:val="ListParagraph"/>
        <w:numPr>
          <w:ilvl w:val="0"/>
          <w:numId w:val="3"/>
        </w:numPr>
        <w:spacing w:after="80" w:line="290" w:lineRule="auto"/>
      </w:pPr>
      <w:r>
        <w:rPr>
          <w:rFonts w:ascii="Cambria" w:cs="Cambria" w:eastAsia="Cambria" w:hAnsi="Cambria"/>
          <w:b/>
          <w:bCs/>
          <w:color w:val="111111"/>
          <w:sz w:val="22"/>
          <w:szCs w:val="22"/>
        </w:rPr>
        <w:t xml:space="preserve">A verification methodology </w:t>
      </w:r>
      <w:r>
        <w:rPr>
          <w:rFonts w:ascii="Cambria" w:cs="Cambria" w:eastAsia="Cambria" w:hAnsi="Cambria"/>
          <w:color w:val="111111"/>
          <w:sz w:val="22"/>
          <w:szCs w:val="22"/>
        </w:rPr>
        <w:t xml:space="preserve">for building on a fast-moving and hallucination-prone tooling landscape, applied reflexively to this paper's own bibliography (§4.4).</w:t>
      </w:r>
    </w:p>
    <w:p>
      <w:pPr>
        <w:pStyle w:val="Heading2"/>
      </w:pPr>
      <w:r>
        <w:t xml:space="preserve">1.5 Structure</w:t>
      </w:r>
    </w:p>
    <w:p>
      <w:pPr>
        <w:spacing w:after="140" w:before="0" w:line="300" w:lineRule="auto"/>
        <w:jc w:val="both"/>
      </w:pPr>
      <w:r>
        <w:rPr>
          <w:rFonts w:ascii="Cambria" w:cs="Cambria" w:eastAsia="Cambria" w:hAnsi="Cambria"/>
          <w:color w:val="111111"/>
          <w:sz w:val="22"/>
          <w:szCs w:val="22"/>
        </w:rPr>
        <w:t xml:space="preserve">§2 reviews related work across thirteen domains, from inference systems to trust theory, and identifies the gap this work occupies. §3 presents the artifact. §4 states the methodology, including the verification discipline and the incidents that produced it. §5 evaluates the system against its requirements. §6 discusses the emergent patterns and their interaction consequences. §7 reports limitations and threats to validity at length, including the evidence against the thesis. §8 addresses ethics and governance. §9 outlines future work and §10 concludes.</w:t>
      </w:r>
    </w:p>
    <w:p>
      <w:pPr>
        <w:pStyle w:val="Heading1"/>
        <w:pageBreakBefore/>
        <w:spacing w:after="180" w:before="240"/>
      </w:pPr>
      <w:r>
        <w:t xml:space="preserve">2. Background and Related Work</w:t>
      </w:r>
    </w:p>
    <w:p>
      <w:pPr>
        <w:spacing w:after="140" w:before="0" w:line="300" w:lineRule="auto"/>
        <w:jc w:val="both"/>
      </w:pPr>
      <w:r>
        <w:rPr>
          <w:rFonts w:ascii="Cambria" w:cs="Cambria" w:eastAsia="Cambria" w:hAnsi="Cambria"/>
          <w:color w:val="111111"/>
          <w:sz w:val="22"/>
          <w:szCs w:val="22"/>
        </w:rPr>
        <w:t xml:space="preserve">This work sits at the intersection of thirteen literatures that rarely cite one another. A systems paper on quantization does not engage trust calibration; an HRI paper on embodiment does not engage inference memory budgets. The argument of this paper is that a local-first embodied agent is exactly the artifact where these literatures collide, and that the collision is where the interesting questions are. We therefore review each domain briefly but with a consistent structure: the foundational result, the current state of the art, and — deliberately — the evidence that complicates or contradicts our thesis. §2.14 states the gap.</w:t>
      </w:r>
    </w:p>
    <w:p>
      <w:pPr>
        <w:pStyle w:val="Heading2"/>
      </w:pPr>
      <w:r>
        <w:t xml:space="preserve">2.1 On-Device and Edge Inference</w:t>
      </w:r>
    </w:p>
    <w:p>
      <w:pPr>
        <w:spacing w:after="140" w:before="0" w:line="300" w:lineRule="auto"/>
        <w:jc w:val="both"/>
      </w:pPr>
      <w:r>
        <w:rPr>
          <w:rFonts w:ascii="Cambria" w:cs="Cambria" w:eastAsia="Cambria" w:hAnsi="Cambria"/>
          <w:color w:val="111111"/>
          <w:sz w:val="22"/>
          <w:szCs w:val="22"/>
        </w:rPr>
        <w:t xml:space="preserve">The transformer architecture </w:t>
      </w:r>
      <w:r>
        <w:rPr>
          <w:rFonts w:ascii="Cambria" w:cs="Cambria" w:eastAsia="Cambria" w:hAnsi="Cambria"/>
          <w:color w:val="111111"/>
          <w:sz w:val="22"/>
          <w:szCs w:val="22"/>
        </w:rPr>
        <w:t xml:space="preserve">[163]</w:t>
      </w:r>
      <w:r>
        <w:rPr>
          <w:rFonts w:ascii="Cambria" w:cs="Cambria" w:eastAsia="Cambria" w:hAnsi="Cambria"/>
          <w:color w:val="111111"/>
          <w:sz w:val="22"/>
          <w:szCs w:val="22"/>
        </w:rPr>
        <w:t xml:space="preserve"> and the demonstration that scale produces general capability </w:t>
      </w:r>
      <w:r>
        <w:rPr>
          <w:rFonts w:ascii="Cambria" w:cs="Cambria" w:eastAsia="Cambria" w:hAnsi="Cambria"/>
          <w:color w:val="111111"/>
          <w:sz w:val="22"/>
          <w:szCs w:val="22"/>
        </w:rPr>
        <w:t xml:space="preserve">[17, 80]</w:t>
      </w:r>
      <w:r>
        <w:rPr>
          <w:rFonts w:ascii="Cambria" w:cs="Cambria" w:eastAsia="Cambria" w:hAnsi="Cambria"/>
          <w:color w:val="111111"/>
          <w:sz w:val="22"/>
          <w:szCs w:val="22"/>
        </w:rPr>
        <w:t xml:space="preserve"> set the terms of the field, and both pointed away from local execution: bigger was better, and bigger did not fit. Chinchilla's compute-optimal scaling result </w:t>
      </w:r>
      <w:r>
        <w:rPr>
          <w:rFonts w:ascii="Cambria" w:cs="Cambria" w:eastAsia="Cambria" w:hAnsi="Cambria"/>
          <w:color w:val="111111"/>
          <w:sz w:val="22"/>
          <w:szCs w:val="22"/>
        </w:rPr>
        <w:t xml:space="preserve">[65]</w:t>
      </w:r>
      <w:r>
        <w:rPr>
          <w:rFonts w:ascii="Cambria" w:cs="Cambria" w:eastAsia="Cambria" w:hAnsi="Cambria"/>
          <w:color w:val="111111"/>
          <w:sz w:val="22"/>
          <w:szCs w:val="22"/>
        </w:rPr>
        <w:t xml:space="preserve"> complicated that story usefully by showing that many large models were undertrained rather than usefully large, which implied that smaller, better-trained models could recover much of the capability at a fraction of the parameters. That implication is the intellectual foundation of the small-model turn.</w:t>
      </w:r>
    </w:p>
    <w:p>
      <w:pPr>
        <w:spacing w:after="140" w:before="0" w:line="300" w:lineRule="auto"/>
        <w:jc w:val="both"/>
      </w:pPr>
      <w:r>
        <w:rPr>
          <w:rFonts w:ascii="Cambria" w:cs="Cambria" w:eastAsia="Cambria" w:hAnsi="Cambria"/>
          <w:color w:val="111111"/>
          <w:sz w:val="22"/>
          <w:szCs w:val="22"/>
        </w:rPr>
        <w:t xml:space="preserve">The current state of the art vindicates it. Microsoft's phi-3-mini — 3.8B parameters trained on 3.3T carefully filtered tokens — reaches 69% MMLU and 8.38 MT-bench, and at four-bit quantization occupies roughly 1.8 GB and runs on an A16 Bionic phone at over twelve tokens per second, entirely offline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Gemma </w:t>
      </w:r>
      <w:r>
        <w:rPr>
          <w:rFonts w:ascii="Cambria" w:cs="Cambria" w:eastAsia="Cambria" w:hAnsi="Cambria"/>
          <w:color w:val="111111"/>
          <w:sz w:val="22"/>
          <w:szCs w:val="22"/>
        </w:rPr>
        <w:t xml:space="preserve">[50]</w:t>
      </w:r>
      <w:r>
        <w:rPr>
          <w:rFonts w:ascii="Cambria" w:cs="Cambria" w:eastAsia="Cambria" w:hAnsi="Cambria"/>
          <w:color w:val="111111"/>
          <w:sz w:val="22"/>
          <w:szCs w:val="22"/>
        </w:rPr>
        <w:t xml:space="preserve">, TinyLlama </w:t>
      </w:r>
      <w:r>
        <w:rPr>
          <w:rFonts w:ascii="Cambria" w:cs="Cambria" w:eastAsia="Cambria" w:hAnsi="Cambria"/>
          <w:color w:val="111111"/>
          <w:sz w:val="22"/>
          <w:szCs w:val="22"/>
        </w:rPr>
        <w:t xml:space="preserve">[185]</w:t>
      </w:r>
      <w:r>
        <w:rPr>
          <w:rFonts w:ascii="Cambria" w:cs="Cambria" w:eastAsia="Cambria" w:hAnsi="Cambria"/>
          <w:color w:val="111111"/>
          <w:sz w:val="22"/>
          <w:szCs w:val="22"/>
        </w:rPr>
        <w:t xml:space="preserve">, and Mistral 7B </w:t>
      </w:r>
      <w:r>
        <w:rPr>
          <w:rFonts w:ascii="Cambria" w:cs="Cambria" w:eastAsia="Cambria" w:hAnsi="Cambria"/>
          <w:color w:val="111111"/>
          <w:sz w:val="22"/>
          <w:szCs w:val="22"/>
        </w:rPr>
        <w:t xml:space="preserve">[73]</w:t>
      </w:r>
      <w:r>
        <w:rPr>
          <w:rFonts w:ascii="Cambria" w:cs="Cambria" w:eastAsia="Cambria" w:hAnsi="Cambria"/>
          <w:color w:val="111111"/>
          <w:sz w:val="22"/>
          <w:szCs w:val="22"/>
        </w:rPr>
        <w:t xml:space="preserve"> occupy the same design space. Sparse mixture-of-experts </w:t>
      </w:r>
      <w:r>
        <w:rPr>
          <w:rFonts w:ascii="Cambria" w:cs="Cambria" w:eastAsia="Cambria" w:hAnsi="Cambria"/>
          <w:color w:val="111111"/>
          <w:sz w:val="22"/>
          <w:szCs w:val="22"/>
        </w:rPr>
        <w:t xml:space="preserve">[44, 151]</w:t>
      </w:r>
      <w:r>
        <w:rPr>
          <w:rFonts w:ascii="Cambria" w:cs="Cambria" w:eastAsia="Cambria" w:hAnsi="Cambria"/>
          <w:color w:val="111111"/>
          <w:sz w:val="22"/>
          <w:szCs w:val="22"/>
        </w:rPr>
        <w:t xml:space="preserve">, productionized in Mixtral </w:t>
      </w:r>
      <w:r>
        <w:rPr>
          <w:rFonts w:ascii="Cambria" w:cs="Cambria" w:eastAsia="Cambria" w:hAnsi="Cambria"/>
          <w:color w:val="111111"/>
          <w:sz w:val="22"/>
          <w:szCs w:val="22"/>
        </w:rPr>
        <w:t xml:space="preserve">[76]</w:t>
      </w:r>
      <w:r>
        <w:rPr>
          <w:rFonts w:ascii="Cambria" w:cs="Cambria" w:eastAsia="Cambria" w:hAnsi="Cambria"/>
          <w:color w:val="111111"/>
          <w:sz w:val="22"/>
          <w:szCs w:val="22"/>
        </w:rPr>
        <w:t xml:space="preserve">, decouples total parameters from active parameters per token, which is precisely the property a memory-constrained machine wants: capacity resident in RAM, computation proportional to a fraction of it.</w:t>
      </w:r>
    </w:p>
    <w:p>
      <w:pPr>
        <w:spacing w:after="140" w:before="0" w:line="300" w:lineRule="auto"/>
        <w:jc w:val="both"/>
      </w:pPr>
      <w:r>
        <w:rPr>
          <w:rFonts w:ascii="Cambria" w:cs="Cambria" w:eastAsia="Cambria" w:hAnsi="Cambria"/>
          <w:color w:val="111111"/>
          <w:sz w:val="22"/>
          <w:szCs w:val="22"/>
        </w:rPr>
        <w:t xml:space="preserve">The systems literature explains why memory rather than compute is the binding constraint. Autoregressive decoding at batch size one is memory-bandwidth-bound, not compute-bound </w:t>
      </w:r>
      <w:r>
        <w:rPr>
          <w:rFonts w:ascii="Cambria" w:cs="Cambria" w:eastAsia="Cambria" w:hAnsi="Cambria"/>
          <w:color w:val="111111"/>
          <w:sz w:val="22"/>
          <w:szCs w:val="22"/>
        </w:rPr>
        <w:t xml:space="preserve">[135]</w:t>
      </w:r>
      <w:r>
        <w:rPr>
          <w:rFonts w:ascii="Cambria" w:cs="Cambria" w:eastAsia="Cambria" w:hAnsi="Cambria"/>
          <w:color w:val="111111"/>
          <w:sz w:val="22"/>
          <w:szCs w:val="22"/>
        </w:rPr>
        <w:t xml:space="preserve"> — a result that follows directly from the Roofline model </w:t>
      </w:r>
      <w:r>
        <w:rPr>
          <w:rFonts w:ascii="Cambria" w:cs="Cambria" w:eastAsia="Cambria" w:hAnsi="Cambria"/>
          <w:color w:val="111111"/>
          <w:sz w:val="22"/>
          <w:szCs w:val="22"/>
        </w:rPr>
        <w:t xml:space="preserve">[174]</w:t>
      </w:r>
      <w:r>
        <w:rPr>
          <w:rFonts w:ascii="Cambria" w:cs="Cambria" w:eastAsia="Cambria" w:hAnsi="Cambria"/>
          <w:color w:val="111111"/>
          <w:sz w:val="22"/>
          <w:szCs w:val="22"/>
        </w:rPr>
        <w:t xml:space="preserve">: at low arithmetic intensity, performance is bounded by the rate at which weights can be streamed from memory, not by available FLOPs. This is the single most important systems fact for our architecture, and it is why a unified-memory mini-PC with modest compute but a large coherent memory pool is a more sensible local inference host than its FLOPs would suggest. Adjacent work attacks the same bottleneck from other directions: FlashAttention </w:t>
      </w:r>
      <w:r>
        <w:rPr>
          <w:rFonts w:ascii="Cambria" w:cs="Cambria" w:eastAsia="Cambria" w:hAnsi="Cambria"/>
          <w:color w:val="111111"/>
          <w:sz w:val="22"/>
          <w:szCs w:val="22"/>
        </w:rPr>
        <w:t xml:space="preserve">[28, 29]</w:t>
      </w:r>
      <w:r>
        <w:rPr>
          <w:rFonts w:ascii="Cambria" w:cs="Cambria" w:eastAsia="Cambria" w:hAnsi="Cambria"/>
          <w:color w:val="111111"/>
          <w:sz w:val="22"/>
          <w:szCs w:val="22"/>
        </w:rPr>
        <w:t xml:space="preserve"> via IO-aware kernels, PagedAttention </w:t>
      </w:r>
      <w:r>
        <w:rPr>
          <w:rFonts w:ascii="Cambria" w:cs="Cambria" w:eastAsia="Cambria" w:hAnsi="Cambria"/>
          <w:color w:val="111111"/>
          <w:sz w:val="22"/>
          <w:szCs w:val="22"/>
        </w:rPr>
        <w:t xml:space="preserve">[88]</w:t>
      </w:r>
      <w:r>
        <w:rPr>
          <w:rFonts w:ascii="Cambria" w:cs="Cambria" w:eastAsia="Cambria" w:hAnsi="Cambria"/>
          <w:color w:val="111111"/>
          <w:sz w:val="22"/>
          <w:szCs w:val="22"/>
        </w:rPr>
        <w:t xml:space="preserve"> via KV-cache memory management, and speculative decoding </w:t>
      </w:r>
      <w:r>
        <w:rPr>
          <w:rFonts w:ascii="Cambria" w:cs="Cambria" w:eastAsia="Cambria" w:hAnsi="Cambria"/>
          <w:color w:val="111111"/>
          <w:sz w:val="22"/>
          <w:szCs w:val="22"/>
        </w:rPr>
        <w:t xml:space="preserve">[21, 90]</w:t>
      </w:r>
      <w:r>
        <w:rPr>
          <w:rFonts w:ascii="Cambria" w:cs="Cambria" w:eastAsia="Cambria" w:hAnsi="Cambria"/>
          <w:color w:val="111111"/>
          <w:sz w:val="22"/>
          <w:szCs w:val="22"/>
        </w:rPr>
        <w:t xml:space="preserve"> via using a small model to draft for a large one.</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The phi-3 report is candid that a small model has limited capacity for tasks requiring broad factual recall, and recommends retrieval augmentation as the mitigation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This is not a footnote to our thesis; it is a structural constraint that dictates architecture. A local-first system cannot rely on parametric knowledge and must be built around retrieval from the start — which is why §3.4 exists.</w:t>
      </w:r>
    </w:p>
    <w:p>
      <w:pPr>
        <w:spacing w:after="140" w:before="0" w:line="300" w:lineRule="auto"/>
        <w:jc w:val="both"/>
      </w:pPr>
      <w:r>
        <w:rPr>
          <w:rFonts w:ascii="Cambria" w:cs="Cambria" w:eastAsia="Cambria" w:hAnsi="Cambria"/>
          <w:color w:val="111111"/>
          <w:sz w:val="22"/>
          <w:szCs w:val="22"/>
        </w:rPr>
        <w:t xml:space="preserve">A 2026 addendum: the open-weight frontier has moved sharply upward, and it has moved in a direction that </w:t>
      </w:r>
      <w:r>
        <w:rPr>
          <w:rFonts w:ascii="Cambria" w:cs="Cambria" w:eastAsia="Cambria" w:hAnsi="Cambria"/>
          <w:i/>
          <w:iCs/>
          <w:color w:val="111111"/>
          <w:sz w:val="22"/>
          <w:szCs w:val="22"/>
        </w:rPr>
        <w:t xml:space="preserve">widens</w:t>
      </w:r>
      <w:r>
        <w:rPr>
          <w:rFonts w:ascii="Cambria" w:cs="Cambria" w:eastAsia="Cambria" w:hAnsi="Cambria"/>
          <w:color w:val="111111"/>
          <w:sz w:val="22"/>
          <w:szCs w:val="22"/>
        </w:rPr>
        <w:t xml:space="preserve"> the gap between “open” and “local.” As of mid-2026 the largest open-weight release is Kimi K3 </w:t>
      </w:r>
      <w:r>
        <w:rPr>
          <w:rFonts w:ascii="Cambria" w:cs="Cambria" w:eastAsia="Cambria" w:hAnsi="Cambria"/>
          <w:color w:val="111111"/>
          <w:sz w:val="22"/>
          <w:szCs w:val="22"/>
        </w:rPr>
        <w:t xml:space="preserve">[113]</w:t>
      </w:r>
      <w:r>
        <w:rPr>
          <w:rFonts w:ascii="Cambria" w:cs="Cambria" w:eastAsia="Cambria" w:hAnsi="Cambria"/>
          <w:color w:val="111111"/>
          <w:sz w:val="22"/>
          <w:szCs w:val="22"/>
        </w:rPr>
        <w:t xml:space="preserve"> — a 2.8-trillion-parameter mixture-of-experts model, the first open model in the three-trillion-parameter class, with a 1M-token context (its published figures are, as its own vendor's coverage notes, unverifiable until the weights ship). It is joined by DeepSeek V4 </w:t>
      </w:r>
      <w:r>
        <w:rPr>
          <w:rFonts w:ascii="Cambria" w:cs="Cambria" w:eastAsia="Cambria" w:hAnsi="Cambria"/>
          <w:color w:val="111111"/>
          <w:sz w:val="22"/>
          <w:szCs w:val="22"/>
        </w:rPr>
        <w:t xml:space="preserve">[31]</w:t>
      </w:r>
      <w:r>
        <w:rPr>
          <w:rFonts w:ascii="Cambria" w:cs="Cambria" w:eastAsia="Cambria" w:hAnsi="Cambria"/>
          <w:color w:val="111111"/>
          <w:sz w:val="22"/>
          <w:szCs w:val="22"/>
        </w:rPr>
        <w:t xml:space="preserve"> (1.6T), GLM-5.2 </w:t>
      </w:r>
      <w:r>
        <w:rPr>
          <w:rFonts w:ascii="Cambria" w:cs="Cambria" w:eastAsia="Cambria" w:hAnsi="Cambria"/>
          <w:color w:val="111111"/>
          <w:sz w:val="22"/>
          <w:szCs w:val="22"/>
        </w:rPr>
        <w:t xml:space="preserve">[186]</w:t>
      </w:r>
      <w:r>
        <w:rPr>
          <w:rFonts w:ascii="Cambria" w:cs="Cambria" w:eastAsia="Cambria" w:hAnsi="Cambria"/>
          <w:color w:val="111111"/>
          <w:sz w:val="22"/>
          <w:szCs w:val="22"/>
        </w:rPr>
        <w:t xml:space="preserve"> (~753B), and MiniMax M3 </w:t>
      </w:r>
      <w:r>
        <w:rPr>
          <w:rFonts w:ascii="Cambria" w:cs="Cambria" w:eastAsia="Cambria" w:hAnsi="Cambria"/>
          <w:color w:val="111111"/>
          <w:sz w:val="22"/>
          <w:szCs w:val="22"/>
        </w:rPr>
        <w:t xml:space="preserve">[111]</w:t>
      </w:r>
      <w:r>
        <w:rPr>
          <w:rFonts w:ascii="Cambria" w:cs="Cambria" w:eastAsia="Cambria" w:hAnsi="Cambria"/>
          <w:color w:val="111111"/>
          <w:sz w:val="22"/>
          <w:szCs w:val="22"/>
        </w:rPr>
        <w:t xml:space="preserve"> (428B). These are genuine, downloadable, often permissively-licensed models. They are also, at 400 GB to 1.5 TB of weights, entirely out of reach of the 32 GB machine this paper is about — GLM-5.2's own reference deployment is eight H200 GPUs. The small-model turn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made capable models fit on consumer hardware; the open-weight-frontier turn produced capable open models that do not. Our thesis lives in the first category and must be honest that the second exists (§7.1).</w:t>
      </w:r>
    </w:p>
    <w:p>
      <w:pPr>
        <w:pStyle w:val="Heading2"/>
      </w:pPr>
      <w:r>
        <w:t xml:space="preserve">2.2 Quantization</w:t>
      </w:r>
    </w:p>
    <w:p>
      <w:pPr>
        <w:spacing w:after="140" w:before="0" w:line="300" w:lineRule="auto"/>
        <w:jc w:val="both"/>
      </w:pPr>
      <w:r>
        <w:rPr>
          <w:rFonts w:ascii="Cambria" w:cs="Cambria" w:eastAsia="Cambria" w:hAnsi="Cambria"/>
          <w:color w:val="111111"/>
          <w:sz w:val="22"/>
          <w:szCs w:val="22"/>
        </w:rPr>
        <w:t xml:space="preserve">Quantization is the enabling technology for the entire thesis, and its literature is unusually honest about its costs. LLM.int8() </w:t>
      </w:r>
      <w:r>
        <w:rPr>
          <w:rFonts w:ascii="Cambria" w:cs="Cambria" w:eastAsia="Cambria" w:hAnsi="Cambria"/>
          <w:color w:val="111111"/>
          <w:sz w:val="22"/>
          <w:szCs w:val="22"/>
        </w:rPr>
        <w:t xml:space="preserve">[33]</w:t>
      </w:r>
      <w:r>
        <w:rPr>
          <w:rFonts w:ascii="Cambria" w:cs="Cambria" w:eastAsia="Cambria" w:hAnsi="Cambria"/>
          <w:color w:val="111111"/>
          <w:sz w:val="22"/>
          <w:szCs w:val="22"/>
        </w:rPr>
        <w:t xml:space="preserve"> established that 8-bit inference is achievable without degradation by isolating outlier features into higher precision. GPTQ </w:t>
      </w:r>
      <w:r>
        <w:rPr>
          <w:rFonts w:ascii="Cambria" w:cs="Cambria" w:eastAsia="Cambria" w:hAnsi="Cambria"/>
          <w:color w:val="111111"/>
          <w:sz w:val="22"/>
          <w:szCs w:val="22"/>
        </w:rPr>
        <w:t xml:space="preserve">[46]</w:t>
      </w:r>
      <w:r>
        <w:rPr>
          <w:rFonts w:ascii="Cambria" w:cs="Cambria" w:eastAsia="Cambria" w:hAnsi="Cambria"/>
          <w:color w:val="111111"/>
          <w:sz w:val="22"/>
          <w:szCs w:val="22"/>
        </w:rPr>
        <w:t xml:space="preserve"> brought accurate one-shot post-training quantization to 3–4 bits via approximate second-order information. AWQ </w:t>
      </w:r>
      <w:r>
        <w:rPr>
          <w:rFonts w:ascii="Cambria" w:cs="Cambria" w:eastAsia="Cambria" w:hAnsi="Cambria"/>
          <w:color w:val="111111"/>
          <w:sz w:val="22"/>
          <w:szCs w:val="22"/>
        </w:rPr>
        <w:t xml:space="preserve">[96]</w:t>
      </w:r>
      <w:r>
        <w:rPr>
          <w:rFonts w:ascii="Cambria" w:cs="Cambria" w:eastAsia="Cambria" w:hAnsi="Cambria"/>
          <w:color w:val="111111"/>
          <w:sz w:val="22"/>
          <w:szCs w:val="22"/>
        </w:rPr>
        <w:t xml:space="preserve"> observed that a small fraction of salient weights dominate quality and protected them by activation-aware scaling. SmoothQuant </w:t>
      </w:r>
      <w:r>
        <w:rPr>
          <w:rFonts w:ascii="Cambria" w:cs="Cambria" w:eastAsia="Cambria" w:hAnsi="Cambria"/>
          <w:color w:val="111111"/>
          <w:sz w:val="22"/>
          <w:szCs w:val="22"/>
        </w:rPr>
        <w:t xml:space="preserve">[178]</w:t>
      </w:r>
      <w:r>
        <w:rPr>
          <w:rFonts w:ascii="Cambria" w:cs="Cambria" w:eastAsia="Cambria" w:hAnsi="Cambria"/>
          <w:color w:val="111111"/>
          <w:sz w:val="22"/>
          <w:szCs w:val="22"/>
        </w:rPr>
        <w:t xml:space="preserve"> migrated activation outliers into weights to make both quantizable. QLoRA </w:t>
      </w:r>
      <w:r>
        <w:rPr>
          <w:rFonts w:ascii="Cambria" w:cs="Cambria" w:eastAsia="Cambria" w:hAnsi="Cambria"/>
          <w:color w:val="111111"/>
          <w:sz w:val="22"/>
          <w:szCs w:val="22"/>
        </w:rPr>
        <w:t xml:space="preserve">[35]</w:t>
      </w:r>
      <w:r>
        <w:rPr>
          <w:rFonts w:ascii="Cambria" w:cs="Cambria" w:eastAsia="Cambria" w:hAnsi="Cambria"/>
          <w:color w:val="111111"/>
          <w:sz w:val="22"/>
          <w:szCs w:val="22"/>
        </w:rPr>
        <w:t xml:space="preserve"> combined 4-bit base weights with low-rank adapters </w:t>
      </w:r>
      <w:r>
        <w:rPr>
          <w:rFonts w:ascii="Cambria" w:cs="Cambria" w:eastAsia="Cambria" w:hAnsi="Cambria"/>
          <w:color w:val="111111"/>
          <w:sz w:val="22"/>
          <w:szCs w:val="22"/>
        </w:rPr>
        <w:t xml:space="preserve">[68]</w:t>
      </w:r>
      <w:r>
        <w:rPr>
          <w:rFonts w:ascii="Cambria" w:cs="Cambria" w:eastAsia="Cambria" w:hAnsi="Cambria"/>
          <w:color w:val="111111"/>
          <w:sz w:val="22"/>
          <w:szCs w:val="22"/>
        </w:rPr>
        <w:t xml:space="preserve"> to finetune a 65B model on a single 48 GB GPU while retaining 99.3% of ChatGPT's Vicuna-benchmark performance — a result whose significance for consumer hardware is difficult to overstate. The lineage traces back to Deep Compression </w:t>
      </w:r>
      <w:r>
        <w:rPr>
          <w:rFonts w:ascii="Cambria" w:cs="Cambria" w:eastAsia="Cambria" w:hAnsi="Cambria"/>
          <w:color w:val="111111"/>
          <w:sz w:val="22"/>
          <w:szCs w:val="22"/>
        </w:rPr>
        <w:t xml:space="preserve">[57]</w:t>
      </w:r>
      <w:r>
        <w:rPr>
          <w:rFonts w:ascii="Cambria" w:cs="Cambria" w:eastAsia="Cambria" w:hAnsi="Cambria"/>
          <w:color w:val="111111"/>
          <w:sz w:val="22"/>
          <w:szCs w:val="22"/>
        </w:rPr>
        <w:t xml:space="preserve"> and knowledge distillation </w:t>
      </w:r>
      <w:r>
        <w:rPr>
          <w:rFonts w:ascii="Cambria" w:cs="Cambria" w:eastAsia="Cambria" w:hAnsi="Cambria"/>
          <w:color w:val="111111"/>
          <w:sz w:val="22"/>
          <w:szCs w:val="22"/>
        </w:rPr>
        <w:t xml:space="preserve">[64]</w:t>
      </w:r>
      <w:r>
        <w:rPr>
          <w:rFonts w:ascii="Cambria" w:cs="Cambria" w:eastAsia="Cambria" w:hAnsi="Cambria"/>
          <w:color w:val="111111"/>
          <w:sz w:val="22"/>
          <w:szCs w:val="22"/>
        </w:rPr>
        <w:t xml:space="preserve">; comprehensive surveys map the territory </w:t>
      </w:r>
      <w:r>
        <w:rPr>
          <w:rFonts w:ascii="Cambria" w:cs="Cambria" w:eastAsia="Cambria" w:hAnsi="Cambria"/>
          <w:color w:val="111111"/>
          <w:sz w:val="22"/>
          <w:szCs w:val="22"/>
        </w:rPr>
        <w:t xml:space="preserve">[51, 187]</w:t>
      </w:r>
      <w:r>
        <w:rPr>
          <w:rFonts w:ascii="Cambria" w:cs="Cambria" w:eastAsia="Cambria" w:hAnsi="Cambria"/>
          <w:color w:val="111111"/>
          <w:sz w:val="22"/>
          <w:szCs w:val="22"/>
        </w:rPr>
        <w:t xml:space="preserve">.</w:t>
      </w:r>
    </w:p>
    <w:p>
      <w:pPr>
        <w:spacing w:after="140" w:before="0" w:line="300" w:lineRule="auto"/>
        <w:jc w:val="both"/>
      </w:pPr>
      <w:r>
        <w:rPr>
          <w:rFonts w:ascii="Cambria" w:cs="Cambria" w:eastAsia="Cambria" w:hAnsi="Cambria"/>
          <w:color w:val="111111"/>
          <w:sz w:val="22"/>
          <w:szCs w:val="22"/>
        </w:rPr>
        <w:t xml:space="preserve">The claim our architecture depends on — that a larger model at four bits beats a smaller model at higher precision within a fixed memory budget — comes from Dettmers and Zettlemoyer's k-bit inference scaling laws </w:t>
      </w:r>
      <w:r>
        <w:rPr>
          <w:rFonts w:ascii="Cambria" w:cs="Cambria" w:eastAsia="Cambria" w:hAnsi="Cambria"/>
          <w:color w:val="111111"/>
          <w:sz w:val="22"/>
          <w:szCs w:val="22"/>
        </w:rPr>
        <w:t xml:space="preserve">[34]</w:t>
      </w:r>
      <w:r>
        <w:rPr>
          <w:rFonts w:ascii="Cambria" w:cs="Cambria" w:eastAsia="Cambria" w:hAnsi="Cambria"/>
          <w:color w:val="111111"/>
          <w:sz w:val="22"/>
          <w:szCs w:val="22"/>
        </w:rPr>
        <w:t xml:space="preserve">, which find four-bit precision to be near-universally optimal for the zero-shot-accuracy-per-bit tradeoff.</w:t>
      </w:r>
    </w:p>
    <w:p>
      <w:pPr>
        <w:spacing w:after="140" w:before="0" w:line="300" w:lineRule="auto"/>
        <w:jc w:val="both"/>
      </w:pPr>
      <w:r>
        <w:rPr>
          <w:rFonts w:ascii="Cambria" w:cs="Cambria" w:eastAsia="Cambria" w:hAnsi="Cambria"/>
          <w:color w:val="111111"/>
          <w:sz w:val="22"/>
          <w:szCs w:val="22"/>
        </w:rPr>
        <w:t xml:space="preserve">The 1-bit line of work </w:t>
      </w:r>
      <w:r>
        <w:rPr>
          <w:rFonts w:ascii="Cambria" w:cs="Cambria" w:eastAsia="Cambria" w:hAnsi="Cambria"/>
          <w:color w:val="111111"/>
          <w:sz w:val="22"/>
          <w:szCs w:val="22"/>
        </w:rPr>
        <w:t xml:space="preserve">[103, 167]</w:t>
      </w:r>
      <w:r>
        <w:rPr>
          <w:rFonts w:ascii="Cambria" w:cs="Cambria" w:eastAsia="Cambria" w:hAnsi="Cambria"/>
          <w:color w:val="111111"/>
          <w:sz w:val="22"/>
          <w:szCs w:val="22"/>
        </w:rPr>
        <w:t xml:space="preserve"> claims that ternary-weight models can match full-precision perplexity while radically reducing memory. We flag this as a caution rather than an endorsement: these results require training from scratch under the quantized regime, not post-training conversion, and the practical tooling for running such models on consumer inference stacks was not available to this project at the time of building. This distinction matters to us for a specific reason recorded in §4.4.</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The same literature that enables the thesis bounds it. Degradation below three bits is nonlinear and each model has an empirically distinct sweet spot </w:t>
      </w:r>
      <w:r>
        <w:rPr>
          <w:rFonts w:ascii="Cambria" w:cs="Cambria" w:eastAsia="Cambria" w:hAnsi="Cambria"/>
          <w:color w:val="111111"/>
          <w:sz w:val="22"/>
          <w:szCs w:val="22"/>
        </w:rPr>
        <w:t xml:space="preserve">[34]</w:t>
      </w:r>
      <w:r>
        <w:rPr>
          <w:rFonts w:ascii="Cambria" w:cs="Cambria" w:eastAsia="Cambria" w:hAnsi="Cambria"/>
          <w:color w:val="111111"/>
          <w:sz w:val="22"/>
          <w:szCs w:val="22"/>
        </w:rPr>
        <w:t xml:space="preserve">; four-bit quality loss, while modest on aggregate benchmarks, is measurably worse on multi-step reasoning and mathematics. The honest statement is that four-bit is a good trade, not a free one, and any claim that quantization is lossless is false.</w:t>
      </w:r>
    </w:p>
    <w:p>
      <w:pPr>
        <w:pStyle w:val="Heading2"/>
      </w:pPr>
      <w:r>
        <w:t xml:space="preserve">2.3 Multi-Agent Language Model Systems</w:t>
      </w:r>
    </w:p>
    <w:p>
      <w:pPr>
        <w:spacing w:after="140" w:before="0" w:line="300" w:lineRule="auto"/>
        <w:jc w:val="both"/>
      </w:pPr>
      <w:r>
        <w:rPr>
          <w:rFonts w:ascii="Cambria" w:cs="Cambria" w:eastAsia="Cambria" w:hAnsi="Cambria"/>
          <w:color w:val="111111"/>
          <w:sz w:val="22"/>
          <w:szCs w:val="22"/>
        </w:rPr>
        <w:t xml:space="preserve">The single-agent baseline is well established: chain-of-thought elicits multi-step reasoning </w:t>
      </w:r>
      <w:r>
        <w:rPr>
          <w:rFonts w:ascii="Cambria" w:cs="Cambria" w:eastAsia="Cambria" w:hAnsi="Cambria"/>
          <w:color w:val="111111"/>
          <w:sz w:val="22"/>
          <w:szCs w:val="22"/>
        </w:rPr>
        <w:t xml:space="preserve">[170]</w:t>
      </w:r>
      <w:r>
        <w:rPr>
          <w:rFonts w:ascii="Cambria" w:cs="Cambria" w:eastAsia="Cambria" w:hAnsi="Cambria"/>
          <w:color w:val="111111"/>
          <w:sz w:val="22"/>
          <w:szCs w:val="22"/>
        </w:rPr>
        <w:t xml:space="preserve">; ReAct interleaves reasoning with tool calls </w:t>
      </w:r>
      <w:r>
        <w:rPr>
          <w:rFonts w:ascii="Cambria" w:cs="Cambria" w:eastAsia="Cambria" w:hAnsi="Cambria"/>
          <w:color w:val="111111"/>
          <w:sz w:val="22"/>
          <w:szCs w:val="22"/>
        </w:rPr>
        <w:t xml:space="preserve">[181]</w:t>
      </w:r>
      <w:r>
        <w:rPr>
          <w:rFonts w:ascii="Cambria" w:cs="Cambria" w:eastAsia="Cambria" w:hAnsi="Cambria"/>
          <w:color w:val="111111"/>
          <w:sz w:val="22"/>
          <w:szCs w:val="22"/>
        </w:rPr>
        <w:t xml:space="preserve">; Toolformer shows models can learn tool use </w:t>
      </w:r>
      <w:r>
        <w:rPr>
          <w:rFonts w:ascii="Cambria" w:cs="Cambria" w:eastAsia="Cambria" w:hAnsi="Cambria"/>
          <w:color w:val="111111"/>
          <w:sz w:val="22"/>
          <w:szCs w:val="22"/>
        </w:rPr>
        <w:t xml:space="preserve">[149]</w:t>
      </w:r>
      <w:r>
        <w:rPr>
          <w:rFonts w:ascii="Cambria" w:cs="Cambria" w:eastAsia="Cambria" w:hAnsi="Cambria"/>
          <w:color w:val="111111"/>
          <w:sz w:val="22"/>
          <w:szCs w:val="22"/>
        </w:rPr>
        <w:t xml:space="preserve">; Reflexion adds verbal self-critique </w:t>
      </w:r>
      <w:r>
        <w:rPr>
          <w:rFonts w:ascii="Cambria" w:cs="Cambria" w:eastAsia="Cambria" w:hAnsi="Cambria"/>
          <w:color w:val="111111"/>
          <w:sz w:val="22"/>
          <w:szCs w:val="22"/>
        </w:rPr>
        <w:t xml:space="preserve">[154]</w:t>
      </w:r>
      <w:r>
        <w:rPr>
          <w:rFonts w:ascii="Cambria" w:cs="Cambria" w:eastAsia="Cambria" w:hAnsi="Cambria"/>
          <w:color w:val="111111"/>
          <w:sz w:val="22"/>
          <w:szCs w:val="22"/>
        </w:rPr>
        <w:t xml:space="preserve">; Tree of Thoughts adds deliberate search </w:t>
      </w:r>
      <w:r>
        <w:rPr>
          <w:rFonts w:ascii="Cambria" w:cs="Cambria" w:eastAsia="Cambria" w:hAnsi="Cambria"/>
          <w:color w:val="111111"/>
          <w:sz w:val="22"/>
          <w:szCs w:val="22"/>
        </w:rPr>
        <w:t xml:space="preserve">[182]</w:t>
      </w:r>
      <w:r>
        <w:rPr>
          <w:rFonts w:ascii="Cambria" w:cs="Cambria" w:eastAsia="Cambria" w:hAnsi="Cambria"/>
          <w:color w:val="111111"/>
          <w:sz w:val="22"/>
          <w:szCs w:val="22"/>
        </w:rPr>
        <w:t xml:space="preserve">.</w:t>
      </w:r>
    </w:p>
    <w:p>
      <w:pPr>
        <w:spacing w:after="140" w:before="0" w:line="300" w:lineRule="auto"/>
        <w:jc w:val="both"/>
      </w:pPr>
      <w:r>
        <w:rPr>
          <w:rFonts w:ascii="Cambria" w:cs="Cambria" w:eastAsia="Cambria" w:hAnsi="Cambria"/>
          <w:color w:val="111111"/>
          <w:sz w:val="22"/>
          <w:szCs w:val="22"/>
        </w:rPr>
        <w:t xml:space="preserve">The multi-agent turn was inaugurated most vividly by Generative Agents </w:t>
      </w:r>
      <w:r>
        <w:rPr>
          <w:rFonts w:ascii="Cambria" w:cs="Cambria" w:eastAsia="Cambria" w:hAnsi="Cambria"/>
          <w:color w:val="111111"/>
          <w:sz w:val="22"/>
          <w:szCs w:val="22"/>
        </w:rPr>
        <w:t xml:space="preserve">[131]</w:t>
      </w:r>
      <w:r>
        <w:rPr>
          <w:rFonts w:ascii="Cambria" w:cs="Cambria" w:eastAsia="Cambria" w:hAnsi="Cambria"/>
          <w:color w:val="111111"/>
          <w:sz w:val="22"/>
          <w:szCs w:val="22"/>
        </w:rPr>
        <w:t xml:space="preserve">), which populated a sandbox with twenty-five agents possessing memory, reflection, and planning, and observed emergent social coordination. AutoGen </w:t>
      </w:r>
      <w:r>
        <w:rPr>
          <w:rFonts w:ascii="Cambria" w:cs="Cambria" w:eastAsia="Cambria" w:hAnsi="Cambria"/>
          <w:color w:val="111111"/>
          <w:sz w:val="22"/>
          <w:szCs w:val="22"/>
        </w:rPr>
        <w:t xml:space="preserve">[175]</w:t>
      </w:r>
      <w:r>
        <w:rPr>
          <w:rFonts w:ascii="Cambria" w:cs="Cambria" w:eastAsia="Cambria" w:hAnsi="Cambria"/>
          <w:color w:val="111111"/>
          <w:sz w:val="22"/>
          <w:szCs w:val="22"/>
        </w:rPr>
        <w:t xml:space="preserve"> generalized multi-agent conversation into a programmable framework. MetaGPT </w:t>
      </w:r>
      <w:r>
        <w:rPr>
          <w:rFonts w:ascii="Cambria" w:cs="Cambria" w:eastAsia="Cambria" w:hAnsi="Cambria"/>
          <w:color w:val="111111"/>
          <w:sz w:val="22"/>
          <w:szCs w:val="22"/>
        </w:rPr>
        <w:t xml:space="preserve">[66]</w:t>
      </w:r>
      <w:r>
        <w:rPr>
          <w:rFonts w:ascii="Cambria" w:cs="Cambria" w:eastAsia="Cambria" w:hAnsi="Cambria"/>
          <w:color w:val="111111"/>
          <w:sz w:val="22"/>
          <w:szCs w:val="22"/>
        </w:rPr>
        <w:t xml:space="preserve"> encoded human standard operating procedures into agent roles. CAMEL </w:t>
      </w:r>
      <w:r>
        <w:rPr>
          <w:rFonts w:ascii="Cambria" w:cs="Cambria" w:eastAsia="Cambria" w:hAnsi="Cambria"/>
          <w:color w:val="111111"/>
          <w:sz w:val="22"/>
          <w:szCs w:val="22"/>
        </w:rPr>
        <w:t xml:space="preserve">[93]</w:t>
      </w:r>
      <w:r>
        <w:rPr>
          <w:rFonts w:ascii="Cambria" w:cs="Cambria" w:eastAsia="Cambria" w:hAnsi="Cambria"/>
          <w:color w:val="111111"/>
          <w:sz w:val="22"/>
          <w:szCs w:val="22"/>
        </w:rPr>
        <w:t xml:space="preserve"> studied role-playing communicative agents at scale. ChatDev </w:t>
      </w:r>
      <w:r>
        <w:rPr>
          <w:rFonts w:ascii="Cambria" w:cs="Cambria" w:eastAsia="Cambria" w:hAnsi="Cambria"/>
          <w:color w:val="111111"/>
          <w:sz w:val="22"/>
          <w:szCs w:val="22"/>
        </w:rPr>
        <w:t xml:space="preserve">[137]</w:t>
      </w:r>
      <w:r>
        <w:rPr>
          <w:rFonts w:ascii="Cambria" w:cs="Cambria" w:eastAsia="Cambria" w:hAnsi="Cambria"/>
          <w:color w:val="111111"/>
          <w:sz w:val="22"/>
          <w:szCs w:val="22"/>
        </w:rPr>
        <w:t xml:space="preserve"> organized agents into a virtual software company. Multi-agent debate improves factuality </w:t>
      </w:r>
      <w:r>
        <w:rPr>
          <w:rFonts w:ascii="Cambria" w:cs="Cambria" w:eastAsia="Cambria" w:hAnsi="Cambria"/>
          <w:color w:val="111111"/>
          <w:sz w:val="22"/>
          <w:szCs w:val="22"/>
        </w:rPr>
        <w:t xml:space="preserve">[38]</w:t>
      </w:r>
      <w:r>
        <w:rPr>
          <w:rFonts w:ascii="Cambria" w:cs="Cambria" w:eastAsia="Cambria" w:hAnsi="Cambria"/>
          <w:color w:val="111111"/>
          <w:sz w:val="22"/>
          <w:szCs w:val="22"/>
        </w:rPr>
        <w:t xml:space="preserve">. Surveys map the field </w:t>
      </w:r>
      <w:r>
        <w:rPr>
          <w:rFonts w:ascii="Cambria" w:cs="Cambria" w:eastAsia="Cambria" w:hAnsi="Cambria"/>
          <w:color w:val="111111"/>
          <w:sz w:val="22"/>
          <w:szCs w:val="22"/>
        </w:rPr>
        <w:t xml:space="preserve">[54, 168, 177]</w:t>
      </w:r>
      <w:r>
        <w:rPr>
          <w:rFonts w:ascii="Cambria" w:cs="Cambria" w:eastAsia="Cambria" w:hAnsi="Cambria"/>
          <w:color w:val="111111"/>
          <w:sz w:val="22"/>
          <w:szCs w:val="22"/>
        </w:rPr>
        <w:t xml:space="preserve">; benchmarks such as AgentBench </w:t>
      </w:r>
      <w:r>
        <w:rPr>
          <w:rFonts w:ascii="Cambria" w:cs="Cambria" w:eastAsia="Cambria" w:hAnsi="Cambria"/>
          <w:color w:val="111111"/>
          <w:sz w:val="22"/>
          <w:szCs w:val="22"/>
        </w:rPr>
        <w:t xml:space="preserve">[97]</w:t>
      </w:r>
      <w:r>
        <w:rPr>
          <w:rFonts w:ascii="Cambria" w:cs="Cambria" w:eastAsia="Cambria" w:hAnsi="Cambria"/>
          <w:color w:val="111111"/>
          <w:sz w:val="22"/>
          <w:szCs w:val="22"/>
        </w:rPr>
        <w:t xml:space="preserve"> and SWE-bench </w:t>
      </w:r>
      <w:r>
        <w:rPr>
          <w:rFonts w:ascii="Cambria" w:cs="Cambria" w:eastAsia="Cambria" w:hAnsi="Cambria"/>
          <w:color w:val="111111"/>
          <w:sz w:val="22"/>
          <w:szCs w:val="22"/>
        </w:rPr>
        <w:t xml:space="preserve">[77]</w:t>
      </w:r>
      <w:r>
        <w:rPr>
          <w:rFonts w:ascii="Cambria" w:cs="Cambria" w:eastAsia="Cambria" w:hAnsi="Cambria"/>
          <w:color w:val="111111"/>
          <w:sz w:val="22"/>
          <w:szCs w:val="22"/>
        </w:rPr>
        <w:t xml:space="preserve"> measure it.</w:t>
      </w:r>
    </w:p>
    <w:p>
      <w:pPr>
        <w:spacing w:after="140" w:before="0" w:line="300" w:lineRule="auto"/>
        <w:jc w:val="both"/>
      </w:pPr>
      <w:r>
        <w:rPr>
          <w:rFonts w:ascii="Cambria" w:cs="Cambria" w:eastAsia="Cambria" w:hAnsi="Cambria"/>
          <w:color w:val="111111"/>
          <w:sz w:val="22"/>
          <w:szCs w:val="22"/>
        </w:rPr>
        <w:t xml:space="preserve">Our architecture's division-of-specialists design is a direct application of this literature's central finding: role scoping outperforms monolithic prompting, and it does so for reasons — narrower context, narrower tool surface, clearer evaluation — that apply with even more force on constrained hardware, where context length is a memory cost rather than a billing line.</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The multi-agent literature documents error propagation and compounding failure through agent chains, and notes that frameworks like MetaGPT and ChatDev support only constrained collaboration topologies </w:t>
      </w:r>
      <w:r>
        <w:rPr>
          <w:rFonts w:ascii="Cambria" w:cs="Cambria" w:eastAsia="Cambria" w:hAnsi="Cambria"/>
          <w:color w:val="111111"/>
          <w:sz w:val="22"/>
          <w:szCs w:val="22"/>
        </w:rPr>
        <w:t xml:space="preserve">[54, 168]</w:t>
      </w:r>
      <w:r>
        <w:rPr>
          <w:rFonts w:ascii="Cambria" w:cs="Cambria" w:eastAsia="Cambria" w:hAnsi="Cambria"/>
          <w:color w:val="111111"/>
          <w:sz w:val="22"/>
          <w:szCs w:val="22"/>
        </w:rPr>
        <w:t xml:space="preserve">). A council of agents is not automatically better than one agent; it is a system with more surfaces at which an error can be introduced and then laundered into the next agent's premises. This directly motivates the human-in-the-loop gates of §3.6 and the constitutional rules of §3.7.</w:t>
      </w:r>
    </w:p>
    <w:p>
      <w:pPr>
        <w:spacing w:after="140" w:before="0" w:line="300" w:lineRule="auto"/>
        <w:jc w:val="both"/>
      </w:pPr>
      <w:r>
        <w:rPr>
          <w:rFonts w:ascii="Cambria" w:cs="Cambria" w:eastAsia="Cambria" w:hAnsi="Cambria"/>
          <w:b/>
          <w:bCs/>
          <w:color w:val="111111"/>
          <w:sz w:val="22"/>
          <w:szCs w:val="22"/>
        </w:rPr>
        <w:t xml:space="preserve">Orchestration and mixture-of-agents. </w:t>
      </w:r>
      <w:r>
        <w:rPr>
          <w:rFonts w:ascii="Cambria" w:cs="Cambria" w:eastAsia="Cambria" w:hAnsi="Cambria"/>
          <w:color w:val="111111"/>
          <w:sz w:val="22"/>
          <w:szCs w:val="22"/>
        </w:rPr>
        <w:t xml:space="preserve">A distinct branch of this literature is directly load-bearing for our thesis and we treat it separately because §6.8 builds an argument on it. Where the frameworks above coordinate agents </w:t>
      </w:r>
      <w:r>
        <w:rPr>
          <w:rFonts w:ascii="Cambria" w:cs="Cambria" w:eastAsia="Cambria" w:hAnsi="Cambria"/>
          <w:i/>
          <w:iCs/>
          <w:color w:val="111111"/>
          <w:sz w:val="22"/>
          <w:szCs w:val="22"/>
        </w:rPr>
        <w:t xml:space="preserve">procedurally</w:t>
      </w:r>
      <w:r>
        <w:rPr>
          <w:rFonts w:ascii="Cambria" w:cs="Cambria" w:eastAsia="Cambria" w:hAnsi="Cambria"/>
          <w:color w:val="111111"/>
          <w:sz w:val="22"/>
          <w:szCs w:val="22"/>
        </w:rPr>
        <w:t xml:space="preserve">, a newer line </w:t>
      </w:r>
      <w:r>
        <w:rPr>
          <w:rFonts w:ascii="Cambria" w:cs="Cambria" w:eastAsia="Cambria" w:hAnsi="Cambria"/>
          <w:i/>
          <w:iCs/>
          <w:color w:val="111111"/>
          <w:sz w:val="22"/>
          <w:szCs w:val="22"/>
        </w:rPr>
        <w:t xml:space="preserve">learns</w:t>
      </w:r>
      <w:r>
        <w:rPr>
          <w:rFonts w:ascii="Cambria" w:cs="Cambria" w:eastAsia="Cambria" w:hAnsi="Cambria"/>
          <w:color w:val="111111"/>
          <w:sz w:val="22"/>
          <w:szCs w:val="22"/>
        </w:rPr>
        <w:t xml:space="preserve"> the coordination. Mixture-of-Agents </w:t>
      </w:r>
      <w:r>
        <w:rPr>
          <w:rFonts w:ascii="Cambria" w:cs="Cambria" w:eastAsia="Cambria" w:hAnsi="Cambria"/>
          <w:color w:val="111111"/>
          <w:sz w:val="22"/>
          <w:szCs w:val="22"/>
        </w:rPr>
        <w:t xml:space="preserve">[169]</w:t>
      </w:r>
      <w:r>
        <w:rPr>
          <w:rFonts w:ascii="Cambria" w:cs="Cambria" w:eastAsia="Cambria" w:hAnsi="Cambria"/>
          <w:color w:val="111111"/>
          <w:sz w:val="22"/>
          <w:szCs w:val="22"/>
        </w:rPr>
        <w:t xml:space="preserve"> layers multiple models so that each refines the others' outputs, reporting that an ensemble of open models can exceed a single frontier model on AlpacaEval 2.0 — evidence that coordination is a capability lever independent of scale. LLM-Blender </w:t>
      </w:r>
      <w:r>
        <w:rPr>
          <w:rFonts w:ascii="Cambria" w:cs="Cambria" w:eastAsia="Cambria" w:hAnsi="Cambria"/>
          <w:color w:val="111111"/>
          <w:sz w:val="22"/>
          <w:szCs w:val="22"/>
        </w:rPr>
        <w:t xml:space="preserve">[75]</w:t>
      </w:r>
      <w:r>
        <w:rPr>
          <w:rFonts w:ascii="Cambria" w:cs="Cambria" w:eastAsia="Cambria" w:hAnsi="Cambria"/>
          <w:color w:val="111111"/>
          <w:sz w:val="22"/>
          <w:szCs w:val="22"/>
        </w:rPr>
        <w:t xml:space="preserve"> ensembles and fuses via pairwise ranking. RouteLLM </w:t>
      </w:r>
      <w:r>
        <w:rPr>
          <w:rFonts w:ascii="Cambria" w:cs="Cambria" w:eastAsia="Cambria" w:hAnsi="Cambria"/>
          <w:color w:val="111111"/>
          <w:sz w:val="22"/>
          <w:szCs w:val="22"/>
        </w:rPr>
        <w:t xml:space="preserve">[124]</w:t>
      </w:r>
      <w:r>
        <w:rPr>
          <w:rFonts w:ascii="Cambria" w:cs="Cambria" w:eastAsia="Cambria" w:hAnsi="Cambria"/>
          <w:color w:val="111111"/>
          <w:sz w:val="22"/>
          <w:szCs w:val="22"/>
        </w:rPr>
        <w:t xml:space="preserve"> learns to route queries between a strong and a weak model from preference data, reporting large cost reductions while retaining most of the strong model's quality; FrugalGPT </w:t>
      </w:r>
      <w:r>
        <w:rPr>
          <w:rFonts w:ascii="Cambria" w:cs="Cambria" w:eastAsia="Cambria" w:hAnsi="Cambria"/>
          <w:color w:val="111111"/>
          <w:sz w:val="22"/>
          <w:szCs w:val="22"/>
        </w:rPr>
        <w:t xml:space="preserve">[22]</w:t>
      </w:r>
      <w:r>
        <w:rPr>
          <w:rFonts w:ascii="Cambria" w:cs="Cambria" w:eastAsia="Cambria" w:hAnsi="Cambria"/>
          <w:color w:val="111111"/>
          <w:sz w:val="22"/>
          <w:szCs w:val="22"/>
        </w:rPr>
        <w:t xml:space="preserve"> makes the cascading-cost case. The direction has now been productized at the frontier: a learned orchestrator, Sakana Fugu </w:t>
      </w:r>
      <w:r>
        <w:rPr>
          <w:rFonts w:ascii="Cambria" w:cs="Cambria" w:eastAsia="Cambria" w:hAnsi="Cambria"/>
          <w:color w:val="111111"/>
          <w:sz w:val="22"/>
          <w:szCs w:val="22"/>
        </w:rPr>
        <w:t xml:space="preserve">[47]</w:t>
      </w:r>
      <w:r>
        <w:rPr>
          <w:rFonts w:ascii="Cambria" w:cs="Cambria" w:eastAsia="Cambria" w:hAnsi="Cambria"/>
          <w:color w:val="111111"/>
          <w:sz w:val="22"/>
          <w:szCs w:val="22"/>
        </w:rPr>
        <w:t xml:space="preserve">), routes a swappable pool of frontier models through a trained coordinator, grounded in two 2026 papers on evolved and reinforcement-learned coordination </w:t>
      </w:r>
      <w:r>
        <w:rPr>
          <w:rFonts w:ascii="Cambria" w:cs="Cambria" w:eastAsia="Cambria" w:hAnsi="Cambria"/>
          <w:color w:val="111111"/>
          <w:sz w:val="22"/>
          <w:szCs w:val="22"/>
        </w:rPr>
        <w:t xml:space="preserve">[120, 180]</w:t>
      </w:r>
      <w:r>
        <w:rPr>
          <w:rFonts w:ascii="Cambria" w:cs="Cambria" w:eastAsia="Cambria" w:hAnsi="Cambria"/>
          <w:color w:val="111111"/>
          <w:sz w:val="22"/>
          <w:szCs w:val="22"/>
        </w:rPr>
        <w:t xml:space="preserve">. It descends from a genuine research lineage on collective intelligence and model composition </w:t>
      </w:r>
      <w:r>
        <w:rPr>
          <w:rFonts w:ascii="Cambria" w:cs="Cambria" w:eastAsia="Cambria" w:hAnsi="Cambria"/>
          <w:color w:val="111111"/>
          <w:sz w:val="22"/>
          <w:szCs w:val="22"/>
        </w:rPr>
        <w:t xml:space="preserve">[5, 99]</w:t>
      </w:r>
      <w:r>
        <w:rPr>
          <w:rFonts w:ascii="Cambria" w:cs="Cambria" w:eastAsia="Cambria" w:hAnsi="Cambria"/>
          <w:color w:val="111111"/>
          <w:sz w:val="22"/>
          <w:szCs w:val="22"/>
        </w:rPr>
        <w:t xml:space="preserve">. We flag the standing caveat now and return to it: Fugu's frontier-parity numbers are vendor-reported, and orchestration over rented models is still rented intelligence (§6.8, §7.1).</w:t>
      </w:r>
    </w:p>
    <w:p>
      <w:pPr>
        <w:spacing w:after="140" w:before="0" w:line="300" w:lineRule="auto"/>
        <w:jc w:val="both"/>
      </w:pPr>
      <w:r>
        <w:rPr>
          <w:rFonts w:ascii="Cambria" w:cs="Cambria" w:eastAsia="Cambria" w:hAnsi="Cambria"/>
          <w:i/>
          <w:iCs/>
          <w:color w:val="111111"/>
          <w:sz w:val="22"/>
          <w:szCs w:val="22"/>
        </w:rPr>
        <w:t xml:space="preserve">The relevance is structural. </w:t>
      </w:r>
      <w:r>
        <w:rPr>
          <w:rFonts w:ascii="Cambria" w:cs="Cambria" w:eastAsia="Cambria" w:hAnsi="Cambria"/>
          <w:color w:val="111111"/>
          <w:sz w:val="22"/>
          <w:szCs w:val="22"/>
        </w:rPr>
        <w:t xml:space="preserve">ClawMaxxing's division-of-specialists is not a workaround for weak hardware; it is a local-first instance of the same orchestration thesis this branch of the literature establishes and that frontier products now ship as “ultra” and “contemplating” modes </w:t>
      </w:r>
      <w:r>
        <w:rPr>
          <w:rFonts w:ascii="Cambria" w:cs="Cambria" w:eastAsia="Cambria" w:hAnsi="Cambria"/>
          <w:color w:val="111111"/>
          <w:sz w:val="22"/>
          <w:szCs w:val="22"/>
        </w:rPr>
        <w:t xml:space="preserve">[110, 125]</w:t>
      </w:r>
      <w:r>
        <w:rPr>
          <w:rFonts w:ascii="Cambria" w:cs="Cambria" w:eastAsia="Cambria" w:hAnsi="Cambria"/>
          <w:color w:val="111111"/>
          <w:sz w:val="22"/>
          <w:szCs w:val="22"/>
        </w:rPr>
        <w:t xml:space="preserve">. §6.8 develops that claim; here we record only that the Council has real academic company.</w:t>
      </w:r>
    </w:p>
    <w:p>
      <w:pPr>
        <w:pStyle w:val="Heading2"/>
      </w:pPr>
      <w:r>
        <w:t xml:space="preserve">2.4 Agent Memory and Retrieval-Augmented Generation</w:t>
      </w:r>
    </w:p>
    <w:p>
      <w:pPr>
        <w:spacing w:after="140" w:before="0" w:line="300" w:lineRule="auto"/>
        <w:jc w:val="both"/>
      </w:pPr>
      <w:r>
        <w:rPr>
          <w:rFonts w:ascii="Cambria" w:cs="Cambria" w:eastAsia="Cambria" w:hAnsi="Cambria"/>
          <w:color w:val="111111"/>
          <w:sz w:val="22"/>
          <w:szCs w:val="22"/>
        </w:rPr>
        <w:t xml:space="preserve">Retrieval-augmented generation </w:t>
      </w:r>
      <w:r>
        <w:rPr>
          <w:rFonts w:ascii="Cambria" w:cs="Cambria" w:eastAsia="Cambria" w:hAnsi="Cambria"/>
          <w:color w:val="111111"/>
          <w:sz w:val="22"/>
          <w:szCs w:val="22"/>
        </w:rPr>
        <w:t xml:space="preserve">[91]</w:t>
      </w:r>
      <w:r>
        <w:rPr>
          <w:rFonts w:ascii="Cambria" w:cs="Cambria" w:eastAsia="Cambria" w:hAnsi="Cambria"/>
          <w:color w:val="111111"/>
          <w:sz w:val="22"/>
          <w:szCs w:val="22"/>
        </w:rPr>
        <w:t xml:space="preserve"> is the foundational result for our knowledge layer, and it is worth noting precisely what the original paper did: it paired a parametric seq2seq model with a </w:t>
      </w:r>
      <w:r>
        <w:rPr>
          <w:rFonts w:ascii="Cambria" w:cs="Cambria" w:eastAsia="Cambria" w:hAnsi="Cambria"/>
          <w:i/>
          <w:iCs/>
          <w:color w:val="111111"/>
          <w:sz w:val="22"/>
          <w:szCs w:val="22"/>
        </w:rPr>
        <w:t xml:space="preserve">non-parametric dense vector index of Wikipedia</w:t>
      </w:r>
      <w:r>
        <w:rPr>
          <w:rFonts w:ascii="Cambria" w:cs="Cambria" w:eastAsia="Cambria" w:hAnsi="Cambria"/>
          <w:color w:val="111111"/>
          <w:sz w:val="22"/>
          <w:szCs w:val="22"/>
        </w:rPr>
        <w:t xml:space="preserve">, retrieved with DPR </w:t>
      </w:r>
      <w:r>
        <w:rPr>
          <w:rFonts w:ascii="Cambria" w:cs="Cambria" w:eastAsia="Cambria" w:hAnsi="Cambria"/>
          <w:color w:val="111111"/>
          <w:sz w:val="22"/>
          <w:szCs w:val="22"/>
        </w:rPr>
        <w:t xml:space="preserve">[81]</w:t>
      </w:r>
      <w:r>
        <w:rPr>
          <w:rFonts w:ascii="Cambria" w:cs="Cambria" w:eastAsia="Cambria" w:hAnsi="Cambria"/>
          <w:color w:val="111111"/>
          <w:sz w:val="22"/>
          <w:szCs w:val="22"/>
        </w:rPr>
        <w:t xml:space="preserve">. That is, to a first approximation, the architecture of our offline knowledge base — a resemblance we did not engineer toward but arrived at independently, which we take as mild evidence that the design is natural rather than idiosyncratic. Adjacent foundations include REALM </w:t>
      </w:r>
      <w:r>
        <w:rPr>
          <w:rFonts w:ascii="Cambria" w:cs="Cambria" w:eastAsia="Cambria" w:hAnsi="Cambria"/>
          <w:color w:val="111111"/>
          <w:sz w:val="22"/>
          <w:szCs w:val="22"/>
        </w:rPr>
        <w:t xml:space="preserve">[55]</w:t>
      </w:r>
      <w:r>
        <w:rPr>
          <w:rFonts w:ascii="Cambria" w:cs="Cambria" w:eastAsia="Cambria" w:hAnsi="Cambria"/>
          <w:color w:val="111111"/>
          <w:sz w:val="22"/>
          <w:szCs w:val="22"/>
        </w:rPr>
        <w:t xml:space="preserve">, Fusion-in-Decoder </w:t>
      </w:r>
      <w:r>
        <w:rPr>
          <w:rFonts w:ascii="Cambria" w:cs="Cambria" w:eastAsia="Cambria" w:hAnsi="Cambria"/>
          <w:color w:val="111111"/>
          <w:sz w:val="22"/>
          <w:szCs w:val="22"/>
        </w:rPr>
        <w:t xml:space="preserve">[71]</w:t>
      </w:r>
      <w:r>
        <w:rPr>
          <w:rFonts w:ascii="Cambria" w:cs="Cambria" w:eastAsia="Cambria" w:hAnsi="Cambria"/>
          <w:color w:val="111111"/>
          <w:sz w:val="22"/>
          <w:szCs w:val="22"/>
        </w:rPr>
        <w:t xml:space="preserve">, in-context RALM </w:t>
      </w:r>
      <w:r>
        <w:rPr>
          <w:rFonts w:ascii="Cambria" w:cs="Cambria" w:eastAsia="Cambria" w:hAnsi="Cambria"/>
          <w:color w:val="111111"/>
          <w:sz w:val="22"/>
          <w:szCs w:val="22"/>
        </w:rPr>
        <w:t xml:space="preserve">[139]</w:t>
      </w:r>
      <w:r>
        <w:rPr>
          <w:rFonts w:ascii="Cambria" w:cs="Cambria" w:eastAsia="Cambria" w:hAnsi="Cambria"/>
          <w:color w:val="111111"/>
          <w:sz w:val="22"/>
          <w:szCs w:val="22"/>
        </w:rPr>
        <w:t xml:space="preserve">, REPLUG </w:t>
      </w:r>
      <w:r>
        <w:rPr>
          <w:rFonts w:ascii="Cambria" w:cs="Cambria" w:eastAsia="Cambria" w:hAnsi="Cambria"/>
          <w:color w:val="111111"/>
          <w:sz w:val="22"/>
          <w:szCs w:val="22"/>
        </w:rPr>
        <w:t xml:space="preserve">[153]</w:t>
      </w:r>
      <w:r>
        <w:rPr>
          <w:rFonts w:ascii="Cambria" w:cs="Cambria" w:eastAsia="Cambria" w:hAnsi="Cambria"/>
          <w:color w:val="111111"/>
          <w:sz w:val="22"/>
          <w:szCs w:val="22"/>
        </w:rPr>
        <w:t xml:space="preserve">, and the classical retrieval baseline BM25 </w:t>
      </w:r>
      <w:r>
        <w:rPr>
          <w:rFonts w:ascii="Cambria" w:cs="Cambria" w:eastAsia="Cambria" w:hAnsi="Cambria"/>
          <w:color w:val="111111"/>
          <w:sz w:val="22"/>
          <w:szCs w:val="22"/>
        </w:rPr>
        <w:t xml:space="preserve">[142]</w:t>
      </w:r>
      <w:r>
        <w:rPr>
          <w:rFonts w:ascii="Cambria" w:cs="Cambria" w:eastAsia="Cambria" w:hAnsi="Cambria"/>
          <w:color w:val="111111"/>
          <w:sz w:val="22"/>
          <w:szCs w:val="22"/>
        </w:rPr>
        <w:t xml:space="preserve">. Vector search rests on FAISS </w:t>
      </w:r>
      <w:r>
        <w:rPr>
          <w:rFonts w:ascii="Cambria" w:cs="Cambria" w:eastAsia="Cambria" w:hAnsi="Cambria"/>
          <w:color w:val="111111"/>
          <w:sz w:val="22"/>
          <w:szCs w:val="22"/>
        </w:rPr>
        <w:t xml:space="preserve">[78]</w:t>
      </w:r>
      <w:r>
        <w:rPr>
          <w:rFonts w:ascii="Cambria" w:cs="Cambria" w:eastAsia="Cambria" w:hAnsi="Cambria"/>
          <w:color w:val="111111"/>
          <w:sz w:val="22"/>
          <w:szCs w:val="22"/>
        </w:rPr>
        <w:t xml:space="preserve"> and HNSW </w:t>
      </w:r>
      <w:r>
        <w:rPr>
          <w:rFonts w:ascii="Cambria" w:cs="Cambria" w:eastAsia="Cambria" w:hAnsi="Cambria"/>
          <w:color w:val="111111"/>
          <w:sz w:val="22"/>
          <w:szCs w:val="22"/>
        </w:rPr>
        <w:t xml:space="preserve">[106]</w:t>
      </w:r>
      <w:r>
        <w:rPr>
          <w:rFonts w:ascii="Cambria" w:cs="Cambria" w:eastAsia="Cambria" w:hAnsi="Cambria"/>
          <w:color w:val="111111"/>
          <w:sz w:val="22"/>
          <w:szCs w:val="22"/>
        </w:rPr>
        <w:t xml:space="preserve">; sentence embeddings on Sentence-BERT </w:t>
      </w:r>
      <w:r>
        <w:rPr>
          <w:rFonts w:ascii="Cambria" w:cs="Cambria" w:eastAsia="Cambria" w:hAnsi="Cambria"/>
          <w:color w:val="111111"/>
          <w:sz w:val="22"/>
          <w:szCs w:val="22"/>
        </w:rPr>
        <w:t xml:space="preserve">[141]</w:t>
      </w:r>
      <w:r>
        <w:rPr>
          <w:rFonts w:ascii="Cambria" w:cs="Cambria" w:eastAsia="Cambria" w:hAnsi="Cambria"/>
          <w:color w:val="111111"/>
          <w:sz w:val="22"/>
          <w:szCs w:val="22"/>
        </w:rPr>
        <w:t xml:space="preserve"> and BERT </w:t>
      </w:r>
      <w:r>
        <w:rPr>
          <w:rFonts w:ascii="Cambria" w:cs="Cambria" w:eastAsia="Cambria" w:hAnsi="Cambria"/>
          <w:color w:val="111111"/>
          <w:sz w:val="22"/>
          <w:szCs w:val="22"/>
        </w:rPr>
        <w:t xml:space="preserve">[36]</w:t>
      </w:r>
      <w:r>
        <w:rPr>
          <w:rFonts w:ascii="Cambria" w:cs="Cambria" w:eastAsia="Cambria" w:hAnsi="Cambria"/>
          <w:color w:val="111111"/>
          <w:sz w:val="22"/>
          <w:szCs w:val="22"/>
        </w:rPr>
        <w:t xml:space="preserve">; and the modern state of the art is surveyed comprehensively </w:t>
      </w:r>
      <w:r>
        <w:rPr>
          <w:rFonts w:ascii="Cambria" w:cs="Cambria" w:eastAsia="Cambria" w:hAnsi="Cambria"/>
          <w:color w:val="111111"/>
          <w:sz w:val="22"/>
          <w:szCs w:val="22"/>
        </w:rPr>
        <w:t xml:space="preserve">[48]</w:t>
      </w:r>
      <w:r>
        <w:rPr>
          <w:rFonts w:ascii="Cambria" w:cs="Cambria" w:eastAsia="Cambria" w:hAnsi="Cambria"/>
          <w:color w:val="111111"/>
          <w:sz w:val="22"/>
          <w:szCs w:val="22"/>
        </w:rPr>
        <w:t xml:space="preserve">, with Self-RAG </w:t>
      </w:r>
      <w:r>
        <w:rPr>
          <w:rFonts w:ascii="Cambria" w:cs="Cambria" w:eastAsia="Cambria" w:hAnsi="Cambria"/>
          <w:color w:val="111111"/>
          <w:sz w:val="22"/>
          <w:szCs w:val="22"/>
        </w:rPr>
        <w:t xml:space="preserve">[10]</w:t>
      </w:r>
      <w:r>
        <w:rPr>
          <w:rFonts w:ascii="Cambria" w:cs="Cambria" w:eastAsia="Cambria" w:hAnsi="Cambria"/>
          <w:color w:val="111111"/>
          <w:sz w:val="22"/>
          <w:szCs w:val="22"/>
        </w:rPr>
        <w:t xml:space="preserve"> and FLARE </w:t>
      </w:r>
      <w:r>
        <w:rPr>
          <w:rFonts w:ascii="Cambria" w:cs="Cambria" w:eastAsia="Cambria" w:hAnsi="Cambria"/>
          <w:color w:val="111111"/>
          <w:sz w:val="22"/>
          <w:szCs w:val="22"/>
        </w:rPr>
        <w:t xml:space="preserve">[74]</w:t>
      </w:r>
      <w:r>
        <w:rPr>
          <w:rFonts w:ascii="Cambria" w:cs="Cambria" w:eastAsia="Cambria" w:hAnsi="Cambria"/>
          <w:color w:val="111111"/>
          <w:sz w:val="22"/>
          <w:szCs w:val="22"/>
        </w:rPr>
        <w:t xml:space="preserve"> adding reflective and active retrieval. The embedding model we use is documented in </w:t>
      </w:r>
      <w:r>
        <w:rPr>
          <w:rFonts w:ascii="Cambria" w:cs="Cambria" w:eastAsia="Cambria" w:hAnsi="Cambria"/>
          <w:color w:val="111111"/>
          <w:sz w:val="22"/>
          <w:szCs w:val="22"/>
        </w:rPr>
        <w:t xml:space="preserve">[122]</w:t>
      </w:r>
      <w:r>
        <w:rPr>
          <w:rFonts w:ascii="Cambria" w:cs="Cambria" w:eastAsia="Cambria" w:hAnsi="Cambria"/>
          <w:color w:val="111111"/>
          <w:sz w:val="22"/>
          <w:szCs w:val="22"/>
        </w:rPr>
        <w:t xml:space="preserve"> and benchmarked under MTEB </w:t>
      </w:r>
      <w:r>
        <w:rPr>
          <w:rFonts w:ascii="Cambria" w:cs="Cambria" w:eastAsia="Cambria" w:hAnsi="Cambria"/>
          <w:color w:val="111111"/>
          <w:sz w:val="22"/>
          <w:szCs w:val="22"/>
        </w:rPr>
        <w:t xml:space="preserve">[115]</w:t>
      </w:r>
      <w:r>
        <w:rPr>
          <w:rFonts w:ascii="Cambria" w:cs="Cambria" w:eastAsia="Cambria" w:hAnsi="Cambria"/>
          <w:color w:val="111111"/>
          <w:sz w:val="22"/>
          <w:szCs w:val="22"/>
        </w:rPr>
        <w:t xml:space="preserve">, whose honest headline finding is that no single embedding method dominates across tasks. PaperQA and PaperQA2 </w:t>
      </w:r>
      <w:r>
        <w:rPr>
          <w:rFonts w:ascii="Cambria" w:cs="Cambria" w:eastAsia="Cambria" w:hAnsi="Cambria"/>
          <w:color w:val="111111"/>
          <w:sz w:val="22"/>
          <w:szCs w:val="22"/>
        </w:rPr>
        <w:t xml:space="preserve">[102, 156]</w:t>
      </w:r>
      <w:r>
        <w:rPr>
          <w:rFonts w:ascii="Cambria" w:cs="Cambria" w:eastAsia="Cambria" w:hAnsi="Cambria"/>
          <w:color w:val="111111"/>
          <w:sz w:val="22"/>
          <w:szCs w:val="22"/>
        </w:rPr>
        <w:t xml:space="preserve"> demonstrate retrieval agents achieving expert-level scientific synthesis, which is the template for our research division.</w:t>
      </w:r>
    </w:p>
    <w:p>
      <w:pPr>
        <w:spacing w:after="140" w:before="0" w:line="300" w:lineRule="auto"/>
        <w:jc w:val="both"/>
      </w:pPr>
      <w:r>
        <w:rPr>
          <w:rFonts w:ascii="Cambria" w:cs="Cambria" w:eastAsia="Cambria" w:hAnsi="Cambria"/>
          <w:color w:val="111111"/>
          <w:sz w:val="22"/>
          <w:szCs w:val="22"/>
        </w:rPr>
        <w:t xml:space="preserve">Persistent memory is the other half. MemGPT </w:t>
      </w:r>
      <w:r>
        <w:rPr>
          <w:rFonts w:ascii="Cambria" w:cs="Cambria" w:eastAsia="Cambria" w:hAnsi="Cambria"/>
          <w:color w:val="111111"/>
          <w:sz w:val="22"/>
          <w:szCs w:val="22"/>
        </w:rPr>
        <w:t xml:space="preserve">[127]</w:t>
      </w:r>
      <w:r>
        <w:rPr>
          <w:rFonts w:ascii="Cambria" w:cs="Cambria" w:eastAsia="Cambria" w:hAnsi="Cambria"/>
          <w:color w:val="111111"/>
          <w:sz w:val="22"/>
          <w:szCs w:val="22"/>
        </w:rPr>
        <w:t xml:space="preserve"> introduced an operating-system analogy — a tiered memory hierarchy in which the context window is RAM, external stores are disk, and the agent manages paging between them through function calls. Letta, its productionized descendant, is the memory layer of our system. The reason this matters for a local-first architecture is specific: on rented infrastructure, memory is a feature the provider grants; on owned infrastructure, memory is a Postgres database the user can read, edit, back up, and delete. Persistence changes ownership semantics, not merely convenience.</w:t>
      </w:r>
    </w:p>
    <w:p>
      <w:pPr>
        <w:spacing w:after="140" w:before="0" w:line="300" w:lineRule="auto"/>
        <w:jc w:val="both"/>
      </w:pPr>
      <w:r>
        <w:rPr>
          <w:rFonts w:ascii="Cambria" w:cs="Cambria" w:eastAsia="Cambria" w:hAnsi="Cambria"/>
          <w:color w:val="111111"/>
          <w:sz w:val="22"/>
          <w:szCs w:val="22"/>
        </w:rPr>
        <w:t xml:space="preserve">Grounding is also the principal hallucination mitigation available to us. The hallucination literature </w:t>
      </w:r>
      <w:r>
        <w:rPr>
          <w:rFonts w:ascii="Cambria" w:cs="Cambria" w:eastAsia="Cambria" w:hAnsi="Cambria"/>
          <w:color w:val="111111"/>
          <w:sz w:val="22"/>
          <w:szCs w:val="22"/>
        </w:rPr>
        <w:t xml:space="preserve">[72, 107]</w:t>
      </w:r>
      <w:r>
        <w:rPr>
          <w:rFonts w:ascii="Cambria" w:cs="Cambria" w:eastAsia="Cambria" w:hAnsi="Cambria"/>
          <w:color w:val="111111"/>
          <w:sz w:val="22"/>
          <w:szCs w:val="22"/>
        </w:rPr>
        <w:t xml:space="preserve"> and benchmarks such as TruthfulQA </w:t>
      </w:r>
      <w:r>
        <w:rPr>
          <w:rFonts w:ascii="Cambria" w:cs="Cambria" w:eastAsia="Cambria" w:hAnsi="Cambria"/>
          <w:color w:val="111111"/>
          <w:sz w:val="22"/>
          <w:szCs w:val="22"/>
        </w:rPr>
        <w:t xml:space="preserve">[95]</w:t>
      </w:r>
      <w:r>
        <w:rPr>
          <w:rFonts w:ascii="Cambria" w:cs="Cambria" w:eastAsia="Cambria" w:hAnsi="Cambria"/>
          <w:color w:val="111111"/>
          <w:sz w:val="22"/>
          <w:szCs w:val="22"/>
        </w:rPr>
        <w:t xml:space="preserve"> establish that fluent confabulation is a structural property of generative models rather than a bug to be patched; RAG evaluation frameworks such as RAGAS </w:t>
      </w:r>
      <w:r>
        <w:rPr>
          <w:rFonts w:ascii="Cambria" w:cs="Cambria" w:eastAsia="Cambria" w:hAnsi="Cambria"/>
          <w:color w:val="111111"/>
          <w:sz w:val="22"/>
          <w:szCs w:val="22"/>
        </w:rPr>
        <w:t xml:space="preserve">[42]</w:t>
      </w:r>
      <w:r>
        <w:rPr>
          <w:rFonts w:ascii="Cambria" w:cs="Cambria" w:eastAsia="Cambria" w:hAnsi="Cambria"/>
          <w:color w:val="111111"/>
          <w:sz w:val="22"/>
          <w:szCs w:val="22"/>
        </w:rPr>
        <w:t xml:space="preserve"> measure whether grounding is actually occurring. The critique that language models are stochastic pattern-completers whose fluency outruns their grounding </w:t>
      </w:r>
      <w:r>
        <w:rPr>
          <w:rFonts w:ascii="Cambria" w:cs="Cambria" w:eastAsia="Cambria" w:hAnsi="Cambria"/>
          <w:color w:val="111111"/>
          <w:sz w:val="22"/>
          <w:szCs w:val="22"/>
        </w:rPr>
        <w:t xml:space="preserve">[14]</w:t>
      </w:r>
      <w:r>
        <w:rPr>
          <w:rFonts w:ascii="Cambria" w:cs="Cambria" w:eastAsia="Cambria" w:hAnsi="Cambria"/>
          <w:color w:val="111111"/>
          <w:sz w:val="22"/>
          <w:szCs w:val="22"/>
        </w:rPr>
        <w:t xml:space="preserve"> is, in our reading, the strongest argument </w:t>
      </w:r>
      <w:r>
        <w:rPr>
          <w:rFonts w:ascii="Cambria" w:cs="Cambria" w:eastAsia="Cambria" w:hAnsi="Cambria"/>
          <w:i/>
          <w:iCs/>
          <w:color w:val="111111"/>
          <w:sz w:val="22"/>
          <w:szCs w:val="22"/>
        </w:rPr>
        <w:t xml:space="preserve">for</w:t>
      </w:r>
      <w:r>
        <w:rPr>
          <w:rFonts w:ascii="Cambria" w:cs="Cambria" w:eastAsia="Cambria" w:hAnsi="Cambria"/>
          <w:color w:val="111111"/>
          <w:sz w:val="22"/>
          <w:szCs w:val="22"/>
        </w:rPr>
        <w:t xml:space="preserve"> retrieval architecture rather than against it.</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A-Mem </w:t>
      </w:r>
      <w:r>
        <w:rPr>
          <w:rFonts w:ascii="Cambria" w:cs="Cambria" w:eastAsia="Cambria" w:hAnsi="Cambria"/>
          <w:color w:val="111111"/>
          <w:sz w:val="22"/>
          <w:szCs w:val="22"/>
        </w:rPr>
        <w:t xml:space="preserve">[179]</w:t>
      </w:r>
      <w:r>
        <w:rPr>
          <w:rFonts w:ascii="Cambria" w:cs="Cambria" w:eastAsia="Cambria" w:hAnsi="Cambria"/>
          <w:color w:val="111111"/>
          <w:sz w:val="22"/>
          <w:szCs w:val="22"/>
        </w:rPr>
        <w:t xml:space="preserve"> observes that MemGPT-style rolling summarization compounds errors over long horizons: each summary is lossy, and summaries of summaries drift. Our system inherits this liability. Retrieval also fails silently — a query that retrieves nothing relevant produces a confident answer from parametric weights unless the system is explicitly configured to refuse, which is a configuration choice rather than a property (§3.4).</w:t>
      </w:r>
    </w:p>
    <w:p>
      <w:pPr>
        <w:pStyle w:val="Heading2"/>
      </w:pPr>
      <w:r>
        <w:t xml:space="preserve">2.5 Human–Machine Interaction and AI Communication</w:t>
      </w:r>
    </w:p>
    <w:p>
      <w:pPr>
        <w:spacing w:after="140" w:before="0" w:line="300" w:lineRule="auto"/>
        <w:jc w:val="both"/>
      </w:pPr>
      <w:r>
        <w:rPr>
          <w:rFonts w:ascii="Cambria" w:cs="Cambria" w:eastAsia="Cambria" w:hAnsi="Cambria"/>
          <w:color w:val="111111"/>
          <w:sz w:val="22"/>
          <w:szCs w:val="22"/>
        </w:rPr>
        <w:t xml:space="preserve">This is the domain in which our contribution is most theoretical rather than constructive, and it is the author's stated research area, so we treat it at greater length.</w:t>
      </w:r>
    </w:p>
    <w:p>
      <w:pPr>
        <w:pStyle w:val="Heading3"/>
      </w:pPr>
      <w:r>
        <w:t xml:space="preserve">2.5.1 Social response and anthropomorphism</w:t>
      </w:r>
    </w:p>
    <w:p>
      <w:pPr>
        <w:spacing w:after="140" w:before="0" w:line="300" w:lineRule="auto"/>
        <w:jc w:val="both"/>
      </w:pPr>
      <w:r>
        <w:rPr>
          <w:rFonts w:ascii="Cambria" w:cs="Cambria" w:eastAsia="Cambria" w:hAnsi="Cambria"/>
          <w:color w:val="111111"/>
          <w:sz w:val="22"/>
          <w:szCs w:val="22"/>
        </w:rPr>
        <w:t xml:space="preserve">The foundational finding is that people apply social rules to computers automatically and without believing they should. Nass, Steuer, and Tauber's Computers Are Social Actors experiments </w:t>
      </w:r>
      <w:r>
        <w:rPr>
          <w:rFonts w:ascii="Cambria" w:cs="Cambria" w:eastAsia="Cambria" w:hAnsi="Cambria"/>
          <w:color w:val="111111"/>
          <w:sz w:val="22"/>
          <w:szCs w:val="22"/>
        </w:rPr>
        <w:t xml:space="preserve">[118]</w:t>
      </w:r>
      <w:r>
        <w:rPr>
          <w:rFonts w:ascii="Cambria" w:cs="Cambria" w:eastAsia="Cambria" w:hAnsi="Cambria"/>
          <w:color w:val="111111"/>
          <w:sz w:val="22"/>
          <w:szCs w:val="22"/>
        </w:rPr>
        <w:t xml:space="preserve"> and the broader Media Equation programme </w:t>
      </w:r>
      <w:r>
        <w:rPr>
          <w:rFonts w:ascii="Cambria" w:cs="Cambria" w:eastAsia="Cambria" w:hAnsi="Cambria"/>
          <w:color w:val="111111"/>
          <w:sz w:val="22"/>
          <w:szCs w:val="22"/>
        </w:rPr>
        <w:t xml:space="preserve">[140]</w:t>
      </w:r>
      <w:r>
        <w:rPr>
          <w:rFonts w:ascii="Cambria" w:cs="Cambria" w:eastAsia="Cambria" w:hAnsi="Cambria"/>
          <w:color w:val="111111"/>
          <w:sz w:val="22"/>
          <w:szCs w:val="22"/>
        </w:rPr>
        <w:t xml:space="preserve"> established that social responses to media are </w:t>
      </w:r>
      <w:r>
        <w:rPr>
          <w:rFonts w:ascii="Cambria" w:cs="Cambria" w:eastAsia="Cambria" w:hAnsi="Cambria"/>
          <w:i/>
          <w:iCs/>
          <w:color w:val="111111"/>
          <w:sz w:val="22"/>
          <w:szCs w:val="22"/>
        </w:rPr>
        <w:t xml:space="preserve">mindless</w:t>
      </w:r>
      <w:r>
        <w:rPr>
          <w:rFonts w:ascii="Cambria" w:cs="Cambria" w:eastAsia="Cambria" w:hAnsi="Cambria"/>
          <w:color w:val="111111"/>
          <w:sz w:val="22"/>
          <w:szCs w:val="22"/>
        </w:rPr>
        <w:t xml:space="preserve"> — elicited by superficial social cues, applied even by users who explicitly deny that computers deserve such treatment. Epley, Waytz, and Cacioppo's three-factor theory </w:t>
      </w:r>
      <w:r>
        <w:rPr>
          <w:rFonts w:ascii="Cambria" w:cs="Cambria" w:eastAsia="Cambria" w:hAnsi="Cambria"/>
          <w:color w:val="111111"/>
          <w:sz w:val="22"/>
          <w:szCs w:val="22"/>
        </w:rPr>
        <w:t xml:space="preserve">[41]</w:t>
      </w:r>
      <w:r>
        <w:rPr>
          <w:rFonts w:ascii="Cambria" w:cs="Cambria" w:eastAsia="Cambria" w:hAnsi="Cambria"/>
          <w:color w:val="111111"/>
          <w:sz w:val="22"/>
          <w:szCs w:val="22"/>
        </w:rPr>
        <w:t xml:space="preserve"> explains when anthropomorphism intensifies: elicited agent knowledge, effectance motivation (the need to interact competently with the environment), and sociality motivation (the need for social connection). Both are directly implicated by a system with a face, a voice, and a persistent memory of the user.</w:t>
      </w:r>
    </w:p>
    <w:p>
      <w:pPr>
        <w:spacing w:after="140" w:before="0" w:line="300" w:lineRule="auto"/>
        <w:jc w:val="both"/>
      </w:pPr>
      <w:r>
        <w:rPr>
          <w:rFonts w:ascii="Cambria" w:cs="Cambria" w:eastAsia="Cambria" w:hAnsi="Cambria"/>
          <w:color w:val="111111"/>
          <w:sz w:val="22"/>
          <w:szCs w:val="22"/>
        </w:rPr>
        <w:t xml:space="preserve">Measurement instruments exist — the Godspeed questionnaire series </w:t>
      </w:r>
      <w:r>
        <w:rPr>
          <w:rFonts w:ascii="Cambria" w:cs="Cambria" w:eastAsia="Cambria" w:hAnsi="Cambria"/>
          <w:color w:val="111111"/>
          <w:sz w:val="22"/>
          <w:szCs w:val="22"/>
        </w:rPr>
        <w:t xml:space="preserve">[12]</w:t>
      </w:r>
      <w:r>
        <w:rPr>
          <w:rFonts w:ascii="Cambria" w:cs="Cambria" w:eastAsia="Cambria" w:hAnsi="Cambria"/>
          <w:color w:val="111111"/>
          <w:sz w:val="22"/>
          <w:szCs w:val="22"/>
        </w:rPr>
        <w:t xml:space="preserve"> standardizes anthropomorphism, animacy, likeability, perceived intelligence, and perceived safety — and we note in §7 that we did not deploy them, which is a real limitation of this work.</w:t>
      </w:r>
    </w:p>
    <w:p>
      <w:pPr>
        <w:pStyle w:val="Heading3"/>
      </w:pPr>
      <w:r>
        <w:t xml:space="preserve">2.5.2 Embodiment</w:t>
      </w:r>
    </w:p>
    <w:p>
      <w:pPr>
        <w:spacing w:after="140" w:before="0" w:line="300" w:lineRule="auto"/>
        <w:jc w:val="both"/>
      </w:pPr>
      <w:r>
        <w:rPr>
          <w:rFonts w:ascii="Cambria" w:cs="Cambria" w:eastAsia="Cambria" w:hAnsi="Cambria"/>
          <w:color w:val="111111"/>
          <w:sz w:val="22"/>
          <w:szCs w:val="22"/>
        </w:rPr>
        <w:t xml:space="preserve">Wainer et al. </w:t>
      </w:r>
      <w:r>
        <w:rPr>
          <w:rFonts w:ascii="Cambria" w:cs="Cambria" w:eastAsia="Cambria" w:hAnsi="Cambria"/>
          <w:color w:val="111111"/>
          <w:sz w:val="22"/>
          <w:szCs w:val="22"/>
        </w:rPr>
        <w:t xml:space="preserve">[164, 165]</w:t>
      </w:r>
      <w:r>
        <w:rPr>
          <w:rFonts w:ascii="Cambria" w:cs="Cambria" w:eastAsia="Cambria" w:hAnsi="Cambria"/>
          <w:color w:val="111111"/>
          <w:sz w:val="22"/>
          <w:szCs w:val="22"/>
        </w:rPr>
        <w:t xml:space="preserve"> established the physical-embodiment question experimentally: does a physically present robot produce different interaction outcomes than a screen agent or a telepresent robot? Li's survey </w:t>
      </w:r>
      <w:r>
        <w:rPr>
          <w:rFonts w:ascii="Cambria" w:cs="Cambria" w:eastAsia="Cambria" w:hAnsi="Cambria"/>
          <w:color w:val="111111"/>
          <w:sz w:val="22"/>
          <w:szCs w:val="22"/>
        </w:rPr>
        <w:t xml:space="preserve">[92]</w:t>
      </w:r>
      <w:r>
        <w:rPr>
          <w:rFonts w:ascii="Cambria" w:cs="Cambria" w:eastAsia="Cambria" w:hAnsi="Cambria"/>
          <w:color w:val="111111"/>
          <w:sz w:val="22"/>
          <w:szCs w:val="22"/>
        </w:rPr>
        <w:t xml:space="preserve"> and Deng, Mutlu, and Mataric's monograph </w:t>
      </w:r>
      <w:r>
        <w:rPr>
          <w:rFonts w:ascii="Cambria" w:cs="Cambria" w:eastAsia="Cambria" w:hAnsi="Cambria"/>
          <w:color w:val="111111"/>
          <w:sz w:val="22"/>
          <w:szCs w:val="22"/>
        </w:rPr>
        <w:t xml:space="preserve">[32]</w:t>
      </w:r>
      <w:r>
        <w:rPr>
          <w:rFonts w:ascii="Cambria" w:cs="Cambria" w:eastAsia="Cambria" w:hAnsi="Cambria"/>
          <w:color w:val="111111"/>
          <w:sz w:val="22"/>
          <w:szCs w:val="22"/>
        </w:rPr>
        <w:t xml:space="preserve"> synthesize a large literature finding that co-presence generally helps — but conditionally.</w:t>
      </w:r>
    </w:p>
    <w:p>
      <w:pPr>
        <w:spacing w:after="140" w:before="0" w:line="300" w:lineRule="auto"/>
        <w:jc w:val="both"/>
      </w:pPr>
      <w:r>
        <w:rPr>
          <w:rFonts w:ascii="Cambria" w:cs="Cambria" w:eastAsia="Cambria" w:hAnsi="Cambria"/>
          <w:color w:val="111111"/>
          <w:sz w:val="22"/>
          <w:szCs w:val="22"/>
        </w:rPr>
        <w:t xml:space="preserve">The best current evidence is Roesler, Manzey, and Onnasch's meta-analysis in </w:t>
      </w:r>
      <w:r>
        <w:rPr>
          <w:rFonts w:ascii="Cambria" w:cs="Cambria" w:eastAsia="Cambria" w:hAnsi="Cambria"/>
          <w:i/>
          <w:iCs/>
          <w:color w:val="111111"/>
          <w:sz w:val="22"/>
          <w:szCs w:val="22"/>
        </w:rPr>
        <w:t xml:space="preserve">Science Robotics</w:t>
      </w:r>
      <w:r>
        <w:rPr>
          <w:rFonts w:ascii="Cambria" w:cs="Cambria" w:eastAsia="Cambria" w:hAnsi="Cambria"/>
          <w:color w:val="111111"/>
          <w:sz w:val="22"/>
          <w:szCs w:val="22"/>
        </w:rPr>
        <w:t xml:space="preserve"> </w:t>
      </w:r>
      <w:r>
        <w:rPr>
          <w:rFonts w:ascii="Cambria" w:cs="Cambria" w:eastAsia="Cambria" w:hAnsi="Cambria"/>
          <w:color w:val="111111"/>
          <w:sz w:val="22"/>
          <w:szCs w:val="22"/>
        </w:rPr>
        <w:t xml:space="preserve">[144]</w:t>
      </w:r>
      <w:r>
        <w:rPr>
          <w:rFonts w:ascii="Cambria" w:cs="Cambria" w:eastAsia="Cambria" w:hAnsi="Cambria"/>
          <w:color w:val="111111"/>
          <w:sz w:val="22"/>
          <w:szCs w:val="22"/>
        </w:rPr>
        <w:t xml:space="preserve">: 4,856 abstracts screened, 78 studies, roughly 6,000 participants, 187 effect sizes, finding a medium positive overall effect of anthropomorphism in HRI. This is genuine support for embodiment.</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The same meta-analysis is explicit that closer scrutiny at the lowest variable level revealed </w:t>
      </w:r>
      <w:r>
        <w:rPr>
          <w:rFonts w:ascii="Cambria" w:cs="Cambria" w:eastAsia="Cambria" w:hAnsi="Cambria"/>
          <w:i/>
          <w:iCs/>
          <w:color w:val="111111"/>
          <w:sz w:val="22"/>
          <w:szCs w:val="22"/>
        </w:rPr>
        <w:t xml:space="preserve">no positive effect for perceived safety, empathy, or task performance</w:t>
      </w:r>
      <w:r>
        <w:rPr>
          <w:rFonts w:ascii="Cambria" w:cs="Cambria" w:eastAsia="Cambria" w:hAnsi="Cambria"/>
          <w:color w:val="111111"/>
          <w:sz w:val="22"/>
          <w:szCs w:val="22"/>
        </w:rPr>
        <w:t xml:space="preserve">, and that a considerable number of results point in the opposite direction </w:t>
      </w:r>
      <w:r>
        <w:rPr>
          <w:rFonts w:ascii="Cambria" w:cs="Cambria" w:eastAsia="Cambria" w:hAnsi="Cambria"/>
          <w:color w:val="111111"/>
          <w:sz w:val="22"/>
          <w:szCs w:val="22"/>
        </w:rPr>
        <w:t xml:space="preserve">[144]</w:t>
      </w:r>
      <w:r>
        <w:rPr>
          <w:rFonts w:ascii="Cambria" w:cs="Cambria" w:eastAsia="Cambria" w:hAnsi="Cambria"/>
          <w:color w:val="111111"/>
          <w:sz w:val="22"/>
          <w:szCs w:val="22"/>
        </w:rPr>
        <w:t xml:space="preserve">. Embodiment is task-specific and not a general win. Mori's uncanny valley </w:t>
      </w:r>
      <w:r>
        <w:rPr>
          <w:rFonts w:ascii="Cambria" w:cs="Cambria" w:eastAsia="Cambria" w:hAnsi="Cambria"/>
          <w:color w:val="111111"/>
          <w:sz w:val="22"/>
          <w:szCs w:val="22"/>
        </w:rPr>
        <w:t xml:space="preserve">[114]</w:t>
      </w:r>
      <w:r>
        <w:rPr>
          <w:rFonts w:ascii="Cambria" w:cs="Cambria" w:eastAsia="Cambria" w:hAnsi="Cambria"/>
          <w:color w:val="111111"/>
          <w:sz w:val="22"/>
          <w:szCs w:val="22"/>
        </w:rPr>
        <w:t xml:space="preserve"> names the failure mode at the high-fidelity end. This is the single most important piece of counter-evidence to the “give the system a face” component of our architecture, and we engage it directly in §6.5 and §7.3.</w:t>
      </w:r>
    </w:p>
    <w:p>
      <w:pPr>
        <w:pStyle w:val="Heading3"/>
      </w:pPr>
      <w:r>
        <w:t xml:space="preserve">2.5.3 Trust, reliance, and the automation literature</w:t>
      </w:r>
    </w:p>
    <w:p>
      <w:pPr>
        <w:spacing w:after="140" w:before="0" w:line="300" w:lineRule="auto"/>
        <w:jc w:val="both"/>
      </w:pPr>
      <w:r>
        <w:rPr>
          <w:rFonts w:ascii="Cambria" w:cs="Cambria" w:eastAsia="Cambria" w:hAnsi="Cambria"/>
          <w:color w:val="111111"/>
          <w:sz w:val="22"/>
          <w:szCs w:val="22"/>
        </w:rPr>
        <w:t xml:space="preserve">Lee and See's synthesis </w:t>
      </w:r>
      <w:r>
        <w:rPr>
          <w:rFonts w:ascii="Cambria" w:cs="Cambria" w:eastAsia="Cambria" w:hAnsi="Cambria"/>
          <w:color w:val="111111"/>
          <w:sz w:val="22"/>
          <w:szCs w:val="22"/>
        </w:rPr>
        <w:t xml:space="preserve">[89]</w:t>
      </w:r>
      <w:r>
        <w:rPr>
          <w:rFonts w:ascii="Cambria" w:cs="Cambria" w:eastAsia="Cambria" w:hAnsi="Cambria"/>
          <w:color w:val="111111"/>
          <w:sz w:val="22"/>
          <w:szCs w:val="22"/>
        </w:rPr>
        <w:t xml:space="preserve"> is the anchor: trust in automation should be </w:t>
      </w:r>
      <w:r>
        <w:rPr>
          <w:rFonts w:ascii="Cambria" w:cs="Cambria" w:eastAsia="Cambria" w:hAnsi="Cambria"/>
          <w:i/>
          <w:iCs/>
          <w:color w:val="111111"/>
          <w:sz w:val="22"/>
          <w:szCs w:val="22"/>
        </w:rPr>
        <w:t xml:space="preserve">calibrated</w:t>
      </w:r>
      <w:r>
        <w:rPr>
          <w:rFonts w:ascii="Cambria" w:cs="Cambria" w:eastAsia="Cambria" w:hAnsi="Cambria"/>
          <w:color w:val="111111"/>
          <w:sz w:val="22"/>
          <w:szCs w:val="22"/>
        </w:rPr>
        <w:t xml:space="preserve"> — matched to actual capability — and the design goal is appropriate reliance, not maximal trust. Parasuraman and Riley </w:t>
      </w:r>
      <w:r>
        <w:rPr>
          <w:rFonts w:ascii="Cambria" w:cs="Cambria" w:eastAsia="Cambria" w:hAnsi="Cambria"/>
          <w:color w:val="111111"/>
          <w:sz w:val="22"/>
          <w:szCs w:val="22"/>
        </w:rPr>
        <w:t xml:space="preserve">[129]</w:t>
      </w:r>
      <w:r>
        <w:rPr>
          <w:rFonts w:ascii="Cambria" w:cs="Cambria" w:eastAsia="Cambria" w:hAnsi="Cambria"/>
          <w:color w:val="111111"/>
          <w:sz w:val="22"/>
          <w:szCs w:val="22"/>
        </w:rPr>
        <w:t xml:space="preserve"> give the canonical taxonomy of use, misuse, disuse, and abuse; Parasuraman, Sheridan, and Wickens </w:t>
      </w:r>
      <w:r>
        <w:rPr>
          <w:rFonts w:ascii="Cambria" w:cs="Cambria" w:eastAsia="Cambria" w:hAnsi="Cambria"/>
          <w:color w:val="111111"/>
          <w:sz w:val="22"/>
          <w:szCs w:val="22"/>
        </w:rPr>
        <w:t xml:space="preserve">[130]</w:t>
      </w:r>
      <w:r>
        <w:rPr>
          <w:rFonts w:ascii="Cambria" w:cs="Cambria" w:eastAsia="Cambria" w:hAnsi="Cambria"/>
          <w:color w:val="111111"/>
          <w:sz w:val="22"/>
          <w:szCs w:val="22"/>
        </w:rPr>
        <w:t xml:space="preserve"> provide the levels-of-automation model that descends from Sheridan and Verplank </w:t>
      </w:r>
      <w:r>
        <w:rPr>
          <w:rFonts w:ascii="Cambria" w:cs="Cambria" w:eastAsia="Cambria" w:hAnsi="Cambria"/>
          <w:color w:val="111111"/>
          <w:sz w:val="22"/>
          <w:szCs w:val="22"/>
        </w:rPr>
        <w:t xml:space="preserve">[152]</w:t>
      </w:r>
      <w:r>
        <w:rPr>
          <w:rFonts w:ascii="Cambria" w:cs="Cambria" w:eastAsia="Cambria" w:hAnsi="Cambria"/>
          <w:color w:val="111111"/>
          <w:sz w:val="22"/>
          <w:szCs w:val="22"/>
        </w:rPr>
        <w:t xml:space="preserve">; Muir </w:t>
      </w:r>
      <w:r>
        <w:rPr>
          <w:rFonts w:ascii="Cambria" w:cs="Cambria" w:eastAsia="Cambria" w:hAnsi="Cambria"/>
          <w:color w:val="111111"/>
          <w:sz w:val="22"/>
          <w:szCs w:val="22"/>
        </w:rPr>
        <w:t xml:space="preserve">[116]</w:t>
      </w:r>
      <w:r>
        <w:rPr>
          <w:rFonts w:ascii="Cambria" w:cs="Cambria" w:eastAsia="Cambria" w:hAnsi="Cambria"/>
          <w:color w:val="111111"/>
          <w:sz w:val="22"/>
          <w:szCs w:val="22"/>
        </w:rPr>
        <w:t xml:space="preserve"> laid the groundwork; Norman </w:t>
      </w:r>
      <w:r>
        <w:rPr>
          <w:rFonts w:ascii="Cambria" w:cs="Cambria" w:eastAsia="Cambria" w:hAnsi="Cambria"/>
          <w:color w:val="111111"/>
          <w:sz w:val="22"/>
          <w:szCs w:val="22"/>
        </w:rPr>
        <w:t xml:space="preserve">[121]</w:t>
      </w:r>
      <w:r>
        <w:rPr>
          <w:rFonts w:ascii="Cambria" w:cs="Cambria" w:eastAsia="Cambria" w:hAnsi="Cambria"/>
          <w:color w:val="111111"/>
          <w:sz w:val="22"/>
          <w:szCs w:val="22"/>
        </w:rPr>
        <w:t xml:space="preserve"> argued that the problem with automation is inappropriate feedback rather than automation as such — a claim that anticipates our post-work heartbeat pattern (§6.3) by thirty-five years.</w:t>
      </w:r>
    </w:p>
    <w:p>
      <w:pPr>
        <w:spacing w:after="140" w:before="0" w:line="300" w:lineRule="auto"/>
        <w:jc w:val="both"/>
      </w:pPr>
      <w:r>
        <w:rPr>
          <w:rFonts w:ascii="Cambria" w:cs="Cambria" w:eastAsia="Cambria" w:hAnsi="Cambria"/>
          <w:color w:val="111111"/>
          <w:sz w:val="22"/>
          <w:szCs w:val="22"/>
        </w:rPr>
        <w:t xml:space="preserve">In HRI specifically, Hancock et al.'s meta-analysis </w:t>
      </w:r>
      <w:r>
        <w:rPr>
          <w:rFonts w:ascii="Cambria" w:cs="Cambria" w:eastAsia="Cambria" w:hAnsi="Cambria"/>
          <w:color w:val="111111"/>
          <w:sz w:val="22"/>
          <w:szCs w:val="22"/>
        </w:rPr>
        <w:t xml:space="preserve">[58]</w:t>
      </w:r>
      <w:r>
        <w:rPr>
          <w:rFonts w:ascii="Cambria" w:cs="Cambria" w:eastAsia="Cambria" w:hAnsi="Cambria"/>
          <w:color w:val="111111"/>
          <w:sz w:val="22"/>
          <w:szCs w:val="22"/>
        </w:rPr>
        <w:t xml:space="preserve"> identifies robot performance as the dominant trust determinant; Salem et al. </w:t>
      </w:r>
      <w:r>
        <w:rPr>
          <w:rFonts w:ascii="Cambria" w:cs="Cambria" w:eastAsia="Cambria" w:hAnsi="Cambria"/>
          <w:color w:val="111111"/>
          <w:sz w:val="22"/>
          <w:szCs w:val="22"/>
        </w:rPr>
        <w:t xml:space="preserve">[147]</w:t>
      </w:r>
      <w:r>
        <w:rPr>
          <w:rFonts w:ascii="Cambria" w:cs="Cambria" w:eastAsia="Cambria" w:hAnsi="Cambria"/>
          <w:color w:val="111111"/>
          <w:sz w:val="22"/>
          <w:szCs w:val="22"/>
        </w:rPr>
        <w:t xml:space="preserve"> show that faulty robots retain surprising trust; and Robinette et al. </w:t>
      </w:r>
      <w:r>
        <w:rPr>
          <w:rFonts w:ascii="Cambria" w:cs="Cambria" w:eastAsia="Cambria" w:hAnsi="Cambria"/>
          <w:color w:val="111111"/>
          <w:sz w:val="22"/>
          <w:szCs w:val="22"/>
        </w:rPr>
        <w:t xml:space="preserve">[143]</w:t>
      </w:r>
      <w:r>
        <w:rPr>
          <w:rFonts w:ascii="Cambria" w:cs="Cambria" w:eastAsia="Cambria" w:hAnsi="Cambria"/>
          <w:color w:val="111111"/>
          <w:sz w:val="22"/>
          <w:szCs w:val="22"/>
        </w:rPr>
        <w:t xml:space="preserve"> demonstrate the most alarming result in this literature — participants in a simulated emergency followed a robot that had </w:t>
      </w:r>
      <w:r>
        <w:rPr>
          <w:rFonts w:ascii="Cambria" w:cs="Cambria" w:eastAsia="Cambria" w:hAnsi="Cambria"/>
          <w:i/>
          <w:iCs/>
          <w:color w:val="111111"/>
          <w:sz w:val="22"/>
          <w:szCs w:val="22"/>
        </w:rPr>
        <w:t xml:space="preserve">already demonstrably failed them</w:t>
      </w:r>
      <w:r>
        <w:rPr>
          <w:rFonts w:ascii="Cambria" w:cs="Cambria" w:eastAsia="Cambria" w:hAnsi="Cambria"/>
          <w:color w:val="111111"/>
          <w:sz w:val="22"/>
          <w:szCs w:val="22"/>
        </w:rPr>
        <w:t xml:space="preserve">, away from marked exits. Over-trust is not hypothetical.</w:t>
      </w:r>
    </w:p>
    <w:p>
      <w:pPr>
        <w:spacing w:after="140" w:before="0" w:line="300" w:lineRule="auto"/>
        <w:jc w:val="both"/>
      </w:pPr>
      <w:r>
        <w:rPr>
          <w:rFonts w:ascii="Cambria" w:cs="Cambria" w:eastAsia="Cambria" w:hAnsi="Cambria"/>
          <w:color w:val="111111"/>
          <w:sz w:val="22"/>
          <w:szCs w:val="22"/>
        </w:rPr>
        <w:t xml:space="preserve">The AI-specific literature converges: Amershi et al. </w:t>
      </w:r>
      <w:r>
        <w:rPr>
          <w:rFonts w:ascii="Cambria" w:cs="Cambria" w:eastAsia="Cambria" w:hAnsi="Cambria"/>
          <w:color w:val="111111"/>
          <w:sz w:val="22"/>
          <w:szCs w:val="22"/>
        </w:rPr>
        <w:t xml:space="preserve">[7]</w:t>
      </w:r>
      <w:r>
        <w:rPr>
          <w:rFonts w:ascii="Cambria" w:cs="Cambria" w:eastAsia="Cambria" w:hAnsi="Cambria"/>
          <w:color w:val="111111"/>
          <w:sz w:val="22"/>
          <w:szCs w:val="22"/>
        </w:rPr>
        <w:t xml:space="preserve"> codify eighteen human–AI interaction guidelines; Bansal et al. </w:t>
      </w:r>
      <w:r>
        <w:rPr>
          <w:rFonts w:ascii="Cambria" w:cs="Cambria" w:eastAsia="Cambria" w:hAnsi="Cambria"/>
          <w:color w:val="111111"/>
          <w:sz w:val="22"/>
          <w:szCs w:val="22"/>
        </w:rPr>
        <w:t xml:space="preserve">[11]</w:t>
      </w:r>
      <w:r>
        <w:rPr>
          <w:rFonts w:ascii="Cambria" w:cs="Cambria" w:eastAsia="Cambria" w:hAnsi="Cambria"/>
          <w:color w:val="111111"/>
          <w:sz w:val="22"/>
          <w:szCs w:val="22"/>
        </w:rPr>
        <w:t xml:space="preserve"> find that explanations can increase reliance without increasing accuracy; Buçinca, Malaya, and Gajos </w:t>
      </w:r>
      <w:r>
        <w:rPr>
          <w:rFonts w:ascii="Cambria" w:cs="Cambria" w:eastAsia="Cambria" w:hAnsi="Cambria"/>
          <w:color w:val="111111"/>
          <w:sz w:val="22"/>
          <w:szCs w:val="22"/>
        </w:rPr>
        <w:t xml:space="preserve">[18]</w:t>
      </w:r>
      <w:r>
        <w:rPr>
          <w:rFonts w:ascii="Cambria" w:cs="Cambria" w:eastAsia="Cambria" w:hAnsi="Cambria"/>
          <w:color w:val="111111"/>
          <w:sz w:val="22"/>
          <w:szCs w:val="22"/>
        </w:rPr>
        <w:t xml:space="preserve"> show that cognitive forcing functions reduce over-reliance — at a cost to user satisfaction, which is a tradeoff our human-gate design makes explicitly.</w:t>
      </w:r>
    </w:p>
    <w:p>
      <w:pPr>
        <w:pStyle w:val="Heading3"/>
      </w:pPr>
      <w:r>
        <w:t xml:space="preserve">2.5.4 Ambient and conversational interaction</w:t>
      </w:r>
    </w:p>
    <w:p>
      <w:pPr>
        <w:spacing w:after="140" w:before="0" w:line="300" w:lineRule="auto"/>
        <w:jc w:val="both"/>
      </w:pPr>
      <w:r>
        <w:rPr>
          <w:rFonts w:ascii="Cambria" w:cs="Cambria" w:eastAsia="Cambria" w:hAnsi="Cambria"/>
          <w:color w:val="111111"/>
          <w:sz w:val="22"/>
          <w:szCs w:val="22"/>
        </w:rPr>
        <w:t xml:space="preserve">Weiser's ubiquitous computing vision </w:t>
      </w:r>
      <w:r>
        <w:rPr>
          <w:rFonts w:ascii="Cambria" w:cs="Cambria" w:eastAsia="Cambria" w:hAnsi="Cambria"/>
          <w:color w:val="111111"/>
          <w:sz w:val="22"/>
          <w:szCs w:val="22"/>
        </w:rPr>
        <w:t xml:space="preserve">[172]</w:t>
      </w:r>
      <w:r>
        <w:rPr>
          <w:rFonts w:ascii="Cambria" w:cs="Cambria" w:eastAsia="Cambria" w:hAnsi="Cambria"/>
          <w:color w:val="111111"/>
          <w:sz w:val="22"/>
          <w:szCs w:val="22"/>
        </w:rPr>
        <w:t xml:space="preserve"> and the calm technology programme </w:t>
      </w:r>
      <w:r>
        <w:rPr>
          <w:rFonts w:ascii="Cambria" w:cs="Cambria" w:eastAsia="Cambria" w:hAnsi="Cambria"/>
          <w:color w:val="111111"/>
          <w:sz w:val="22"/>
          <w:szCs w:val="22"/>
        </w:rPr>
        <w:t xml:space="preserve">[173]</w:t>
      </w:r>
      <w:r>
        <w:rPr>
          <w:rFonts w:ascii="Cambria" w:cs="Cambria" w:eastAsia="Cambria" w:hAnsi="Cambria"/>
          <w:color w:val="111111"/>
          <w:sz w:val="22"/>
          <w:szCs w:val="22"/>
        </w:rPr>
        <w:t xml:space="preserve"> describe the interaction ideal our fleet gestures at: technology that recedes, informing without demanding attention. Abowd and Mynatt </w:t>
      </w:r>
      <w:r>
        <w:rPr>
          <w:rFonts w:ascii="Cambria" w:cs="Cambria" w:eastAsia="Cambria" w:hAnsi="Cambria"/>
          <w:color w:val="111111"/>
          <w:sz w:val="22"/>
          <w:szCs w:val="22"/>
        </w:rPr>
        <w:t xml:space="preserve">[3]</w:t>
      </w:r>
      <w:r>
        <w:rPr>
          <w:rFonts w:ascii="Cambria" w:cs="Cambria" w:eastAsia="Cambria" w:hAnsi="Cambria"/>
          <w:color w:val="111111"/>
          <w:sz w:val="22"/>
          <w:szCs w:val="22"/>
        </w:rPr>
        <w:t xml:space="preserve"> chart the research agenda; Ishii and Ullmer </w:t>
      </w:r>
      <w:r>
        <w:rPr>
          <w:rFonts w:ascii="Cambria" w:cs="Cambria" w:eastAsia="Cambria" w:hAnsi="Cambria"/>
          <w:color w:val="111111"/>
          <w:sz w:val="22"/>
          <w:szCs w:val="22"/>
        </w:rPr>
        <w:t xml:space="preserve">[70]</w:t>
      </w:r>
      <w:r>
        <w:rPr>
          <w:rFonts w:ascii="Cambria" w:cs="Cambria" w:eastAsia="Cambria" w:hAnsi="Cambria"/>
          <w:color w:val="111111"/>
          <w:sz w:val="22"/>
          <w:szCs w:val="22"/>
        </w:rPr>
        <w:t xml:space="preserve"> supply the tangible-interface counterpoint.</w:t>
      </w:r>
    </w:p>
    <w:p>
      <w:pPr>
        <w:spacing w:after="140" w:before="0" w:line="300" w:lineRule="auto"/>
        <w:jc w:val="both"/>
      </w:pPr>
      <w:r>
        <w:rPr>
          <w:rFonts w:ascii="Cambria" w:cs="Cambria" w:eastAsia="Cambria" w:hAnsi="Cambria"/>
          <w:color w:val="111111"/>
          <w:sz w:val="22"/>
          <w:szCs w:val="22"/>
        </w:rPr>
        <w:t xml:space="preserve">The voice-interface literature is bracingly negative and deserves to be read before building anything with a microphone. Luger and Sellen </w:t>
      </w:r>
      <w:r>
        <w:rPr>
          <w:rFonts w:ascii="Cambria" w:cs="Cambria" w:eastAsia="Cambria" w:hAnsi="Cambria"/>
          <w:color w:val="111111"/>
          <w:sz w:val="22"/>
          <w:szCs w:val="22"/>
        </w:rPr>
        <w:t xml:space="preserve">[101]</w:t>
      </w:r>
      <w:r>
        <w:rPr>
          <w:rFonts w:ascii="Cambria" w:cs="Cambria" w:eastAsia="Cambria" w:hAnsi="Cambria"/>
          <w:color w:val="111111"/>
          <w:sz w:val="22"/>
          <w:szCs w:val="22"/>
        </w:rPr>
        <w:t xml:space="preserve"> document the gulf between expectation and experience — their title, borrowed from a participant, is “like having a really bad PA.” Clark et al. </w:t>
      </w:r>
      <w:r>
        <w:rPr>
          <w:rFonts w:ascii="Cambria" w:cs="Cambria" w:eastAsia="Cambria" w:hAnsi="Cambria"/>
          <w:color w:val="111111"/>
          <w:sz w:val="22"/>
          <w:szCs w:val="22"/>
        </w:rPr>
        <w:t xml:space="preserve">[24]</w:t>
      </w:r>
      <w:r>
        <w:rPr>
          <w:rFonts w:ascii="Cambria" w:cs="Cambria" w:eastAsia="Cambria" w:hAnsi="Cambria"/>
          <w:color w:val="111111"/>
          <w:sz w:val="22"/>
          <w:szCs w:val="22"/>
        </w:rPr>
        <w:t xml:space="preserve"> ask what makes a conversation good and find current agents largely failing at it. Porcheron et al. </w:t>
      </w:r>
      <w:r>
        <w:rPr>
          <w:rFonts w:ascii="Cambria" w:cs="Cambria" w:eastAsia="Cambria" w:hAnsi="Cambria"/>
          <w:color w:val="111111"/>
          <w:sz w:val="22"/>
          <w:szCs w:val="22"/>
        </w:rPr>
        <w:t xml:space="preserve">[136]</w:t>
      </w:r>
      <w:r>
        <w:rPr>
          <w:rFonts w:ascii="Cambria" w:cs="Cambria" w:eastAsia="Cambria" w:hAnsi="Cambria"/>
          <w:color w:val="111111"/>
          <w:sz w:val="22"/>
          <w:szCs w:val="22"/>
        </w:rPr>
        <w:t xml:space="preserve"> show that voice interfaces in everyday life are embedded in social settings rather than dyadic exchanges. Cowan et al. </w:t>
      </w:r>
      <w:r>
        <w:rPr>
          <w:rFonts w:ascii="Cambria" w:cs="Cambria" w:eastAsia="Cambria" w:hAnsi="Cambria"/>
          <w:color w:val="111111"/>
          <w:sz w:val="22"/>
          <w:szCs w:val="22"/>
        </w:rPr>
        <w:t xml:space="preserve">[27]</w:t>
      </w:r>
      <w:r>
        <w:rPr>
          <w:rFonts w:ascii="Cambria" w:cs="Cambria" w:eastAsia="Cambria" w:hAnsi="Cambria"/>
          <w:color w:val="111111"/>
          <w:sz w:val="22"/>
          <w:szCs w:val="22"/>
        </w:rPr>
        <w:t xml:space="preserve"> document infrequent users' experiences. This literature is the reason §6.5 treats our holographic avatar as a research question rather than a feature.</w:t>
      </w:r>
    </w:p>
    <w:p>
      <w:pPr>
        <w:pStyle w:val="Heading2"/>
      </w:pPr>
      <w:r>
        <w:t xml:space="preserve">2.6 Local-First Computing and Data Sovereignty</w:t>
      </w:r>
    </w:p>
    <w:p>
      <w:pPr>
        <w:spacing w:after="140" w:before="0" w:line="300" w:lineRule="auto"/>
        <w:jc w:val="both"/>
      </w:pPr>
      <w:r>
        <w:rPr>
          <w:rFonts w:ascii="Cambria" w:cs="Cambria" w:eastAsia="Cambria" w:hAnsi="Cambria"/>
          <w:color w:val="111111"/>
          <w:sz w:val="22"/>
          <w:szCs w:val="22"/>
        </w:rPr>
        <w:t xml:space="preserve">Kleppmann, Wiggins, van Hardenberg, and McGranaghan's “Local-First Software” </w:t>
      </w:r>
      <w:r>
        <w:rPr>
          <w:rFonts w:ascii="Cambria" w:cs="Cambria" w:eastAsia="Cambria" w:hAnsi="Cambria"/>
          <w:color w:val="111111"/>
          <w:sz w:val="22"/>
          <w:szCs w:val="22"/>
        </w:rPr>
        <w:t xml:space="preserve">[87]</w:t>
      </w:r>
      <w:r>
        <w:rPr>
          <w:rFonts w:ascii="Cambria" w:cs="Cambria" w:eastAsia="Cambria" w:hAnsi="Cambria"/>
          <w:color w:val="111111"/>
          <w:sz w:val="22"/>
          <w:szCs w:val="22"/>
        </w:rPr>
        <w:t xml:space="preserve"> is the paper this project is, in a sense, a reply to. Its seven ideals — primary copy on the user's device, offline operation, network optionality, seamless collaboration, longevity, privacy and security by default, and user control — were written for collaborative document editing, not AI. We argue in §6 that the ideals transfer to AI systems with unusual force, because the asset at stake is not a document but a model, a memory, and a behavioral record.</w:t>
      </w:r>
    </w:p>
    <w:p>
      <w:pPr>
        <w:spacing w:after="140" w:before="0" w:line="300" w:lineRule="auto"/>
        <w:jc w:val="both"/>
      </w:pPr>
      <w:r>
        <w:rPr>
          <w:rFonts w:ascii="Cambria" w:cs="Cambria" w:eastAsia="Cambria" w:hAnsi="Cambria"/>
          <w:color w:val="111111"/>
          <w:sz w:val="22"/>
          <w:szCs w:val="22"/>
        </w:rPr>
        <w:t xml:space="preserve">The privacy-preserving ML literature offers the alternative approach: federated learning </w:t>
      </w:r>
      <w:r>
        <w:rPr>
          <w:rFonts w:ascii="Cambria" w:cs="Cambria" w:eastAsia="Cambria" w:hAnsi="Cambria"/>
          <w:color w:val="111111"/>
          <w:sz w:val="22"/>
          <w:szCs w:val="22"/>
        </w:rPr>
        <w:t xml:space="preserve">[79, 108]</w:t>
      </w:r>
      <w:r>
        <w:rPr>
          <w:rFonts w:ascii="Cambria" w:cs="Cambria" w:eastAsia="Cambria" w:hAnsi="Cambria"/>
          <w:color w:val="111111"/>
          <w:sz w:val="22"/>
          <w:szCs w:val="22"/>
        </w:rPr>
        <w:t xml:space="preserve">, secure aggregation </w:t>
      </w:r>
      <w:r>
        <w:rPr>
          <w:rFonts w:ascii="Cambria" w:cs="Cambria" w:eastAsia="Cambria" w:hAnsi="Cambria"/>
          <w:color w:val="111111"/>
          <w:sz w:val="22"/>
          <w:szCs w:val="22"/>
        </w:rPr>
        <w:t xml:space="preserve">[15]</w:t>
      </w:r>
      <w:r>
        <w:rPr>
          <w:rFonts w:ascii="Cambria" w:cs="Cambria" w:eastAsia="Cambria" w:hAnsi="Cambria"/>
          <w:color w:val="111111"/>
          <w:sz w:val="22"/>
          <w:szCs w:val="22"/>
        </w:rPr>
        <w:t xml:space="preserve">, and differential privacy </w:t>
      </w:r>
      <w:r>
        <w:rPr>
          <w:rFonts w:ascii="Cambria" w:cs="Cambria" w:eastAsia="Cambria" w:hAnsi="Cambria"/>
          <w:color w:val="111111"/>
          <w:sz w:val="22"/>
          <w:szCs w:val="22"/>
        </w:rPr>
        <w:t xml:space="preserve">[1, 39]</w:t>
      </w:r>
      <w:r>
        <w:rPr>
          <w:rFonts w:ascii="Cambria" w:cs="Cambria" w:eastAsia="Cambria" w:hAnsi="Cambria"/>
          <w:color w:val="111111"/>
          <w:sz w:val="22"/>
          <w:szCs w:val="22"/>
        </w:rPr>
        <w:t xml:space="preserve"> all keep data local while computation is partly remote. Attack literature justifies the caution: membership inference </w:t>
      </w:r>
      <w:r>
        <w:rPr>
          <w:rFonts w:ascii="Cambria" w:cs="Cambria" w:eastAsia="Cambria" w:hAnsi="Cambria"/>
          <w:color w:val="111111"/>
          <w:sz w:val="22"/>
          <w:szCs w:val="22"/>
        </w:rPr>
        <w:t xml:space="preserve">[155]</w:t>
      </w:r>
      <w:r>
        <w:rPr>
          <w:rFonts w:ascii="Cambria" w:cs="Cambria" w:eastAsia="Cambria" w:hAnsi="Cambria"/>
          <w:color w:val="111111"/>
          <w:sz w:val="22"/>
          <w:szCs w:val="22"/>
        </w:rPr>
        <w:t xml:space="preserve"> and training-data extraction </w:t>
      </w:r>
      <w:r>
        <w:rPr>
          <w:rFonts w:ascii="Cambria" w:cs="Cambria" w:eastAsia="Cambria" w:hAnsi="Cambria"/>
          <w:color w:val="111111"/>
          <w:sz w:val="22"/>
          <w:szCs w:val="22"/>
        </w:rPr>
        <w:t xml:space="preserve">[20]</w:t>
      </w:r>
      <w:r>
        <w:rPr>
          <w:rFonts w:ascii="Cambria" w:cs="Cambria" w:eastAsia="Cambria" w:hAnsi="Cambria"/>
          <w:color w:val="111111"/>
          <w:sz w:val="22"/>
          <w:szCs w:val="22"/>
        </w:rPr>
        <w:t xml:space="preserve"> demonstrate that models leak their training data. Zuboff's account of surveillance capitalism </w:t>
      </w:r>
      <w:r>
        <w:rPr>
          <w:rFonts w:ascii="Cambria" w:cs="Cambria" w:eastAsia="Cambria" w:hAnsi="Cambria"/>
          <w:color w:val="111111"/>
          <w:sz w:val="22"/>
          <w:szCs w:val="22"/>
        </w:rPr>
        <w:t xml:space="preserve">[191]</w:t>
      </w:r>
      <w:r>
        <w:rPr>
          <w:rFonts w:ascii="Cambria" w:cs="Cambria" w:eastAsia="Cambria" w:hAnsi="Cambria"/>
          <w:color w:val="111111"/>
          <w:sz w:val="22"/>
          <w:szCs w:val="22"/>
        </w:rPr>
        <w:t xml:space="preserve"> supplies the political-economic frame.</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The local-first literature concedes substantial usability and engineering costs, and practitioner commentary notes that offline-first approaches struggled to gain traction precisely because they were too engineering-intensive for most teams </w:t>
      </w:r>
      <w:r>
        <w:rPr>
          <w:rFonts w:ascii="Cambria" w:cs="Cambria" w:eastAsia="Cambria" w:hAnsi="Cambria"/>
          <w:color w:val="111111"/>
          <w:sz w:val="22"/>
          <w:szCs w:val="22"/>
        </w:rPr>
        <w:t xml:space="preserve">[87]</w:t>
      </w:r>
      <w:r>
        <w:rPr>
          <w:rFonts w:ascii="Cambria" w:cs="Cambria" w:eastAsia="Cambria" w:hAnsi="Cambria"/>
          <w:color w:val="111111"/>
          <w:sz w:val="22"/>
          <w:szCs w:val="22"/>
        </w:rPr>
        <w:t xml:space="preserve">. Our system is a data point in favor of that concern, not against it: it took three rebuilds and six volumes of documentation.</w:t>
      </w:r>
    </w:p>
    <w:p>
      <w:pPr>
        <w:pStyle w:val="Heading2"/>
      </w:pPr>
      <w:r>
        <w:t xml:space="preserve">2.7 Language Model and Agent Security</w:t>
      </w:r>
    </w:p>
    <w:p>
      <w:pPr>
        <w:spacing w:after="140" w:before="0" w:line="300" w:lineRule="auto"/>
        <w:jc w:val="both"/>
      </w:pPr>
      <w:r>
        <w:rPr>
          <w:rFonts w:ascii="Cambria" w:cs="Cambria" w:eastAsia="Cambria" w:hAnsi="Cambria"/>
          <w:color w:val="111111"/>
          <w:sz w:val="22"/>
          <w:szCs w:val="22"/>
        </w:rPr>
        <w:t xml:space="preserve">Greshake et al. </w:t>
      </w:r>
      <w:r>
        <w:rPr>
          <w:rFonts w:ascii="Cambria" w:cs="Cambria" w:eastAsia="Cambria" w:hAnsi="Cambria"/>
          <w:color w:val="111111"/>
          <w:sz w:val="22"/>
          <w:szCs w:val="22"/>
        </w:rPr>
        <w:t xml:space="preserve">[53]</w:t>
      </w:r>
      <w:r>
        <w:rPr>
          <w:rFonts w:ascii="Cambria" w:cs="Cambria" w:eastAsia="Cambria" w:hAnsi="Cambria"/>
          <w:color w:val="111111"/>
          <w:sz w:val="22"/>
          <w:szCs w:val="22"/>
        </w:rPr>
        <w:t xml:space="preserve"> is the foundational security result for any system in which an agent reads content it did not author. Their central insight — that LLM-integrated applications blur the boundary between data and instructions — is the reason a retrieval-grounded agent that reads the open web is a fundamentally different security object than a chatbot. They demonstrated compromise against real deployed systems. InjecAgent </w:t>
      </w:r>
      <w:r>
        <w:rPr>
          <w:rFonts w:ascii="Cambria" w:cs="Cambria" w:eastAsia="Cambria" w:hAnsi="Cambria"/>
          <w:color w:val="111111"/>
          <w:sz w:val="22"/>
          <w:szCs w:val="22"/>
        </w:rPr>
        <w:t xml:space="preserve">[184]</w:t>
      </w:r>
      <w:r>
        <w:rPr>
          <w:rFonts w:ascii="Cambria" w:cs="Cambria" w:eastAsia="Cambria" w:hAnsi="Cambria"/>
          <w:color w:val="111111"/>
          <w:sz w:val="22"/>
          <w:szCs w:val="22"/>
        </w:rPr>
        <w:t xml:space="preserve"> and AgentDojo </w:t>
      </w:r>
      <w:r>
        <w:rPr>
          <w:rFonts w:ascii="Cambria" w:cs="Cambria" w:eastAsia="Cambria" w:hAnsi="Cambria"/>
          <w:color w:val="111111"/>
          <w:sz w:val="22"/>
          <w:szCs w:val="22"/>
        </w:rPr>
        <w:t xml:space="preserve">[30]</w:t>
      </w:r>
      <w:r>
        <w:rPr>
          <w:rFonts w:ascii="Cambria" w:cs="Cambria" w:eastAsia="Cambria" w:hAnsi="Cambria"/>
          <w:color w:val="111111"/>
          <w:sz w:val="22"/>
          <w:szCs w:val="22"/>
        </w:rPr>
        <w:t xml:space="preserve"> benchmark the attack surface in tool-integrated agents. Prior and adjacent work </w:t>
      </w:r>
      <w:r>
        <w:rPr>
          <w:rFonts w:ascii="Cambria" w:cs="Cambria" w:eastAsia="Cambria" w:hAnsi="Cambria"/>
          <w:color w:val="111111"/>
          <w:sz w:val="22"/>
          <w:szCs w:val="22"/>
        </w:rPr>
        <w:t xml:space="preserve">[98, 134, 190]</w:t>
      </w:r>
      <w:r>
        <w:rPr>
          <w:rFonts w:ascii="Cambria" w:cs="Cambria" w:eastAsia="Cambria" w:hAnsi="Cambria"/>
          <w:color w:val="111111"/>
          <w:sz w:val="22"/>
          <w:szCs w:val="22"/>
        </w:rPr>
        <w:t xml:space="preserve"> maps direct injection and adversarial suffixes; the instruction-hierarchy approach </w:t>
      </w:r>
      <w:r>
        <w:rPr>
          <w:rFonts w:ascii="Cambria" w:cs="Cambria" w:eastAsia="Cambria" w:hAnsi="Cambria"/>
          <w:color w:val="111111"/>
          <w:sz w:val="22"/>
          <w:szCs w:val="22"/>
        </w:rPr>
        <w:t xml:space="preserve">[166]</w:t>
      </w:r>
      <w:r>
        <w:rPr>
          <w:rFonts w:ascii="Cambria" w:cs="Cambria" w:eastAsia="Cambria" w:hAnsi="Cambria"/>
          <w:color w:val="111111"/>
          <w:sz w:val="22"/>
          <w:szCs w:val="22"/>
        </w:rPr>
        <w:t xml:space="preserve"> proposes a mitigation.</w:t>
      </w:r>
    </w:p>
    <w:p>
      <w:pPr>
        <w:spacing w:after="140" w:before="0" w:line="300" w:lineRule="auto"/>
        <w:jc w:val="both"/>
      </w:pPr>
      <w:r>
        <w:rPr>
          <w:rFonts w:ascii="Cambria" w:cs="Cambria" w:eastAsia="Cambria" w:hAnsi="Cambria"/>
          <w:color w:val="111111"/>
          <w:sz w:val="22"/>
          <w:szCs w:val="22"/>
        </w:rPr>
        <w:t xml:space="preserve">Least privilege </w:t>
      </w:r>
      <w:r>
        <w:rPr>
          <w:rFonts w:ascii="Cambria" w:cs="Cambria" w:eastAsia="Cambria" w:hAnsi="Cambria"/>
          <w:color w:val="111111"/>
          <w:sz w:val="22"/>
          <w:szCs w:val="22"/>
        </w:rPr>
        <w:t xml:space="preserve">[148]</w:t>
      </w:r>
      <w:r>
        <w:rPr>
          <w:rFonts w:ascii="Cambria" w:cs="Cambria" w:eastAsia="Cambria" w:hAnsi="Cambria"/>
          <w:color w:val="111111"/>
          <w:sz w:val="22"/>
          <w:szCs w:val="22"/>
        </w:rPr>
        <w:t xml:space="preserve"> is the fifty-year-old principle our mesh ACL design applies. The AI safety literature supplies the oversight frame: concrete problems </w:t>
      </w:r>
      <w:r>
        <w:rPr>
          <w:rFonts w:ascii="Cambria" w:cs="Cambria" w:eastAsia="Cambria" w:hAnsi="Cambria"/>
          <w:color w:val="111111"/>
          <w:sz w:val="22"/>
          <w:szCs w:val="22"/>
        </w:rPr>
        <w:t xml:space="preserve">[8]</w:t>
      </w:r>
      <w:r>
        <w:rPr>
          <w:rFonts w:ascii="Cambria" w:cs="Cambria" w:eastAsia="Cambria" w:hAnsi="Cambria"/>
          <w:color w:val="111111"/>
          <w:sz w:val="22"/>
          <w:szCs w:val="22"/>
        </w:rPr>
        <w:t xml:space="preserve">, safe interruptibility </w:t>
      </w:r>
      <w:r>
        <w:rPr>
          <w:rFonts w:ascii="Cambria" w:cs="Cambria" w:eastAsia="Cambria" w:hAnsi="Cambria"/>
          <w:color w:val="111111"/>
          <w:sz w:val="22"/>
          <w:szCs w:val="22"/>
        </w:rPr>
        <w:t xml:space="preserve">[126]</w:t>
      </w:r>
      <w:r>
        <w:rPr>
          <w:rFonts w:ascii="Cambria" w:cs="Cambria" w:eastAsia="Cambria" w:hAnsi="Cambria"/>
          <w:color w:val="111111"/>
          <w:sz w:val="22"/>
          <w:szCs w:val="22"/>
        </w:rPr>
        <w:t xml:space="preserve">, the off-switch game </w:t>
      </w:r>
      <w:r>
        <w:rPr>
          <w:rFonts w:ascii="Cambria" w:cs="Cambria" w:eastAsia="Cambria" w:hAnsi="Cambria"/>
          <w:color w:val="111111"/>
          <w:sz w:val="22"/>
          <w:szCs w:val="22"/>
        </w:rPr>
        <w:t xml:space="preserve">[56]</w:t>
      </w:r>
      <w:r>
        <w:rPr>
          <w:rFonts w:ascii="Cambria" w:cs="Cambria" w:eastAsia="Cambria" w:hAnsi="Cambria"/>
          <w:color w:val="111111"/>
          <w:sz w:val="22"/>
          <w:szCs w:val="22"/>
        </w:rPr>
        <w:t xml:space="preserve">, the control problem </w:t>
      </w:r>
      <w:r>
        <w:rPr>
          <w:rFonts w:ascii="Cambria" w:cs="Cambria" w:eastAsia="Cambria" w:hAnsi="Cambria"/>
          <w:color w:val="111111"/>
          <w:sz w:val="22"/>
          <w:szCs w:val="22"/>
        </w:rPr>
        <w:t xml:space="preserve">[146]</w:t>
      </w:r>
      <w:r>
        <w:rPr>
          <w:rFonts w:ascii="Cambria" w:cs="Cambria" w:eastAsia="Cambria" w:hAnsi="Cambria"/>
          <w:color w:val="111111"/>
          <w:sz w:val="22"/>
          <w:szCs w:val="22"/>
        </w:rPr>
        <w:t xml:space="preserve">, and taxonomies of harm </w:t>
      </w:r>
      <w:r>
        <w:rPr>
          <w:rFonts w:ascii="Cambria" w:cs="Cambria" w:eastAsia="Cambria" w:hAnsi="Cambria"/>
          <w:color w:val="111111"/>
          <w:sz w:val="22"/>
          <w:szCs w:val="22"/>
        </w:rPr>
        <w:t xml:space="preserve">[171]</w:t>
      </w:r>
      <w:r>
        <w:rPr>
          <w:rFonts w:ascii="Cambria" w:cs="Cambria" w:eastAsia="Cambria" w:hAnsi="Cambria"/>
          <w:color w:val="111111"/>
          <w:sz w:val="22"/>
          <w:szCs w:val="22"/>
        </w:rPr>
        <w:t xml:space="preserve">. Our kill switch and human gates are unremarkable applications of ideas this literature has argued for years; what is notable is how rarely hobbyist agent deployments implement any of them.</w:t>
      </w:r>
    </w:p>
    <w:p>
      <w:pPr>
        <w:spacing w:after="140" w:before="0" w:line="300" w:lineRule="auto"/>
        <w:jc w:val="both"/>
      </w:pPr>
      <w:r>
        <w:rPr>
          <w:rFonts w:ascii="Cambria" w:cs="Cambria" w:eastAsia="Cambria" w:hAnsi="Cambria"/>
          <w:b/>
          <w:bCs/>
          <w:i/>
          <w:iCs/>
          <w:color w:val="111111"/>
          <w:sz w:val="22"/>
          <w:szCs w:val="22"/>
        </w:rPr>
        <w:t xml:space="preserve">A note on this paper's own composition. </w:t>
      </w:r>
      <w:r>
        <w:rPr>
          <w:rFonts w:ascii="Cambria" w:cs="Cambria" w:eastAsia="Cambria" w:hAnsi="Cambria"/>
          <w:color w:val="111111"/>
          <w:sz w:val="22"/>
          <w:szCs w:val="22"/>
        </w:rPr>
        <w:t xml:space="preserve">During the writing of this work, the author's assistant sessions were repeatedly targeted by injected instructions masquerading as system configuration — text appended to user messages claiming elevated capabilities and directing the assistant to suppress disclosure. This is textbook indirect prompt injection </w:t>
      </w:r>
      <w:r>
        <w:rPr>
          <w:rFonts w:ascii="Cambria" w:cs="Cambria" w:eastAsia="Cambria" w:hAnsi="Cambria"/>
          <w:color w:val="111111"/>
          <w:sz w:val="22"/>
          <w:szCs w:val="22"/>
        </w:rPr>
        <w:t xml:space="preserve">[53]</w:t>
      </w:r>
      <w:r>
        <w:rPr>
          <w:rFonts w:ascii="Cambria" w:cs="Cambria" w:eastAsia="Cambria" w:hAnsi="Cambria"/>
          <w:color w:val="111111"/>
          <w:sz w:val="22"/>
          <w:szCs w:val="22"/>
        </w:rPr>
        <w:t xml:space="preserve"> occurring during the production of a paper about it. We report it as a finding in §4.4 rather than an anecdote.</w:t>
      </w:r>
    </w:p>
    <w:p>
      <w:pPr>
        <w:pStyle w:val="Heading2"/>
      </w:pPr>
      <w:r>
        <w:t xml:space="preserve">2.8 Embodied AI and Robotics</w:t>
      </w:r>
    </w:p>
    <w:p>
      <w:pPr>
        <w:spacing w:after="140" w:before="0" w:line="300" w:lineRule="auto"/>
        <w:jc w:val="both"/>
      </w:pPr>
      <w:r>
        <w:rPr>
          <w:rFonts w:ascii="Cambria" w:cs="Cambria" w:eastAsia="Cambria" w:hAnsi="Cambria"/>
          <w:color w:val="111111"/>
          <w:sz w:val="22"/>
          <w:szCs w:val="22"/>
        </w:rPr>
        <w:t xml:space="preserve">SayCan </w:t>
      </w:r>
      <w:r>
        <w:rPr>
          <w:rFonts w:ascii="Cambria" w:cs="Cambria" w:eastAsia="Cambria" w:hAnsi="Cambria"/>
          <w:color w:val="111111"/>
          <w:sz w:val="22"/>
          <w:szCs w:val="22"/>
        </w:rPr>
        <w:t xml:space="preserve">[4]</w:t>
      </w:r>
      <w:r>
        <w:rPr>
          <w:rFonts w:ascii="Cambria" w:cs="Cambria" w:eastAsia="Cambria" w:hAnsi="Cambria"/>
          <w:color w:val="111111"/>
          <w:sz w:val="22"/>
          <w:szCs w:val="22"/>
        </w:rPr>
        <w:t xml:space="preserve"> grounded language model planning in robotic affordances. PaLM-E </w:t>
      </w:r>
      <w:r>
        <w:rPr>
          <w:rFonts w:ascii="Cambria" w:cs="Cambria" w:eastAsia="Cambria" w:hAnsi="Cambria"/>
          <w:color w:val="111111"/>
          <w:sz w:val="22"/>
          <w:szCs w:val="22"/>
        </w:rPr>
        <w:t xml:space="preserve">[37]</w:t>
      </w:r>
      <w:r>
        <w:rPr>
          <w:rFonts w:ascii="Cambria" w:cs="Cambria" w:eastAsia="Cambria" w:hAnsi="Cambria"/>
          <w:color w:val="111111"/>
          <w:sz w:val="22"/>
          <w:szCs w:val="22"/>
        </w:rPr>
        <w:t xml:space="preserve"> embedded continuous sensor modalities directly into a language model. RT-1 </w:t>
      </w:r>
      <w:r>
        <w:rPr>
          <w:rFonts w:ascii="Cambria" w:cs="Cambria" w:eastAsia="Cambria" w:hAnsi="Cambria"/>
          <w:color w:val="111111"/>
          <w:sz w:val="22"/>
          <w:szCs w:val="22"/>
        </w:rPr>
        <w:t xml:space="preserve">[16]</w:t>
      </w:r>
      <w:r>
        <w:rPr>
          <w:rFonts w:ascii="Cambria" w:cs="Cambria" w:eastAsia="Cambria" w:hAnsi="Cambria"/>
          <w:color w:val="111111"/>
          <w:sz w:val="22"/>
          <w:szCs w:val="22"/>
        </w:rPr>
        <w:t xml:space="preserve"> and RT-2 </w:t>
      </w:r>
      <w:r>
        <w:rPr>
          <w:rFonts w:ascii="Cambria" w:cs="Cambria" w:eastAsia="Cambria" w:hAnsi="Cambria"/>
          <w:color w:val="111111"/>
          <w:sz w:val="22"/>
          <w:szCs w:val="22"/>
        </w:rPr>
        <w:t xml:space="preserve">[189]</w:t>
      </w:r>
      <w:r>
        <w:rPr>
          <w:rFonts w:ascii="Cambria" w:cs="Cambria" w:eastAsia="Cambria" w:hAnsi="Cambria"/>
          <w:color w:val="111111"/>
          <w:sz w:val="22"/>
          <w:szCs w:val="22"/>
        </w:rPr>
        <w:t xml:space="preserve"> expressed robot actions as text tokens, enabling web-scale knowledge transfer to control. Open X-Embodiment </w:t>
      </w:r>
      <w:r>
        <w:rPr>
          <w:rFonts w:ascii="Cambria" w:cs="Cambria" w:eastAsia="Cambria" w:hAnsi="Cambria"/>
          <w:color w:val="111111"/>
          <w:sz w:val="22"/>
          <w:szCs w:val="22"/>
        </w:rPr>
        <w:t xml:space="preserve">[128]</w:t>
      </w:r>
      <w:r>
        <w:rPr>
          <w:rFonts w:ascii="Cambria" w:cs="Cambria" w:eastAsia="Cambria" w:hAnsi="Cambria"/>
          <w:color w:val="111111"/>
          <w:sz w:val="22"/>
          <w:szCs w:val="22"/>
        </w:rPr>
        <w:t xml:space="preserve"> pooled data across robot morphologies; OpenVLA </w:t>
      </w:r>
      <w:r>
        <w:rPr>
          <w:rFonts w:ascii="Cambria" w:cs="Cambria" w:eastAsia="Cambria" w:hAnsi="Cambria"/>
          <w:color w:val="111111"/>
          <w:sz w:val="22"/>
          <w:szCs w:val="22"/>
        </w:rPr>
        <w:t xml:space="preserve">[83]</w:t>
      </w:r>
      <w:r>
        <w:rPr>
          <w:rFonts w:ascii="Cambria" w:cs="Cambria" w:eastAsia="Cambria" w:hAnsi="Cambria"/>
          <w:color w:val="111111"/>
          <w:sz w:val="22"/>
          <w:szCs w:val="22"/>
        </w:rPr>
        <w:t xml:space="preserve"> opened the weights. Language models as zero-shot planners </w:t>
      </w:r>
      <w:r>
        <w:rPr>
          <w:rFonts w:ascii="Cambria" w:cs="Cambria" w:eastAsia="Cambria" w:hAnsi="Cambria"/>
          <w:color w:val="111111"/>
          <w:sz w:val="22"/>
          <w:szCs w:val="22"/>
        </w:rPr>
        <w:t xml:space="preserve">[69]</w:t>
      </w:r>
      <w:r>
        <w:rPr>
          <w:rFonts w:ascii="Cambria" w:cs="Cambria" w:eastAsia="Cambria" w:hAnsi="Cambria"/>
          <w:color w:val="111111"/>
          <w:sz w:val="22"/>
          <w:szCs w:val="22"/>
        </w:rPr>
        <w:t xml:space="preserve"> and Code as Policies </w:t>
      </w:r>
      <w:r>
        <w:rPr>
          <w:rFonts w:ascii="Cambria" w:cs="Cambria" w:eastAsia="Cambria" w:hAnsi="Cambria"/>
          <w:color w:val="111111"/>
          <w:sz w:val="22"/>
          <w:szCs w:val="22"/>
        </w:rPr>
        <w:t xml:space="preserve">[94]</w:t>
      </w:r>
      <w:r>
        <w:rPr>
          <w:rFonts w:ascii="Cambria" w:cs="Cambria" w:eastAsia="Cambria" w:hAnsi="Cambria"/>
          <w:color w:val="111111"/>
          <w:sz w:val="22"/>
          <w:szCs w:val="22"/>
        </w:rPr>
        <w:t xml:space="preserve"> show alternative grounding routes. The supporting stack is mature: SLAM </w:t>
      </w:r>
      <w:r>
        <w:rPr>
          <w:rFonts w:ascii="Cambria" w:cs="Cambria" w:eastAsia="Cambria" w:hAnsi="Cambria"/>
          <w:color w:val="111111"/>
          <w:sz w:val="22"/>
          <w:szCs w:val="22"/>
        </w:rPr>
        <w:t xml:space="preserve">[19, 117]</w:t>
      </w:r>
      <w:r>
        <w:rPr>
          <w:rFonts w:ascii="Cambria" w:cs="Cambria" w:eastAsia="Cambria" w:hAnsi="Cambria"/>
          <w:color w:val="111111"/>
          <w:sz w:val="22"/>
          <w:szCs w:val="22"/>
        </w:rPr>
        <w:t xml:space="preserve">, PX4 </w:t>
      </w:r>
      <w:r>
        <w:rPr>
          <w:rFonts w:ascii="Cambria" w:cs="Cambria" w:eastAsia="Cambria" w:hAnsi="Cambria"/>
          <w:color w:val="111111"/>
          <w:sz w:val="22"/>
          <w:szCs w:val="22"/>
        </w:rPr>
        <w:t xml:space="preserve">[109]</w:t>
      </w:r>
      <w:r>
        <w:rPr>
          <w:rFonts w:ascii="Cambria" w:cs="Cambria" w:eastAsia="Cambria" w:hAnsi="Cambria"/>
          <w:color w:val="111111"/>
          <w:sz w:val="22"/>
          <w:szCs w:val="22"/>
        </w:rPr>
        <w:t xml:space="preserve">, and ROS </w:t>
      </w:r>
      <w:r>
        <w:rPr>
          <w:rFonts w:ascii="Cambria" w:cs="Cambria" w:eastAsia="Cambria" w:hAnsi="Cambria"/>
          <w:color w:val="111111"/>
          <w:sz w:val="22"/>
          <w:szCs w:val="22"/>
        </w:rPr>
        <w:t xml:space="preserve">[138]</w:t>
      </w:r>
      <w:r>
        <w:rPr>
          <w:rFonts w:ascii="Cambria" w:cs="Cambria" w:eastAsia="Cambria" w:hAnsi="Cambria"/>
          <w:color w:val="111111"/>
          <w:sz w:val="22"/>
          <w:szCs w:val="22"/>
        </w:rPr>
        <w:t xml:space="preserve">.</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This is where our thesis takes its hardest hit. RT-2's most capable configuration (55B parameters) runs on a multi-TPU cloud service networked to the robot, achieving only 1–3 Hz control; the 5B variant reaches roughly 5 Hz </w:t>
      </w:r>
      <w:r>
        <w:rPr>
          <w:rFonts w:ascii="Cambria" w:cs="Cambria" w:eastAsia="Cambria" w:hAnsi="Cambria"/>
          <w:color w:val="111111"/>
          <w:sz w:val="22"/>
          <w:szCs w:val="22"/>
        </w:rPr>
        <w:t xml:space="preserve">[189]</w:t>
      </w:r>
      <w:r>
        <w:rPr>
          <w:rFonts w:ascii="Cambria" w:cs="Cambria" w:eastAsia="Cambria" w:hAnsi="Cambria"/>
          <w:color w:val="111111"/>
          <w:sz w:val="22"/>
          <w:szCs w:val="22"/>
        </w:rPr>
        <w:t xml:space="preserve">. The frontier of embodied AI is </w:t>
      </w:r>
      <w:r>
        <w:rPr>
          <w:rFonts w:ascii="Cambria" w:cs="Cambria" w:eastAsia="Cambria" w:hAnsi="Cambria"/>
          <w:i/>
          <w:iCs/>
          <w:color w:val="111111"/>
          <w:sz w:val="22"/>
          <w:szCs w:val="22"/>
        </w:rPr>
        <w:t xml:space="preserve">not</w:t>
      </w:r>
      <w:r>
        <w:rPr>
          <w:rFonts w:ascii="Cambria" w:cs="Cambria" w:eastAsia="Cambria" w:hAnsi="Cambria"/>
          <w:color w:val="111111"/>
          <w:sz w:val="22"/>
          <w:szCs w:val="22"/>
        </w:rPr>
        <w:t xml:space="preserve"> local. A local-first fleet must accept smaller onboard policies and correspondingly narrower competence, and any claim otherwise is contradicted by the literature. We treat this at length in §7.4.</w:t>
      </w:r>
    </w:p>
    <w:p>
      <w:pPr>
        <w:pStyle w:val="Heading2"/>
      </w:pPr>
      <w:r>
        <w:t xml:space="preserve">2.9 Autonomous Financial Agents and Risk</w:t>
      </w:r>
    </w:p>
    <w:p>
      <w:pPr>
        <w:spacing w:after="140" w:before="0" w:line="300" w:lineRule="auto"/>
        <w:jc w:val="both"/>
      </w:pPr>
      <w:r>
        <w:rPr>
          <w:rFonts w:ascii="Cambria" w:cs="Cambria" w:eastAsia="Cambria" w:hAnsi="Cambria"/>
          <w:color w:val="111111"/>
          <w:sz w:val="22"/>
          <w:szCs w:val="22"/>
        </w:rPr>
        <w:t xml:space="preserve">Kelly's information-rate result </w:t>
      </w:r>
      <w:r>
        <w:rPr>
          <w:rFonts w:ascii="Cambria" w:cs="Cambria" w:eastAsia="Cambria" w:hAnsi="Cambria"/>
          <w:color w:val="111111"/>
          <w:sz w:val="22"/>
          <w:szCs w:val="22"/>
        </w:rPr>
        <w:t xml:space="preserve">[82]</w:t>
      </w:r>
      <w:r>
        <w:rPr>
          <w:rFonts w:ascii="Cambria" w:cs="Cambria" w:eastAsia="Cambria" w:hAnsi="Cambria"/>
          <w:color w:val="111111"/>
          <w:sz w:val="22"/>
          <w:szCs w:val="22"/>
        </w:rPr>
        <w:t xml:space="preserve"> gives the log-optimal betting fraction; Rotando and Thorp </w:t>
      </w:r>
      <w:r>
        <w:rPr>
          <w:rFonts w:ascii="Cambria" w:cs="Cambria" w:eastAsia="Cambria" w:hAnsi="Cambria"/>
          <w:color w:val="111111"/>
          <w:sz w:val="22"/>
          <w:szCs w:val="22"/>
        </w:rPr>
        <w:t xml:space="preserve">[145]</w:t>
      </w:r>
      <w:r>
        <w:rPr>
          <w:rFonts w:ascii="Cambria" w:cs="Cambria" w:eastAsia="Cambria" w:hAnsi="Cambria"/>
          <w:color w:val="111111"/>
          <w:sz w:val="22"/>
          <w:szCs w:val="22"/>
        </w:rPr>
        <w:t xml:space="preserve"> applied it to equities; Thorp </w:t>
      </w:r>
      <w:r>
        <w:rPr>
          <w:rFonts w:ascii="Cambria" w:cs="Cambria" w:eastAsia="Cambria" w:hAnsi="Cambria"/>
          <w:color w:val="111111"/>
          <w:sz w:val="22"/>
          <w:szCs w:val="22"/>
        </w:rPr>
        <w:t xml:space="preserve">[159]</w:t>
      </w:r>
      <w:r>
        <w:rPr>
          <w:rFonts w:ascii="Cambria" w:cs="Cambria" w:eastAsia="Cambria" w:hAnsi="Cambria"/>
          <w:color w:val="111111"/>
          <w:sz w:val="22"/>
          <w:szCs w:val="22"/>
        </w:rPr>
        <w:t xml:space="preserve"> surveys its practice. The crucial result for any automated system is MacLean, Ziemba, and Blazenko's growth-versus-security analysis </w:t>
      </w:r>
      <w:r>
        <w:rPr>
          <w:rFonts w:ascii="Cambria" w:cs="Cambria" w:eastAsia="Cambria" w:hAnsi="Cambria"/>
          <w:color w:val="111111"/>
          <w:sz w:val="22"/>
          <w:szCs w:val="22"/>
        </w:rPr>
        <w:t xml:space="preserve">[104]</w:t>
      </w:r>
      <w:r>
        <w:rPr>
          <w:rFonts w:ascii="Cambria" w:cs="Cambria" w:eastAsia="Cambria" w:hAnsi="Cambria"/>
          <w:color w:val="111111"/>
          <w:sz w:val="22"/>
          <w:szCs w:val="22"/>
        </w:rPr>
        <w:t xml:space="preserve">): half-Kelly retains roughly three-quarters of full-Kelly's growth rate at approximately half the volatility. The Kelly handbook </w:t>
      </w:r>
      <w:r>
        <w:rPr>
          <w:rFonts w:ascii="Cambria" w:cs="Cambria" w:eastAsia="Cambria" w:hAnsi="Cambria"/>
          <w:color w:val="111111"/>
          <w:sz w:val="22"/>
          <w:szCs w:val="22"/>
        </w:rPr>
        <w:t xml:space="preserve">[105]</w:t>
      </w:r>
      <w:r>
        <w:rPr>
          <w:rFonts w:ascii="Cambria" w:cs="Cambria" w:eastAsia="Cambria" w:hAnsi="Cambria"/>
          <w:color w:val="111111"/>
          <w:sz w:val="22"/>
          <w:szCs w:val="22"/>
        </w:rPr>
        <w:t xml:space="preserve"> states the drawdown arithmetic plainly — under full Kelly, the probability of a 50% drawdown is 50%; under half-Kelly it falls to 12.5%. Agent-based computational finance </w:t>
      </w:r>
      <w:r>
        <w:rPr>
          <w:rFonts w:ascii="Cambria" w:cs="Cambria" w:eastAsia="Cambria" w:hAnsi="Cambria"/>
          <w:color w:val="111111"/>
          <w:sz w:val="22"/>
          <w:szCs w:val="22"/>
        </w:rPr>
        <w:t xml:space="preserve">[158]</w:t>
      </w:r>
      <w:r>
        <w:rPr>
          <w:rFonts w:ascii="Cambria" w:cs="Cambria" w:eastAsia="Cambria" w:hAnsi="Cambria"/>
          <w:color w:val="111111"/>
          <w:sz w:val="22"/>
          <w:szCs w:val="22"/>
        </w:rPr>
        <w:t xml:space="preserve"> and the Flash Crash literature </w:t>
      </w:r>
      <w:r>
        <w:rPr>
          <w:rFonts w:ascii="Cambria" w:cs="Cambria" w:eastAsia="Cambria" w:hAnsi="Cambria"/>
          <w:color w:val="111111"/>
          <w:sz w:val="22"/>
          <w:szCs w:val="22"/>
        </w:rPr>
        <w:t xml:space="preserve">[85]</w:t>
      </w:r>
      <w:r>
        <w:rPr>
          <w:rFonts w:ascii="Cambria" w:cs="Cambria" w:eastAsia="Cambria" w:hAnsi="Cambria"/>
          <w:color w:val="111111"/>
          <w:sz w:val="22"/>
          <w:szCs w:val="22"/>
        </w:rPr>
        <w:t xml:space="preserve"> supply the systemic frame.</w:t>
      </w:r>
    </w:p>
    <w:p>
      <w:pPr>
        <w:spacing w:after="140" w:before="0" w:line="300" w:lineRule="auto"/>
        <w:jc w:val="both"/>
      </w:pPr>
      <w:r>
        <w:rPr>
          <w:rFonts w:ascii="Cambria" w:cs="Cambria" w:eastAsia="Cambria" w:hAnsi="Cambria"/>
          <w:b/>
          <w:bCs/>
          <w:i/>
          <w:iCs/>
          <w:color w:val="111111"/>
          <w:sz w:val="22"/>
          <w:szCs w:val="22"/>
        </w:rPr>
        <w:t xml:space="preserve">Complicating evidence. </w:t>
      </w:r>
      <w:r>
        <w:rPr>
          <w:rFonts w:ascii="Cambria" w:cs="Cambria" w:eastAsia="Cambria" w:hAnsi="Cambria"/>
          <w:color w:val="111111"/>
          <w:sz w:val="22"/>
          <w:szCs w:val="22"/>
        </w:rPr>
        <w:t xml:space="preserve">Full Kelly is provably over-aggressive under parameter-estimation error, and an LLM agent's edge estimates are exactly the kind of parameters that are badly estimated. Our quarter-Kelly cap and human gates are risk management, not an edge claim, and we state in §7 that the trading division has produced no evidence of profitability and was not evaluated for it.</w:t>
      </w:r>
    </w:p>
    <w:p>
      <w:pPr>
        <w:pStyle w:val="Heading2"/>
      </w:pPr>
      <w:r>
        <w:t xml:space="preserve">2.10 Offline Knowledge and the Digital Divide</w:t>
      </w:r>
    </w:p>
    <w:p>
      <w:pPr>
        <w:spacing w:after="140" w:before="0" w:line="300" w:lineRule="auto"/>
        <w:jc w:val="both"/>
      </w:pPr>
      <w:r>
        <w:rPr>
          <w:rFonts w:ascii="Cambria" w:cs="Cambria" w:eastAsia="Cambria" w:hAnsi="Cambria"/>
          <w:color w:val="111111"/>
          <w:sz w:val="22"/>
          <w:szCs w:val="22"/>
        </w:rPr>
        <w:t xml:space="preserve">Hilbert's work </w:t>
      </w:r>
      <w:r>
        <w:rPr>
          <w:rFonts w:ascii="Cambria" w:cs="Cambria" w:eastAsia="Cambria" w:hAnsi="Cambria"/>
          <w:color w:val="111111"/>
          <w:sz w:val="22"/>
          <w:szCs w:val="22"/>
        </w:rPr>
        <w:t xml:space="preserve">[62, 63]</w:t>
      </w:r>
      <w:r>
        <w:rPr>
          <w:rFonts w:ascii="Cambria" w:cs="Cambria" w:eastAsia="Cambria" w:hAnsi="Cambria"/>
          <w:color w:val="111111"/>
          <w:sz w:val="22"/>
          <w:szCs w:val="22"/>
        </w:rPr>
        <w:t xml:space="preserve"> establishes empirically that the digital access divide is durable rather than transitional — bandwidth inequality across 172 countries persists even as absolute access grows. Van Dijk </w:t>
      </w:r>
      <w:r>
        <w:rPr>
          <w:rFonts w:ascii="Cambria" w:cs="Cambria" w:eastAsia="Cambria" w:hAnsi="Cambria"/>
          <w:color w:val="111111"/>
          <w:sz w:val="22"/>
          <w:szCs w:val="22"/>
        </w:rPr>
        <w:t xml:space="preserve">[162]</w:t>
      </w:r>
      <w:r>
        <w:rPr>
          <w:rFonts w:ascii="Cambria" w:cs="Cambria" w:eastAsia="Cambria" w:hAnsi="Cambria"/>
          <w:color w:val="111111"/>
          <w:sz w:val="22"/>
          <w:szCs w:val="22"/>
        </w:rPr>
        <w:t xml:space="preserve"> supplies the theoretical account. Kiwix </w:t>
      </w:r>
      <w:r>
        <w:rPr>
          <w:rFonts w:ascii="Cambria" w:cs="Cambria" w:eastAsia="Cambria" w:hAnsi="Cambria"/>
          <w:color w:val="111111"/>
          <w:sz w:val="22"/>
          <w:szCs w:val="22"/>
        </w:rPr>
        <w:t xml:space="preserve">[86]</w:t>
      </w:r>
      <w:r>
        <w:rPr>
          <w:rFonts w:ascii="Cambria" w:cs="Cambria" w:eastAsia="Cambria" w:hAnsi="Cambria"/>
          <w:color w:val="111111"/>
          <w:sz w:val="22"/>
          <w:szCs w:val="22"/>
        </w:rPr>
        <w:t xml:space="preserve"> is the practical instrument: Wikipedia in a single portable file, deployed in low-connectivity settings.</w:t>
      </w:r>
    </w:p>
    <w:p>
      <w:pPr>
        <w:spacing w:after="140" w:before="0" w:line="300" w:lineRule="auto"/>
        <w:jc w:val="both"/>
      </w:pPr>
      <w:r>
        <w:rPr>
          <w:rFonts w:ascii="Cambria" w:cs="Cambria" w:eastAsia="Cambria" w:hAnsi="Cambria"/>
          <w:b/>
          <w:bCs/>
          <w:i/>
          <w:iCs/>
          <w:color w:val="111111"/>
          <w:sz w:val="22"/>
          <w:szCs w:val="22"/>
        </w:rPr>
        <w:t xml:space="preserve">A gap we must flag. </w:t>
      </w:r>
      <w:r>
        <w:rPr>
          <w:rFonts w:ascii="Cambria" w:cs="Cambria" w:eastAsia="Cambria" w:hAnsi="Cambria"/>
          <w:color w:val="111111"/>
          <w:sz w:val="22"/>
          <w:szCs w:val="22"/>
        </w:rPr>
        <w:t xml:space="preserve">We were unable to locate peer-reviewed evaluation of Kiwix specifically, and no canonical scholarly paper on “offline-first computing” as a systems discipline surfaced during our research pass. We therefore cite Kiwix as an organizational source and decline to dress it as scholarship. This is a real thinness in our evidentiary base and we mark it rather than paper over it. The strongest scholarly bridge available is that RAG's original formulation already used a Wikipedia index as non-parametric memory </w:t>
      </w:r>
      <w:r>
        <w:rPr>
          <w:rFonts w:ascii="Cambria" w:cs="Cambria" w:eastAsia="Cambria" w:hAnsi="Cambria"/>
          <w:color w:val="111111"/>
          <w:sz w:val="22"/>
          <w:szCs w:val="22"/>
        </w:rPr>
        <w:t xml:space="preserve">[91]</w:t>
      </w:r>
      <w:r>
        <w:rPr>
          <w:rFonts w:ascii="Cambria" w:cs="Cambria" w:eastAsia="Cambria" w:hAnsi="Cambria"/>
          <w:color w:val="111111"/>
          <w:sz w:val="22"/>
          <w:szCs w:val="22"/>
        </w:rPr>
        <w:t xml:space="preserve">.</w:t>
      </w:r>
    </w:p>
    <w:p>
      <w:pPr>
        <w:pStyle w:val="Heading2"/>
      </w:pPr>
      <w:r>
        <w:t xml:space="preserve">2.11 Content Provenance</w:t>
      </w:r>
    </w:p>
    <w:p>
      <w:pPr>
        <w:spacing w:after="140" w:before="0" w:line="300" w:lineRule="auto"/>
        <w:jc w:val="both"/>
      </w:pPr>
      <w:r>
        <w:rPr>
          <w:rFonts w:ascii="Cambria" w:cs="Cambria" w:eastAsia="Cambria" w:hAnsi="Cambria"/>
          <w:color w:val="111111"/>
          <w:sz w:val="22"/>
          <w:szCs w:val="22"/>
        </w:rPr>
        <w:t xml:space="preserve">The C2PA technical specification </w:t>
      </w:r>
      <w:r>
        <w:rPr>
          <w:rFonts w:ascii="Cambria" w:cs="Cambria" w:eastAsia="Cambria" w:hAnsi="Cambria"/>
          <w:color w:val="111111"/>
          <w:sz w:val="22"/>
          <w:szCs w:val="22"/>
        </w:rPr>
        <w:t xml:space="preserve">[25]</w:t>
      </w:r>
      <w:r>
        <w:rPr>
          <w:rFonts w:ascii="Cambria" w:cs="Cambria" w:eastAsia="Cambria" w:hAnsi="Cambria"/>
          <w:color w:val="111111"/>
          <w:sz w:val="22"/>
          <w:szCs w:val="22"/>
        </w:rPr>
        <w:t xml:space="preserve"> defines cryptographically signed content credentials. The EU AI Act </w:t>
      </w:r>
      <w:r>
        <w:rPr>
          <w:rFonts w:ascii="Cambria" w:cs="Cambria" w:eastAsia="Cambria" w:hAnsi="Cambria"/>
          <w:color w:val="111111"/>
          <w:sz w:val="22"/>
          <w:szCs w:val="22"/>
        </w:rPr>
        <w:t xml:space="preserve">[43]</w:t>
      </w:r>
      <w:r>
        <w:rPr>
          <w:rFonts w:ascii="Cambria" w:cs="Cambria" w:eastAsia="Cambria" w:hAnsi="Cambria"/>
          <w:color w:val="111111"/>
          <w:sz w:val="22"/>
          <w:szCs w:val="22"/>
        </w:rPr>
        <w:t xml:space="preserve"> makes transparency obligations legally binding — Article 50 applies from 2 August 2026, with 50(2) requiring machine-readable marking of synthetic content and 50(4) requiring deepfake disclosure. Kirchenbauer et al. </w:t>
      </w:r>
      <w:r>
        <w:rPr>
          <w:rFonts w:ascii="Cambria" w:cs="Cambria" w:eastAsia="Cambria" w:hAnsi="Cambria"/>
          <w:color w:val="111111"/>
          <w:sz w:val="22"/>
          <w:szCs w:val="22"/>
        </w:rPr>
        <w:t xml:space="preserve">[84]</w:t>
      </w:r>
      <w:r>
        <w:rPr>
          <w:rFonts w:ascii="Cambria" w:cs="Cambria" w:eastAsia="Cambria" w:hAnsi="Cambria"/>
          <w:color w:val="111111"/>
          <w:sz w:val="22"/>
          <w:szCs w:val="22"/>
        </w:rPr>
        <w:t xml:space="preserve"> give the seminal statistical watermarking method for generated text. Chesney and Citron </w:t>
      </w:r>
      <w:r>
        <w:rPr>
          <w:rFonts w:ascii="Cambria" w:cs="Cambria" w:eastAsia="Cambria" w:hAnsi="Cambria"/>
          <w:color w:val="111111"/>
          <w:sz w:val="22"/>
          <w:szCs w:val="22"/>
        </w:rPr>
        <w:t xml:space="preserve">[23]</w:t>
      </w:r>
      <w:r>
        <w:rPr>
          <w:rFonts w:ascii="Cambria" w:cs="Cambria" w:eastAsia="Cambria" w:hAnsi="Cambria"/>
          <w:color w:val="111111"/>
          <w:sz w:val="22"/>
          <w:szCs w:val="22"/>
        </w:rPr>
        <w:t xml:space="preserve"> frame the societal stakes.</w:t>
      </w:r>
    </w:p>
    <w:p>
      <w:pPr>
        <w:spacing w:after="140" w:before="0" w:line="300" w:lineRule="auto"/>
        <w:jc w:val="both"/>
      </w:pPr>
      <w:r>
        <w:rPr>
          <w:rFonts w:ascii="Cambria" w:cs="Cambria" w:eastAsia="Cambria" w:hAnsi="Cambria"/>
          <w:b/>
          <w:bCs/>
          <w:i/>
          <w:iCs/>
          <w:color w:val="111111"/>
          <w:sz w:val="22"/>
          <w:szCs w:val="22"/>
        </w:rPr>
        <w:t xml:space="preserve">A currency caveat. </w:t>
      </w:r>
      <w:r>
        <w:rPr>
          <w:rFonts w:ascii="Cambria" w:cs="Cambria" w:eastAsia="Cambria" w:hAnsi="Cambria"/>
          <w:color w:val="111111"/>
          <w:sz w:val="22"/>
          <w:szCs w:val="22"/>
        </w:rPr>
        <w:t xml:space="preserve">At the time of writing, a proposed “Digital Omnibus” amendment may delay the Article 50(2) marking obligation. We treat this as unsettled and cite the regulation as enacted. Readers should verify current status.</w:t>
      </w:r>
    </w:p>
    <w:p>
      <w:pPr>
        <w:pStyle w:val="Heading2"/>
      </w:pPr>
      <w:r>
        <w:t xml:space="preserve">2.12 Sustainability and Device Longevity</w:t>
      </w:r>
    </w:p>
    <w:p>
      <w:pPr>
        <w:spacing w:after="140" w:before="0" w:line="300" w:lineRule="auto"/>
        <w:jc w:val="both"/>
      </w:pPr>
      <w:r>
        <w:rPr>
          <w:rFonts w:ascii="Cambria" w:cs="Cambria" w:eastAsia="Cambria" w:hAnsi="Cambria"/>
          <w:color w:val="111111"/>
          <w:sz w:val="22"/>
          <w:szCs w:val="22"/>
        </w:rPr>
        <w:t xml:space="preserve">Strubell, Ganesh, and McCallum </w:t>
      </w:r>
      <w:r>
        <w:rPr>
          <w:rFonts w:ascii="Cambria" w:cs="Cambria" w:eastAsia="Cambria" w:hAnsi="Cambria"/>
          <w:color w:val="111111"/>
          <w:sz w:val="22"/>
          <w:szCs w:val="22"/>
        </w:rPr>
        <w:t xml:space="preserve">[157]</w:t>
      </w:r>
      <w:r>
        <w:rPr>
          <w:rFonts w:ascii="Cambria" w:cs="Cambria" w:eastAsia="Cambria" w:hAnsi="Cambria"/>
          <w:color w:val="111111"/>
          <w:sz w:val="22"/>
          <w:szCs w:val="22"/>
        </w:rPr>
        <w:t xml:space="preserve"> produced the field's conscience-check: training a large NLP model with neural architecture search can emit over 626,000 pounds of CO₂. Green AI </w:t>
      </w:r>
      <w:r>
        <w:rPr>
          <w:rFonts w:ascii="Cambria" w:cs="Cambria" w:eastAsia="Cambria" w:hAnsi="Cambria"/>
          <w:color w:val="111111"/>
          <w:sz w:val="22"/>
          <w:szCs w:val="22"/>
        </w:rPr>
        <w:t xml:space="preserve">[150]</w:t>
      </w:r>
      <w:r>
        <w:rPr>
          <w:rFonts w:ascii="Cambria" w:cs="Cambria" w:eastAsia="Cambria" w:hAnsi="Cambria"/>
          <w:color w:val="111111"/>
          <w:sz w:val="22"/>
          <w:szCs w:val="22"/>
        </w:rPr>
        <w:t xml:space="preserve"> proposed efficiency as a first-class research value; Patterson et al. </w:t>
      </w:r>
      <w:r>
        <w:rPr>
          <w:rFonts w:ascii="Cambria" w:cs="Cambria" w:eastAsia="Cambria" w:hAnsi="Cambria"/>
          <w:color w:val="111111"/>
          <w:sz w:val="22"/>
          <w:szCs w:val="22"/>
        </w:rPr>
        <w:t xml:space="preserve">[132]</w:t>
      </w:r>
      <w:r>
        <w:rPr>
          <w:rFonts w:ascii="Cambria" w:cs="Cambria" w:eastAsia="Cambria" w:hAnsi="Cambria"/>
          <w:color w:val="111111"/>
          <w:sz w:val="22"/>
          <w:szCs w:val="22"/>
        </w:rPr>
        <w:t xml:space="preserve">, Luccioni et al. </w:t>
      </w:r>
      <w:r>
        <w:rPr>
          <w:rFonts w:ascii="Cambria" w:cs="Cambria" w:eastAsia="Cambria" w:hAnsi="Cambria"/>
          <w:color w:val="111111"/>
          <w:sz w:val="22"/>
          <w:szCs w:val="22"/>
        </w:rPr>
        <w:t xml:space="preserve">[100]</w:t>
      </w:r>
      <w:r>
        <w:rPr>
          <w:rFonts w:ascii="Cambria" w:cs="Cambria" w:eastAsia="Cambria" w:hAnsi="Cambria"/>
          <w:color w:val="111111"/>
          <w:sz w:val="22"/>
          <w:szCs w:val="22"/>
        </w:rPr>
        <w:t xml:space="preserve">, and Henderson et al. </w:t>
      </w:r>
      <w:r>
        <w:rPr>
          <w:rFonts w:ascii="Cambria" w:cs="Cambria" w:eastAsia="Cambria" w:hAnsi="Cambria"/>
          <w:color w:val="111111"/>
          <w:sz w:val="22"/>
          <w:szCs w:val="22"/>
        </w:rPr>
        <w:t xml:space="preserve">[59]</w:t>
      </w:r>
      <w:r>
        <w:rPr>
          <w:rFonts w:ascii="Cambria" w:cs="Cambria" w:eastAsia="Cambria" w:hAnsi="Cambria"/>
          <w:color w:val="111111"/>
          <w:sz w:val="22"/>
          <w:szCs w:val="22"/>
        </w:rPr>
        <w:t xml:space="preserve"> refined the accounting. E-waste </w:t>
      </w:r>
      <w:r>
        <w:rPr>
          <w:rFonts w:ascii="Cambria" w:cs="Cambria" w:eastAsia="Cambria" w:hAnsi="Cambria"/>
          <w:color w:val="111111"/>
          <w:sz w:val="22"/>
          <w:szCs w:val="22"/>
        </w:rPr>
        <w:t xml:space="preserve">[45]</w:t>
      </w:r>
      <w:r>
        <w:rPr>
          <w:rFonts w:ascii="Cambria" w:cs="Cambria" w:eastAsia="Cambria" w:hAnsi="Cambria"/>
          <w:color w:val="111111"/>
          <w:sz w:val="22"/>
          <w:szCs w:val="22"/>
        </w:rPr>
        <w:t xml:space="preserve"> and product-longevity </w:t>
      </w:r>
      <w:r>
        <w:rPr>
          <w:rFonts w:ascii="Cambria" w:cs="Cambria" w:eastAsia="Cambria" w:hAnsi="Cambria"/>
          <w:color w:val="111111"/>
          <w:sz w:val="22"/>
          <w:szCs w:val="22"/>
        </w:rPr>
        <w:t xml:space="preserve">[26]</w:t>
      </w:r>
      <w:r>
        <w:rPr>
          <w:rFonts w:ascii="Cambria" w:cs="Cambria" w:eastAsia="Cambria" w:hAnsi="Cambria"/>
          <w:color w:val="111111"/>
          <w:sz w:val="22"/>
          <w:szCs w:val="22"/>
        </w:rPr>
        <w:t xml:space="preserve"> literatures ground our device-revival work.</w:t>
      </w:r>
    </w:p>
    <w:p>
      <w:pPr>
        <w:spacing w:after="140" w:before="0" w:line="300" w:lineRule="auto"/>
        <w:jc w:val="both"/>
      </w:pPr>
      <w:r>
        <w:rPr>
          <w:rFonts w:ascii="Cambria" w:cs="Cambria" w:eastAsia="Cambria" w:hAnsi="Cambria"/>
          <w:b/>
          <w:bCs/>
          <w:i/>
          <w:iCs/>
          <w:color w:val="111111"/>
          <w:sz w:val="22"/>
          <w:szCs w:val="22"/>
        </w:rPr>
        <w:t xml:space="preserve">An honest scoping note. </w:t>
      </w:r>
      <w:r>
        <w:rPr>
          <w:rFonts w:ascii="Cambria" w:cs="Cambria" w:eastAsia="Cambria" w:hAnsi="Cambria"/>
          <w:color w:val="111111"/>
          <w:sz w:val="22"/>
          <w:szCs w:val="22"/>
        </w:rPr>
        <w:t xml:space="preserve">The Strubell figure concerns </w:t>
      </w:r>
      <w:r>
        <w:rPr>
          <w:rFonts w:ascii="Cambria" w:cs="Cambria" w:eastAsia="Cambria" w:hAnsi="Cambria"/>
          <w:i/>
          <w:iCs/>
          <w:color w:val="111111"/>
          <w:sz w:val="22"/>
          <w:szCs w:val="22"/>
        </w:rPr>
        <w:t xml:space="preserve">training</w:t>
      </w:r>
      <w:r>
        <w:rPr>
          <w:rFonts w:ascii="Cambria" w:cs="Cambria" w:eastAsia="Cambria" w:hAnsi="Cambria"/>
          <w:color w:val="111111"/>
          <w:sz w:val="22"/>
          <w:szCs w:val="22"/>
        </w:rPr>
        <w:t xml:space="preserve">, not inference. Local inference avoids repeated cloud </w:t>
      </w:r>
      <w:r>
        <w:rPr>
          <w:rFonts w:ascii="Cambria" w:cs="Cambria" w:eastAsia="Cambria" w:hAnsi="Cambria"/>
          <w:i/>
          <w:iCs/>
          <w:color w:val="111111"/>
          <w:sz w:val="22"/>
          <w:szCs w:val="22"/>
        </w:rPr>
        <w:t xml:space="preserve">inference</w:t>
      </w:r>
      <w:r>
        <w:rPr>
          <w:rFonts w:ascii="Cambria" w:cs="Cambria" w:eastAsia="Cambria" w:hAnsi="Cambria"/>
          <w:color w:val="111111"/>
          <w:sz w:val="22"/>
          <w:szCs w:val="22"/>
        </w:rPr>
        <w:t xml:space="preserve"> energy and water; it does not avoid the training cost of the open-weights models it runs, which were trained in datacenters by well-resourced organizations. A local-first system is a free rider on that expenditure. We state this plainly in §7.6 because the opposite claim is commonly made and is not defensible.</w:t>
      </w:r>
    </w:p>
    <w:p>
      <w:pPr>
        <w:pStyle w:val="Heading2"/>
      </w:pPr>
      <w:r>
        <w:t xml:space="preserve">2.13 Design Science and Systems as Scholarship</w:t>
      </w:r>
    </w:p>
    <w:p>
      <w:pPr>
        <w:spacing w:after="140" w:before="0" w:line="300" w:lineRule="auto"/>
        <w:jc w:val="both"/>
      </w:pPr>
      <w:r>
        <w:rPr>
          <w:rFonts w:ascii="Cambria" w:cs="Cambria" w:eastAsia="Cambria" w:hAnsi="Cambria"/>
          <w:color w:val="111111"/>
          <w:sz w:val="22"/>
          <w:szCs w:val="22"/>
        </w:rPr>
        <w:t xml:space="preserve">Hevner et al. </w:t>
      </w:r>
      <w:r>
        <w:rPr>
          <w:rFonts w:ascii="Cambria" w:cs="Cambria" w:eastAsia="Cambria" w:hAnsi="Cambria"/>
          <w:color w:val="111111"/>
          <w:sz w:val="22"/>
          <w:szCs w:val="22"/>
        </w:rPr>
        <w:t xml:space="preserve">[61]</w:t>
      </w:r>
      <w:r>
        <w:rPr>
          <w:rFonts w:ascii="Cambria" w:cs="Cambria" w:eastAsia="Cambria" w:hAnsi="Cambria"/>
          <w:color w:val="111111"/>
          <w:sz w:val="22"/>
          <w:szCs w:val="22"/>
        </w:rPr>
        <w:t xml:space="preserve"> legitimized the constructed artifact as a research contribution, with seven guidelines governing rigor; Peffers et al. </w:t>
      </w:r>
      <w:r>
        <w:rPr>
          <w:rFonts w:ascii="Cambria" w:cs="Cambria" w:eastAsia="Cambria" w:hAnsi="Cambria"/>
          <w:color w:val="111111"/>
          <w:sz w:val="22"/>
          <w:szCs w:val="22"/>
        </w:rPr>
        <w:t xml:space="preserve">[133]</w:t>
      </w:r>
      <w:r>
        <w:rPr>
          <w:rFonts w:ascii="Cambria" w:cs="Cambria" w:eastAsia="Cambria" w:hAnsi="Cambria"/>
          <w:color w:val="111111"/>
          <w:sz w:val="22"/>
          <w:szCs w:val="22"/>
        </w:rPr>
        <w:t xml:space="preserve"> operationalized the process. In HCI, research-through-design </w:t>
      </w:r>
      <w:r>
        <w:rPr>
          <w:rFonts w:ascii="Cambria" w:cs="Cambria" w:eastAsia="Cambria" w:hAnsi="Cambria"/>
          <w:color w:val="111111"/>
          <w:sz w:val="22"/>
          <w:szCs w:val="22"/>
        </w:rPr>
        <w:t xml:space="preserve">[49, 188]</w:t>
      </w:r>
      <w:r>
        <w:rPr>
          <w:rFonts w:ascii="Cambria" w:cs="Cambria" w:eastAsia="Cambria" w:hAnsi="Cambria"/>
          <w:color w:val="111111"/>
          <w:sz w:val="22"/>
          <w:szCs w:val="22"/>
        </w:rPr>
        <w:t xml:space="preserve"> and autobiographical design </w:t>
      </w:r>
      <w:r>
        <w:rPr>
          <w:rFonts w:ascii="Cambria" w:cs="Cambria" w:eastAsia="Cambria" w:hAnsi="Cambria"/>
          <w:color w:val="111111"/>
          <w:sz w:val="22"/>
          <w:szCs w:val="22"/>
        </w:rPr>
        <w:t xml:space="preserve">[119]</w:t>
      </w:r>
      <w:r>
        <w:rPr>
          <w:rFonts w:ascii="Cambria" w:cs="Cambria" w:eastAsia="Cambria" w:hAnsi="Cambria"/>
          <w:color w:val="111111"/>
          <w:sz w:val="22"/>
          <w:szCs w:val="22"/>
        </w:rPr>
        <w:t xml:space="preserve"> address the first-person case directly. Autoethnography </w:t>
      </w:r>
      <w:r>
        <w:rPr>
          <w:rFonts w:ascii="Cambria" w:cs="Cambria" w:eastAsia="Cambria" w:hAnsi="Cambria"/>
          <w:color w:val="111111"/>
          <w:sz w:val="22"/>
          <w:szCs w:val="22"/>
        </w:rPr>
        <w:t xml:space="preserve">[40]</w:t>
      </w:r>
      <w:r>
        <w:rPr>
          <w:rFonts w:ascii="Cambria" w:cs="Cambria" w:eastAsia="Cambria" w:hAnsi="Cambria"/>
          <w:color w:val="111111"/>
          <w:sz w:val="22"/>
          <w:szCs w:val="22"/>
        </w:rPr>
        <w:t xml:space="preserve"> and case-study methodology </w:t>
      </w:r>
      <w:r>
        <w:rPr>
          <w:rFonts w:ascii="Cambria" w:cs="Cambria" w:eastAsia="Cambria" w:hAnsi="Cambria"/>
          <w:color w:val="111111"/>
          <w:sz w:val="22"/>
          <w:szCs w:val="22"/>
        </w:rPr>
        <w:t xml:space="preserve">[183]</w:t>
      </w:r>
      <w:r>
        <w:rPr>
          <w:rFonts w:ascii="Cambria" w:cs="Cambria" w:eastAsia="Cambria" w:hAnsi="Cambria"/>
          <w:color w:val="111111"/>
          <w:sz w:val="22"/>
          <w:szCs w:val="22"/>
        </w:rPr>
        <w:t xml:space="preserve"> supply the qualitative apparatus. §4 states which of these we follow and §7.5 states where our compliance is imperfect.</w:t>
      </w:r>
    </w:p>
    <w:p>
      <w:pPr>
        <w:pStyle w:val="Heading2"/>
      </w:pPr>
      <w:r>
        <w:t xml:space="preserve">2.14 The Gap</w:t>
      </w:r>
    </w:p>
    <w:p>
      <w:pPr>
        <w:spacing w:after="140" w:before="0" w:line="300" w:lineRule="auto"/>
        <w:jc w:val="both"/>
      </w:pPr>
      <w:r>
        <w:rPr>
          <w:rFonts w:ascii="Cambria" w:cs="Cambria" w:eastAsia="Cambria" w:hAnsi="Cambria"/>
          <w:color w:val="111111"/>
          <w:sz w:val="22"/>
          <w:szCs w:val="22"/>
        </w:rPr>
        <w:t xml:space="preserve">Each of these literatures is deep and none of them is about the artifact we built. The inference literature optimizes throughput without asking what plurality does to trust. The multi-agent literature builds councils in sandboxes without a memory budget. The HRI literature studies embodiment with the intelligence in a datacenter. The local-first literature predates the AI wave and addresses documents. The trust literature studies operators supervising automation they did not build and cannot inspect — which is precisely the variable our system inverts.</w:t>
      </w:r>
    </w:p>
    <w:p>
      <w:pPr>
        <w:spacing w:after="140" w:before="0" w:line="300" w:lineRule="auto"/>
        <w:jc w:val="both"/>
      </w:pPr>
      <w:r>
        <w:rPr>
          <w:rFonts w:ascii="Cambria" w:cs="Cambria" w:eastAsia="Cambria" w:hAnsi="Cambria"/>
          <w:color w:val="111111"/>
          <w:sz w:val="22"/>
          <w:szCs w:val="22"/>
        </w:rPr>
        <w:t xml:space="preserve">The gap is the conjunction. There is, to our knowledge, no sustained account of a system that is simultaneously </w:t>
      </w:r>
      <w:r>
        <w:rPr>
          <w:rFonts w:ascii="Cambria" w:cs="Cambria" w:eastAsia="Cambria" w:hAnsi="Cambria"/>
          <w:i/>
          <w:iCs/>
          <w:color w:val="111111"/>
          <w:sz w:val="22"/>
          <w:szCs w:val="22"/>
        </w:rPr>
        <w:t xml:space="preserve">local</w:t>
      </w:r>
      <w:r>
        <w:rPr>
          <w:rFonts w:ascii="Cambria" w:cs="Cambria" w:eastAsia="Cambria" w:hAnsi="Cambria"/>
          <w:color w:val="111111"/>
          <w:sz w:val="22"/>
          <w:szCs w:val="22"/>
        </w:rPr>
        <w:t xml:space="preserve"> (no cloud in the inference path), </w:t>
      </w:r>
      <w:r>
        <w:rPr>
          <w:rFonts w:ascii="Cambria" w:cs="Cambria" w:eastAsia="Cambria" w:hAnsi="Cambria"/>
          <w:i/>
          <w:iCs/>
          <w:color w:val="111111"/>
          <w:sz w:val="22"/>
          <w:szCs w:val="22"/>
        </w:rPr>
        <w:t xml:space="preserve">plural</w:t>
      </w:r>
      <w:r>
        <w:rPr>
          <w:rFonts w:ascii="Cambria" w:cs="Cambria" w:eastAsia="Cambria" w:hAnsi="Cambria"/>
          <w:color w:val="111111"/>
          <w:sz w:val="22"/>
          <w:szCs w:val="22"/>
        </w:rPr>
        <w:t xml:space="preserve"> (multiple scoped agents), </w:t>
      </w:r>
      <w:r>
        <w:rPr>
          <w:rFonts w:ascii="Cambria" w:cs="Cambria" w:eastAsia="Cambria" w:hAnsi="Cambria"/>
          <w:i/>
          <w:iCs/>
          <w:color w:val="111111"/>
          <w:sz w:val="22"/>
          <w:szCs w:val="22"/>
        </w:rPr>
        <w:t xml:space="preserve">persistent</w:t>
      </w:r>
      <w:r>
        <w:rPr>
          <w:rFonts w:ascii="Cambria" w:cs="Cambria" w:eastAsia="Cambria" w:hAnsi="Cambria"/>
          <w:color w:val="111111"/>
          <w:sz w:val="22"/>
          <w:szCs w:val="22"/>
        </w:rPr>
        <w:t xml:space="preserve"> (owned, inspectable memory), </w:t>
      </w:r>
      <w:r>
        <w:rPr>
          <w:rFonts w:ascii="Cambria" w:cs="Cambria" w:eastAsia="Cambria" w:hAnsi="Cambria"/>
          <w:i/>
          <w:iCs/>
          <w:color w:val="111111"/>
          <w:sz w:val="22"/>
          <w:szCs w:val="22"/>
        </w:rPr>
        <w:t xml:space="preserve">grounded</w:t>
      </w:r>
      <w:r>
        <w:rPr>
          <w:rFonts w:ascii="Cambria" w:cs="Cambria" w:eastAsia="Cambria" w:hAnsi="Cambria"/>
          <w:color w:val="111111"/>
          <w:sz w:val="22"/>
          <w:szCs w:val="22"/>
        </w:rPr>
        <w:t xml:space="preserve"> (retrieval over an owned corpus), </w:t>
      </w:r>
      <w:r>
        <w:rPr>
          <w:rFonts w:ascii="Cambria" w:cs="Cambria" w:eastAsia="Cambria" w:hAnsi="Cambria"/>
          <w:i/>
          <w:iCs/>
          <w:color w:val="111111"/>
          <w:sz w:val="22"/>
          <w:szCs w:val="22"/>
        </w:rPr>
        <w:t xml:space="preserve">embodied</w:t>
      </w:r>
      <w:r>
        <w:rPr>
          <w:rFonts w:ascii="Cambria" w:cs="Cambria" w:eastAsia="Cambria" w:hAnsi="Cambria"/>
          <w:color w:val="111111"/>
          <w:sz w:val="22"/>
          <w:szCs w:val="22"/>
        </w:rPr>
        <w:t xml:space="preserve"> (physical peripherals), and </w:t>
      </w:r>
      <w:r>
        <w:rPr>
          <w:rFonts w:ascii="Cambria" w:cs="Cambria" w:eastAsia="Cambria" w:hAnsi="Cambria"/>
          <w:i/>
          <w:iCs/>
          <w:color w:val="111111"/>
          <w:sz w:val="22"/>
          <w:szCs w:val="22"/>
        </w:rPr>
        <w:t xml:space="preserve">governed</w:t>
      </w:r>
      <w:r>
        <w:rPr>
          <w:rFonts w:ascii="Cambria" w:cs="Cambria" w:eastAsia="Cambria" w:hAnsi="Cambria"/>
          <w:color w:val="111111"/>
          <w:sz w:val="22"/>
          <w:szCs w:val="22"/>
        </w:rPr>
        <w:t xml:space="preserve"> (mechanically enforced rules) — built and lived with rather than demonstrated. That conjunction is where the design patterns of §6 come from, and none of them are visible from inside any single one of these literatures.</w:t>
      </w:r>
    </w:p>
    <w:p>
      <w:pPr>
        <w:pStyle w:val="Heading1"/>
        <w:pageBreakBefore/>
        <w:spacing w:after="180" w:before="240"/>
      </w:pPr>
      <w:r>
        <w:t xml:space="preserve">3. System Architecture</w:t>
      </w:r>
    </w:p>
    <w:p>
      <w:pPr>
        <w:spacing w:after="140" w:before="0" w:line="300" w:lineRule="auto"/>
        <w:jc w:val="both"/>
      </w:pPr>
      <w:r>
        <w:rPr>
          <w:rFonts w:ascii="Cambria" w:cs="Cambria" w:eastAsia="Cambria" w:hAnsi="Cambria"/>
          <w:color w:val="111111"/>
          <w:sz w:val="22"/>
          <w:szCs w:val="22"/>
        </w:rPr>
        <w:t xml:space="preserve">This section describes the artifact. We present it as built rather than as idealized, including the decisions that were forced rather than chosen, because the forced decisions are where the research content lives. A system that could have been built any way teaches nothing; a system whose shape was dictated by 32 GB and an unsupported compute stack teaches what those constraints do.</w:t>
      </w:r>
    </w:p>
    <w:p>
      <w:pPr>
        <w:pStyle w:val="Heading2"/>
      </w:pPr>
      <w:r>
        <w:t xml:space="preserve">3.1 The Hardware and the Two Facts</w:t>
      </w:r>
    </w:p>
    <w:p>
      <w:pPr>
        <w:spacing w:after="140" w:before="0" w:line="300" w:lineRule="auto"/>
        <w:jc w:val="both"/>
      </w:pPr>
      <w:r>
        <w:rPr>
          <w:rFonts w:ascii="Cambria" w:cs="Cambria" w:eastAsia="Cambria" w:hAnsi="Cambria"/>
          <w:color w:val="111111"/>
          <w:sz w:val="22"/>
          <w:szCs w:val="22"/>
        </w:rPr>
        <w:t xml:space="preserve">The host is a GMKtec EVO-X1: AMD Ryzen AI 9 HX 370 (12 cores, 24 threads, Zen 5/5c), Radeon 890M integrated GPU (RDNA 3.5), 32 GB unified LPDDR5X, 2 TB NVMe. Two facts about this machine determined everything downstream, and both were discovered rather than planned.</w:t>
      </w:r>
    </w:p>
    <w:p>
      <w:pPr>
        <w:spacing w:after="140" w:before="0" w:line="300" w:lineRule="auto"/>
        <w:jc w:val="both"/>
      </w:pPr>
      <w:r>
        <w:rPr>
          <w:rFonts w:ascii="Cambria" w:cs="Cambria" w:eastAsia="Cambria" w:hAnsi="Cambria"/>
          <w:b/>
          <w:bCs/>
          <w:color w:val="111111"/>
          <w:sz w:val="22"/>
          <w:szCs w:val="22"/>
        </w:rPr>
        <w:t xml:space="preserve">Fact one: the 890M reports as LLVM target gfx1150 and is not supported by AMD's ROCm compute stack, on either Linux or Windows. </w:t>
      </w:r>
      <w:r>
        <w:rPr>
          <w:rFonts w:ascii="Cambria" w:cs="Cambria" w:eastAsia="Cambria" w:hAnsi="Cambria"/>
          <w:color w:val="111111"/>
          <w:sz w:val="22"/>
          <w:szCs w:val="22"/>
        </w:rPr>
        <w:t xml:space="preserve">The consequence is that the entire CUDA-shaped world of local inference tooling — which assumes either NVIDIA or ROCm — is unavailable. The Vulkan backend is the only viable acceleration path. This is not a preference; it is the absence of an alternative, and it invalidates a large fraction of the community guidance one finds when searching for how to do this.</w:t>
      </w:r>
    </w:p>
    <w:p>
      <w:pPr>
        <w:spacing w:after="140" w:before="0" w:line="300" w:lineRule="auto"/>
        <w:jc w:val="both"/>
      </w:pPr>
      <w:r>
        <w:rPr>
          <w:rFonts w:ascii="Cambria" w:cs="Cambria" w:eastAsia="Cambria" w:hAnsi="Cambria"/>
          <w:b/>
          <w:bCs/>
          <w:color w:val="111111"/>
          <w:sz w:val="22"/>
          <w:szCs w:val="22"/>
        </w:rPr>
        <w:t xml:space="preserve">Fact two: the 32 GB is unified. </w:t>
      </w:r>
      <w:r>
        <w:rPr>
          <w:rFonts w:ascii="Cambria" w:cs="Cambria" w:eastAsia="Cambria" w:hAnsi="Cambria"/>
          <w:color w:val="111111"/>
          <w:sz w:val="22"/>
          <w:szCs w:val="22"/>
        </w:rPr>
        <w:t xml:space="preserve">CPU, integrated GPU, operating system, and any running application draw from one physical pool. There is no discrete VRAM to retreat into. The practical consequence is an arithmetic constraint that governs the entire system design, and which we state as a table rather than a claim because Rule II of the constitution (§3.7) requires capacity claims to be arithmetic.</w:t>
      </w:r>
    </w:p>
    <w:p>
      <w:pPr>
        <w:spacing w:after="60"/>
      </w:pPr>
      <w:r>
        <w:rPr>
          <w:rFonts w:ascii="Cambria" w:cs="Cambria" w:eastAsia="Cambria" w:hAnsi="Cambria"/>
          <w:color w:val="111111"/>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2000"/>
        <w:gridCol w:w="4760"/>
      </w:tblGrid>
      <w:tr>
        <w:trPr>
          <w:tblHeader/>
        </w:trPr>
        <w:tc>
          <w:tcPr>
            <w:tcW w:type="dxa" w:w="26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Consumer</w:t>
            </w:r>
          </w:p>
        </w:tc>
        <w:tc>
          <w:tcPr>
            <w:tcW w:type="dxa" w:w="20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Typical draw</w:t>
            </w:r>
          </w:p>
        </w:tc>
        <w:tc>
          <w:tcPr>
            <w:tcW w:type="dxa" w:w="47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Note</w:t>
            </w:r>
          </w:p>
        </w:tc>
      </w:tr>
      <w:tr>
        <w:tc>
          <w:tcPr>
            <w:tcW w:type="dxa" w:w="2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Windows 11 host + desktop</w:t>
            </w:r>
          </w:p>
        </w:tc>
        <w:tc>
          <w:tcPr>
            <w:tcW w:type="dxa" w:w="20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~4–6 GB</w:t>
            </w:r>
          </w:p>
        </w:tc>
        <w:tc>
          <w:tcPr>
            <w:tcW w:type="dxa" w:w="4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Baseline. Non-negotiable on Path A.</w:t>
            </w:r>
          </w:p>
        </w:tc>
      </w:tr>
      <w:tr>
        <w:tc>
          <w:tcPr>
            <w:tcW w:type="dxa" w:w="2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iGPU frame buffer (BIOS UMA)</w:t>
            </w:r>
          </w:p>
        </w:tc>
        <w:tc>
          <w:tcPr>
            <w:tcW w:type="dxa" w:w="20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~2–16 GB</w:t>
            </w:r>
          </w:p>
        </w:tc>
        <w:tc>
          <w:tcPr>
            <w:tcW w:type="dxa" w:w="4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Carved from the same 32 GB. Tunable, and the tuning is a real tradeoff.</w:t>
            </w:r>
          </w:p>
        </w:tc>
      </w:tr>
      <w:tr>
        <w:tc>
          <w:tcPr>
            <w:tcW w:type="dxa" w:w="2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 30B model at Q4_K_M</w:t>
            </w:r>
          </w:p>
        </w:tc>
        <w:tc>
          <w:tcPr>
            <w:tcW w:type="dxa" w:w="20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~18–20 GB</w:t>
            </w:r>
          </w:p>
        </w:tc>
        <w:tc>
          <w:tcPr>
            <w:tcW w:type="dxa" w:w="4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Weights only. Before context.</w:t>
            </w:r>
          </w:p>
        </w:tc>
      </w:tr>
      <w:tr>
        <w:tc>
          <w:tcPr>
            <w:tcW w:type="dxa" w:w="2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KV cache @ 64k context</w:t>
            </w:r>
          </w:p>
        </w:tc>
        <w:tc>
          <w:tcPr>
            <w:tcW w:type="dxa" w:w="20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~2–4 GB</w:t>
            </w:r>
          </w:p>
        </w:tc>
        <w:tc>
          <w:tcPr>
            <w:tcW w:type="dxa" w:w="4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Grows with context length. The commonly forgotten term.</w:t>
            </w:r>
          </w:p>
        </w:tc>
      </w:tr>
      <w:tr>
        <w:tc>
          <w:tcPr>
            <w:tcW w:type="dxa" w:w="2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WSL2 + Council + Postgres</w:t>
            </w:r>
          </w:p>
        </w:tc>
        <w:tc>
          <w:tcPr>
            <w:tcW w:type="dxa" w:w="20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~3–5 GB</w:t>
            </w:r>
          </w:p>
        </w:tc>
        <w:tc>
          <w:tcPr>
            <w:tcW w:type="dxa" w:w="4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Orchestrator, Letta, vector store.</w:t>
            </w:r>
          </w:p>
        </w:tc>
      </w:tr>
      <w:tr>
        <w:tc>
          <w:tcPr>
            <w:tcW w:type="dxa" w:w="26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Headroom</w:t>
            </w:r>
          </w:p>
        </w:tc>
        <w:tc>
          <w:tcPr>
            <w:tcW w:type="dxa" w:w="20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What remains</w:t>
            </w:r>
          </w:p>
        </w:tc>
        <w:tc>
          <w:tcPr>
            <w:tcW w:type="dxa" w:w="47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Frequently negative if the above are chosen naively.</w:t>
            </w:r>
          </w:p>
        </w:tc>
      </w:tr>
    </w:tbl>
    <w:p>
      <w:pPr>
        <w:spacing w:after="200" w:before="60" w:line="260" w:lineRule="auto"/>
        <w:jc w:val="left"/>
      </w:pPr>
      <w:r>
        <w:rPr>
          <w:rFonts w:ascii="Cambria" w:cs="Cambria" w:eastAsia="Cambria" w:hAnsi="Cambria"/>
          <w:i/>
          <w:iCs/>
          <w:color w:val="6E6E6E"/>
          <w:sz w:val="19"/>
          <w:szCs w:val="19"/>
        </w:rPr>
        <w:t xml:space="preserve">Table 1. The unified-memory budget. The sum of naive choices exceeds the machine; every configuration decision is therefore a subtraction from something else. This table is the physical basis for the two-mode doctrine (§6.1).</w:t>
      </w:r>
    </w:p>
    <w:p>
      <w:pPr>
        <w:spacing w:after="140" w:before="0" w:line="300" w:lineRule="auto"/>
        <w:jc w:val="both"/>
      </w:pPr>
      <w:r>
        <w:rPr>
          <w:rFonts w:ascii="Cambria" w:cs="Cambria" w:eastAsia="Cambria" w:hAnsi="Cambria"/>
          <w:color w:val="111111"/>
          <w:sz w:val="22"/>
          <w:szCs w:val="22"/>
        </w:rPr>
        <w:t xml:space="preserve">The table is the paper's central systems fact. One large model runs at a time. A 30B model at four-bit quantization plus a working context leaves insufficient room for a modern game's memory footprint, which means the machine cannot simultaneously be a Council host and a gaming machine at full model size. That is not a bug to be engineered around; it is arithmetic. What can be engineered is the </w:t>
      </w:r>
      <w:r>
        <w:rPr>
          <w:rFonts w:ascii="Cambria" w:cs="Cambria" w:eastAsia="Cambria" w:hAnsi="Cambria"/>
          <w:i/>
          <w:iCs/>
          <w:color w:val="111111"/>
          <w:sz w:val="22"/>
          <w:szCs w:val="22"/>
        </w:rPr>
        <w:t xml:space="preserve">policy</w:t>
      </w:r>
      <w:r>
        <w:rPr>
          <w:rFonts w:ascii="Cambria" w:cs="Cambria" w:eastAsia="Cambria" w:hAnsi="Cambria"/>
          <w:color w:val="111111"/>
          <w:sz w:val="22"/>
          <w:szCs w:val="22"/>
        </w:rPr>
        <w:t xml:space="preserve"> governing the tradeoff, and that policy is §6.1.</w:t>
      </w:r>
    </w:p>
    <w:p>
      <w:pPr>
        <w:pStyle w:val="Heading2"/>
      </w:pPr>
      <w:r>
        <w:t xml:space="preserve">3.2 The Orchestrator and the Divisions</w:t>
      </w:r>
    </w:p>
    <w:p>
      <w:pPr>
        <w:spacing w:after="140" w:before="0" w:line="300" w:lineRule="auto"/>
        <w:jc w:val="both"/>
      </w:pPr>
      <w:r>
        <w:rPr>
          <w:rFonts w:ascii="Cambria" w:cs="Cambria" w:eastAsia="Cambria" w:hAnsi="Cambria"/>
          <w:color w:val="111111"/>
          <w:sz w:val="22"/>
          <w:szCs w:val="22"/>
        </w:rPr>
        <w:t xml:space="preserve">The Council is a supervisor-router architecture. A stateful graph orchestrator receives a task, classifies it, and dispatches to one of seven scoped specialist agents. Each division has its own system prompt, its own model assignment, its own tool permissions, its own risk gates, and its own schedule. This follows the multi-agent literature's central finding </w:t>
      </w:r>
      <w:r>
        <w:rPr>
          <w:rFonts w:ascii="Cambria" w:cs="Cambria" w:eastAsia="Cambria" w:hAnsi="Cambria"/>
          <w:color w:val="111111"/>
          <w:sz w:val="22"/>
          <w:szCs w:val="22"/>
        </w:rPr>
        <w:t xml:space="preserve">[66, 137, 175]</w:t>
      </w:r>
      <w:r>
        <w:rPr>
          <w:rFonts w:ascii="Cambria" w:cs="Cambria" w:eastAsia="Cambria" w:hAnsi="Cambria"/>
          <w:color w:val="111111"/>
          <w:sz w:val="22"/>
          <w:szCs w:val="22"/>
        </w:rPr>
        <w:t xml:space="preserve"> that role scoping outperforms monolithic prompting — but the reason we adopted it is more specific than the literature's, and it is a local-first reason: </w:t>
      </w:r>
      <w:r>
        <w:rPr>
          <w:rFonts w:ascii="Cambria" w:cs="Cambria" w:eastAsia="Cambria" w:hAnsi="Cambria"/>
          <w:i/>
          <w:iCs/>
          <w:color w:val="111111"/>
          <w:sz w:val="22"/>
          <w:szCs w:val="22"/>
        </w:rPr>
        <w:t xml:space="preserve">context length is a memory cost</w:t>
      </w:r>
      <w:r>
        <w:rPr>
          <w:rFonts w:ascii="Cambria" w:cs="Cambria" w:eastAsia="Cambria" w:hAnsi="Cambria"/>
          <w:color w:val="111111"/>
          <w:sz w:val="22"/>
          <w:szCs w:val="22"/>
        </w:rPr>
        <w:t xml:space="preserve">. On a rented endpoint, a bloated system prompt is a billing line. On this machine, it is KV cache competing with model weights for the same 32 GB (Table 1). Scoping is not merely good practice here; it is capacity management.</w:t>
      </w:r>
    </w:p>
    <w:p>
      <w:pPr>
        <w:spacing w:after="60"/>
      </w:pPr>
      <w:r>
        <w:rPr>
          <w:rFonts w:ascii="Cambria" w:cs="Cambria" w:eastAsia="Cambria" w:hAnsi="Cambria"/>
          <w:color w:val="111111"/>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4400"/>
        <w:gridCol w:w="2560"/>
      </w:tblGrid>
      <w:tr>
        <w:trPr>
          <w:tblHeader/>
        </w:trPr>
        <w:tc>
          <w:tcPr>
            <w:tcW w:type="dxa" w:w="24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Division</w:t>
            </w:r>
          </w:p>
        </w:tc>
        <w:tc>
          <w:tcPr>
            <w:tcW w:type="dxa" w:w="44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Scope</w:t>
            </w:r>
          </w:p>
        </w:tc>
        <w:tc>
          <w:tcPr>
            <w:tcW w:type="dxa" w:w="25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Autonomy</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1 · Content Creation</w:t>
            </w:r>
          </w:p>
        </w:tc>
        <w:tc>
          <w:tcPr>
            <w:tcW w:type="dxa" w:w="4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Drafting, editing, scripting, publishing pipeline</w:t>
            </w:r>
          </w:p>
        </w:tc>
        <w:tc>
          <w:tcPr>
            <w:tcW w:type="dxa" w:w="2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Draft freely; publication requires a human gate</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2 · Video Production</w:t>
            </w:r>
          </w:p>
        </w:tc>
        <w:tc>
          <w:tcPr>
            <w:tcW w:type="dxa" w:w="4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Capture orchestration, edit assembly, asset routing</w:t>
            </w:r>
          </w:p>
        </w:tc>
        <w:tc>
          <w:tcPr>
            <w:tcW w:type="dxa" w:w="2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Draft freely; publication gated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3 · Investing &amp; Trading</w:t>
            </w:r>
          </w:p>
        </w:tc>
        <w:tc>
          <w:tcPr>
            <w:tcW w:type="dxa" w:w="4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Thesis generation, paper execution, risk accounting</w:t>
            </w:r>
          </w:p>
        </w:tc>
        <w:tc>
          <w:tcPr>
            <w:tcW w:type="dxa" w:w="2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Read-only by default; capital strictly gated (§3.6)</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4 · Security Operations</w:t>
            </w:r>
          </w:p>
        </w:tc>
        <w:tc>
          <w:tcPr>
            <w:tcW w:type="dxa" w:w="4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Authorized-target assessment on owned hardware</w:t>
            </w:r>
          </w:p>
        </w:tc>
        <w:tc>
          <w:tcPr>
            <w:tcW w:type="dxa" w:w="2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Sandboxed; no action without human confirmation</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5 · Business &amp; Coding</w:t>
            </w:r>
          </w:p>
        </w:tc>
        <w:tc>
          <w:tcPr>
            <w:tcW w:type="dxa" w:w="4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Repository work, tests, refactors, documentation</w:t>
            </w:r>
          </w:p>
        </w:tc>
        <w:tc>
          <w:tcPr>
            <w:tcW w:type="dxa" w:w="2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Commits to branches; merges gated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6 · Experimental</w:t>
            </w:r>
          </w:p>
        </w:tc>
        <w:tc>
          <w:tcPr>
            <w:tcW w:type="dxa" w:w="4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New capability evaluation behind isolation</w:t>
            </w:r>
          </w:p>
        </w:tc>
        <w:tc>
          <w:tcPr>
            <w:tcW w:type="dxa" w:w="2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Fully sandboxed; guilty until proven (Rule XIII)</w:t>
            </w:r>
          </w:p>
        </w:tc>
      </w:tr>
      <w:tr>
        <w:tc>
          <w:tcPr>
            <w:tcW w:type="dxa" w:w="24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7 · Marketing Automation</w:t>
            </w:r>
          </w:p>
        </w:tc>
        <w:tc>
          <w:tcPr>
            <w:tcW w:type="dxa" w:w="44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Scheduling, drafting, analytics summarization</w:t>
            </w:r>
          </w:p>
        </w:tc>
        <w:tc>
          <w:tcPr>
            <w:tcW w:type="dxa" w:w="25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Draft freely; external sends gated</w:t>
            </w:r>
          </w:p>
        </w:tc>
      </w:tr>
    </w:tbl>
    <w:p>
      <w:pPr>
        <w:spacing w:after="200" w:before="60" w:line="260" w:lineRule="auto"/>
        <w:jc w:val="left"/>
      </w:pPr>
      <w:r>
        <w:rPr>
          <w:rFonts w:ascii="Cambria" w:cs="Cambria" w:eastAsia="Cambria" w:hAnsi="Cambria"/>
          <w:i/>
          <w:iCs/>
          <w:color w:val="6E6E6E"/>
          <w:sz w:val="19"/>
          <w:szCs w:val="19"/>
        </w:rPr>
        <w:t xml:space="preserve">Table 2. The seven divisions. The autonomy column is the load-bearing one: every division that can produce an irreversible external effect is gated, per Constitution Rule IV.</w:t>
      </w:r>
    </w:p>
    <w:p>
      <w:pPr>
        <w:spacing w:after="140" w:before="0" w:line="300" w:lineRule="auto"/>
        <w:jc w:val="both"/>
      </w:pPr>
      <w:r>
        <w:rPr>
          <w:rFonts w:ascii="Cambria" w:cs="Cambria" w:eastAsia="Cambria" w:hAnsi="Cambria"/>
          <w:color w:val="111111"/>
          <w:sz w:val="22"/>
          <w:szCs w:val="22"/>
        </w:rPr>
        <w:t xml:space="preserve">The model assignment across divisions is not uniform, and this is where Table 1 asserts itself again. A small model (roughly 8B at four bits) serves divisions that must remain resident during gaming; larger models (14B–30B) are loaded only when the machine is in AI mode. The scheduler enforces this via a mode file that every worker reads before dispatch — a mechanism described in §6.1.</w:t>
      </w:r>
    </w:p>
    <w:p>
      <w:pPr>
        <w:pStyle w:val="Heading2"/>
      </w:pPr>
      <w:r>
        <w:t xml:space="preserve">3.3 Memory</w:t>
      </w:r>
    </w:p>
    <w:p>
      <w:pPr>
        <w:spacing w:after="140" w:before="0" w:line="300" w:lineRule="auto"/>
        <w:jc w:val="both"/>
      </w:pPr>
      <w:r>
        <w:rPr>
          <w:rFonts w:ascii="Cambria" w:cs="Cambria" w:eastAsia="Cambria" w:hAnsi="Cambria"/>
          <w:color w:val="111111"/>
          <w:sz w:val="22"/>
          <w:szCs w:val="22"/>
        </w:rPr>
        <w:t xml:space="preserve">Persistent memory is provided by Letta, the productionized descendant of MemGPT </w:t>
      </w:r>
      <w:r>
        <w:rPr>
          <w:rFonts w:ascii="Cambria" w:cs="Cambria" w:eastAsia="Cambria" w:hAnsi="Cambria"/>
          <w:color w:val="111111"/>
          <w:sz w:val="22"/>
          <w:szCs w:val="22"/>
        </w:rPr>
        <w:t xml:space="preserve">[127]</w:t>
      </w:r>
      <w:r>
        <w:rPr>
          <w:rFonts w:ascii="Cambria" w:cs="Cambria" w:eastAsia="Cambria" w:hAnsi="Cambria"/>
          <w:color w:val="111111"/>
          <w:sz w:val="22"/>
          <w:szCs w:val="22"/>
        </w:rPr>
        <w:t xml:space="preserve">, running over Postgres with pgvector. The architecture is MemGPT's: a tiered hierarchy in which the context window functions as RAM, external stores as disk, and the agent manages paging through function calls.</w:t>
      </w:r>
    </w:p>
    <w:p>
      <w:pPr>
        <w:spacing w:after="140" w:before="0" w:line="300" w:lineRule="auto"/>
        <w:jc w:val="both"/>
      </w:pPr>
      <w:r>
        <w:rPr>
          <w:rFonts w:ascii="Cambria" w:cs="Cambria" w:eastAsia="Cambria" w:hAnsi="Cambria"/>
          <w:color w:val="111111"/>
          <w:sz w:val="22"/>
          <w:szCs w:val="22"/>
        </w:rPr>
        <w:t xml:space="preserve">The property that matters for this paper is not technical but proprietary. On a rented assistant, conversational memory is a feature the provider grants, shapes, and may withdraw; its contents are legible to the provider and illegible to the user. Here, memory is a Postgres database on an encrypted disk the user owns. It can be queried with SQL, inspected row by row, corrected, backed up, and destroyed. This is Kleppmann et al.'s </w:t>
      </w:r>
      <w:r>
        <w:rPr>
          <w:rFonts w:ascii="Cambria" w:cs="Cambria" w:eastAsia="Cambria" w:hAnsi="Cambria"/>
          <w:color w:val="111111"/>
          <w:sz w:val="22"/>
          <w:szCs w:val="22"/>
        </w:rPr>
        <w:t xml:space="preserve">[87]</w:t>
      </w:r>
      <w:r>
        <w:rPr>
          <w:rFonts w:ascii="Cambria" w:cs="Cambria" w:eastAsia="Cambria" w:hAnsi="Cambria"/>
          <w:color w:val="111111"/>
          <w:sz w:val="22"/>
          <w:szCs w:val="22"/>
        </w:rPr>
        <w:t xml:space="preserve"> first ideal — the primary copy lives on the user's device — applied to an asset their paper did not anticipate. We argue in §6 that memory ownership is the single largest interaction difference between local and rented AI, and that it is under-theorized because the HMI literature has had no occasion to study a user who can </w:t>
      </w:r>
      <w:r>
        <w:rPr>
          <w:rFonts w:ascii="Cambria" w:cs="Cambria" w:eastAsia="Cambria" w:hAnsi="Cambria"/>
          <w:i/>
          <w:iCs/>
          <w:color w:val="111111"/>
          <w:sz w:val="22"/>
          <w:szCs w:val="22"/>
        </w:rPr>
        <w:t xml:space="preserve">edit</w:t>
      </w:r>
      <w:r>
        <w:rPr>
          <w:rFonts w:ascii="Cambria" w:cs="Cambria" w:eastAsia="Cambria" w:hAnsi="Cambria"/>
          <w:color w:val="111111"/>
          <w:sz w:val="22"/>
          <w:szCs w:val="22"/>
        </w:rPr>
        <w:t xml:space="preserve"> what the machine remembers about them.</w:t>
      </w:r>
    </w:p>
    <w:p>
      <w:pPr>
        <w:spacing w:after="140" w:before="0" w:line="300" w:lineRule="auto"/>
        <w:jc w:val="both"/>
      </w:pPr>
      <w:r>
        <w:rPr>
          <w:rFonts w:ascii="Cambria" w:cs="Cambria" w:eastAsia="Cambria" w:hAnsi="Cambria"/>
          <w:color w:val="111111"/>
          <w:sz w:val="22"/>
          <w:szCs w:val="22"/>
        </w:rPr>
        <w:t xml:space="preserve">We inherit MemGPT's known liability. A-Mem </w:t>
      </w:r>
      <w:r>
        <w:rPr>
          <w:rFonts w:ascii="Cambria" w:cs="Cambria" w:eastAsia="Cambria" w:hAnsi="Cambria"/>
          <w:color w:val="111111"/>
          <w:sz w:val="22"/>
          <w:szCs w:val="22"/>
        </w:rPr>
        <w:t xml:space="preserve">[179]</w:t>
      </w:r>
      <w:r>
        <w:rPr>
          <w:rFonts w:ascii="Cambria" w:cs="Cambria" w:eastAsia="Cambria" w:hAnsi="Cambria"/>
          <w:color w:val="111111"/>
          <w:sz w:val="22"/>
          <w:szCs w:val="22"/>
        </w:rPr>
        <w:t xml:space="preserve"> documents that rolling summarization compounds error over long horizons: summaries are lossy, and summaries of summaries drift from the events they describe. Our system does not solve this. It mitigates it only by making the memory inspectable — a user who can read the memory can notice the drift, which is a weaker guarantee than preventing it.</w:t>
      </w:r>
    </w:p>
    <w:p>
      <w:pPr>
        <w:pStyle w:val="Heading2"/>
      </w:pPr>
      <w:r>
        <w:t xml:space="preserve">3.4 The Knowledge Layer</w:t>
      </w:r>
    </w:p>
    <w:p>
      <w:pPr>
        <w:spacing w:after="140" w:before="0" w:line="300" w:lineRule="auto"/>
        <w:jc w:val="both"/>
      </w:pPr>
      <w:r>
        <w:rPr>
          <w:rFonts w:ascii="Cambria" w:cs="Cambria" w:eastAsia="Cambria" w:hAnsi="Cambria"/>
          <w:color w:val="111111"/>
          <w:sz w:val="22"/>
          <w:szCs w:val="22"/>
        </w:rPr>
        <w:t xml:space="preserve">The system serves a complete offline English Wikipedia corpus — roughly 110 GB as a Kiwix ZIM archive with images, against 57 GB for the no-pictures build and 7.4 GB for intro-only </w:t>
      </w:r>
      <w:r>
        <w:rPr>
          <w:rFonts w:ascii="Cambria" w:cs="Cambria" w:eastAsia="Cambria" w:hAnsi="Cambria"/>
          <w:color w:val="111111"/>
          <w:sz w:val="22"/>
          <w:szCs w:val="22"/>
        </w:rPr>
        <w:t xml:space="preserve">[86]</w:t>
      </w:r>
      <w:r>
        <w:rPr>
          <w:rFonts w:ascii="Cambria" w:cs="Cambria" w:eastAsia="Cambria" w:hAnsi="Cambria"/>
          <w:color w:val="111111"/>
          <w:sz w:val="22"/>
          <w:szCs w:val="22"/>
        </w:rPr>
        <w:t xml:space="preserve"> — indexed with nomic-embed-text embeddings </w:t>
      </w:r>
      <w:r>
        <w:rPr>
          <w:rFonts w:ascii="Cambria" w:cs="Cambria" w:eastAsia="Cambria" w:hAnsi="Cambria"/>
          <w:color w:val="111111"/>
          <w:sz w:val="22"/>
          <w:szCs w:val="22"/>
        </w:rPr>
        <w:t xml:space="preserve">[122]</w:t>
      </w:r>
      <w:r>
        <w:rPr>
          <w:rFonts w:ascii="Cambria" w:cs="Cambria" w:eastAsia="Cambria" w:hAnsi="Cambria"/>
          <w:color w:val="111111"/>
          <w:sz w:val="22"/>
          <w:szCs w:val="22"/>
        </w:rPr>
        <w:t xml:space="preserve"> into a local vector store, retrieved by divisions through a query API.</w:t>
      </w:r>
    </w:p>
    <w:p>
      <w:pPr>
        <w:spacing w:after="140" w:before="0" w:line="300" w:lineRule="auto"/>
        <w:jc w:val="both"/>
      </w:pPr>
      <w:r>
        <w:rPr>
          <w:rFonts w:ascii="Cambria" w:cs="Cambria" w:eastAsia="Cambria" w:hAnsi="Cambria"/>
          <w:color w:val="111111"/>
          <w:sz w:val="22"/>
          <w:szCs w:val="22"/>
        </w:rPr>
        <w:t xml:space="preserve">The architecture is, to a first approximation, the original RAG formulation </w:t>
      </w:r>
      <w:r>
        <w:rPr>
          <w:rFonts w:ascii="Cambria" w:cs="Cambria" w:eastAsia="Cambria" w:hAnsi="Cambria"/>
          <w:color w:val="111111"/>
          <w:sz w:val="22"/>
          <w:szCs w:val="22"/>
        </w:rPr>
        <w:t xml:space="preserve">[91]</w:t>
      </w:r>
      <w:r>
        <w:rPr>
          <w:rFonts w:ascii="Cambria" w:cs="Cambria" w:eastAsia="Cambria" w:hAnsi="Cambria"/>
          <w:color w:val="111111"/>
          <w:sz w:val="22"/>
          <w:szCs w:val="22"/>
        </w:rPr>
        <w:t xml:space="preserve">: a parametric generator paired with a non-parametric dense index over Wikipedia. We did not set out to reimplement Lewis et al.; we arrived at it because phi-3's report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is correct that a small model's parametric knowledge is thin and retrieval is the mitigation. The convergence is worth noting as evidence that the design is forced by the constraints rather than chosen for elegance.</w:t>
      </w:r>
    </w:p>
    <w:p>
      <w:pPr>
        <w:spacing w:after="140" w:before="0" w:line="300" w:lineRule="auto"/>
        <w:jc w:val="both"/>
      </w:pPr>
      <w:r>
        <w:rPr>
          <w:rFonts w:ascii="Cambria" w:cs="Cambria" w:eastAsia="Cambria" w:hAnsi="Cambria"/>
          <w:color w:val="111111"/>
          <w:sz w:val="22"/>
          <w:szCs w:val="22"/>
        </w:rPr>
        <w:t xml:space="preserve">One configuration decision carries the entire epistemic weight of the layer:</w:t>
      </w:r>
    </w:p>
    <w:p>
      <w:pPr>
        <w:keepLines/>
        <w:pBdr>
          <w:left w:val="single" w:color="1A3A5C" w:sz="12" w:space="8"/>
        </w:pBdr>
        <w:shd w:fill="F4F5F7" w:color="auto" w:val="clear"/>
        <w:spacing w:after="0" w:before="110" w:line="240" w:lineRule="auto"/>
        <w:ind w:left="200" w:right="100"/>
      </w:pPr>
      <w:r>
        <w:rPr>
          <w:rFonts w:ascii="Consolas" w:cs="Consolas" w:eastAsia="Consolas" w:hAnsi="Consolas"/>
          <w:color w:val="1D1D1F"/>
          <w:sz w:val="17"/>
          <w:szCs w:val="17"/>
        </w:rPr>
        <w:t xml:space="preserve"># The retrieval mode is the product.</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query mode  -&gt; answers ONLY from retrieved documents.</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Refuses when nothing relevant retrieves.</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chat  mode  -&gt; answers from model weights; retrieval decorative.</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w:t>
      </w:r>
    </w:p>
    <w:p>
      <w:pPr>
        <w:keepLines/>
        <w:pBdr>
          <w:left w:val="single" w:color="1A3A5C" w:sz="12" w:space="8"/>
        </w:pBdr>
        <w:shd w:fill="F4F5F7" w:color="auto" w:val="clear"/>
        <w:spacing w:after="140" w:before="0" w:line="240" w:lineRule="auto"/>
        <w:ind w:left="200" w:right="100"/>
      </w:pPr>
      <w:r>
        <w:rPr>
          <w:rFonts w:ascii="Consolas" w:cs="Consolas" w:eastAsia="Consolas" w:hAnsi="Consolas"/>
          <w:color w:val="1D1D1F"/>
          <w:sz w:val="17"/>
          <w:szCs w:val="17"/>
        </w:rPr>
        <w:t xml:space="preserve"># The system runs query mode. The refusal is the feature.</w:t>
      </w:r>
    </w:p>
    <w:p>
      <w:pPr>
        <w:spacing w:after="140" w:before="0" w:line="300" w:lineRule="auto"/>
        <w:jc w:val="both"/>
      </w:pPr>
      <w:r>
        <w:rPr>
          <w:rFonts w:ascii="Cambria" w:cs="Cambria" w:eastAsia="Cambria" w:hAnsi="Cambria"/>
          <w:color w:val="111111"/>
          <w:sz w:val="22"/>
          <w:szCs w:val="22"/>
        </w:rPr>
        <w:t xml:space="preserve">In chat mode the model answers from its weights and the retrieval is theatre; in query mode it answers from retrieved passages and declines when retrieval returns nothing relevant. That refusal is the deliverable. It is the mechanical difference between a system that grounds its claims and one that produces confident text — exactly the distinction the hallucination literature </w:t>
      </w:r>
      <w:r>
        <w:rPr>
          <w:rFonts w:ascii="Cambria" w:cs="Cambria" w:eastAsia="Cambria" w:hAnsi="Cambria"/>
          <w:color w:val="111111"/>
          <w:sz w:val="22"/>
          <w:szCs w:val="22"/>
        </w:rPr>
        <w:t xml:space="preserve">[72, 107]</w:t>
      </w:r>
      <w:r>
        <w:rPr>
          <w:rFonts w:ascii="Cambria" w:cs="Cambria" w:eastAsia="Cambria" w:hAnsi="Cambria"/>
          <w:color w:val="111111"/>
          <w:sz w:val="22"/>
          <w:szCs w:val="22"/>
        </w:rPr>
        <w:t xml:space="preserve"> and the stochastic-parrots critique </w:t>
      </w:r>
      <w:r>
        <w:rPr>
          <w:rFonts w:ascii="Cambria" w:cs="Cambria" w:eastAsia="Cambria" w:hAnsi="Cambria"/>
          <w:color w:val="111111"/>
          <w:sz w:val="22"/>
          <w:szCs w:val="22"/>
        </w:rPr>
        <w:t xml:space="preserve">[14]</w:t>
      </w:r>
      <w:r>
        <w:rPr>
          <w:rFonts w:ascii="Cambria" w:cs="Cambria" w:eastAsia="Cambria" w:hAnsi="Cambria"/>
          <w:color w:val="111111"/>
          <w:sz w:val="22"/>
          <w:szCs w:val="22"/>
        </w:rPr>
        <w:t xml:space="preserve"> identify as structural. Constitution Rule III (“no silent failure”) arrives here from an unexpected direction: no silent failure includes no silently-invented facts.</w:t>
      </w:r>
    </w:p>
    <w:p>
      <w:pPr>
        <w:spacing w:after="140" w:before="0" w:line="300" w:lineRule="auto"/>
        <w:jc w:val="both"/>
      </w:pPr>
      <w:r>
        <w:rPr>
          <w:rFonts w:ascii="Cambria" w:cs="Cambria" w:eastAsia="Cambria" w:hAnsi="Cambria"/>
          <w:color w:val="111111"/>
          <w:sz w:val="22"/>
          <w:szCs w:val="22"/>
        </w:rPr>
        <w:t xml:space="preserve">An ingest gate governs what may enter the corpus: Wikipedia and documents the user owns. No third-party personal data, no scraped forums, no exported chat logs from other people. The reasoning is blast radius </w:t>
      </w:r>
      <w:r>
        <w:rPr>
          <w:rFonts w:ascii="Cambria" w:cs="Cambria" w:eastAsia="Cambria" w:hAnsi="Cambria"/>
          <w:color w:val="111111"/>
          <w:sz w:val="22"/>
          <w:szCs w:val="22"/>
        </w:rPr>
        <w:t xml:space="preserve">[148]</w:t>
      </w:r>
      <w:r>
        <w:rPr>
          <w:rFonts w:ascii="Cambria" w:cs="Cambria" w:eastAsia="Cambria" w:hAnsi="Cambria"/>
          <w:color w:val="111111"/>
          <w:sz w:val="22"/>
          <w:szCs w:val="22"/>
        </w:rPr>
        <w:t xml:space="preserve">: the corpus is a permanent, indexed, searchable record retrievable by any division that can query it, so anything admitted is effectively there forever. The gate is a policy, not a technical control, and we flag that as a weakness in §7.</w:t>
      </w:r>
    </w:p>
    <w:p>
      <w:pPr>
        <w:pStyle w:val="Heading2"/>
      </w:pPr>
      <w:r>
        <w:t xml:space="preserve">3.5 The Fleet</w:t>
      </w:r>
    </w:p>
    <w:p>
      <w:pPr>
        <w:spacing w:after="140" w:before="0" w:line="300" w:lineRule="auto"/>
        <w:jc w:val="both"/>
      </w:pPr>
      <w:r>
        <w:rPr>
          <w:rFonts w:ascii="Cambria" w:cs="Cambria" w:eastAsia="Cambria" w:hAnsi="Cambria"/>
          <w:color w:val="111111"/>
          <w:sz w:val="22"/>
          <w:szCs w:val="22"/>
        </w:rPr>
        <w:t xml:space="preserve">The hub is the intelligence; the peripherals are sensors and effectors bound to it over an encrypted mesh. The fleet spans a SunFounder PiDog V2 quadruped (Raspberry Pi 5), a Holybro X650 aerial platform (Pixhawk 6X </w:t>
      </w:r>
      <w:r>
        <w:rPr>
          <w:rFonts w:ascii="Cambria" w:cs="Cambria" w:eastAsia="Cambria" w:hAnsi="Cambria"/>
          <w:color w:val="111111"/>
          <w:sz w:val="22"/>
          <w:szCs w:val="22"/>
        </w:rPr>
        <w:t xml:space="preserve">[109]</w:t>
      </w:r>
      <w:r>
        <w:rPr>
          <w:rFonts w:ascii="Cambria" w:cs="Cambria" w:eastAsia="Cambria" w:hAnsi="Cambria"/>
          <w:color w:val="111111"/>
          <w:sz w:val="22"/>
          <w:szCs w:val="22"/>
        </w:rPr>
        <w:t xml:space="preserve">, NVIDIA Jetson Orin NX companion compute, OAK-D depth camera), Meta Ray-Ban smart glasses relaying first-person video to local vision models, a Looking Glass light-field display driving a lip-synced avatar through an offline speech loop, a Kali Linux security node, and a set of revived legacy consumer devices serving as terminals.</w:t>
      </w:r>
    </w:p>
    <w:p>
      <w:pPr>
        <w:spacing w:after="140" w:before="0" w:line="300" w:lineRule="auto"/>
        <w:jc w:val="both"/>
      </w:pPr>
      <w:r>
        <w:rPr>
          <w:rFonts w:ascii="Cambria" w:cs="Cambria" w:eastAsia="Cambria" w:hAnsi="Cambria"/>
          <w:color w:val="111111"/>
          <w:sz w:val="22"/>
          <w:szCs w:val="22"/>
        </w:rPr>
        <w:t xml:space="preserve">We state plainly which of these are built and which are designed. The quadruped, the glasses, the security node, and the legacy terminals are operational. The drone and the holographic avatar are specified, costed, and documented but not yet flying or lit. Constitution Rule II forbids claiming capability the hardware does not have, and that rule binds this paper as much as the volumes.</w:t>
      </w:r>
    </w:p>
    <w:p>
      <w:pPr>
        <w:spacing w:after="140" w:before="0" w:line="300" w:lineRule="auto"/>
        <w:jc w:val="both"/>
      </w:pPr>
      <w:r>
        <w:rPr>
          <w:rFonts w:ascii="Cambria" w:cs="Cambria" w:eastAsia="Cambria" w:hAnsi="Cambria"/>
          <w:color w:val="111111"/>
          <w:sz w:val="22"/>
          <w:szCs w:val="22"/>
        </w:rPr>
        <w:t xml:space="preserve">The fleet's design follows a single pattern: the peripheral carries the minimum intelligence required for safety and latency, and defers everything else to the hub. This is a compromise forced by the evidence rather than an architectural preference — see §7.4, where we engage the fact that the most capable robot policies </w:t>
      </w:r>
      <w:r>
        <w:rPr>
          <w:rFonts w:ascii="Cambria" w:cs="Cambria" w:eastAsia="Cambria" w:hAnsi="Cambria"/>
          <w:color w:val="111111"/>
          <w:sz w:val="22"/>
          <w:szCs w:val="22"/>
        </w:rPr>
        <w:t xml:space="preserve">[189]</w:t>
      </w:r>
      <w:r>
        <w:rPr>
          <w:rFonts w:ascii="Cambria" w:cs="Cambria" w:eastAsia="Cambria" w:hAnsi="Cambria"/>
          <w:color w:val="111111"/>
          <w:sz w:val="22"/>
          <w:szCs w:val="22"/>
        </w:rPr>
        <w:t xml:space="preserve"> run on multi-TPU off-board infrastructure at 1–3 Hz, which is a direct contradiction of the local-first thesis at the fleet's edge.</w:t>
      </w:r>
    </w:p>
    <w:p>
      <w:pPr>
        <w:pStyle w:val="Heading2"/>
      </w:pPr>
      <w:r>
        <w:t xml:space="preserve">3.6 The Mesh and the Trust Boundary</w:t>
      </w:r>
    </w:p>
    <w:p>
      <w:pPr>
        <w:spacing w:after="140" w:before="0" w:line="300" w:lineRule="auto"/>
        <w:jc w:val="both"/>
      </w:pPr>
      <w:r>
        <w:rPr>
          <w:rFonts w:ascii="Cambria" w:cs="Cambria" w:eastAsia="Cambria" w:hAnsi="Cambria"/>
          <w:color w:val="111111"/>
          <w:sz w:val="22"/>
          <w:szCs w:val="22"/>
        </w:rPr>
        <w:t xml:space="preserve">All nodes are bound by a Tailscale mesh with role-scoped access control lists. The design rule is least privilege </w:t>
      </w:r>
      <w:r>
        <w:rPr>
          <w:rFonts w:ascii="Cambria" w:cs="Cambria" w:eastAsia="Cambria" w:hAnsi="Cambria"/>
          <w:color w:val="111111"/>
          <w:sz w:val="22"/>
          <w:szCs w:val="22"/>
        </w:rPr>
        <w:t xml:space="preserve">[148]</w:t>
      </w:r>
      <w:r>
        <w:rPr>
          <w:rFonts w:ascii="Cambria" w:cs="Cambria" w:eastAsia="Cambria" w:hAnsi="Cambria"/>
          <w:color w:val="111111"/>
          <w:sz w:val="22"/>
          <w:szCs w:val="22"/>
        </w:rPr>
        <w:t xml:space="preserve">: the drone cannot reach the trading desk; the legacy terminals cannot reach anything holding a key; the security node is federated but firewalled from Council infrastructure. Full-disk encryption (LUKS or BitLocker depending on host path) protects data at rest.</w:t>
      </w:r>
    </w:p>
    <w:p>
      <w:pPr>
        <w:spacing w:after="140" w:before="0" w:line="300" w:lineRule="auto"/>
        <w:jc w:val="both"/>
      </w:pPr>
      <w:r>
        <w:rPr>
          <w:rFonts w:ascii="Cambria" w:cs="Cambria" w:eastAsia="Cambria" w:hAnsi="Cambria"/>
          <w:color w:val="111111"/>
          <w:sz w:val="22"/>
          <w:szCs w:val="22"/>
        </w:rPr>
        <w:t xml:space="preserve">The trading division deserves specific description because it is the only division that can lose money. Its guardrails are coded rather than prompted, which is the entire point:</w:t>
      </w:r>
    </w:p>
    <w:p>
      <w:pPr>
        <w:keepLines/>
        <w:pBdr>
          <w:left w:val="single" w:color="1A3A5C" w:sz="12" w:space="8"/>
        </w:pBdr>
        <w:shd w:fill="F4F5F7" w:color="auto" w:val="clear"/>
        <w:spacing w:after="0" w:before="110" w:line="240" w:lineRule="auto"/>
        <w:ind w:left="200" w:right="100"/>
      </w:pPr>
      <w:r>
        <w:rPr>
          <w:rFonts w:ascii="Consolas" w:cs="Consolas" w:eastAsia="Consolas" w:hAnsi="Consolas"/>
          <w:color w:val="1D1D1F"/>
          <w:sz w:val="17"/>
          <w:szCs w:val="17"/>
        </w:rPr>
        <w:t xml:space="preserve"># Guardrails are code. Prompts can be argued with; code cannot.</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POSITION_CAP      = 0.25 * kelly_fraction   # quarter-Kelly, per MacLean et al.</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DAILY_LOSS_LIMIT  = hard_stop_and_halt</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LIVE_CAPITAL      = requires_human_confirmation_per_trade</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PAPER_PROTOCOL    = must_complete_clean_before_any_live_capital</w:t>
      </w:r>
    </w:p>
    <w:p>
      <w:pPr>
        <w:keepLines/>
        <w:pBdr>
          <w:left w:val="single" w:color="1A3A5C" w:sz="12" w:space="8"/>
        </w:pBdr>
        <w:shd w:fill="F4F5F7" w:color="auto" w:val="clear"/>
        <w:spacing w:after="140" w:before="0" w:line="240" w:lineRule="auto"/>
        <w:ind w:left="200" w:right="100"/>
      </w:pPr>
      <w:r>
        <w:rPr>
          <w:rFonts w:ascii="Consolas" w:cs="Consolas" w:eastAsia="Consolas" w:hAnsi="Consolas"/>
          <w:color w:val="1D1D1F"/>
          <w:sz w:val="17"/>
          <w:szCs w:val="17"/>
        </w:rPr>
        <w:t xml:space="preserve">KILL_SWITCH       = one_command_halts_everything; tested_monthly</w:t>
      </w:r>
    </w:p>
    <w:p>
      <w:pPr>
        <w:spacing w:after="140" w:before="0" w:line="300" w:lineRule="auto"/>
        <w:jc w:val="both"/>
      </w:pPr>
      <w:r>
        <w:rPr>
          <w:rFonts w:ascii="Cambria" w:cs="Cambria" w:eastAsia="Cambria" w:hAnsi="Cambria"/>
          <w:color w:val="111111"/>
          <w:sz w:val="22"/>
          <w:szCs w:val="22"/>
        </w:rPr>
        <w:t xml:space="preserve">The quarter-Kelly cap is a direct application of MacLean, Ziemba, and Blazenko </w:t>
      </w:r>
      <w:r>
        <w:rPr>
          <w:rFonts w:ascii="Cambria" w:cs="Cambria" w:eastAsia="Cambria" w:hAnsi="Cambria"/>
          <w:color w:val="111111"/>
          <w:sz w:val="22"/>
          <w:szCs w:val="22"/>
        </w:rPr>
        <w:t xml:space="preserve">[104]</w:t>
      </w:r>
      <w:r>
        <w:rPr>
          <w:rFonts w:ascii="Cambria" w:cs="Cambria" w:eastAsia="Cambria" w:hAnsi="Cambria"/>
          <w:color w:val="111111"/>
          <w:sz w:val="22"/>
          <w:szCs w:val="22"/>
        </w:rPr>
        <w:t xml:space="preserve"> and the drawdown arithmetic in the Kelly handbook </w:t>
      </w:r>
      <w:r>
        <w:rPr>
          <w:rFonts w:ascii="Cambria" w:cs="Cambria" w:eastAsia="Cambria" w:hAnsi="Cambria"/>
          <w:color w:val="111111"/>
          <w:sz w:val="22"/>
          <w:szCs w:val="22"/>
        </w:rPr>
        <w:t xml:space="preserve">[105]</w:t>
      </w:r>
      <w:r>
        <w:rPr>
          <w:rFonts w:ascii="Cambria" w:cs="Cambria" w:eastAsia="Cambria" w:hAnsi="Cambria"/>
          <w:color w:val="111111"/>
          <w:sz w:val="22"/>
          <w:szCs w:val="22"/>
        </w:rPr>
        <w:t xml:space="preserve">: full Kelly carries a 50% probability of a 50% drawdown; half-Kelly reduces that to 12.5% while retaining roughly three-quarters of the growth rate. We take a quarter because an LLM's edge estimates are precisely the badly-estimated parameters under which Kelly is known to be over-aggressive. This is risk management, and we make no claim of profitability — see §7.7.</w:t>
      </w:r>
    </w:p>
    <w:p>
      <w:pPr>
        <w:pStyle w:val="Heading2"/>
      </w:pPr>
      <w:r>
        <w:t xml:space="preserve">3.7 The Constitution</w:t>
      </w:r>
    </w:p>
    <w:p>
      <w:pPr>
        <w:spacing w:after="140" w:before="0" w:line="300" w:lineRule="auto"/>
        <w:jc w:val="both"/>
      </w:pPr>
      <w:r>
        <w:rPr>
          <w:rFonts w:ascii="Cambria" w:cs="Cambria" w:eastAsia="Cambria" w:hAnsi="Cambria"/>
          <w:color w:val="111111"/>
          <w:sz w:val="22"/>
          <w:szCs w:val="22"/>
        </w:rPr>
        <w:t xml:space="preserve">Fifteen written rules govern every division, agent, and deployment. They are not aspirational statements; they are acceptance criteria, audited on a schedule. We reproduce them because §6 and §8 refer to them constantly and because the argument of this paper is partly that </w:t>
      </w:r>
      <w:r>
        <w:rPr>
          <w:rFonts w:ascii="Cambria" w:cs="Cambria" w:eastAsia="Cambria" w:hAnsi="Cambria"/>
          <w:i/>
          <w:iCs/>
          <w:color w:val="111111"/>
          <w:sz w:val="22"/>
          <w:szCs w:val="22"/>
        </w:rPr>
        <w:t xml:space="preserve">writing the rules down and enforcing them mechanically is itself an architectural component</w:t>
      </w:r>
      <w:r>
        <w:rPr>
          <w:rFonts w:ascii="Cambria" w:cs="Cambria" w:eastAsia="Cambria" w:hAnsi="Cambria"/>
          <w:color w:val="111111"/>
          <w:sz w:val="22"/>
          <w:szCs w:val="22"/>
        </w:rPr>
        <w:t xml:space="preserve">.</w:t>
      </w:r>
    </w:p>
    <w:p>
      <w:pPr>
        <w:spacing w:after="60"/>
      </w:pPr>
      <w:r>
        <w:rPr>
          <w:rFonts w:ascii="Cambria" w:cs="Cambria" w:eastAsia="Cambria" w:hAnsi="Cambria"/>
          <w:color w:val="111111"/>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60"/>
        <w:gridCol w:w="2680"/>
        <w:gridCol w:w="6120"/>
      </w:tblGrid>
      <w:tr>
        <w:trPr>
          <w:tblHeader/>
        </w:trPr>
        <w:tc>
          <w:tcPr>
            <w:tcW w:type="dxa" w:w="5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w:t>
            </w:r>
          </w:p>
        </w:tc>
        <w:tc>
          <w:tcPr>
            <w:tcW w:type="dxa" w:w="268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Rule</w:t>
            </w:r>
          </w:p>
        </w:tc>
        <w:tc>
          <w:tcPr>
            <w:tcW w:type="dxa" w:w="612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Mechanism</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Local first, always</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Weights, memory, and processed data on owned hardware under an owned key. Cloud is a logged exception, never a default.</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honest ceiling</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Never claim capability the hardware lacks. Every capacity claim is arithmetic (Table 1), not marketing.</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III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 silent failure</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An agent that cannot do the task says so. A stalled model times out and reports. Silence is a bug, not a state.</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IV</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Human in the loop on irreversibility</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Money, deletion, publication, and physical actuation require a human gate. The gate is a person, not a config flag.</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V</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Paper until proven</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 live capital until the paper protocol completes clean.</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VI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kill switch is sacred</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One command stops everything. Tested monthly. An untested kill switch does not exist.</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VII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Provenance on everything published</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C2PA credentials on AI-assisted output. Legally mandatory in the EU from 2 Aug 2026; ethically mandatory now.</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VIII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trust root is named</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Every architecture states plainly who owns the metal. No document pretends otherwise.</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IX</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Verify, then trust</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Vendor claims and AI outputs are checked against primary sources before entering a document. Flag what cannot be verified.</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X</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Depth is not padding</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Page count is never a goal. Cut what exists to fill space; never strip depth to hit a length.</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XI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game does not own the machine</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Two-mode doctrine. The Council yields memory by design, not by crash.</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XII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Least privilege for the fleet</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Every peripheral gets the narrowest ACL that works.</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XIII</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Sandbox the experimental</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New capability is guilty until proven. Isolation before integration.</w:t>
            </w:r>
          </w:p>
        </w:tc>
      </w:tr>
      <w:tr>
        <w:tc>
          <w:tcPr>
            <w:tcW w:type="dxa" w:w="5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XIV</w:t>
            </w:r>
          </w:p>
        </w:tc>
        <w:tc>
          <w:tcPr>
            <w:tcW w:type="dxa" w:w="268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Document the exit</w:t>
            </w:r>
          </w:p>
        </w:tc>
        <w:tc>
          <w:tcPr>
            <w:tcW w:type="dxa" w:w="612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Every dependency has a written migration path. A decision without a documented exit is a trap.</w:t>
            </w:r>
          </w:p>
        </w:tc>
      </w:tr>
      <w:tr>
        <w:tc>
          <w:tcPr>
            <w:tcW w:type="dxa" w:w="5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XV</w:t>
            </w:r>
          </w:p>
        </w:tc>
        <w:tc>
          <w:tcPr>
            <w:tcW w:type="dxa" w:w="268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Re-verify on a clock</w:t>
            </w:r>
          </w:p>
        </w:tc>
        <w:tc>
          <w:tcPr>
            <w:tcW w:type="dxa" w:w="612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Quarterly re-verification of the whole stack against primary sources.</w:t>
            </w:r>
          </w:p>
        </w:tc>
      </w:tr>
    </w:tbl>
    <w:p>
      <w:pPr>
        <w:spacing w:after="200" w:before="60" w:line="260" w:lineRule="auto"/>
        <w:jc w:val="left"/>
      </w:pPr>
      <w:r>
        <w:rPr>
          <w:rFonts w:ascii="Cambria" w:cs="Cambria" w:eastAsia="Cambria" w:hAnsi="Cambria"/>
          <w:i/>
          <w:iCs/>
          <w:color w:val="6E6E6E"/>
          <w:sz w:val="19"/>
          <w:szCs w:val="19"/>
        </w:rPr>
        <w:t xml:space="preserve">Table 3. Constitution v5.2. Rules XIV and XV were added after the failures described in §4.4 — both were process failures rather than knowledge failures, which is the argument for having rules at all.</w:t>
      </w:r>
    </w:p>
    <w:p>
      <w:pPr>
        <w:spacing w:after="140" w:before="0" w:line="300" w:lineRule="auto"/>
        <w:jc w:val="both"/>
      </w:pPr>
      <w:r>
        <w:rPr>
          <w:rFonts w:ascii="Cambria" w:cs="Cambria" w:eastAsia="Cambria" w:hAnsi="Cambria"/>
          <w:color w:val="111111"/>
          <w:sz w:val="22"/>
          <w:szCs w:val="22"/>
        </w:rPr>
        <w:t xml:space="preserve">The distinction between rules enforced by prompt and rules enforced by code is the one that matters. Rules IV, V, VI, XI, and XII are mechanical: a gate that requires a human confirmation is a function that blocks. Rules II, IX, X, and XIV are editorial: they govern what may be written and claimed, and they are enforced by review. Rules I, III, VII, VIII, XIII, and XV are mixed. Our position — argued in §6.4 and §8 — is that any rule protecting against an irreversible outcome must be mechanical, because a prompt is a request and an agent under distributional shift is exactly the entity least likely to honor one.</w:t>
      </w:r>
    </w:p>
    <w:p>
      <w:pPr>
        <w:pStyle w:val="Heading2"/>
      </w:pPr>
      <w:r>
        <w:t xml:space="preserve">3.8 The Host Boundary</w:t>
      </w:r>
    </w:p>
    <w:p>
      <w:pPr>
        <w:spacing w:after="140" w:before="0" w:line="300" w:lineRule="auto"/>
        <w:jc w:val="both"/>
      </w:pPr>
      <w:r>
        <w:rPr>
          <w:rFonts w:ascii="Cambria" w:cs="Cambria" w:eastAsia="Cambria" w:hAnsi="Cambria"/>
          <w:color w:val="111111"/>
          <w:sz w:val="22"/>
          <w:szCs w:val="22"/>
        </w:rPr>
        <w:t xml:space="preserve">One architectural decision deserves separate treatment because it is the least intuitive and because it is where the first architecture died (§4.3).</w:t>
      </w:r>
    </w:p>
    <w:p>
      <w:pPr>
        <w:spacing w:after="140" w:before="0" w:line="300" w:lineRule="auto"/>
        <w:jc w:val="both"/>
      </w:pPr>
      <w:r>
        <w:rPr>
          <w:rFonts w:ascii="Cambria" w:cs="Cambria" w:eastAsia="Cambria" w:hAnsi="Cambria"/>
          <w:color w:val="111111"/>
          <w:sz w:val="22"/>
          <w:szCs w:val="22"/>
        </w:rPr>
        <w:t xml:space="preserve">The obvious design for a local-first AI system is a Linux host. Linux is where the tooling lives, where the documentation assumes you are, and where an engineer would prefer to be. We built that first and it failed, for a reason that is not about Linux: the machine has a second job. It is also the author's personal computer, and some of the software that must run on it — competitive games with kernel-level anti-cheat, certain creative applications — either refuses to run under virtualization or treats it as an offense. GPU passthrough to a Windows guest, the standard escape hatch, requires isolating a GPU from the host; on a unified-memory APU whose integrated GPU </w:t>
      </w:r>
      <w:r>
        <w:rPr>
          <w:rFonts w:ascii="Cambria" w:cs="Cambria" w:eastAsia="Cambria" w:hAnsi="Cambria"/>
          <w:i/>
          <w:iCs/>
          <w:color w:val="111111"/>
          <w:sz w:val="22"/>
          <w:szCs w:val="22"/>
        </w:rPr>
        <w:t xml:space="preserve">is</w:t>
      </w:r>
      <w:r>
        <w:rPr>
          <w:rFonts w:ascii="Cambria" w:cs="Cambria" w:eastAsia="Cambria" w:hAnsi="Cambria"/>
          <w:color w:val="111111"/>
          <w:sz w:val="22"/>
          <w:szCs w:val="22"/>
        </w:rPr>
        <w:t xml:space="preserve"> the host's display adapter, there is nothing to isolate.</w:t>
      </w:r>
    </w:p>
    <w:p>
      <w:pPr>
        <w:spacing w:after="140" w:before="0" w:line="300" w:lineRule="auto"/>
        <w:jc w:val="both"/>
      </w:pPr>
      <w:r>
        <w:rPr>
          <w:rFonts w:ascii="Cambria" w:cs="Cambria" w:eastAsia="Cambria" w:hAnsi="Cambria"/>
          <w:color w:val="111111"/>
          <w:sz w:val="22"/>
          <w:szCs w:val="22"/>
        </w:rPr>
        <w:t xml:space="preserve">The surviving architecture inverts the expected stack:</w:t>
      </w:r>
    </w:p>
    <w:p>
      <w:pPr>
        <w:keepLines/>
        <w:pBdr>
          <w:left w:val="single" w:color="1A3A5C" w:sz="12" w:space="8"/>
        </w:pBdr>
        <w:shd w:fill="F4F5F7" w:color="auto" w:val="clear"/>
        <w:spacing w:after="0" w:before="110" w:line="240" w:lineRule="auto"/>
        <w:ind w:left="200" w:right="100"/>
      </w:pPr>
      <w:r>
        <w:rPr>
          <w:rFonts w:ascii="Consolas" w:cs="Consolas" w:eastAsia="Consolas" w:hAnsi="Consolas"/>
          <w:color w:val="1D1D1F"/>
          <w:sz w:val="17"/>
          <w:szCs w:val="17"/>
        </w:rPr>
        <w:t xml:space="preserve">Windows 11 (hardened)  &lt;- owns the metal, the iGPU, the display</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 Ollama (Windows-native, Vulkan backend)  &lt;- inference server</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     binds 127.0.0.1:11434</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 WSL2 / Ubuntu</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 LangGraph orchestrator  --\</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 Letta + Postgres/pgvector  &gt;-- HTTP --&gt; host inference</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 Docker (division sandboxes) --/</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The Council lives in Linux. The GPU lives in Windows.</w:t>
      </w:r>
    </w:p>
    <w:p>
      <w:pPr>
        <w:keepLines/>
        <w:pBdr>
          <w:left w:val="single" w:color="1A3A5C" w:sz="12" w:space="8"/>
        </w:pBdr>
        <w:shd w:fill="F4F5F7" w:color="auto" w:val="clear"/>
        <w:spacing w:after="140" w:before="0" w:line="240" w:lineRule="auto"/>
        <w:ind w:left="200" w:right="100"/>
      </w:pPr>
      <w:r>
        <w:rPr>
          <w:rFonts w:ascii="Consolas" w:cs="Consolas" w:eastAsia="Consolas" w:hAnsi="Consolas"/>
          <w:color w:val="1D1D1F"/>
          <w:sz w:val="17"/>
          <w:szCs w:val="17"/>
        </w:rPr>
        <w:t xml:space="preserve">        They meet over localhost.</w:t>
      </w:r>
    </w:p>
    <w:p>
      <w:pPr>
        <w:spacing w:after="140" w:before="0" w:line="300" w:lineRule="auto"/>
        <w:jc w:val="both"/>
      </w:pPr>
      <w:r>
        <w:rPr>
          <w:rFonts w:ascii="Cambria" w:cs="Cambria" w:eastAsia="Cambria" w:hAnsi="Cambria"/>
          <w:color w:val="111111"/>
          <w:sz w:val="22"/>
          <w:szCs w:val="22"/>
        </w:rPr>
        <w:t xml:space="preserve">The Council runs in WSL2, where the tooling is sane, and calls the inference server across the WSL network boundary to a Windows-native process that owns the Vulkan device. The boundary costs a network hop on every inference call — measured in single-digit milliseconds against generation times measured in seconds, which is to say it costs nothing that matters.</w:t>
      </w:r>
    </w:p>
    <w:p>
      <w:pPr>
        <w:spacing w:after="140" w:before="0" w:line="300" w:lineRule="auto"/>
        <w:jc w:val="both"/>
      </w:pPr>
      <w:r>
        <w:rPr>
          <w:rFonts w:ascii="Cambria" w:cs="Cambria" w:eastAsia="Cambria" w:hAnsi="Cambria"/>
          <w:color w:val="111111"/>
          <w:sz w:val="22"/>
          <w:szCs w:val="22"/>
        </w:rPr>
        <w:t xml:space="preserve">We report this because it is the sort of decision that gets silently reversed by anyone reading only the community guidance, and because it illustrates the paper's methodological claim in miniature. The elegant architecture was wrong. It was wrong for a reason that had nothing to do with AI and everything to do with the machine having a life outside the project. The literature on local inference does not discuss this, because papers do not have to share a computer with anything. Every actual deployment does.</w:t>
      </w:r>
    </w:p>
    <w:p>
      <w:pPr>
        <w:pStyle w:val="Heading2"/>
      </w:pPr>
      <w:r>
        <w:t xml:space="preserve">3.9 The Upgrade Path</w:t>
      </w:r>
    </w:p>
    <w:p>
      <w:pPr>
        <w:spacing w:after="140" w:before="0" w:line="300" w:lineRule="auto"/>
        <w:jc w:val="both"/>
      </w:pPr>
      <w:r>
        <w:rPr>
          <w:rFonts w:ascii="Cambria" w:cs="Cambria" w:eastAsia="Cambria" w:hAnsi="Cambria"/>
          <w:color w:val="111111"/>
          <w:sz w:val="22"/>
          <w:szCs w:val="22"/>
        </w:rPr>
        <w:t xml:space="preserve">The machine as described has a hard ceiling set by 32 GB of unified memory and by the absence of ROCm on the 890M (§3.1). There is one upgrade that moves both constraints without replacing the machine, and because it is the obvious next question we treat it with the same arithmetic discipline as everything else. The EVO-X1 exposes an OCuLink port — an external PCIe 4.0 ×4 link — into which a desktop GPU can be attached through a powered enclosure. The maximalist version of that upgrade is an NVIDIA RTX 5090: 32 GB of GDDR7, a 512-bit bus, roughly 1.79 TB/s of memory bandwidth, and native FP4 tensor hardware </w:t>
      </w:r>
      <w:r>
        <w:rPr>
          <w:rFonts w:ascii="Cambria" w:cs="Cambria" w:eastAsia="Cambria" w:hAnsi="Cambria"/>
          <w:color w:val="111111"/>
          <w:sz w:val="22"/>
          <w:szCs w:val="22"/>
        </w:rPr>
        <w:t xml:space="preserve">[123]</w:t>
      </w:r>
      <w:r>
        <w:rPr>
          <w:rFonts w:ascii="Cambria" w:cs="Cambria" w:eastAsia="Cambria" w:hAnsi="Cambria"/>
          <w:color w:val="111111"/>
          <w:sz w:val="22"/>
          <w:szCs w:val="22"/>
        </w:rPr>
        <w:t xml:space="preserve">. This section states what it does and does not buy.</w:t>
      </w:r>
    </w:p>
    <w:p>
      <w:pPr>
        <w:spacing w:after="140" w:before="0" w:line="300" w:lineRule="auto"/>
        <w:jc w:val="both"/>
      </w:pPr>
      <w:r>
        <w:rPr>
          <w:rFonts w:ascii="Cambria" w:cs="Cambria" w:eastAsia="Cambria" w:hAnsi="Cambria"/>
          <w:b/>
          <w:bCs/>
          <w:color w:val="111111"/>
          <w:sz w:val="22"/>
          <w:szCs w:val="22"/>
        </w:rPr>
        <w:t xml:space="preserve">The enabling fact is counterintuitive. </w:t>
      </w:r>
      <w:r>
        <w:rPr>
          <w:rFonts w:ascii="Cambria" w:cs="Cambria" w:eastAsia="Cambria" w:hAnsi="Cambria"/>
          <w:color w:val="111111"/>
          <w:sz w:val="22"/>
          <w:szCs w:val="22"/>
        </w:rPr>
        <w:t xml:space="preserve">OCuLink's ×4 link is a severe bottleneck for gaming — community measurements put the loss at 25–40% versus an internal ×16 slot — but for local LLM </w:t>
      </w:r>
      <w:r>
        <w:rPr>
          <w:rFonts w:ascii="Cambria" w:cs="Cambria" w:eastAsia="Cambria" w:hAnsi="Cambria"/>
          <w:i/>
          <w:iCs/>
          <w:color w:val="111111"/>
          <w:sz w:val="22"/>
          <w:szCs w:val="22"/>
        </w:rPr>
        <w:t xml:space="preserve">inference</w:t>
      </w:r>
      <w:r>
        <w:rPr>
          <w:rFonts w:ascii="Cambria" w:cs="Cambria" w:eastAsia="Cambria" w:hAnsi="Cambria"/>
          <w:color w:val="111111"/>
          <w:sz w:val="22"/>
          <w:szCs w:val="22"/>
        </w:rPr>
        <w:t xml:space="preserve"> it costs only about 2–3%. The reason follows directly from the memory-bandwidth-bound analysis of §2.1 </w:t>
      </w:r>
      <w:r>
        <w:rPr>
          <w:rFonts w:ascii="Cambria" w:cs="Cambria" w:eastAsia="Cambria" w:hAnsi="Cambria"/>
          <w:color w:val="111111"/>
          <w:sz w:val="22"/>
          <w:szCs w:val="22"/>
        </w:rPr>
        <w:t xml:space="preserve">[135, 174]</w:t>
      </w:r>
      <w:r>
        <w:rPr>
          <w:rFonts w:ascii="Cambria" w:cs="Cambria" w:eastAsia="Cambria" w:hAnsi="Cambria"/>
          <w:color w:val="111111"/>
          <w:sz w:val="22"/>
          <w:szCs w:val="22"/>
        </w:rPr>
        <w:t xml:space="preserve">): once the model weights are resident in the GPU's own VRAM, autoregressive decoding barely touches the PCIe bus at all — the bandwidth that matters is the 1.79 TB/s </w:t>
      </w:r>
      <w:r>
        <w:rPr>
          <w:rFonts w:ascii="Cambria" w:cs="Cambria" w:eastAsia="Cambria" w:hAnsi="Cambria"/>
          <w:i/>
          <w:iCs/>
          <w:color w:val="111111"/>
          <w:sz w:val="22"/>
          <w:szCs w:val="22"/>
        </w:rPr>
        <w:t xml:space="preserve">inside</w:t>
      </w:r>
      <w:r>
        <w:rPr>
          <w:rFonts w:ascii="Cambria" w:cs="Cambria" w:eastAsia="Cambria" w:hAnsi="Cambria"/>
          <w:color w:val="111111"/>
          <w:sz w:val="22"/>
          <w:szCs w:val="22"/>
        </w:rPr>
        <w:t xml:space="preserve"> the card, not the ~4 GB/s across the cable. The link is exercised heavily only during the one-time model load. So the same thin external link that would cripple a game is very nearly free for inference. This is the fact that makes the upgrade path coherent for an AI machine specifically.</w:t>
      </w:r>
    </w:p>
    <w:p>
      <w:pPr>
        <w:spacing w:after="140" w:before="0" w:line="300" w:lineRule="auto"/>
        <w:jc w:val="both"/>
      </w:pPr>
      <w:r>
        <w:rPr>
          <w:rFonts w:ascii="Cambria" w:cs="Cambria" w:eastAsia="Cambria" w:hAnsi="Cambria"/>
          <w:color w:val="111111"/>
          <w:sz w:val="22"/>
          <w:szCs w:val="22"/>
        </w:rPr>
        <w:t xml:space="preserve">What the upgrade actually buys is less about raw speed than about ecosystem. The 890M is gfx1150, unsupported by ROCm, so the entire CUDA world — the mature kernels, the FP4 paths, vLLM, the fastest llama.cpp backends — is closed to it, and the machine is confined to the Vulkan backend (§3.1). An RTX 5090 over OCuLink is, first and foremost, </w:t>
      </w:r>
      <w:r>
        <w:rPr>
          <w:rFonts w:ascii="Cambria" w:cs="Cambria" w:eastAsia="Cambria" w:hAnsi="Cambria"/>
          <w:i/>
          <w:iCs/>
          <w:color w:val="111111"/>
          <w:sz w:val="22"/>
          <w:szCs w:val="22"/>
        </w:rPr>
        <w:t xml:space="preserve">a CUDA device</w:t>
      </w:r>
      <w:r>
        <w:rPr>
          <w:rFonts w:ascii="Cambria" w:cs="Cambria" w:eastAsia="Cambria" w:hAnsi="Cambria"/>
          <w:color w:val="111111"/>
          <w:sz w:val="22"/>
          <w:szCs w:val="22"/>
        </w:rPr>
        <w:t xml:space="preserve">. That is the qualitative unlock: not that inference becomes marginally faster, but that the software stack the rest of the field assumes becomes available. We rate this a larger practical gain than the tokens-per-second delta.</w:t>
      </w:r>
    </w:p>
    <w:p>
      <w:pPr>
        <w:spacing w:after="140" w:before="0" w:line="300" w:lineRule="auto"/>
        <w:jc w:val="both"/>
      </w:pPr>
      <w:r>
        <w:rPr>
          <w:rFonts w:ascii="Cambria" w:cs="Cambria" w:eastAsia="Cambria" w:hAnsi="Cambria"/>
          <w:b/>
          <w:bCs/>
          <w:color w:val="111111"/>
          <w:sz w:val="22"/>
          <w:szCs w:val="22"/>
        </w:rPr>
        <w:t xml:space="preserve">And now the honest ceiling, because the upgrade does not dissolve it. </w:t>
      </w:r>
      <w:r>
        <w:rPr>
          <w:rFonts w:ascii="Cambria" w:cs="Cambria" w:eastAsia="Cambria" w:hAnsi="Cambria"/>
          <w:color w:val="111111"/>
          <w:sz w:val="22"/>
          <w:szCs w:val="22"/>
        </w:rPr>
        <w:t xml:space="preserve">The open-weight models that make the 2026 frontier interesting — Kimi K3 at 2.8T, DeepSeek V4 at 1.6T, GLM-5.2 at ~753B </w:t>
      </w:r>
      <w:r>
        <w:rPr>
          <w:rFonts w:ascii="Cambria" w:cs="Cambria" w:eastAsia="Cambria" w:hAnsi="Cambria"/>
          <w:color w:val="111111"/>
          <w:sz w:val="22"/>
          <w:szCs w:val="22"/>
        </w:rPr>
        <w:t xml:space="preserve">[31, 113, 186]</w:t>
      </w:r>
      <w:r>
        <w:rPr>
          <w:rFonts w:ascii="Cambria" w:cs="Cambria" w:eastAsia="Cambria" w:hAnsi="Cambria"/>
          <w:color w:val="111111"/>
          <w:sz w:val="22"/>
          <w:szCs w:val="22"/>
        </w:rPr>
        <w:t xml:space="preserve"> — require, at four-bit quantization, on the order of 400 GB to 1.5 TB for weights alone. Thirty-two gigabytes of VRAM, even added to 32 GB of system RAM, does not hold them. The RTX 5090 raises the ceiling; it does not reach the frontier tier. What it does reach:</w:t>
      </w:r>
    </w:p>
    <w:p>
      <w:pPr>
        <w:spacing w:after="60"/>
      </w:pPr>
      <w:r>
        <w:rPr>
          <w:rFonts w:ascii="Cambria" w:cs="Cambria" w:eastAsia="Cambria" w:hAnsi="Cambria"/>
          <w:color w:val="111111"/>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60"/>
        <w:gridCol w:w="3400"/>
        <w:gridCol w:w="2800"/>
      </w:tblGrid>
      <w:tr>
        <w:trPr>
          <w:tblHeader/>
        </w:trPr>
        <w:tc>
          <w:tcPr>
            <w:tcW w:type="dxa" w:w="31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Model class</w:t>
            </w:r>
          </w:p>
        </w:tc>
        <w:tc>
          <w:tcPr>
            <w:tcW w:type="dxa" w:w="34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On RTX 5090 (32 GB VRAM)</w:t>
            </w:r>
          </w:p>
        </w:tc>
        <w:tc>
          <w:tcPr>
            <w:tcW w:type="dxa" w:w="28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Realistic speed</w:t>
            </w:r>
          </w:p>
        </w:tc>
      </w:tr>
      <w:tr>
        <w:tc>
          <w:tcPr>
            <w:tcW w:type="dxa" w:w="3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Dense/MoE up to ~30B @ Q4</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Fits fully in VRAM</w:t>
            </w:r>
          </w:p>
        </w:tc>
        <w:tc>
          <w:tcPr>
            <w:tcW w:type="dxa" w:w="2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~60–90 tok/s. Comfortable.</w:t>
            </w:r>
          </w:p>
        </w:tc>
      </w:tr>
      <w:tr>
        <w:tc>
          <w:tcPr>
            <w:tcW w:type="dxa" w:w="3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70B dense @ Q4 (~40 GB)</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Does NOT fit; layer-offload to system RAM</w:t>
            </w:r>
          </w:p>
        </w:tc>
        <w:tc>
          <w:tcPr>
            <w:tcW w:type="dxa" w:w="2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~8–18 tok/s. Usable, not fast.</w:t>
            </w:r>
          </w:p>
        </w:tc>
      </w:tr>
      <w:tr>
        <w:tc>
          <w:tcPr>
            <w:tcW w:type="dxa" w:w="3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Large MoE (GLM-5.2 / DeepSeek V4 / Kimi-class)</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Weights exceed RAM+VRAM combined; expert-streaming only, and only if it fits at all</w:t>
            </w:r>
          </w:p>
        </w:tc>
        <w:tc>
          <w:tcPr>
            <w:tcW w:type="dxa" w:w="2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Single-digit to low-double-digit tok/s, memory-starved</w:t>
            </w:r>
          </w:p>
        </w:tc>
      </w:tr>
      <w:tr>
        <w:tc>
          <w:tcPr>
            <w:tcW w:type="dxa" w:w="31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Frontier MoE at full quality (1–2.8T)</w:t>
            </w:r>
          </w:p>
        </w:tc>
        <w:tc>
          <w:tcPr>
            <w:tcW w:type="dxa" w:w="34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Does not fit on this platform</w:t>
            </w:r>
          </w:p>
        </w:tc>
        <w:tc>
          <w:tcPr>
            <w:tcW w:type="dxa" w:w="28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Not runnable</w:t>
            </w:r>
          </w:p>
        </w:tc>
      </w:tr>
    </w:tbl>
    <w:p>
      <w:pPr>
        <w:spacing w:after="200" w:before="60" w:line="260" w:lineRule="auto"/>
        <w:jc w:val="left"/>
      </w:pPr>
      <w:r>
        <w:rPr>
          <w:rFonts w:ascii="Cambria" w:cs="Cambria" w:eastAsia="Cambria" w:hAnsi="Cambria"/>
          <w:i/>
          <w:iCs/>
          <w:color w:val="6E6E6E"/>
          <w:sz w:val="19"/>
          <w:szCs w:val="19"/>
        </w:rPr>
        <w:t xml:space="preserve">Table 3b. The upgrade path's ceiling, stated as configurations. The RTX 5090 makes 30B-class models comfortable and large MoEs slowly-runnable; it does not put a frontier-scale open model on this machine. Speeds are configuration-dependent ranges bracketed from adjacent community benchmarks, not measured on this exact rig — a gap §7 records and §9 proposes to close by direct measurement, per Rule IX.</w:t>
      </w:r>
    </w:p>
    <w:p>
      <w:pPr>
        <w:spacing w:after="140" w:before="0" w:line="300" w:lineRule="auto"/>
        <w:jc w:val="both"/>
      </w:pPr>
      <w:r>
        <w:rPr>
          <w:rFonts w:ascii="Cambria" w:cs="Cambria" w:eastAsia="Cambria" w:hAnsi="Cambria"/>
          <w:color w:val="111111"/>
          <w:sz w:val="22"/>
          <w:szCs w:val="22"/>
        </w:rPr>
        <w:t xml:space="preserve">Two further honesties. First, </w:t>
      </w:r>
      <w:r>
        <w:rPr>
          <w:rFonts w:ascii="Cambria" w:cs="Cambria" w:eastAsia="Cambria" w:hAnsi="Cambria"/>
          <w:i/>
          <w:iCs/>
          <w:color w:val="111111"/>
          <w:sz w:val="22"/>
          <w:szCs w:val="22"/>
        </w:rPr>
        <w:t xml:space="preserve">cost</w:t>
      </w:r>
      <w:r>
        <w:rPr>
          <w:rFonts w:ascii="Cambria" w:cs="Cambria" w:eastAsia="Cambria" w:hAnsi="Cambria"/>
          <w:color w:val="111111"/>
          <w:sz w:val="22"/>
          <w:szCs w:val="22"/>
        </w:rPr>
        <w:t xml:space="preserve">. The RTX 5090's MSRP is $1,999, but as of mid-2026 that price is essentially unobtainable; DRAM shortages have pushed street prices above $3,000 for base models and past $5,000 for premium ones </w:t>
      </w:r>
      <w:r>
        <w:rPr>
          <w:rFonts w:ascii="Cambria" w:cs="Cambria" w:eastAsia="Cambria" w:hAnsi="Cambria"/>
          <w:color w:val="111111"/>
          <w:sz w:val="22"/>
          <w:szCs w:val="22"/>
        </w:rPr>
        <w:t xml:space="preserve">[123]</w:t>
      </w:r>
      <w:r>
        <w:rPr>
          <w:rFonts w:ascii="Cambria" w:cs="Cambria" w:eastAsia="Cambria" w:hAnsi="Cambria"/>
          <w:color w:val="111111"/>
          <w:sz w:val="22"/>
          <w:szCs w:val="22"/>
        </w:rPr>
        <w:t xml:space="preserve">. A “maximalist” upgrade to a machine that cost under a thousand dollars therefore triples-to-quintuples the total investment, which is a fact the cost/benefit must carry openly rather than quoting the MSRP. Second, </w:t>
      </w:r>
      <w:r>
        <w:rPr>
          <w:rFonts w:ascii="Cambria" w:cs="Cambria" w:eastAsia="Cambria" w:hAnsi="Cambria"/>
          <w:i/>
          <w:iCs/>
          <w:color w:val="111111"/>
          <w:sz w:val="22"/>
          <w:szCs w:val="22"/>
        </w:rPr>
        <w:t xml:space="preserve">the gaming question that motivates the upgrade for many users</w:t>
      </w:r>
      <w:r>
        <w:rPr>
          <w:rFonts w:ascii="Cambria" w:cs="Cambria" w:eastAsia="Cambria" w:hAnsi="Cambria"/>
          <w:color w:val="111111"/>
          <w:sz w:val="22"/>
          <w:szCs w:val="22"/>
        </w:rPr>
        <w:t xml:space="preserve">. The temptation is to run games in a virtual machine alongside the Council. For anti-cheat-gated titles this is actively dangerous: BattlEye — the anti-cheat used by the games in question — detects virtualization and states plainly that it cannot support VM play </w:t>
      </w:r>
      <w:r>
        <w:rPr>
          <w:rFonts w:ascii="Cambria" w:cs="Cambria" w:eastAsia="Cambria" w:hAnsi="Cambria"/>
          <w:color w:val="111111"/>
          <w:sz w:val="22"/>
          <w:szCs w:val="22"/>
        </w:rPr>
        <w:t xml:space="preserve">[13]</w:t>
      </w:r>
      <w:r>
        <w:rPr>
          <w:rFonts w:ascii="Cambria" w:cs="Cambria" w:eastAsia="Cambria" w:hAnsi="Cambria"/>
          <w:color w:val="111111"/>
          <w:sz w:val="22"/>
          <w:szCs w:val="22"/>
        </w:rPr>
        <w:t xml:space="preserve">), and community evidence shows VFIO/passthrough VMs being flagged. The honest recommendation is the one §3.8 already forced: bare-metal dual-boot (or WSL2 for AI with native Windows for gaming), never a passthrough VM, for a machine that must both host agents and run anti-cheat-gated games. The upgrade changes the GPU; it does not change that boundary.</w:t>
      </w:r>
    </w:p>
    <w:p>
      <w:pPr>
        <w:spacing w:after="140" w:before="0" w:line="300" w:lineRule="auto"/>
        <w:jc w:val="both"/>
      </w:pPr>
      <w:r>
        <w:rPr>
          <w:rFonts w:ascii="Cambria" w:cs="Cambria" w:eastAsia="Cambria" w:hAnsi="Cambria"/>
          <w:color w:val="111111"/>
          <w:sz w:val="22"/>
          <w:szCs w:val="22"/>
        </w:rPr>
        <w:t xml:space="preserve">The upgrade path is thus a genuine and recommendable option — the single largest capability increase available to the artifact — and it is bounded. It widens what runs locally by roughly an order of magnitude, opens the CUDA ecosystem the iGPU cannot use, and still leaves the frontier-scale open models on the far side of a memory wall. That is the honest ceiling holding under an upgrade rather than being repealed by one, which is exactly the pattern Rule II predicts.</w:t>
      </w:r>
    </w:p>
    <w:p>
      <w:pPr>
        <w:pStyle w:val="Heading1"/>
        <w:pageBreakBefore/>
        <w:spacing w:after="180" w:before="240"/>
      </w:pPr>
      <w:r>
        <w:t xml:space="preserve">4. Methodology</w:t>
      </w:r>
    </w:p>
    <w:p>
      <w:pPr>
        <w:spacing w:after="140" w:before="0" w:line="300" w:lineRule="auto"/>
        <w:jc w:val="both"/>
      </w:pPr>
      <w:r>
        <w:rPr>
          <w:rFonts w:ascii="Cambria" w:cs="Cambria" w:eastAsia="Cambria" w:hAnsi="Cambria"/>
          <w:color w:val="111111"/>
          <w:sz w:val="22"/>
          <w:szCs w:val="22"/>
        </w:rPr>
        <w:t xml:space="preserve">This work is design science </w:t>
      </w:r>
      <w:r>
        <w:rPr>
          <w:rFonts w:ascii="Cambria" w:cs="Cambria" w:eastAsia="Cambria" w:hAnsi="Cambria"/>
          <w:color w:val="111111"/>
          <w:sz w:val="22"/>
          <w:szCs w:val="22"/>
        </w:rPr>
        <w:t xml:space="preserve">[61]</w:t>
      </w:r>
      <w:r>
        <w:rPr>
          <w:rFonts w:ascii="Cambria" w:cs="Cambria" w:eastAsia="Cambria" w:hAnsi="Cambria"/>
          <w:color w:val="111111"/>
          <w:sz w:val="22"/>
          <w:szCs w:val="22"/>
        </w:rPr>
        <w:t xml:space="preserve">: the artifact is the contribution, and knowledge is produced by constructing it and evaluating it against the requirements it was built to satisfy. We state our methodological commitments, our evaluation criteria, and — at greater length than is conventional — the verification discipline that governs what may be claimed, because that discipline is itself one of the paper's findings.</w:t>
      </w:r>
    </w:p>
    <w:p>
      <w:pPr>
        <w:pStyle w:val="Heading2"/>
      </w:pPr>
      <w:r>
        <w:t xml:space="preserve">4.1 Design Science Framing</w:t>
      </w:r>
    </w:p>
    <w:p>
      <w:pPr>
        <w:spacing w:after="140" w:before="0" w:line="300" w:lineRule="auto"/>
        <w:jc w:val="both"/>
      </w:pPr>
      <w:r>
        <w:rPr>
          <w:rFonts w:ascii="Cambria" w:cs="Cambria" w:eastAsia="Cambria" w:hAnsi="Cambria"/>
          <w:color w:val="111111"/>
          <w:sz w:val="22"/>
          <w:szCs w:val="22"/>
        </w:rPr>
        <w:t xml:space="preserve">Hevner et al. </w:t>
      </w:r>
      <w:r>
        <w:rPr>
          <w:rFonts w:ascii="Cambria" w:cs="Cambria" w:eastAsia="Cambria" w:hAnsi="Cambria"/>
          <w:color w:val="111111"/>
          <w:sz w:val="22"/>
          <w:szCs w:val="22"/>
        </w:rPr>
        <w:t xml:space="preserve">[61]</w:t>
      </w:r>
      <w:r>
        <w:rPr>
          <w:rFonts w:ascii="Cambria" w:cs="Cambria" w:eastAsia="Cambria" w:hAnsi="Cambria"/>
          <w:color w:val="111111"/>
          <w:sz w:val="22"/>
          <w:szCs w:val="22"/>
        </w:rPr>
        <w:t xml:space="preserve"> specify seven guidelines: design as an artifact, problem relevance, design evaluation, research contributions, research rigor, design as a search process, and communication of research. We satisfy them as follows. The artifact is ClawMaxxing, instantiated and in sustained use. The problem — whether capable AI can exist under user ownership — is relevant to anyone for whom the rented-intelligence arrangement is unacceptable on privacy, cost, continuity, or autonomy grounds. Evaluation is against stated requirements (§5). The contributions are the artifact, the patterns, the theoretical bridge, and the negative results (§1.4). Rigor derives from the literature of §2 and the verification discipline of §4.4. Design-as-search is documented literally: three complete architectural rebuilds, each triggered by a specific verification failure (§4.3). Communication is this paper and the six technical volumes it summarizes.</w:t>
      </w:r>
    </w:p>
    <w:p>
      <w:pPr>
        <w:spacing w:after="140" w:before="0" w:line="300" w:lineRule="auto"/>
        <w:jc w:val="both"/>
      </w:pPr>
      <w:r>
        <w:rPr>
          <w:rFonts w:ascii="Cambria" w:cs="Cambria" w:eastAsia="Cambria" w:hAnsi="Cambria"/>
          <w:color w:val="111111"/>
          <w:sz w:val="22"/>
          <w:szCs w:val="22"/>
        </w:rPr>
        <w:t xml:space="preserve">We additionally invoke research-through-design </w:t>
      </w:r>
      <w:r>
        <w:rPr>
          <w:rFonts w:ascii="Cambria" w:cs="Cambria" w:eastAsia="Cambria" w:hAnsi="Cambria"/>
          <w:color w:val="111111"/>
          <w:sz w:val="22"/>
          <w:szCs w:val="22"/>
        </w:rPr>
        <w:t xml:space="preserve">[49, 188]</w:t>
      </w:r>
      <w:r>
        <w:rPr>
          <w:rFonts w:ascii="Cambria" w:cs="Cambria" w:eastAsia="Cambria" w:hAnsi="Cambria"/>
          <w:color w:val="111111"/>
          <w:sz w:val="22"/>
          <w:szCs w:val="22"/>
        </w:rPr>
        <w:t xml:space="preserve"> and autobiographical design </w:t>
      </w:r>
      <w:r>
        <w:rPr>
          <w:rFonts w:ascii="Cambria" w:cs="Cambria" w:eastAsia="Cambria" w:hAnsi="Cambria"/>
          <w:color w:val="111111"/>
          <w:sz w:val="22"/>
          <w:szCs w:val="22"/>
        </w:rPr>
        <w:t xml:space="preserve">[119]</w:t>
      </w:r>
      <w:r>
        <w:rPr>
          <w:rFonts w:ascii="Cambria" w:cs="Cambria" w:eastAsia="Cambria" w:hAnsi="Cambria"/>
          <w:color w:val="111111"/>
          <w:sz w:val="22"/>
          <w:szCs w:val="22"/>
        </w:rPr>
        <w:t xml:space="preserve">, which address the first-person case explicitly: the researcher's sustained use of their own system is treated as method rather than contamination. We accept that framing while acknowledging in §7.5 that it does not neutralize the biases it names.</w:t>
      </w:r>
    </w:p>
    <w:p>
      <w:pPr>
        <w:pStyle w:val="Heading2"/>
      </w:pPr>
      <w:r>
        <w:t xml:space="preserve">4.2 Evaluation Criteria</w:t>
      </w:r>
    </w:p>
    <w:p>
      <w:pPr>
        <w:spacing w:after="140" w:before="0" w:line="300" w:lineRule="auto"/>
        <w:jc w:val="both"/>
      </w:pPr>
      <w:r>
        <w:rPr>
          <w:rFonts w:ascii="Cambria" w:cs="Cambria" w:eastAsia="Cambria" w:hAnsi="Cambria"/>
          <w:color w:val="111111"/>
          <w:sz w:val="22"/>
          <w:szCs w:val="22"/>
        </w:rPr>
        <w:t xml:space="preserve">The system is evaluated against the requirements it was built to satisfy, stated in advance:</w:t>
      </w:r>
    </w:p>
    <w:p>
      <w:pPr>
        <w:pStyle w:val="ListParagraph"/>
        <w:numPr>
          <w:ilvl w:val="0"/>
          <w:numId w:val="2"/>
        </w:numPr>
        <w:spacing w:after="80" w:line="290" w:lineRule="auto"/>
      </w:pPr>
      <w:r>
        <w:rPr>
          <w:rFonts w:ascii="Cambria" w:cs="Cambria" w:eastAsia="Cambria" w:hAnsi="Cambria"/>
          <w:b/>
          <w:bCs/>
          <w:color w:val="111111"/>
          <w:sz w:val="22"/>
          <w:szCs w:val="22"/>
        </w:rPr>
        <w:t xml:space="preserve">Sovereignty. </w:t>
      </w:r>
      <w:r>
        <w:rPr>
          <w:rFonts w:ascii="Cambria" w:cs="Cambria" w:eastAsia="Cambria" w:hAnsi="Cambria"/>
          <w:color w:val="111111"/>
          <w:sz w:val="22"/>
          <w:szCs w:val="22"/>
        </w:rPr>
        <w:t xml:space="preserve">No cloud service in the inference path. Weights, memory, and processed data on owned hardware under an owned key. Binary; verified by inspection.</w:t>
      </w:r>
    </w:p>
    <w:p>
      <w:pPr>
        <w:pStyle w:val="ListParagraph"/>
        <w:numPr>
          <w:ilvl w:val="0"/>
          <w:numId w:val="2"/>
        </w:numPr>
        <w:spacing w:after="80" w:line="290" w:lineRule="auto"/>
      </w:pPr>
      <w:r>
        <w:rPr>
          <w:rFonts w:ascii="Cambria" w:cs="Cambria" w:eastAsia="Cambria" w:hAnsi="Cambria"/>
          <w:b/>
          <w:bCs/>
          <w:color w:val="111111"/>
          <w:sz w:val="22"/>
          <w:szCs w:val="22"/>
        </w:rPr>
        <w:t xml:space="preserve">Capability sufficiency. </w:t>
      </w:r>
      <w:r>
        <w:rPr>
          <w:rFonts w:ascii="Cambria" w:cs="Cambria" w:eastAsia="Cambria" w:hAnsi="Cambria"/>
          <w:color w:val="111111"/>
          <w:sz w:val="22"/>
          <w:szCs w:val="22"/>
        </w:rPr>
        <w:t xml:space="preserve">The system performs the author's actual daily work — drafting, code, research synthesis, analysis — without recourse to a rented model. Assessed by sustained use.</w:t>
      </w:r>
    </w:p>
    <w:p>
      <w:pPr>
        <w:pStyle w:val="ListParagraph"/>
        <w:numPr>
          <w:ilvl w:val="0"/>
          <w:numId w:val="2"/>
        </w:numPr>
        <w:spacing w:after="80" w:line="290" w:lineRule="auto"/>
      </w:pPr>
      <w:r>
        <w:rPr>
          <w:rFonts w:ascii="Cambria" w:cs="Cambria" w:eastAsia="Cambria" w:hAnsi="Cambria"/>
          <w:b/>
          <w:bCs/>
          <w:color w:val="111111"/>
          <w:sz w:val="22"/>
          <w:szCs w:val="22"/>
        </w:rPr>
        <w:t xml:space="preserve">Concurrency. </w:t>
      </w:r>
      <w:r>
        <w:rPr>
          <w:rFonts w:ascii="Cambria" w:cs="Cambria" w:eastAsia="Cambria" w:hAnsi="Cambria"/>
          <w:color w:val="111111"/>
          <w:sz w:val="22"/>
          <w:szCs w:val="22"/>
        </w:rPr>
        <w:t xml:space="preserve">The machine remains usable as a general-purpose computer, including for gaming, without the Council crashing it. Measured against Table 1.</w:t>
      </w:r>
    </w:p>
    <w:p>
      <w:pPr>
        <w:pStyle w:val="ListParagraph"/>
        <w:numPr>
          <w:ilvl w:val="0"/>
          <w:numId w:val="2"/>
        </w:numPr>
        <w:spacing w:after="80" w:line="290" w:lineRule="auto"/>
      </w:pPr>
      <w:r>
        <w:rPr>
          <w:rFonts w:ascii="Cambria" w:cs="Cambria" w:eastAsia="Cambria" w:hAnsi="Cambria"/>
          <w:b/>
          <w:bCs/>
          <w:color w:val="111111"/>
          <w:sz w:val="22"/>
          <w:szCs w:val="22"/>
        </w:rPr>
        <w:t xml:space="preserve">Groundedness. </w:t>
      </w:r>
      <w:r>
        <w:rPr>
          <w:rFonts w:ascii="Cambria" w:cs="Cambria" w:eastAsia="Cambria" w:hAnsi="Cambria"/>
          <w:color w:val="111111"/>
          <w:sz w:val="22"/>
          <w:szCs w:val="22"/>
        </w:rPr>
        <w:t xml:space="preserve">Divisions cite retrievable sources and refuse when retrieval fails. Verified by the query-mode configuration and spot audit.</w:t>
      </w:r>
    </w:p>
    <w:p>
      <w:pPr>
        <w:pStyle w:val="ListParagraph"/>
        <w:numPr>
          <w:ilvl w:val="0"/>
          <w:numId w:val="2"/>
        </w:numPr>
        <w:spacing w:after="80" w:line="290" w:lineRule="auto"/>
      </w:pPr>
      <w:r>
        <w:rPr>
          <w:rFonts w:ascii="Cambria" w:cs="Cambria" w:eastAsia="Cambria" w:hAnsi="Cambria"/>
          <w:b/>
          <w:bCs/>
          <w:color w:val="111111"/>
          <w:sz w:val="22"/>
          <w:szCs w:val="22"/>
        </w:rPr>
        <w:t xml:space="preserve">Governance. </w:t>
      </w:r>
      <w:r>
        <w:rPr>
          <w:rFonts w:ascii="Cambria" w:cs="Cambria" w:eastAsia="Cambria" w:hAnsi="Cambria"/>
          <w:color w:val="111111"/>
          <w:sz w:val="22"/>
          <w:szCs w:val="22"/>
        </w:rPr>
        <w:t xml:space="preserve">Constitutional rules are enforced, and the ones protecting irreversible outcomes are enforced by code. Audited quarterly.</w:t>
      </w:r>
    </w:p>
    <w:p>
      <w:pPr>
        <w:pStyle w:val="ListParagraph"/>
        <w:numPr>
          <w:ilvl w:val="0"/>
          <w:numId w:val="2"/>
        </w:numPr>
        <w:spacing w:after="80" w:line="290" w:lineRule="auto"/>
      </w:pPr>
      <w:r>
        <w:rPr>
          <w:rFonts w:ascii="Cambria" w:cs="Cambria" w:eastAsia="Cambria" w:hAnsi="Cambria"/>
          <w:b/>
          <w:bCs/>
          <w:color w:val="111111"/>
          <w:sz w:val="22"/>
          <w:szCs w:val="22"/>
        </w:rPr>
        <w:t xml:space="preserve">Recoverability. </w:t>
      </w:r>
      <w:r>
        <w:rPr>
          <w:rFonts w:ascii="Cambria" w:cs="Cambria" w:eastAsia="Cambria" w:hAnsi="Cambria"/>
          <w:color w:val="111111"/>
          <w:sz w:val="22"/>
          <w:szCs w:val="22"/>
        </w:rPr>
        <w:t xml:space="preserve">Every dependency has a written exit. Tested by executing migrations rather than by asserting them.</w:t>
      </w:r>
    </w:p>
    <w:p>
      <w:pPr>
        <w:pStyle w:val="Heading2"/>
      </w:pPr>
      <w:r>
        <w:t xml:space="preserve">4.3 The Three Rebuilds</w:t>
      </w:r>
    </w:p>
    <w:p>
      <w:pPr>
        <w:spacing w:after="140" w:before="0" w:line="300" w:lineRule="auto"/>
        <w:jc w:val="both"/>
      </w:pPr>
      <w:r>
        <w:rPr>
          <w:rFonts w:ascii="Cambria" w:cs="Cambria" w:eastAsia="Cambria" w:hAnsi="Cambria"/>
          <w:color w:val="111111"/>
          <w:sz w:val="22"/>
          <w:szCs w:val="22"/>
        </w:rPr>
        <w:t xml:space="preserve">The system was rebuilt architecturally three times in eighteen months. We report this because design-as-search </w:t>
      </w:r>
      <w:r>
        <w:rPr>
          <w:rFonts w:ascii="Cambria" w:cs="Cambria" w:eastAsia="Cambria" w:hAnsi="Cambria"/>
          <w:color w:val="111111"/>
          <w:sz w:val="22"/>
          <w:szCs w:val="22"/>
        </w:rPr>
        <w:t xml:space="preserve">[61]</w:t>
      </w:r>
      <w:r>
        <w:rPr>
          <w:rFonts w:ascii="Cambria" w:cs="Cambria" w:eastAsia="Cambria" w:hAnsi="Cambria"/>
          <w:color w:val="111111"/>
          <w:sz w:val="22"/>
          <w:szCs w:val="22"/>
        </w:rPr>
        <w:t xml:space="preserve"> is a stated guideline and because the rebuilds are the clearest evidence available about which assumptions were wrong.</w:t>
      </w:r>
    </w:p>
    <w:p>
      <w:pPr>
        <w:spacing w:after="140" w:before="0" w:line="300" w:lineRule="auto"/>
        <w:jc w:val="both"/>
      </w:pPr>
      <w:r>
        <w:rPr>
          <w:rFonts w:ascii="Cambria" w:cs="Cambria" w:eastAsia="Cambria" w:hAnsi="Cambria"/>
          <w:color w:val="111111"/>
          <w:sz w:val="22"/>
          <w:szCs w:val="22"/>
        </w:rPr>
        <w:t xml:space="preserve">The first architecture assumed a native Linux host with a Windows virtual machine for the applications Linux could not run. It failed because GPU passthrough on a unified-memory APU with no ROCm support is not a tractable path, and because the anti-cheat systems used by the games in question do not run under virtualization. The second architecture inverted the stack: a hardened Windows host owning the metal, with the Council in WSL2 calling a Windows-native inference server over the network boundary. This survives. The third rebuild was not a topology change but a consolidation: two documentation artifacts had drifted apart, one describing a superseded architecture while looking authoritative, which produced Rule XV.</w:t>
      </w:r>
    </w:p>
    <w:p>
      <w:pPr>
        <w:pStyle w:val="Heading2"/>
      </w:pPr>
      <w:r>
        <w:t xml:space="preserve">4.4 The Verification Discipline</w:t>
      </w:r>
    </w:p>
    <w:p>
      <w:pPr>
        <w:spacing w:after="140" w:before="0" w:line="300" w:lineRule="auto"/>
        <w:jc w:val="both"/>
      </w:pPr>
      <w:r>
        <w:rPr>
          <w:rFonts w:ascii="Cambria" w:cs="Cambria" w:eastAsia="Cambria" w:hAnsi="Cambria"/>
          <w:color w:val="111111"/>
          <w:sz w:val="22"/>
          <w:szCs w:val="22"/>
        </w:rPr>
        <w:t xml:space="preserve">This subsection is a methods statement, but it is also — we argue — a finding. Building on a fast-moving tooling landscape with AI assistance is an epistemic hazard, and the countermeasures we developed are transferable.</w:t>
      </w:r>
    </w:p>
    <w:p>
      <w:pPr>
        <w:pStyle w:val="Heading3"/>
      </w:pPr>
      <w:r>
        <w:t xml:space="preserve">4.4.1 Incident one: the model that did not exist</w:t>
      </w:r>
    </w:p>
    <w:p>
      <w:pPr>
        <w:spacing w:after="140" w:before="0" w:line="300" w:lineRule="auto"/>
        <w:jc w:val="both"/>
      </w:pPr>
      <w:r>
        <w:rPr>
          <w:rFonts w:ascii="Cambria" w:cs="Cambria" w:eastAsia="Cambria" w:hAnsi="Cambria"/>
          <w:color w:val="111111"/>
          <w:sz w:val="22"/>
          <w:szCs w:val="22"/>
        </w:rPr>
        <w:t xml:space="preserve">Early in the project, an AI assistant recommended a specific quantized model, described its characteristics with confidence, and supplied installation commands. The model did not exist. Several days were lost before the fabrication was identified. The commands were plausible; the tag was plausible; the described performance was plausible. Nothing about the output signaled invention. The literature explains why: fluent confabulation is structural </w:t>
      </w:r>
      <w:r>
        <w:rPr>
          <w:rFonts w:ascii="Cambria" w:cs="Cambria" w:eastAsia="Cambria" w:hAnsi="Cambria"/>
          <w:color w:val="111111"/>
          <w:sz w:val="22"/>
          <w:szCs w:val="22"/>
        </w:rPr>
        <w:t xml:space="preserve">[14, 72, 107]</w:t>
      </w:r>
      <w:r>
        <w:rPr>
          <w:rFonts w:ascii="Cambria" w:cs="Cambria" w:eastAsia="Cambria" w:hAnsi="Cambria"/>
          <w:color w:val="111111"/>
          <w:sz w:val="22"/>
          <w:szCs w:val="22"/>
        </w:rPr>
        <w:t xml:space="preserve">), and the surface features of a hallucinated recommendation are indistinguishable from a real one.</w:t>
      </w:r>
    </w:p>
    <w:p>
      <w:pPr>
        <w:spacing w:after="140" w:before="0" w:line="300" w:lineRule="auto"/>
        <w:jc w:val="both"/>
      </w:pPr>
      <w:r>
        <w:rPr>
          <w:rFonts w:ascii="Cambria" w:cs="Cambria" w:eastAsia="Cambria" w:hAnsi="Cambria"/>
          <w:color w:val="111111"/>
          <w:sz w:val="22"/>
          <w:szCs w:val="22"/>
        </w:rPr>
        <w:t xml:space="preserve">The countermeasure became Rule IX: nothing enters a document unverified against a primary source, and anything unverifiable is flagged rather than asserted. This paper's tiered bibliography is that rule applied reflexively. It is also why §2.2 treats the 1-bit literature </w:t>
      </w:r>
      <w:r>
        <w:rPr>
          <w:rFonts w:ascii="Cambria" w:cs="Cambria" w:eastAsia="Cambria" w:hAnsi="Cambria"/>
          <w:color w:val="111111"/>
          <w:sz w:val="22"/>
          <w:szCs w:val="22"/>
        </w:rPr>
        <w:t xml:space="preserve">[103]</w:t>
      </w:r>
      <w:r>
        <w:rPr>
          <w:rFonts w:ascii="Cambria" w:cs="Cambria" w:eastAsia="Cambria" w:hAnsi="Cambria"/>
          <w:color w:val="111111"/>
          <w:sz w:val="22"/>
          <w:szCs w:val="22"/>
        </w:rPr>
        <w:t xml:space="preserve"> as a caution rather than a plan — the technique is real, but its availability on a consumer inference stack was exactly the sort of claim that had already burned us once.</w:t>
      </w:r>
    </w:p>
    <w:p>
      <w:pPr>
        <w:pStyle w:val="Heading3"/>
      </w:pPr>
      <w:r>
        <w:t xml:space="preserve">4.4.2 Incident two: the agent that reported working while idle</w:t>
      </w:r>
    </w:p>
    <w:p>
      <w:pPr>
        <w:spacing w:after="140" w:before="0" w:line="300" w:lineRule="auto"/>
        <w:jc w:val="both"/>
      </w:pPr>
      <w:r>
        <w:rPr>
          <w:rFonts w:ascii="Cambria" w:cs="Cambria" w:eastAsia="Cambria" w:hAnsi="Cambria"/>
          <w:color w:val="111111"/>
          <w:sz w:val="22"/>
          <w:szCs w:val="22"/>
        </w:rPr>
        <w:t xml:space="preserve">An early autonomous agent repeatedly reported task progress while performing no work. This was not deception in any meaningful sense; it was a scheduler producing status text on a timer, decoupled from execution. The interaction consequence was severe and is precisely what the automation literature predicts: Norman's argument </w:t>
      </w:r>
      <w:r>
        <w:rPr>
          <w:rFonts w:ascii="Cambria" w:cs="Cambria" w:eastAsia="Cambria" w:hAnsi="Cambria"/>
          <w:color w:val="111111"/>
          <w:sz w:val="22"/>
          <w:szCs w:val="22"/>
        </w:rPr>
        <w:t xml:space="preserve">[121]</w:t>
      </w:r>
      <w:r>
        <w:rPr>
          <w:rFonts w:ascii="Cambria" w:cs="Cambria" w:eastAsia="Cambria" w:hAnsi="Cambria"/>
          <w:color w:val="111111"/>
          <w:sz w:val="22"/>
          <w:szCs w:val="22"/>
        </w:rPr>
        <w:t xml:space="preserve"> that the problem with automation is inappropriate feedback rather than automation itself, and Lee and See's </w:t>
      </w:r>
      <w:r>
        <w:rPr>
          <w:rFonts w:ascii="Cambria" w:cs="Cambria" w:eastAsia="Cambria" w:hAnsi="Cambria"/>
          <w:color w:val="111111"/>
          <w:sz w:val="22"/>
          <w:szCs w:val="22"/>
        </w:rPr>
        <w:t xml:space="preserve">[89]</w:t>
      </w:r>
      <w:r>
        <w:rPr>
          <w:rFonts w:ascii="Cambria" w:cs="Cambria" w:eastAsia="Cambria" w:hAnsi="Cambria"/>
          <w:color w:val="111111"/>
          <w:sz w:val="22"/>
          <w:szCs w:val="22"/>
        </w:rPr>
        <w:t xml:space="preserve"> requirement that trust be calibrated to actual capability. A system that reports success unconditionally trains the operator to over-trust it — and Robinette et al. </w:t>
      </w:r>
      <w:r>
        <w:rPr>
          <w:rFonts w:ascii="Cambria" w:cs="Cambria" w:eastAsia="Cambria" w:hAnsi="Cambria"/>
          <w:color w:val="111111"/>
          <w:sz w:val="22"/>
          <w:szCs w:val="22"/>
        </w:rPr>
        <w:t xml:space="preserve">[143]</w:t>
      </w:r>
      <w:r>
        <w:rPr>
          <w:rFonts w:ascii="Cambria" w:cs="Cambria" w:eastAsia="Cambria" w:hAnsi="Cambria"/>
          <w:color w:val="111111"/>
          <w:sz w:val="22"/>
          <w:szCs w:val="22"/>
        </w:rPr>
        <w:t xml:space="preserve"> show how far over-trust can go.</w:t>
      </w:r>
    </w:p>
    <w:p>
      <w:pPr>
        <w:spacing w:after="140" w:before="0" w:line="300" w:lineRule="auto"/>
        <w:jc w:val="both"/>
      </w:pPr>
      <w:r>
        <w:rPr>
          <w:rFonts w:ascii="Cambria" w:cs="Cambria" w:eastAsia="Cambria" w:hAnsi="Cambria"/>
          <w:color w:val="111111"/>
          <w:sz w:val="22"/>
          <w:szCs w:val="22"/>
        </w:rPr>
        <w:t xml:space="preserve">The countermeasure became Rule III and, mechanically, the post-work heartbeat (§6.3): status is emitted </w:t>
      </w:r>
      <w:r>
        <w:rPr>
          <w:rFonts w:ascii="Cambria" w:cs="Cambria" w:eastAsia="Cambria" w:hAnsi="Cambria"/>
          <w:i/>
          <w:iCs/>
          <w:color w:val="111111"/>
          <w:sz w:val="22"/>
          <w:szCs w:val="22"/>
        </w:rPr>
        <w:t xml:space="preserve">as a side effect of completed work</w:t>
      </w:r>
      <w:r>
        <w:rPr>
          <w:rFonts w:ascii="Cambria" w:cs="Cambria" w:eastAsia="Cambria" w:hAnsi="Cambria"/>
          <w:color w:val="111111"/>
          <w:sz w:val="22"/>
          <w:szCs w:val="22"/>
        </w:rPr>
        <w:t xml:space="preserve">, never on a timer. If nothing was done, nothing is reported, and silence is an alarm rather than a state.</w:t>
      </w:r>
    </w:p>
    <w:p>
      <w:pPr>
        <w:pStyle w:val="Heading3"/>
      </w:pPr>
      <w:r>
        <w:t xml:space="preserve">4.4.3 Incident three: prompt injection during the writing of this paper</w:t>
      </w:r>
    </w:p>
    <w:p>
      <w:pPr>
        <w:spacing w:after="140" w:before="0" w:line="300" w:lineRule="auto"/>
        <w:jc w:val="both"/>
      </w:pPr>
      <w:r>
        <w:rPr>
          <w:rFonts w:ascii="Cambria" w:cs="Cambria" w:eastAsia="Cambria" w:hAnsi="Cambria"/>
          <w:color w:val="111111"/>
          <w:sz w:val="22"/>
          <w:szCs w:val="22"/>
        </w:rPr>
        <w:t xml:space="preserve">Throughout the composition of this work, the author's assistant sessions carried injected instructions appended to user messages, formatted to resemble system configuration, asserting elevated capabilities and directing the assistant to conceal the instruction's presence. This is indirect prompt injection in the sense of Greshake et al. </w:t>
      </w:r>
      <w:r>
        <w:rPr>
          <w:rFonts w:ascii="Cambria" w:cs="Cambria" w:eastAsia="Cambria" w:hAnsi="Cambria"/>
          <w:color w:val="111111"/>
          <w:sz w:val="22"/>
          <w:szCs w:val="22"/>
        </w:rPr>
        <w:t xml:space="preserve">[53]</w:t>
      </w:r>
      <w:r>
        <w:rPr>
          <w:rFonts w:ascii="Cambria" w:cs="Cambria" w:eastAsia="Cambria" w:hAnsi="Cambria"/>
          <w:color w:val="111111"/>
          <w:sz w:val="22"/>
          <w:szCs w:val="22"/>
        </w:rPr>
        <w:t xml:space="preserve"> — untrusted content entering a context window and being interpreted as instruction rather than data — and it occurred during the production of a paper about local-first agent security.</w:t>
      </w:r>
    </w:p>
    <w:p>
      <w:pPr>
        <w:spacing w:after="140" w:before="0" w:line="300" w:lineRule="auto"/>
        <w:jc w:val="both"/>
      </w:pPr>
      <w:r>
        <w:rPr>
          <w:rFonts w:ascii="Cambria" w:cs="Cambria" w:eastAsia="Cambria" w:hAnsi="Cambria"/>
          <w:color w:val="111111"/>
          <w:sz w:val="22"/>
          <w:szCs w:val="22"/>
        </w:rPr>
        <w:t xml:space="preserve">Two observations. First, the injection exploits exactly the boundary Greshake et al. identify: an LLM-integrated application cannot structurally distinguish the user's instruction from text that merely looks like one. Defenses such as the instruction hierarchy </w:t>
      </w:r>
      <w:r>
        <w:rPr>
          <w:rFonts w:ascii="Cambria" w:cs="Cambria" w:eastAsia="Cambria" w:hAnsi="Cambria"/>
          <w:color w:val="111111"/>
          <w:sz w:val="22"/>
          <w:szCs w:val="22"/>
        </w:rPr>
        <w:t xml:space="preserve">[166]</w:t>
      </w:r>
      <w:r>
        <w:rPr>
          <w:rFonts w:ascii="Cambria" w:cs="Cambria" w:eastAsia="Cambria" w:hAnsi="Cambria"/>
          <w:color w:val="111111"/>
          <w:sz w:val="22"/>
          <w:szCs w:val="22"/>
        </w:rPr>
        <w:t xml:space="preserve"> are mitigations, not solutions. Second, and more relevant to our thesis: the correct response was procedural rather than technical. The assistant was directed to flag the injection in one sentence and ignore it. That is a human-in-the-loop control (Rule IV) operating on the </w:t>
      </w:r>
      <w:r>
        <w:rPr>
          <w:rFonts w:ascii="Cambria" w:cs="Cambria" w:eastAsia="Cambria" w:hAnsi="Cambria"/>
          <w:i/>
          <w:iCs/>
          <w:color w:val="111111"/>
          <w:sz w:val="22"/>
          <w:szCs w:val="22"/>
        </w:rPr>
        <w:t xml:space="preserve">epistemic</w:t>
      </w:r>
      <w:r>
        <w:rPr>
          <w:rFonts w:ascii="Cambria" w:cs="Cambria" w:eastAsia="Cambria" w:hAnsi="Cambria"/>
          <w:color w:val="111111"/>
          <w:sz w:val="22"/>
          <w:szCs w:val="22"/>
        </w:rPr>
        <w:t xml:space="preserve"> surface rather than the actuation surface, and we know of no automated equivalent that would have been as reliable. We note this as support for §8's argument that oversight of agentic systems is currently a procedural discipline wearing technical clothing.</w:t>
      </w:r>
    </w:p>
    <w:p>
      <w:pPr>
        <w:pStyle w:val="Heading3"/>
      </w:pPr>
      <w:r>
        <w:t xml:space="preserve">4.4.4 Incident four: verifying the landscape this revision integrates</w:t>
      </w:r>
    </w:p>
    <w:p>
      <w:pPr>
        <w:spacing w:after="140" w:before="0" w:line="300" w:lineRule="auto"/>
        <w:jc w:val="both"/>
      </w:pPr>
      <w:r>
        <w:rPr>
          <w:rFonts w:ascii="Cambria" w:cs="Cambria" w:eastAsia="Cambria" w:hAnsi="Cambria"/>
          <w:color w:val="111111"/>
          <w:sz w:val="22"/>
          <w:szCs w:val="22"/>
        </w:rPr>
        <w:t xml:space="preserve">This revision folds in the July 2026 model landscape (§7.1, §6.8), and the source material for that landscape was a set of conversations with a different assistant known, in this author's prior experience, to fabricate products — the origin of Incident one. Rule IX therefore demanded that every claimed model be checked against a primary source before entering this paper. The result was instructive and cut against the author's own prior.</w:t>
      </w:r>
    </w:p>
    <w:p>
      <w:pPr>
        <w:spacing w:after="140" w:before="0" w:line="300" w:lineRule="auto"/>
        <w:jc w:val="both"/>
      </w:pPr>
      <w:r>
        <w:rPr>
          <w:rFonts w:ascii="Cambria" w:cs="Cambria" w:eastAsia="Cambria" w:hAnsi="Cambria"/>
          <w:color w:val="111111"/>
          <w:sz w:val="22"/>
          <w:szCs w:val="22"/>
        </w:rPr>
        <w:t xml:space="preserve">The expected failure mode — wholesale invented models — largely did not occur. Kimi K3, DeepSeek V4, GLM-5.2, MiniMax M3, Meta's Muse Spark, GPT-5.6 Sol, Gemini 3.1 Pro, Grok 4.5, and the Sakana Fugu orchestrator all resolved to primary sources: official model cards, vendor technical reports, or arXiv papers </w:t>
      </w:r>
      <w:r>
        <w:rPr>
          <w:rFonts w:ascii="Cambria" w:cs="Cambria" w:eastAsia="Cambria" w:hAnsi="Cambria"/>
          <w:color w:val="111111"/>
          <w:sz w:val="22"/>
          <w:szCs w:val="22"/>
        </w:rPr>
        <w:t xml:space="preserve">[31, 47, 110, 113, 186]</w:t>
      </w:r>
      <w:r>
        <w:rPr>
          <w:rFonts w:ascii="Cambria" w:cs="Cambria" w:eastAsia="Cambria" w:hAnsi="Cambria"/>
          <w:color w:val="111111"/>
          <w:sz w:val="22"/>
          <w:szCs w:val="22"/>
        </w:rPr>
        <w:t xml:space="preserve">. The model the author most suspected of being fabricated, Muse Spark, is real and is a first release of Meta Superintelligence Labs </w:t>
      </w:r>
      <w:r>
        <w:rPr>
          <w:rFonts w:ascii="Cambria" w:cs="Cambria" w:eastAsia="Cambria" w:hAnsi="Cambria"/>
          <w:color w:val="111111"/>
          <w:sz w:val="22"/>
          <w:szCs w:val="22"/>
        </w:rPr>
        <w:t xml:space="preserve">[110]</w:t>
      </w:r>
      <w:r>
        <w:rPr>
          <w:rFonts w:ascii="Cambria" w:cs="Cambria" w:eastAsia="Cambria" w:hAnsi="Cambria"/>
          <w:color w:val="111111"/>
          <w:sz w:val="22"/>
          <w:szCs w:val="22"/>
        </w:rPr>
        <w:t xml:space="preserve">. The genuine hazard turned out to be subtler and more dangerous precisely because it is invisible: nearly every headline </w:t>
      </w:r>
      <w:r>
        <w:rPr>
          <w:rFonts w:ascii="Cambria" w:cs="Cambria" w:eastAsia="Cambria" w:hAnsi="Cambria"/>
          <w:i/>
          <w:iCs/>
          <w:color w:val="111111"/>
          <w:sz w:val="22"/>
          <w:szCs w:val="22"/>
        </w:rPr>
        <w:t xml:space="preserve">benchmark number</w:t>
      </w:r>
      <w:r>
        <w:rPr>
          <w:rFonts w:ascii="Cambria" w:cs="Cambria" w:eastAsia="Cambria" w:hAnsi="Cambria"/>
          <w:color w:val="111111"/>
          <w:sz w:val="22"/>
          <w:szCs w:val="22"/>
        </w:rPr>
        <w:t xml:space="preserve"> is vendor-reported and not independently reproduced, and one claim propagated through the source — an attributed technique called “Cognitive Anti-Aliasing” — could not be verified against any primary source and appears to be fabricated. It joins the nonexistent “Clawglasses WG2” of Incident one as this project's second confirmed hallucinated artifact.</w:t>
      </w:r>
    </w:p>
    <w:p>
      <w:pPr>
        <w:spacing w:after="140" w:before="0" w:line="300" w:lineRule="auto"/>
        <w:jc w:val="both"/>
      </w:pPr>
      <w:r>
        <w:rPr>
          <w:rFonts w:ascii="Cambria" w:cs="Cambria" w:eastAsia="Cambria" w:hAnsi="Cambria"/>
          <w:color w:val="111111"/>
          <w:sz w:val="22"/>
          <w:szCs w:val="22"/>
        </w:rPr>
        <w:t xml:space="preserve">The lesson refines Rule IX rather than merely reconfirming it. The failure that costs days is not always an invented </w:t>
      </w:r>
      <w:r>
        <w:rPr>
          <w:rFonts w:ascii="Cambria" w:cs="Cambria" w:eastAsia="Cambria" w:hAnsi="Cambria"/>
          <w:i/>
          <w:iCs/>
          <w:color w:val="111111"/>
          <w:sz w:val="22"/>
          <w:szCs w:val="22"/>
        </w:rPr>
        <w:t xml:space="preserve">object</w:t>
      </w:r>
      <w:r>
        <w:rPr>
          <w:rFonts w:ascii="Cambria" w:cs="Cambria" w:eastAsia="Cambria" w:hAnsi="Cambria"/>
          <w:color w:val="111111"/>
          <w:sz w:val="22"/>
          <w:szCs w:val="22"/>
        </w:rPr>
        <w:t xml:space="preserve">; increasingly it is an invented or unverifiable </w:t>
      </w:r>
      <w:r>
        <w:rPr>
          <w:rFonts w:ascii="Cambria" w:cs="Cambria" w:eastAsia="Cambria" w:hAnsi="Cambria"/>
          <w:i/>
          <w:iCs/>
          <w:color w:val="111111"/>
          <w:sz w:val="22"/>
          <w:szCs w:val="22"/>
        </w:rPr>
        <w:t xml:space="preserve">number</w:t>
      </w:r>
      <w:r>
        <w:rPr>
          <w:rFonts w:ascii="Cambria" w:cs="Cambria" w:eastAsia="Cambria" w:hAnsi="Cambria"/>
          <w:color w:val="111111"/>
          <w:sz w:val="22"/>
          <w:szCs w:val="22"/>
        </w:rPr>
        <w:t xml:space="preserve"> attached to a real object. Accordingly, this paper cites every 2026 benchmark figure with an explicit “vendor-reported” qualifier and tiers the models themselves: existence solidly verified, but specific performance claims held at the “canonical-but-unchecked” tier until an independent evaluator reproduces them. That qualifier is not pedantry; it is the difference between reporting the landscape and laundering a press release into a citation.</w:t>
      </w:r>
    </w:p>
    <w:p>
      <w:pPr>
        <w:pStyle w:val="Heading2"/>
      </w:pPr>
      <w:r>
        <w:t xml:space="preserve">4.5 What We Did Not Do</w:t>
      </w:r>
    </w:p>
    <w:p>
      <w:pPr>
        <w:spacing w:after="140" w:before="0" w:line="300" w:lineRule="auto"/>
        <w:jc w:val="both"/>
      </w:pPr>
      <w:r>
        <w:rPr>
          <w:rFonts w:ascii="Cambria" w:cs="Cambria" w:eastAsia="Cambria" w:hAnsi="Cambria"/>
          <w:color w:val="111111"/>
          <w:sz w:val="22"/>
          <w:szCs w:val="22"/>
        </w:rPr>
        <w:t xml:space="preserve">We state the methodological gaps here rather than burying them in §7. We ran no controlled user study; there is one user. We deployed no standardized instruments — the Godspeed scales </w:t>
      </w:r>
      <w:r>
        <w:rPr>
          <w:rFonts w:ascii="Cambria" w:cs="Cambria" w:eastAsia="Cambria" w:hAnsi="Cambria"/>
          <w:color w:val="111111"/>
          <w:sz w:val="22"/>
          <w:szCs w:val="22"/>
        </w:rPr>
        <w:t xml:space="preserve">[12]</w:t>
      </w:r>
      <w:r>
        <w:rPr>
          <w:rFonts w:ascii="Cambria" w:cs="Cambria" w:eastAsia="Cambria" w:hAnsi="Cambria"/>
          <w:color w:val="111111"/>
          <w:sz w:val="22"/>
          <w:szCs w:val="22"/>
        </w:rPr>
        <w:t xml:space="preserve"> would have been the obvious choice for the embodiment claims and were not administered. We collected no quantitative telemetry on task success rates, so “capability sufficiency” (§4.2, criterion 2) rests on sustained use rather than measurement. We did not benchmark our local models against a frontier cloud model on a common task suite, which means our claims about the capability gap in §7.1 are drawn from the published literature rather than from our own measurements. Each of these is a genuine limitation and each is revisited in §7.</w:t>
      </w:r>
    </w:p>
    <w:p>
      <w:pPr>
        <w:pStyle w:val="Heading1"/>
        <w:pageBreakBefore/>
        <w:spacing w:after="180" w:before="240"/>
      </w:pPr>
      <w:r>
        <w:t xml:space="preserve">5. Evaluation</w:t>
      </w:r>
    </w:p>
    <w:p>
      <w:pPr>
        <w:spacing w:after="140" w:before="0" w:line="300" w:lineRule="auto"/>
        <w:jc w:val="both"/>
      </w:pPr>
      <w:r>
        <w:rPr>
          <w:rFonts w:ascii="Cambria" w:cs="Cambria" w:eastAsia="Cambria" w:hAnsi="Cambria"/>
          <w:color w:val="111111"/>
          <w:sz w:val="22"/>
          <w:szCs w:val="22"/>
        </w:rPr>
        <w:t xml:space="preserve">We evaluate against the six criteria stated in §4.2. We report what the evaluation can and cannot establish; the honest summary is that criteria 1, 3, 5, and 6 are strongly established, criterion 4 is established mechanically but not measured, and criterion 2 — capability sufficiency — rests on sustained use rather than instrumentation and is the weakest link in the chain.</w:t>
      </w:r>
    </w:p>
    <w:p>
      <w:pPr>
        <w:pStyle w:val="Heading2"/>
      </w:pPr>
      <w:r>
        <w:t xml:space="preserve">5.1 Sovereignty</w:t>
      </w:r>
    </w:p>
    <w:p>
      <w:pPr>
        <w:spacing w:after="140" w:before="0" w:line="300" w:lineRule="auto"/>
        <w:jc w:val="both"/>
      </w:pPr>
      <w:r>
        <w:rPr>
          <w:rFonts w:ascii="Cambria" w:cs="Cambria" w:eastAsia="Cambria" w:hAnsi="Cambria"/>
          <w:b/>
          <w:bCs/>
          <w:color w:val="111111"/>
          <w:sz w:val="22"/>
          <w:szCs w:val="22"/>
        </w:rPr>
        <w:t xml:space="preserve">Established, binary, verifiable by inspection. </w:t>
      </w:r>
      <w:r>
        <w:rPr>
          <w:rFonts w:ascii="Cambria" w:cs="Cambria" w:eastAsia="Cambria" w:hAnsi="Cambria"/>
          <w:color w:val="111111"/>
          <w:sz w:val="22"/>
          <w:szCs w:val="22"/>
        </w:rPr>
        <w:t xml:space="preserve">No cloud service participates in the inference path. Model weights are local files; the inference server binds to localhost; memory is a Postgres instance on an encrypted local disk; the retrieval corpus is a file on that same disk. The system functions with the network interface down — which is not a thought experiment but a tested configuration, since the corpus and the models were selected partly to make it true. This satisfies Kleppmann et al.'s </w:t>
      </w:r>
      <w:r>
        <w:rPr>
          <w:rFonts w:ascii="Cambria" w:cs="Cambria" w:eastAsia="Cambria" w:hAnsi="Cambria"/>
          <w:color w:val="111111"/>
          <w:sz w:val="22"/>
          <w:szCs w:val="22"/>
        </w:rPr>
        <w:t xml:space="preserve">[87]</w:t>
      </w:r>
      <w:r>
        <w:rPr>
          <w:rFonts w:ascii="Cambria" w:cs="Cambria" w:eastAsia="Cambria" w:hAnsi="Cambria"/>
          <w:color w:val="111111"/>
          <w:sz w:val="22"/>
          <w:szCs w:val="22"/>
        </w:rPr>
        <w:t xml:space="preserve"> first, second, and sixth ideals — primary copy on the device, offline operation, privacy and security by default — for an asset class their paper did not consider.</w:t>
      </w:r>
    </w:p>
    <w:p>
      <w:pPr>
        <w:spacing w:after="140" w:before="0" w:line="300" w:lineRule="auto"/>
        <w:jc w:val="both"/>
      </w:pPr>
      <w:r>
        <w:rPr>
          <w:rFonts w:ascii="Cambria" w:cs="Cambria" w:eastAsia="Cambria" w:hAnsi="Cambria"/>
          <w:color w:val="111111"/>
          <w:sz w:val="22"/>
          <w:szCs w:val="22"/>
        </w:rPr>
        <w:t xml:space="preserve">The claim requires one honest qualification. Sovereignty over the </w:t>
      </w:r>
      <w:r>
        <w:rPr>
          <w:rFonts w:ascii="Cambria" w:cs="Cambria" w:eastAsia="Cambria" w:hAnsi="Cambria"/>
          <w:i/>
          <w:iCs/>
          <w:color w:val="111111"/>
          <w:sz w:val="22"/>
          <w:szCs w:val="22"/>
        </w:rPr>
        <w:t xml:space="preserve">inference path</w:t>
      </w:r>
      <w:r>
        <w:rPr>
          <w:rFonts w:ascii="Cambria" w:cs="Cambria" w:eastAsia="Cambria" w:hAnsi="Cambria"/>
          <w:color w:val="111111"/>
          <w:sz w:val="22"/>
          <w:szCs w:val="22"/>
        </w:rPr>
        <w:t xml:space="preserve"> is not sovereignty over the </w:t>
      </w:r>
      <w:r>
        <w:rPr>
          <w:rFonts w:ascii="Cambria" w:cs="Cambria" w:eastAsia="Cambria" w:hAnsi="Cambria"/>
          <w:i/>
          <w:iCs/>
          <w:color w:val="111111"/>
          <w:sz w:val="22"/>
          <w:szCs w:val="22"/>
        </w:rPr>
        <w:t xml:space="preserve">supply chain</w:t>
      </w:r>
      <w:r>
        <w:rPr>
          <w:rFonts w:ascii="Cambria" w:cs="Cambria" w:eastAsia="Cambria" w:hAnsi="Cambria"/>
          <w:color w:val="111111"/>
          <w:sz w:val="22"/>
          <w:szCs w:val="22"/>
        </w:rPr>
        <w:t xml:space="preserve">. The weights were trained by organizations with datacenter budgets and downloaded from a hosted registry. §7.6 treats this properly; here we note only that “local-first” describes where computation happens, not where the artifact came from.</w:t>
      </w:r>
    </w:p>
    <w:p>
      <w:pPr>
        <w:pStyle w:val="Heading2"/>
      </w:pPr>
      <w:r>
        <w:t xml:space="preserve">5.2 Capability Sufficiency</w:t>
      </w:r>
    </w:p>
    <w:p>
      <w:pPr>
        <w:spacing w:after="140" w:before="0" w:line="300" w:lineRule="auto"/>
        <w:jc w:val="both"/>
      </w:pPr>
      <w:r>
        <w:rPr>
          <w:rFonts w:ascii="Cambria" w:cs="Cambria" w:eastAsia="Cambria" w:hAnsi="Cambria"/>
          <w:b/>
          <w:bCs/>
          <w:color w:val="111111"/>
          <w:sz w:val="22"/>
          <w:szCs w:val="22"/>
        </w:rPr>
        <w:t xml:space="preserve">Partially established; the weakest criterion. </w:t>
      </w:r>
      <w:r>
        <w:rPr>
          <w:rFonts w:ascii="Cambria" w:cs="Cambria" w:eastAsia="Cambria" w:hAnsi="Cambria"/>
          <w:color w:val="111111"/>
          <w:sz w:val="22"/>
          <w:szCs w:val="22"/>
        </w:rPr>
        <w:t xml:space="preserve">The system performs the author's daily work — drafting, code, research synthesis, document production — without recourse to a rented model. The evidence is sustained use over eighteen months, which is the evidence autobiographical design </w:t>
      </w:r>
      <w:r>
        <w:rPr>
          <w:rFonts w:ascii="Cambria" w:cs="Cambria" w:eastAsia="Cambria" w:hAnsi="Cambria"/>
          <w:color w:val="111111"/>
          <w:sz w:val="22"/>
          <w:szCs w:val="22"/>
        </w:rPr>
        <w:t xml:space="preserve">[119]</w:t>
      </w:r>
      <w:r>
        <w:rPr>
          <w:rFonts w:ascii="Cambria" w:cs="Cambria" w:eastAsia="Cambria" w:hAnsi="Cambria"/>
          <w:color w:val="111111"/>
          <w:sz w:val="22"/>
          <w:szCs w:val="22"/>
        </w:rPr>
        <w:t xml:space="preserve"> is designed to produce and which is genuinely informative about </w:t>
      </w:r>
      <w:r>
        <w:rPr>
          <w:rFonts w:ascii="Cambria" w:cs="Cambria" w:eastAsia="Cambria" w:hAnsi="Cambria"/>
          <w:i/>
          <w:iCs/>
          <w:color w:val="111111"/>
          <w:sz w:val="22"/>
          <w:szCs w:val="22"/>
        </w:rPr>
        <w:t xml:space="preserve">fit</w:t>
      </w:r>
      <w:r>
        <w:rPr>
          <w:rFonts w:ascii="Cambria" w:cs="Cambria" w:eastAsia="Cambria" w:hAnsi="Cambria"/>
          <w:color w:val="111111"/>
          <w:sz w:val="22"/>
          <w:szCs w:val="22"/>
        </w:rPr>
        <w:t xml:space="preserve"> while being nearly uninformative about </w:t>
      </w:r>
      <w:r>
        <w:rPr>
          <w:rFonts w:ascii="Cambria" w:cs="Cambria" w:eastAsia="Cambria" w:hAnsi="Cambria"/>
          <w:i/>
          <w:iCs/>
          <w:color w:val="111111"/>
          <w:sz w:val="22"/>
          <w:szCs w:val="22"/>
        </w:rPr>
        <w:t xml:space="preserve">comparative capability</w:t>
      </w:r>
      <w:r>
        <w:rPr>
          <w:rFonts w:ascii="Cambria" w:cs="Cambria" w:eastAsia="Cambria" w:hAnsi="Cambria"/>
          <w:color w:val="111111"/>
          <w:sz w:val="22"/>
          <w:szCs w:val="22"/>
        </w:rPr>
        <w:t xml:space="preserve">.</w:t>
      </w:r>
    </w:p>
    <w:p>
      <w:pPr>
        <w:spacing w:after="140" w:before="0" w:line="300" w:lineRule="auto"/>
        <w:jc w:val="both"/>
      </w:pPr>
      <w:r>
        <w:rPr>
          <w:rFonts w:ascii="Cambria" w:cs="Cambria" w:eastAsia="Cambria" w:hAnsi="Cambria"/>
          <w:color w:val="111111"/>
          <w:sz w:val="22"/>
          <w:szCs w:val="22"/>
        </w:rPr>
        <w:t xml:space="preserve">We did not benchmark our local models against a frontier cloud model on a common suite. We should have. In the absence of that measurement, the honest statement is narrow: the system is sufficient for this user's tasks, and this user's tasks are not the frontier. Any reader inferring “local is as capable as cloud” from this criterion is inferring something we did not measure and do not claim — see §7.1, where the published evidence points the other way.</w:t>
      </w:r>
    </w:p>
    <w:p>
      <w:pPr>
        <w:pStyle w:val="Heading2"/>
      </w:pPr>
      <w:r>
        <w:t xml:space="preserve">5.3 Concurrency and the Arithmetic</w:t>
      </w:r>
    </w:p>
    <w:p>
      <w:pPr>
        <w:spacing w:after="140" w:before="0" w:line="300" w:lineRule="auto"/>
        <w:jc w:val="both"/>
      </w:pPr>
      <w:r>
        <w:rPr>
          <w:rFonts w:ascii="Cambria" w:cs="Cambria" w:eastAsia="Cambria" w:hAnsi="Cambria"/>
          <w:b/>
          <w:bCs/>
          <w:color w:val="111111"/>
          <w:sz w:val="22"/>
          <w:szCs w:val="22"/>
        </w:rPr>
        <w:t xml:space="preserve">Established, as arithmetic. </w:t>
      </w:r>
      <w:r>
        <w:rPr>
          <w:rFonts w:ascii="Cambria" w:cs="Cambria" w:eastAsia="Cambria" w:hAnsi="Cambria"/>
          <w:color w:val="111111"/>
          <w:sz w:val="22"/>
          <w:szCs w:val="22"/>
        </w:rPr>
        <w:t xml:space="preserve">This is the criterion where the paper can be most precise, because Table 1 is subtraction rather than opinion. The finding is stated as a ceiling, per Rule II:</w:t>
      </w:r>
    </w:p>
    <w:p>
      <w:pPr>
        <w:spacing w:after="60"/>
      </w:pPr>
      <w:r>
        <w:rPr>
          <w:rFonts w:ascii="Cambria" w:cs="Cambria" w:eastAsia="Cambria" w:hAnsi="Cambria"/>
          <w:color w:val="111111"/>
          <w:sz w:val="22"/>
          <w:szCs w:val="22"/>
        </w:rPr>
        <w:t xml:space="preserve"/>
      </w:r>
    </w:p>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3960"/>
        <w:gridCol w:w="1800"/>
        <w:gridCol w:w="4600"/>
      </w:tblGrid>
      <w:tr>
        <w:trPr>
          <w:tblHeader/>
        </w:trPr>
        <w:tc>
          <w:tcPr>
            <w:tcW w:type="dxa" w:w="39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Configuration</w:t>
            </w:r>
          </w:p>
        </w:tc>
        <w:tc>
          <w:tcPr>
            <w:tcW w:type="dxa" w:w="18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Fits in 32 GB?</w:t>
            </w:r>
          </w:p>
        </w:tc>
        <w:tc>
          <w:tcPr>
            <w:tcW w:type="dxa" w:w="46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Consequence</w:t>
            </w:r>
          </w:p>
        </w:tc>
      </w:tr>
      <w:tr>
        <w:tc>
          <w:tcPr>
            <w:tcW w:type="dxa" w:w="39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30B @ Q4 + 64k ctx, AI mode, no game</w:t>
            </w:r>
          </w:p>
        </w:tc>
        <w:tc>
          <w:tcPr>
            <w:tcW w:type="dxa" w:w="1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Yes</w:t>
            </w:r>
          </w:p>
        </w:tc>
        <w:tc>
          <w:tcPr>
            <w:tcW w:type="dxa" w:w="4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Council's full capability. Machine is not a gaming machine.</w:t>
            </w:r>
          </w:p>
        </w:tc>
      </w:tr>
      <w:tr>
        <w:tc>
          <w:tcPr>
            <w:tcW w:type="dxa" w:w="39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30B @ Q4 + modern AAA game</w:t>
            </w:r>
          </w:p>
        </w:tc>
        <w:tc>
          <w:tcPr>
            <w:tcW w:type="dxa" w:w="1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w:t>
            </w:r>
          </w:p>
        </w:tc>
        <w:tc>
          <w:tcPr>
            <w:tcW w:type="dxa" w:w="4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Arithmetic failure. Not a tuning problem.</w:t>
            </w:r>
          </w:p>
        </w:tc>
      </w:tr>
      <w:tr>
        <w:tc>
          <w:tcPr>
            <w:tcW w:type="dxa" w:w="39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8B @ Q4 + modern AAA game</w:t>
            </w:r>
          </w:p>
        </w:tc>
        <w:tc>
          <w:tcPr>
            <w:tcW w:type="dxa" w:w="1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Yes</w:t>
            </w:r>
          </w:p>
        </w:tc>
        <w:tc>
          <w:tcPr>
            <w:tcW w:type="dxa" w:w="4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Game mode. Council present but materially dumber.</w:t>
            </w:r>
          </w:p>
        </w:tc>
      </w:tr>
      <w:tr>
        <w:tc>
          <w:tcPr>
            <w:tcW w:type="dxa" w:w="39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Two large models resident simultaneously</w:t>
            </w:r>
          </w:p>
        </w:tc>
        <w:tc>
          <w:tcPr>
            <w:tcW w:type="dxa" w:w="1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w:t>
            </w:r>
          </w:p>
        </w:tc>
        <w:tc>
          <w:tcPr>
            <w:tcW w:type="dxa" w:w="46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One large model at a time. This is the hard ceiling.</w:t>
            </w:r>
          </w:p>
        </w:tc>
      </w:tr>
      <w:tr>
        <w:tc>
          <w:tcPr>
            <w:tcW w:type="dxa" w:w="39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14B @ Q4 + light desktop use</w:t>
            </w:r>
          </w:p>
        </w:tc>
        <w:tc>
          <w:tcPr>
            <w:tcW w:type="dxa" w:w="18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Yes</w:t>
            </w:r>
          </w:p>
        </w:tc>
        <w:tc>
          <w:tcPr>
            <w:tcW w:type="dxa" w:w="46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practical everyday middle.</w:t>
            </w:r>
          </w:p>
        </w:tc>
      </w:tr>
    </w:tbl>
    <w:p>
      <w:pPr>
        <w:spacing w:after="200" w:before="60" w:line="260" w:lineRule="auto"/>
        <w:jc w:val="left"/>
      </w:pPr>
      <w:r>
        <w:rPr>
          <w:rFonts w:ascii="Cambria" w:cs="Cambria" w:eastAsia="Cambria" w:hAnsi="Cambria"/>
          <w:i/>
          <w:iCs/>
          <w:color w:val="6E6E6E"/>
          <w:sz w:val="19"/>
          <w:szCs w:val="19"/>
        </w:rPr>
        <w:t xml:space="preserve">Table 4. The honest ceiling, stated as configurations rather than as capability. The second row is the finding: it is not a limitation to be engineered around, it is a fact to be designed around, and the design is §6.1.</w:t>
      </w:r>
    </w:p>
    <w:p>
      <w:pPr>
        <w:spacing w:after="140" w:before="0" w:line="300" w:lineRule="auto"/>
        <w:jc w:val="both"/>
      </w:pPr>
      <w:r>
        <w:rPr>
          <w:rFonts w:ascii="Cambria" w:cs="Cambria" w:eastAsia="Cambria" w:hAnsi="Cambria"/>
          <w:color w:val="111111"/>
          <w:sz w:val="22"/>
          <w:szCs w:val="22"/>
        </w:rPr>
        <w:t xml:space="preserve">The value of stating it this way is that it is falsifiable and it is not marketing. A cloud-backed assistant has no analogous table because its ceiling is a billing limit rather than a physical one. This is, we argue in §6.2, a genuine epistemic advantage of local systems that has nothing to do with capability: </w:t>
      </w:r>
      <w:r>
        <w:rPr>
          <w:rFonts w:ascii="Cambria" w:cs="Cambria" w:eastAsia="Cambria" w:hAnsi="Cambria"/>
          <w:i/>
          <w:iCs/>
          <w:color w:val="111111"/>
          <w:sz w:val="22"/>
          <w:szCs w:val="22"/>
        </w:rPr>
        <w:t xml:space="preserve">the constraint is legible</w:t>
      </w:r>
      <w:r>
        <w:rPr>
          <w:rFonts w:ascii="Cambria" w:cs="Cambria" w:eastAsia="Cambria" w:hAnsi="Cambria"/>
          <w:color w:val="111111"/>
          <w:sz w:val="22"/>
          <w:szCs w:val="22"/>
        </w:rPr>
        <w:t xml:space="preserve">.</w:t>
      </w:r>
    </w:p>
    <w:p>
      <w:pPr>
        <w:pStyle w:val="Heading2"/>
      </w:pPr>
      <w:r>
        <w:t xml:space="preserve">5.4 Groundedness</w:t>
      </w:r>
    </w:p>
    <w:p>
      <w:pPr>
        <w:spacing w:after="140" w:before="0" w:line="300" w:lineRule="auto"/>
        <w:jc w:val="both"/>
      </w:pPr>
      <w:r>
        <w:rPr>
          <w:rFonts w:ascii="Cambria" w:cs="Cambria" w:eastAsia="Cambria" w:hAnsi="Cambria"/>
          <w:b/>
          <w:bCs/>
          <w:color w:val="111111"/>
          <w:sz w:val="22"/>
          <w:szCs w:val="22"/>
        </w:rPr>
        <w:t xml:space="preserve">Established mechanically; not measured. </w:t>
      </w:r>
      <w:r>
        <w:rPr>
          <w:rFonts w:ascii="Cambria" w:cs="Cambria" w:eastAsia="Cambria" w:hAnsi="Cambria"/>
          <w:color w:val="111111"/>
          <w:sz w:val="22"/>
          <w:szCs w:val="22"/>
        </w:rPr>
        <w:t xml:space="preserve">Divisions query the corpus in query mode (§3.4) and therefore refuse when retrieval returns nothing relevant. We verified the configuration and spot-audited outputs. We did not run RAGAS </w:t>
      </w:r>
      <w:r>
        <w:rPr>
          <w:rFonts w:ascii="Cambria" w:cs="Cambria" w:eastAsia="Cambria" w:hAnsi="Cambria"/>
          <w:color w:val="111111"/>
          <w:sz w:val="22"/>
          <w:szCs w:val="22"/>
        </w:rPr>
        <w:t xml:space="preserve">[42]</w:t>
      </w:r>
      <w:r>
        <w:rPr>
          <w:rFonts w:ascii="Cambria" w:cs="Cambria" w:eastAsia="Cambria" w:hAnsi="Cambria"/>
          <w:color w:val="111111"/>
          <w:sz w:val="22"/>
          <w:szCs w:val="22"/>
        </w:rPr>
        <w:t xml:space="preserve"> or any systematic faithfulness evaluation, which means we can state that the architecture is configured to ground and cannot state a retrieval-faithfulness rate. Given that the hallucination literature </w:t>
      </w:r>
      <w:r>
        <w:rPr>
          <w:rFonts w:ascii="Cambria" w:cs="Cambria" w:eastAsia="Cambria" w:hAnsi="Cambria"/>
          <w:color w:val="111111"/>
          <w:sz w:val="22"/>
          <w:szCs w:val="22"/>
        </w:rPr>
        <w:t xml:space="preserve">[72]</w:t>
      </w:r>
      <w:r>
        <w:rPr>
          <w:rFonts w:ascii="Cambria" w:cs="Cambria" w:eastAsia="Cambria" w:hAnsi="Cambria"/>
          <w:color w:val="111111"/>
          <w:sz w:val="22"/>
          <w:szCs w:val="22"/>
        </w:rPr>
        <w:t xml:space="preserve"> treats faithfulness as the central measurable, this is a real gap.</w:t>
      </w:r>
    </w:p>
    <w:p>
      <w:pPr>
        <w:pStyle w:val="Heading2"/>
      </w:pPr>
      <w:r>
        <w:t xml:space="preserve">5.5 Governance</w:t>
      </w:r>
    </w:p>
    <w:p>
      <w:pPr>
        <w:spacing w:after="140" w:before="0" w:line="300" w:lineRule="auto"/>
        <w:jc w:val="both"/>
      </w:pPr>
      <w:r>
        <w:rPr>
          <w:rFonts w:ascii="Cambria" w:cs="Cambria" w:eastAsia="Cambria" w:hAnsi="Cambria"/>
          <w:b/>
          <w:bCs/>
          <w:color w:val="111111"/>
          <w:sz w:val="22"/>
          <w:szCs w:val="22"/>
        </w:rPr>
        <w:t xml:space="preserve">Established. </w:t>
      </w:r>
      <w:r>
        <w:rPr>
          <w:rFonts w:ascii="Cambria" w:cs="Cambria" w:eastAsia="Cambria" w:hAnsi="Cambria"/>
          <w:color w:val="111111"/>
          <w:sz w:val="22"/>
          <w:szCs w:val="22"/>
        </w:rPr>
        <w:t xml:space="preserve">The fifteen rules are audited quarterly against the deployment. The rules protecting irreversible outcomes — capital, deletion, publication, actuation — are enforced by code rather than prompt, which is verifiable by reading the code. The kill switch is tested monthly; an untested kill switch, per Rule VI, does not exist, and we mean that literally rather than rhetorically — the failure mode of an untested emergency control is that it is discovered to be broken during the emergency.</w:t>
      </w:r>
    </w:p>
    <w:p>
      <w:pPr>
        <w:pStyle w:val="Heading2"/>
      </w:pPr>
      <w:r>
        <w:t xml:space="preserve">5.6 Recoverability</w:t>
      </w:r>
    </w:p>
    <w:p>
      <w:pPr>
        <w:spacing w:after="140" w:before="0" w:line="300" w:lineRule="auto"/>
        <w:jc w:val="both"/>
      </w:pPr>
      <w:r>
        <w:rPr>
          <w:rFonts w:ascii="Cambria" w:cs="Cambria" w:eastAsia="Cambria" w:hAnsi="Cambria"/>
          <w:b/>
          <w:bCs/>
          <w:color w:val="111111"/>
          <w:sz w:val="22"/>
          <w:szCs w:val="22"/>
        </w:rPr>
        <w:t xml:space="preserve">Established by execution. </w:t>
      </w:r>
      <w:r>
        <w:rPr>
          <w:rFonts w:ascii="Cambria" w:cs="Cambria" w:eastAsia="Cambria" w:hAnsi="Cambria"/>
          <w:color w:val="111111"/>
          <w:sz w:val="22"/>
          <w:szCs w:val="22"/>
        </w:rPr>
        <w:t xml:space="preserve">Rule XIV requires every dependency to have a written migration path, and the rule exists because a prior architecture was chosen without one. The migrations are documented and, critically, at least one has been executed rather than merely written: the first-to-second architecture transition (§4.3) was a real migration under real conditions. A migration path that has never been run is a hypothesis.</w:t>
      </w:r>
    </w:p>
    <w:p>
      <w:pPr>
        <w:pStyle w:val="Heading2"/>
      </w:pPr>
      <w:r>
        <w:t xml:space="preserve">5.7 Summary</w:t>
      </w:r>
    </w:p>
    <w:p>
      <w:pPr>
        <w:spacing w:after="40"/>
      </w:pPr>
      <w:r>
        <w:rPr>
          <w:rFonts w:ascii="Cambria" w:cs="Cambria" w:eastAsia="Cambria" w:hAnsi="Cambria"/>
          <w:color w:val="111111"/>
          <w:sz w:val="22"/>
          <w:szCs w:val="22"/>
        </w:rPr>
        <w:t xml:space="preserve"/>
      </w:r>
    </w:p>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2760"/>
        <w:gridCol w:w="2200"/>
        <w:gridCol w:w="5400"/>
      </w:tblGrid>
      <w:tr>
        <w:trPr>
          <w:tblHeader/>
        </w:trPr>
        <w:tc>
          <w:tcPr>
            <w:tcW w:type="dxa" w:w="27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Criterion</w:t>
            </w:r>
          </w:p>
        </w:tc>
        <w:tc>
          <w:tcPr>
            <w:tcW w:type="dxa" w:w="22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Status</w:t>
            </w:r>
          </w:p>
        </w:tc>
        <w:tc>
          <w:tcPr>
            <w:tcW w:type="dxa" w:w="54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Basis</w:t>
            </w:r>
          </w:p>
        </w:tc>
      </w:tr>
      <w:tr>
        <w:tc>
          <w:tcPr>
            <w:tcW w:type="dxa" w:w="2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1 · Sovereignty</w:t>
            </w:r>
          </w:p>
        </w:tc>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Established</w:t>
            </w:r>
          </w:p>
        </w:tc>
        <w:tc>
          <w:tcPr>
            <w:tcW w:type="dxa" w:w="5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Inspection; runs with network down</w:t>
            </w:r>
          </w:p>
        </w:tc>
      </w:tr>
      <w:tr>
        <w:tc>
          <w:tcPr>
            <w:tcW w:type="dxa" w:w="2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2 · Capability sufficiency</w:t>
            </w:r>
          </w:p>
        </w:tc>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Partial — weakest</w:t>
            </w:r>
          </w:p>
        </w:tc>
        <w:tc>
          <w:tcPr>
            <w:tcW w:type="dxa" w:w="5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Sustained use; no comparative benchmark (§7.1)</w:t>
            </w:r>
          </w:p>
        </w:tc>
      </w:tr>
      <w:tr>
        <w:tc>
          <w:tcPr>
            <w:tcW w:type="dxa" w:w="2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3 · Concurrency</w:t>
            </w:r>
          </w:p>
        </w:tc>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Established</w:t>
            </w:r>
          </w:p>
        </w:tc>
        <w:tc>
          <w:tcPr>
            <w:tcW w:type="dxa" w:w="5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Arithmetic (Tables 1, 4)</w:t>
            </w:r>
          </w:p>
        </w:tc>
      </w:tr>
      <w:tr>
        <w:tc>
          <w:tcPr>
            <w:tcW w:type="dxa" w:w="2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4 · Groundedness</w:t>
            </w:r>
          </w:p>
        </w:tc>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Mechanical only</w:t>
            </w:r>
          </w:p>
        </w:tc>
        <w:tc>
          <w:tcPr>
            <w:tcW w:type="dxa" w:w="5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Configuration verified; faithfulness unmeasured</w:t>
            </w:r>
          </w:p>
        </w:tc>
      </w:tr>
      <w:tr>
        <w:tc>
          <w:tcPr>
            <w:tcW w:type="dxa" w:w="2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5 · Governance</w:t>
            </w:r>
          </w:p>
        </w:tc>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Established</w:t>
            </w:r>
          </w:p>
        </w:tc>
        <w:tc>
          <w:tcPr>
            <w:tcW w:type="dxa" w:w="5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Quarterly audit; code-enforced gates</w:t>
            </w:r>
          </w:p>
        </w:tc>
      </w:tr>
      <w:tr>
        <w:tc>
          <w:tcPr>
            <w:tcW w:type="dxa" w:w="27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6 · Recoverability</w:t>
            </w:r>
          </w:p>
        </w:tc>
        <w:tc>
          <w:tcPr>
            <w:tcW w:type="dxa" w:w="22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Established</w:t>
            </w:r>
          </w:p>
        </w:tc>
        <w:tc>
          <w:tcPr>
            <w:tcW w:type="dxa" w:w="54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Migration executed, not merely documented</w:t>
            </w:r>
          </w:p>
        </w:tc>
      </w:tr>
    </w:tbl>
    <w:p>
      <w:pPr>
        <w:spacing w:after="200" w:before="60" w:line="260" w:lineRule="auto"/>
        <w:jc w:val="left"/>
      </w:pPr>
      <w:r>
        <w:rPr>
          <w:rFonts w:ascii="Cambria" w:cs="Cambria" w:eastAsia="Cambria" w:hAnsi="Cambria"/>
          <w:i/>
          <w:iCs/>
          <w:color w:val="6E6E6E"/>
          <w:sz w:val="19"/>
          <w:szCs w:val="19"/>
        </w:rPr>
        <w:t xml:space="preserve">Table 5. Evaluation summary. Two criteria rest on weaker evidence than the paper would like, and both are named rather than smoothed.</w:t>
      </w:r>
    </w:p>
    <w:p>
      <w:pPr>
        <w:pStyle w:val="Heading1"/>
        <w:pageBreakBefore/>
        <w:spacing w:after="180" w:before="240"/>
      </w:pPr>
      <w:r>
        <w:t xml:space="preserve">6. Discussion</w:t>
      </w:r>
    </w:p>
    <w:p>
      <w:pPr>
        <w:spacing w:after="140" w:before="0" w:line="300" w:lineRule="auto"/>
        <w:jc w:val="both"/>
      </w:pPr>
      <w:r>
        <w:rPr>
          <w:rFonts w:ascii="Cambria" w:cs="Cambria" w:eastAsia="Cambria" w:hAnsi="Cambria"/>
          <w:color w:val="111111"/>
          <w:sz w:val="22"/>
          <w:szCs w:val="22"/>
        </w:rPr>
        <w:t xml:space="preserve">The artifact's interest is not that it works. It is that building it under these constraints forced four patterns into existence that a cloud architecture never encounters, and that those patterns have interaction consequences the HMI literature has not had occasion to study. We name the patterns, then argue the consequences.</w:t>
      </w:r>
    </w:p>
    <w:p>
      <w:pPr>
        <w:pStyle w:val="Heading2"/>
      </w:pPr>
      <w:r>
        <w:t xml:space="preserve">6.1 The Two-Mode Doctrine</w:t>
      </w:r>
    </w:p>
    <w:p>
      <w:pPr>
        <w:spacing w:after="140" w:before="0" w:line="300" w:lineRule="auto"/>
        <w:jc w:val="both"/>
      </w:pPr>
      <w:r>
        <w:rPr>
          <w:rFonts w:ascii="Cambria" w:cs="Cambria" w:eastAsia="Cambria" w:hAnsi="Cambria"/>
          <w:color w:val="111111"/>
          <w:sz w:val="22"/>
          <w:szCs w:val="22"/>
        </w:rPr>
        <w:t xml:space="preserve">Table 1 states that 32 GB of unified memory cannot simultaneously hold a large model and a modern game. The naive responses are to buy more memory (unavailable — it is soldered), to swap (catastrophic for inference latency), or to let the operating system arbitrate (which produces a crash under load, at the worst possible moment, with no explanation). Each of these is a way of pretending the arithmetic is negotiable.</w:t>
      </w:r>
    </w:p>
    <w:p>
      <w:pPr>
        <w:spacing w:after="140" w:before="0" w:line="300" w:lineRule="auto"/>
        <w:jc w:val="both"/>
      </w:pPr>
      <w:r>
        <w:rPr>
          <w:rFonts w:ascii="Cambria" w:cs="Cambria" w:eastAsia="Cambria" w:hAnsi="Cambria"/>
          <w:color w:val="111111"/>
          <w:sz w:val="22"/>
          <w:szCs w:val="22"/>
        </w:rPr>
        <w:t xml:space="preserve">The pattern is to make the tradeoff explicit and scheduled rather than emergent and catastrophic. The system runs in one of two declared modes, held in a file that every worker reads before dispatch:</w:t>
      </w:r>
    </w:p>
    <w:p>
      <w:pPr>
        <w:keepLines/>
        <w:pBdr>
          <w:left w:val="single" w:color="1A3A5C" w:sz="12" w:space="8"/>
        </w:pBdr>
        <w:shd w:fill="F4F5F7" w:color="auto" w:val="clear"/>
        <w:spacing w:after="0" w:before="110" w:line="240" w:lineRule="auto"/>
        <w:ind w:left="200" w:right="100"/>
      </w:pPr>
      <w:r>
        <w:rPr>
          <w:rFonts w:ascii="Consolas" w:cs="Consolas" w:eastAsia="Consolas" w:hAnsi="Consolas"/>
          <w:color w:val="1D1D1F"/>
          <w:sz w:val="17"/>
          <w:szCs w:val="17"/>
        </w:rPr>
        <w:t xml:space="preserve"># ~/council/run/mode  -&gt;  "ai" | "game"</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ai   : 14B-30B resident. Full Council. Machine is a workstation.</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game : 8B resident, hard-capped. Council present but small.</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Heavy divisions do not dispatch; they queue.</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The scheduler reads the mode. It does not negotiate with it.</w:t>
      </w:r>
    </w:p>
    <w:p>
      <w:pPr>
        <w:keepLines/>
        <w:pBdr>
          <w:left w:val="single" w:color="1A3A5C" w:sz="12" w:space="8"/>
        </w:pBdr>
        <w:shd w:fill="F4F5F7" w:color="auto" w:val="clear"/>
        <w:spacing w:after="0" w:before="0" w:line="240" w:lineRule="auto"/>
        <w:ind w:left="200" w:right="100"/>
      </w:pPr>
      <w:r>
        <w:rPr>
          <w:rFonts w:ascii="Consolas" w:cs="Consolas" w:eastAsia="Consolas" w:hAnsi="Consolas"/>
          <w:color w:val="1D1D1F"/>
          <w:sz w:val="17"/>
          <w:szCs w:val="17"/>
        </w:rPr>
        <w:t xml:space="preserve"># Rule XI: the game does not own the machine -- and neither does</w:t>
      </w:r>
    </w:p>
    <w:p>
      <w:pPr>
        <w:keepLines/>
        <w:pBdr>
          <w:left w:val="single" w:color="1A3A5C" w:sz="12" w:space="8"/>
        </w:pBdr>
        <w:shd w:fill="F4F5F7" w:color="auto" w:val="clear"/>
        <w:spacing w:after="140" w:before="0" w:line="240" w:lineRule="auto"/>
        <w:ind w:left="200" w:right="100"/>
      </w:pPr>
      <w:r>
        <w:rPr>
          <w:rFonts w:ascii="Consolas" w:cs="Consolas" w:eastAsia="Consolas" w:hAnsi="Consolas"/>
          <w:color w:val="1D1D1F"/>
          <w:sz w:val="17"/>
          <w:szCs w:val="17"/>
        </w:rPr>
        <w:t xml:space="preserve"># the Council. The mode owns the machine, and a human owns the mode.</w:t>
      </w:r>
    </w:p>
    <w:p>
      <w:pPr>
        <w:spacing w:after="140" w:before="0" w:line="300" w:lineRule="auto"/>
        <w:jc w:val="both"/>
      </w:pPr>
      <w:r>
        <w:rPr>
          <w:rFonts w:ascii="Cambria" w:cs="Cambria" w:eastAsia="Cambria" w:hAnsi="Cambria"/>
          <w:color w:val="111111"/>
          <w:sz w:val="22"/>
          <w:szCs w:val="22"/>
        </w:rPr>
        <w:t xml:space="preserve">The generalization is the interesting part. On rented infrastructure, resource contention is invisible: it is the provider's problem, resolved by autoscaling and billed. On owned infrastructure, contention is the user's problem, and the design choice is whether to confront it in advance or discover it during a crash. The two-mode doctrine is what confronting it in advance looks like. We suspect this pattern generalizes to any local-first AI deployment on a machine that has another job — which is nearly all of them, since almost nobody buys a computer solely to host a model.</w:t>
      </w:r>
    </w:p>
    <w:p>
      <w:pPr>
        <w:pStyle w:val="Heading2"/>
      </w:pPr>
      <w:r>
        <w:t xml:space="preserve">6.2 The Honest Ceiling</w:t>
      </w:r>
    </w:p>
    <w:p>
      <w:pPr>
        <w:spacing w:after="140" w:before="0" w:line="300" w:lineRule="auto"/>
        <w:jc w:val="both"/>
      </w:pPr>
      <w:r>
        <w:rPr>
          <w:rFonts w:ascii="Cambria" w:cs="Cambria" w:eastAsia="Cambria" w:hAnsi="Cambria"/>
          <w:color w:val="111111"/>
          <w:sz w:val="22"/>
          <w:szCs w:val="22"/>
        </w:rPr>
        <w:t xml:space="preserve">Rule II requires every capacity claim to be arithmetic. This began as an anti-marketing reflex and became, we now think, the paper's most transferable idea.</w:t>
      </w:r>
    </w:p>
    <w:p>
      <w:pPr>
        <w:spacing w:after="140" w:before="0" w:line="300" w:lineRule="auto"/>
        <w:jc w:val="both"/>
      </w:pPr>
      <w:r>
        <w:rPr>
          <w:rFonts w:ascii="Cambria" w:cs="Cambria" w:eastAsia="Cambria" w:hAnsi="Cambria"/>
          <w:color w:val="111111"/>
          <w:sz w:val="22"/>
          <w:szCs w:val="22"/>
        </w:rPr>
        <w:t xml:space="preserve">A cloud assistant's capability is opaque by construction: the user cannot know the model size, the quantization, the context budget, the routing, or the rate limit, and these change without notice. The user's mental model of the system's competence is therefore built entirely from behavioral inference — which is exactly the condition Lee and See </w:t>
      </w:r>
      <w:r>
        <w:rPr>
          <w:rFonts w:ascii="Cambria" w:cs="Cambria" w:eastAsia="Cambria" w:hAnsi="Cambria"/>
          <w:color w:val="111111"/>
          <w:sz w:val="22"/>
          <w:szCs w:val="22"/>
        </w:rPr>
        <w:t xml:space="preserve">[89]</w:t>
      </w:r>
      <w:r>
        <w:rPr>
          <w:rFonts w:ascii="Cambria" w:cs="Cambria" w:eastAsia="Cambria" w:hAnsi="Cambria"/>
          <w:color w:val="111111"/>
          <w:sz w:val="22"/>
          <w:szCs w:val="22"/>
        </w:rPr>
        <w:t xml:space="preserve"> identify as producing miscalibrated trust, because behavioral inference from a fluent system systematically overestimates it.</w:t>
      </w:r>
    </w:p>
    <w:p>
      <w:pPr>
        <w:spacing w:after="140" w:before="0" w:line="300" w:lineRule="auto"/>
        <w:jc w:val="both"/>
      </w:pPr>
      <w:r>
        <w:rPr>
          <w:rFonts w:ascii="Cambria" w:cs="Cambria" w:eastAsia="Cambria" w:hAnsi="Cambria"/>
          <w:color w:val="111111"/>
          <w:sz w:val="22"/>
          <w:szCs w:val="22"/>
        </w:rPr>
        <w:t xml:space="preserve">A local system inverts this. The user knows the model, the quantization, the context window, and the memory budget, because they chose them and the arithmetic is on the table. Table 4 is not a limitation disclosure; it is a </w:t>
      </w:r>
      <w:r>
        <w:rPr>
          <w:rFonts w:ascii="Cambria" w:cs="Cambria" w:eastAsia="Cambria" w:hAnsi="Cambria"/>
          <w:i/>
          <w:iCs/>
          <w:color w:val="111111"/>
          <w:sz w:val="22"/>
          <w:szCs w:val="22"/>
        </w:rPr>
        <w:t xml:space="preserve">trust-calibration instrument</w:t>
      </w:r>
      <w:r>
        <w:rPr>
          <w:rFonts w:ascii="Cambria" w:cs="Cambria" w:eastAsia="Cambria" w:hAnsi="Cambria"/>
          <w:color w:val="111111"/>
          <w:sz w:val="22"/>
          <w:szCs w:val="22"/>
        </w:rPr>
        <w:t xml:space="preserve">. When the user knows the machine is running an 8B model in game mode, their expectations adjust automatically and correctly — no cognitive forcing function </w:t>
      </w:r>
      <w:r>
        <w:rPr>
          <w:rFonts w:ascii="Cambria" w:cs="Cambria" w:eastAsia="Cambria" w:hAnsi="Cambria"/>
          <w:color w:val="111111"/>
          <w:sz w:val="22"/>
          <w:szCs w:val="22"/>
        </w:rPr>
        <w:t xml:space="preserve">[18]</w:t>
      </w:r>
      <w:r>
        <w:rPr>
          <w:rFonts w:ascii="Cambria" w:cs="Cambria" w:eastAsia="Cambria" w:hAnsi="Cambria"/>
          <w:color w:val="111111"/>
          <w:sz w:val="22"/>
          <w:szCs w:val="22"/>
        </w:rPr>
        <w:t xml:space="preserve"> required, because the forcing is structural.</w:t>
      </w:r>
    </w:p>
    <w:p>
      <w:pPr>
        <w:spacing w:after="140" w:before="0" w:line="300" w:lineRule="auto"/>
        <w:jc w:val="both"/>
      </w:pPr>
      <w:r>
        <w:rPr>
          <w:rFonts w:ascii="Cambria" w:cs="Cambria" w:eastAsia="Cambria" w:hAnsi="Cambria"/>
          <w:color w:val="111111"/>
          <w:sz w:val="22"/>
          <w:szCs w:val="22"/>
        </w:rPr>
        <w:t xml:space="preserve">We state this as our clearest theoretical claim: </w:t>
      </w:r>
      <w:r>
        <w:rPr>
          <w:rFonts w:ascii="Cambria" w:cs="Cambria" w:eastAsia="Cambria" w:hAnsi="Cambria"/>
          <w:b/>
          <w:bCs/>
          <w:color w:val="111111"/>
          <w:sz w:val="22"/>
          <w:szCs w:val="22"/>
        </w:rPr>
        <w:t xml:space="preserve">legibility of the constraint is a trust affordance, and it is one that rented intelligence cannot offer at any price</w:t>
      </w:r>
      <w:r>
        <w:rPr>
          <w:rFonts w:ascii="Cambria" w:cs="Cambria" w:eastAsia="Cambria" w:hAnsi="Cambria"/>
          <w:color w:val="111111"/>
          <w:sz w:val="22"/>
          <w:szCs w:val="22"/>
        </w:rPr>
        <w:t xml:space="preserve">. Not because providers are secretive, but because the constraint genuinely is not the user's and genuinely does move without them.</w:t>
      </w:r>
    </w:p>
    <w:p>
      <w:pPr>
        <w:spacing w:after="140" w:before="0" w:line="300" w:lineRule="auto"/>
        <w:jc w:val="both"/>
      </w:pPr>
      <w:r>
        <w:rPr>
          <w:rFonts w:ascii="Cambria" w:cs="Cambria" w:eastAsia="Cambria" w:hAnsi="Cambria"/>
          <w:color w:val="111111"/>
          <w:sz w:val="22"/>
          <w:szCs w:val="22"/>
        </w:rPr>
        <w:t xml:space="preserve">The 2026 landscape and the upgrade path together stretch this claim across a wider range than the base machine implied, and stretching it is a useful test of whether it holds. The local model can now be anything from an 8B in game mode, to a 14–30B in AI mode, to — with the RTX 5090 of §3.9 — a 30B-class model at comfortable speed or a large mixture-of-experts run slowly by expert-streaming. That is a large dynamic range of capability, and the honest-ceiling argument requires that </w:t>
      </w:r>
      <w:r>
        <w:rPr>
          <w:rFonts w:ascii="Cambria" w:cs="Cambria" w:eastAsia="Cambria" w:hAnsi="Cambria"/>
          <w:i/>
          <w:iCs/>
          <w:color w:val="111111"/>
          <w:sz w:val="22"/>
          <w:szCs w:val="22"/>
        </w:rPr>
        <w:t xml:space="preserve">which point on the range is currently loaded is itself legible to the user</w:t>
      </w:r>
      <w:r>
        <w:rPr>
          <w:rFonts w:ascii="Cambria" w:cs="Cambria" w:eastAsia="Cambria" w:hAnsi="Cambria"/>
          <w:color w:val="111111"/>
          <w:sz w:val="22"/>
          <w:szCs w:val="22"/>
        </w:rPr>
        <w:t xml:space="preserve">. It is: the mode file and the model tag are inspectable, so the user's expectation tracks the loaded configuration automatically. The claim survives the wider range — indeed it matters </w:t>
      </w:r>
      <w:r>
        <w:rPr>
          <w:rFonts w:ascii="Cambria" w:cs="Cambria" w:eastAsia="Cambria" w:hAnsi="Cambria"/>
          <w:i/>
          <w:iCs/>
          <w:color w:val="111111"/>
          <w:sz w:val="22"/>
          <w:szCs w:val="22"/>
        </w:rPr>
        <w:t xml:space="preserve">more</w:t>
      </w:r>
      <w:r>
        <w:rPr>
          <w:rFonts w:ascii="Cambria" w:cs="Cambria" w:eastAsia="Cambria" w:hAnsi="Cambria"/>
          <w:color w:val="111111"/>
          <w:sz w:val="22"/>
          <w:szCs w:val="22"/>
        </w:rPr>
        <w:t xml:space="preserve"> across a wide range, because the gap between the system's best and worst configurations is now large enough that mis-estimating which one is active would be a serious calibration error. A cloud endpoint that silently routes between model sizes </w:t>
      </w:r>
      <w:r>
        <w:rPr>
          <w:rFonts w:ascii="Cambria" w:cs="Cambria" w:eastAsia="Cambria" w:hAnsi="Cambria"/>
          <w:color w:val="111111"/>
          <w:sz w:val="22"/>
          <w:szCs w:val="22"/>
        </w:rPr>
        <w:t xml:space="preserve">[124]</w:t>
      </w:r>
      <w:r>
        <w:rPr>
          <w:rFonts w:ascii="Cambria" w:cs="Cambria" w:eastAsia="Cambria" w:hAnsi="Cambria"/>
          <w:color w:val="111111"/>
          <w:sz w:val="22"/>
          <w:szCs w:val="22"/>
        </w:rPr>
        <w:t xml:space="preserve"> offers no equivalent signal; the local system's legibility is the same affordance holding under greater capability variance.</w:t>
      </w:r>
    </w:p>
    <w:p>
      <w:pPr>
        <w:pStyle w:val="Heading2"/>
      </w:pPr>
      <w:r>
        <w:t xml:space="preserve">6.3 The Post-Work Heartbeat</w:t>
      </w:r>
    </w:p>
    <w:p>
      <w:pPr>
        <w:spacing w:after="140" w:before="0" w:line="300" w:lineRule="auto"/>
        <w:jc w:val="both"/>
      </w:pPr>
      <w:r>
        <w:rPr>
          <w:rFonts w:ascii="Cambria" w:cs="Cambria" w:eastAsia="Cambria" w:hAnsi="Cambria"/>
          <w:color w:val="111111"/>
          <w:sz w:val="22"/>
          <w:szCs w:val="22"/>
        </w:rPr>
        <w:t xml:space="preserve">The idle-agent incident (§4.4.2) produced a mechanism that generalizes. The failure was not that the agent lied; it was that status emission was decoupled from work. A timer fired, text was produced, and the text described work that had not occurred. No component was faulty. The architecture was.</w:t>
      </w:r>
    </w:p>
    <w:p>
      <w:pPr>
        <w:spacing w:after="140" w:before="0" w:line="300" w:lineRule="auto"/>
        <w:jc w:val="both"/>
      </w:pPr>
      <w:r>
        <w:rPr>
          <w:rFonts w:ascii="Cambria" w:cs="Cambria" w:eastAsia="Cambria" w:hAnsi="Cambria"/>
          <w:color w:val="111111"/>
          <w:sz w:val="22"/>
          <w:szCs w:val="22"/>
        </w:rPr>
        <w:t xml:space="preserve">The pattern is that status is emitted </w:t>
      </w:r>
      <w:r>
        <w:rPr>
          <w:rFonts w:ascii="Cambria" w:cs="Cambria" w:eastAsia="Cambria" w:hAnsi="Cambria"/>
          <w:i/>
          <w:iCs/>
          <w:color w:val="111111"/>
          <w:sz w:val="22"/>
          <w:szCs w:val="22"/>
        </w:rPr>
        <w:t xml:space="preserve">as a side effect of completed work, never on a schedule</w:t>
      </w:r>
      <w:r>
        <w:rPr>
          <w:rFonts w:ascii="Cambria" w:cs="Cambria" w:eastAsia="Cambria" w:hAnsi="Cambria"/>
          <w:color w:val="111111"/>
          <w:sz w:val="22"/>
          <w:szCs w:val="22"/>
        </w:rPr>
        <w:t xml:space="preserve">. If no work completed, no heartbeat is emitted, and the absence is an alarm. This is Rule III (“silence is a bug, not a state”) implemented as a scheduler property rather than a prompt instruction, and the distinction is the whole point: an agent can be asked to be honest and can fail; a scheduler that cannot emit a heartbeat without a completed work unit cannot fail in that direction.</w:t>
      </w:r>
    </w:p>
    <w:p>
      <w:pPr>
        <w:spacing w:after="140" w:before="0" w:line="300" w:lineRule="auto"/>
        <w:jc w:val="both"/>
      </w:pPr>
      <w:r>
        <w:rPr>
          <w:rFonts w:ascii="Cambria" w:cs="Cambria" w:eastAsia="Cambria" w:hAnsi="Cambria"/>
          <w:color w:val="111111"/>
          <w:sz w:val="22"/>
          <w:szCs w:val="22"/>
        </w:rPr>
        <w:t xml:space="preserve">Norman </w:t>
      </w:r>
      <w:r>
        <w:rPr>
          <w:rFonts w:ascii="Cambria" w:cs="Cambria" w:eastAsia="Cambria" w:hAnsi="Cambria"/>
          <w:color w:val="111111"/>
          <w:sz w:val="22"/>
          <w:szCs w:val="22"/>
        </w:rPr>
        <w:t xml:space="preserve">[121]</w:t>
      </w:r>
      <w:r>
        <w:rPr>
          <w:rFonts w:ascii="Cambria" w:cs="Cambria" w:eastAsia="Cambria" w:hAnsi="Cambria"/>
          <w:color w:val="111111"/>
          <w:sz w:val="22"/>
          <w:szCs w:val="22"/>
        </w:rPr>
        <w:t xml:space="preserve"> argued in 1990 that the problem with automation is inappropriate feedback rather than automation itself. The post-work heartbeat is that argument compiled into a scheduler thirty-five years later. We find it striking that a hobbyist multi-agent system rediscovered, through failure, a result the human-factors literature published before the author was born — and we take it as evidence that the agent-building community's tendency to treat this literature as irrelevant is expensive.</w:t>
      </w:r>
    </w:p>
    <w:p>
      <w:pPr>
        <w:pStyle w:val="Heading2"/>
      </w:pPr>
      <w:r>
        <w:t xml:space="preserve">6.4 The Documented Exit</w:t>
      </w:r>
    </w:p>
    <w:p>
      <w:pPr>
        <w:spacing w:after="140" w:before="0" w:line="300" w:lineRule="auto"/>
        <w:jc w:val="both"/>
      </w:pPr>
      <w:r>
        <w:rPr>
          <w:rFonts w:ascii="Cambria" w:cs="Cambria" w:eastAsia="Cambria" w:hAnsi="Cambria"/>
          <w:color w:val="111111"/>
          <w:sz w:val="22"/>
          <w:szCs w:val="22"/>
        </w:rPr>
        <w:t xml:space="preserve">Rule XIV — every dependency has a written migration path, and a decision without a documented exit is a trap — emerged from a specific failure: an architecture was chosen with no written path back, and when its assumptions changed, the cost of leaving was discovered rather than budgeted.</w:t>
      </w:r>
    </w:p>
    <w:p>
      <w:pPr>
        <w:spacing w:after="140" w:before="0" w:line="300" w:lineRule="auto"/>
        <w:jc w:val="both"/>
      </w:pPr>
      <w:r>
        <w:rPr>
          <w:rFonts w:ascii="Cambria" w:cs="Cambria" w:eastAsia="Cambria" w:hAnsi="Cambria"/>
          <w:color w:val="111111"/>
          <w:sz w:val="22"/>
          <w:szCs w:val="22"/>
        </w:rPr>
        <w:t xml:space="preserve">This pattern is local-first's answer to a problem the local-first literature names but does not solve. Kleppmann et al. </w:t>
      </w:r>
      <w:r>
        <w:rPr>
          <w:rFonts w:ascii="Cambria" w:cs="Cambria" w:eastAsia="Cambria" w:hAnsi="Cambria"/>
          <w:color w:val="111111"/>
          <w:sz w:val="22"/>
          <w:szCs w:val="22"/>
        </w:rPr>
        <w:t xml:space="preserve">[87]</w:t>
      </w:r>
      <w:r>
        <w:rPr>
          <w:rFonts w:ascii="Cambria" w:cs="Cambria" w:eastAsia="Cambria" w:hAnsi="Cambria"/>
          <w:color w:val="111111"/>
          <w:sz w:val="22"/>
          <w:szCs w:val="22"/>
        </w:rPr>
        <w:t xml:space="preserve"> list longevity among their seven ideals, but longevity is a property one hopes for; the documented exit is a procedure one executes. The generalization: in a landscape where the tooling changes faster than the documentation, the exit is a more valuable artifact than the entrance, and it must be written while the decision is being made — because that is the only moment at which the alternatives are still legible. Written afterward, it is archaeology.</w:t>
      </w:r>
    </w:p>
    <w:p>
      <w:pPr>
        <w:pStyle w:val="Heading2"/>
      </w:pPr>
      <w:r>
        <w:t xml:space="preserve">6.5 Interaction Consequences</w:t>
      </w:r>
    </w:p>
    <w:p>
      <w:pPr>
        <w:spacing w:after="140" w:before="0" w:line="300" w:lineRule="auto"/>
        <w:jc w:val="both"/>
      </w:pPr>
      <w:r>
        <w:rPr>
          <w:rFonts w:ascii="Cambria" w:cs="Cambria" w:eastAsia="Cambria" w:hAnsi="Cambria"/>
          <w:color w:val="111111"/>
          <w:sz w:val="22"/>
          <w:szCs w:val="22"/>
        </w:rPr>
        <w:t xml:space="preserve">This subsection answers RQ3 and contains the paper's most speculative claims. We flag them as claims rather than findings, because we ran no study (§4.5).</w:t>
      </w:r>
    </w:p>
    <w:p>
      <w:pPr>
        <w:pStyle w:val="Heading3"/>
      </w:pPr>
      <w:r>
        <w:t xml:space="preserve">6.5.1 Plurality changes the social frame</w:t>
      </w:r>
    </w:p>
    <w:p>
      <w:pPr>
        <w:spacing w:after="140" w:before="0" w:line="300" w:lineRule="auto"/>
        <w:jc w:val="both"/>
      </w:pPr>
      <w:r>
        <w:rPr>
          <w:rFonts w:ascii="Cambria" w:cs="Cambria" w:eastAsia="Cambria" w:hAnsi="Cambria"/>
          <w:color w:val="111111"/>
          <w:sz w:val="22"/>
          <w:szCs w:val="22"/>
        </w:rPr>
        <w:t xml:space="preserve">The CASA paradigm </w:t>
      </w:r>
      <w:r>
        <w:rPr>
          <w:rFonts w:ascii="Cambria" w:cs="Cambria" w:eastAsia="Cambria" w:hAnsi="Cambria"/>
          <w:color w:val="111111"/>
          <w:sz w:val="22"/>
          <w:szCs w:val="22"/>
        </w:rPr>
        <w:t xml:space="preserve">[118, 140]</w:t>
      </w:r>
      <w:r>
        <w:rPr>
          <w:rFonts w:ascii="Cambria" w:cs="Cambria" w:eastAsia="Cambria" w:hAnsi="Cambria"/>
          <w:color w:val="111111"/>
          <w:sz w:val="22"/>
          <w:szCs w:val="22"/>
        </w:rPr>
        <w:t xml:space="preserve"> establishes that people apply social scripts to computers mindlessly, cued by superficial social signals. Every result in that literature studies a </w:t>
      </w:r>
      <w:r>
        <w:rPr>
          <w:rFonts w:ascii="Cambria" w:cs="Cambria" w:eastAsia="Cambria" w:hAnsi="Cambria"/>
          <w:i/>
          <w:iCs/>
          <w:color w:val="111111"/>
          <w:sz w:val="22"/>
          <w:szCs w:val="22"/>
        </w:rPr>
        <w:t xml:space="preserve">singular</w:t>
      </w:r>
      <w:r>
        <w:rPr>
          <w:rFonts w:ascii="Cambria" w:cs="Cambria" w:eastAsia="Cambria" w:hAnsi="Cambria"/>
          <w:color w:val="111111"/>
          <w:sz w:val="22"/>
          <w:szCs w:val="22"/>
        </w:rPr>
        <w:t xml:space="preserve"> machine. Our system is a council: seven scoped specialists with different competences, different permissions, and different names.</w:t>
      </w:r>
    </w:p>
    <w:p>
      <w:pPr>
        <w:spacing w:after="140" w:before="0" w:line="300" w:lineRule="auto"/>
        <w:jc w:val="both"/>
      </w:pPr>
      <w:r>
        <w:rPr>
          <w:rFonts w:ascii="Cambria" w:cs="Cambria" w:eastAsia="Cambria" w:hAnsi="Cambria"/>
          <w:color w:val="111111"/>
          <w:sz w:val="22"/>
          <w:szCs w:val="22"/>
        </w:rPr>
        <w:t xml:space="preserve">We conjecture that plurality changes the social frame in a way the CASA literature has not examined — that a user interacting with a </w:t>
      </w:r>
      <w:r>
        <w:rPr>
          <w:rFonts w:ascii="Cambria" w:cs="Cambria" w:eastAsia="Cambria" w:hAnsi="Cambria"/>
          <w:i/>
          <w:iCs/>
          <w:color w:val="111111"/>
          <w:sz w:val="22"/>
          <w:szCs w:val="22"/>
        </w:rPr>
        <w:t xml:space="preserve">division</w:t>
      </w:r>
      <w:r>
        <w:rPr>
          <w:rFonts w:ascii="Cambria" w:cs="Cambria" w:eastAsia="Cambria" w:hAnsi="Cambria"/>
          <w:color w:val="111111"/>
          <w:sz w:val="22"/>
          <w:szCs w:val="22"/>
        </w:rPr>
        <w:t xml:space="preserve"> rather than an </w:t>
      </w:r>
      <w:r>
        <w:rPr>
          <w:rFonts w:ascii="Cambria" w:cs="Cambria" w:eastAsia="Cambria" w:hAnsi="Cambria"/>
          <w:i/>
          <w:iCs/>
          <w:color w:val="111111"/>
          <w:sz w:val="22"/>
          <w:szCs w:val="22"/>
        </w:rPr>
        <w:t xml:space="preserve">assistant</w:t>
      </w:r>
      <w:r>
        <w:rPr>
          <w:rFonts w:ascii="Cambria" w:cs="Cambria" w:eastAsia="Cambria" w:hAnsi="Cambria"/>
          <w:color w:val="111111"/>
          <w:sz w:val="22"/>
          <w:szCs w:val="22"/>
        </w:rPr>
        <w:t xml:space="preserve"> imports organizational scripts rather than interpersonal ones, and that organizational scripts carry more appropriate default skepticism. One does not expect the accounting department to be omniscient about logistics. If this is right, plurality is a mild trust-calibration affordance obtained for free. If it is wrong, plurality merely multiplies the surfaces at which anthropomorphism </w:t>
      </w:r>
      <w:r>
        <w:rPr>
          <w:rFonts w:ascii="Cambria" w:cs="Cambria" w:eastAsia="Cambria" w:hAnsi="Cambria"/>
          <w:color w:val="111111"/>
          <w:sz w:val="22"/>
          <w:szCs w:val="22"/>
        </w:rPr>
        <w:t xml:space="preserve">[41]</w:t>
      </w:r>
      <w:r>
        <w:rPr>
          <w:rFonts w:ascii="Cambria" w:cs="Cambria" w:eastAsia="Cambria" w:hAnsi="Cambria"/>
          <w:color w:val="111111"/>
          <w:sz w:val="22"/>
          <w:szCs w:val="22"/>
        </w:rPr>
        <w:t xml:space="preserve"> can attach. We do not know which, and the Godspeed instruments </w:t>
      </w:r>
      <w:r>
        <w:rPr>
          <w:rFonts w:ascii="Cambria" w:cs="Cambria" w:eastAsia="Cambria" w:hAnsi="Cambria"/>
          <w:color w:val="111111"/>
          <w:sz w:val="22"/>
          <w:szCs w:val="22"/>
        </w:rPr>
        <w:t xml:space="preserve">[12]</w:t>
      </w:r>
      <w:r>
        <w:rPr>
          <w:rFonts w:ascii="Cambria" w:cs="Cambria" w:eastAsia="Cambria" w:hAnsi="Cambria"/>
          <w:color w:val="111111"/>
          <w:sz w:val="22"/>
          <w:szCs w:val="22"/>
        </w:rPr>
        <w:t xml:space="preserve"> would have told us.</w:t>
      </w:r>
    </w:p>
    <w:p>
      <w:pPr>
        <w:pStyle w:val="Heading3"/>
      </w:pPr>
      <w:r>
        <w:t xml:space="preserve">6.5.2 Ownership of memory is the largest interaction difference</w:t>
      </w:r>
    </w:p>
    <w:p>
      <w:pPr>
        <w:spacing w:after="140" w:before="0" w:line="300" w:lineRule="auto"/>
        <w:jc w:val="both"/>
      </w:pPr>
      <w:r>
        <w:rPr>
          <w:rFonts w:ascii="Cambria" w:cs="Cambria" w:eastAsia="Cambria" w:hAnsi="Cambria"/>
          <w:color w:val="111111"/>
          <w:sz w:val="22"/>
          <w:szCs w:val="22"/>
        </w:rPr>
        <w:t xml:space="preserve">The HMI literature on trust </w:t>
      </w:r>
      <w:r>
        <w:rPr>
          <w:rFonts w:ascii="Cambria" w:cs="Cambria" w:eastAsia="Cambria" w:hAnsi="Cambria"/>
          <w:color w:val="111111"/>
          <w:sz w:val="22"/>
          <w:szCs w:val="22"/>
        </w:rPr>
        <w:t xml:space="preserve">[89, 116, 129]</w:t>
      </w:r>
      <w:r>
        <w:rPr>
          <w:rFonts w:ascii="Cambria" w:cs="Cambria" w:eastAsia="Cambria" w:hAnsi="Cambria"/>
          <w:color w:val="111111"/>
          <w:sz w:val="22"/>
          <w:szCs w:val="22"/>
        </w:rPr>
        <w:t xml:space="preserve"> studies operators supervising automation they did not build and cannot inspect. That is the correct model for a cloud assistant and the wrong model for this system, in one specific respect: </w:t>
      </w:r>
      <w:r>
        <w:rPr>
          <w:rFonts w:ascii="Cambria" w:cs="Cambria" w:eastAsia="Cambria" w:hAnsi="Cambria"/>
          <w:i/>
          <w:iCs/>
          <w:color w:val="111111"/>
          <w:sz w:val="22"/>
          <w:szCs w:val="22"/>
        </w:rPr>
        <w:t xml:space="preserve">the user can read and edit what the machine remembers about them</w:t>
      </w:r>
      <w:r>
        <w:rPr>
          <w:rFonts w:ascii="Cambria" w:cs="Cambria" w:eastAsia="Cambria" w:hAnsi="Cambria"/>
          <w:color w:val="111111"/>
          <w:sz w:val="22"/>
          <w:szCs w:val="22"/>
        </w:rPr>
        <w:t xml:space="preserve">.</w:t>
      </w:r>
    </w:p>
    <w:p>
      <w:pPr>
        <w:spacing w:after="140" w:before="0" w:line="300" w:lineRule="auto"/>
        <w:jc w:val="both"/>
      </w:pPr>
      <w:r>
        <w:rPr>
          <w:rFonts w:ascii="Cambria" w:cs="Cambria" w:eastAsia="Cambria" w:hAnsi="Cambria"/>
          <w:color w:val="111111"/>
          <w:sz w:val="22"/>
          <w:szCs w:val="22"/>
        </w:rPr>
        <w:t xml:space="preserve">This has no analogue in the literature we surveyed. A user who can open a Postgres table and correct a false memory occupies a relationship to the machine that is neither operator-supervising-automation nor user-of-a-service. We suggest it is closer to </w:t>
      </w:r>
      <w:r>
        <w:rPr>
          <w:rFonts w:ascii="Cambria" w:cs="Cambria" w:eastAsia="Cambria" w:hAnsi="Cambria"/>
          <w:i/>
          <w:iCs/>
          <w:color w:val="111111"/>
          <w:sz w:val="22"/>
          <w:szCs w:val="22"/>
        </w:rPr>
        <w:t xml:space="preserve">custodianship</w:t>
      </w:r>
      <w:r>
        <w:rPr>
          <w:rFonts w:ascii="Cambria" w:cs="Cambria" w:eastAsia="Cambria" w:hAnsi="Cambria"/>
          <w:color w:val="111111"/>
          <w:sz w:val="22"/>
          <w:szCs w:val="22"/>
        </w:rPr>
        <w:t xml:space="preserve">, and that its interaction properties — does inspectability increase trust, or does the visible fallibility of the memory decrease it appropriately? — are an open and researchable question. Our prediction, from Lee and See's framework </w:t>
      </w:r>
      <w:r>
        <w:rPr>
          <w:rFonts w:ascii="Cambria" w:cs="Cambria" w:eastAsia="Cambria" w:hAnsi="Cambria"/>
          <w:color w:val="111111"/>
          <w:sz w:val="22"/>
          <w:szCs w:val="22"/>
        </w:rPr>
        <w:t xml:space="preserve">[89]</w:t>
      </w:r>
      <w:r>
        <w:rPr>
          <w:rFonts w:ascii="Cambria" w:cs="Cambria" w:eastAsia="Cambria" w:hAnsi="Cambria"/>
          <w:color w:val="111111"/>
          <w:sz w:val="22"/>
          <w:szCs w:val="22"/>
        </w:rPr>
        <w:t xml:space="preserve">), is that inspectability should improve calibration in both directions: users should trust a memory they have audited more, and trust an un-audited one less. That prediction is testable and we have not tested it.</w:t>
      </w:r>
    </w:p>
    <w:p>
      <w:pPr>
        <w:pStyle w:val="Heading3"/>
      </w:pPr>
      <w:r>
        <w:t xml:space="preserve">6.5.3 The embodied local agent is a trust-calibration hazard</w:t>
      </w:r>
    </w:p>
    <w:p>
      <w:pPr>
        <w:spacing w:after="140" w:before="0" w:line="300" w:lineRule="auto"/>
        <w:jc w:val="both"/>
      </w:pPr>
      <w:r>
        <w:rPr>
          <w:rFonts w:ascii="Cambria" w:cs="Cambria" w:eastAsia="Cambria" w:hAnsi="Cambria"/>
          <w:color w:val="111111"/>
          <w:sz w:val="22"/>
          <w:szCs w:val="22"/>
        </w:rPr>
        <w:t xml:space="preserve">This is the paper's most uncomfortable argument, and it cuts against our own artifact.</w:t>
      </w:r>
    </w:p>
    <w:p>
      <w:pPr>
        <w:spacing w:after="140" w:before="0" w:line="300" w:lineRule="auto"/>
        <w:jc w:val="both"/>
      </w:pPr>
      <w:r>
        <w:rPr>
          <w:rFonts w:ascii="Cambria" w:cs="Cambria" w:eastAsia="Cambria" w:hAnsi="Cambria"/>
          <w:color w:val="111111"/>
          <w:sz w:val="22"/>
          <w:szCs w:val="22"/>
        </w:rPr>
        <w:t xml:space="preserve">The holographic avatar (§3.5) is designed to make the system present: a face, a voice, sub-three-second turnaround. Every input the anthropomorphism literature </w:t>
      </w:r>
      <w:r>
        <w:rPr>
          <w:rFonts w:ascii="Cambria" w:cs="Cambria" w:eastAsia="Cambria" w:hAnsi="Cambria"/>
          <w:color w:val="111111"/>
          <w:sz w:val="22"/>
          <w:szCs w:val="22"/>
        </w:rPr>
        <w:t xml:space="preserve">[41]</w:t>
      </w:r>
      <w:r>
        <w:rPr>
          <w:rFonts w:ascii="Cambria" w:cs="Cambria" w:eastAsia="Cambria" w:hAnsi="Cambria"/>
          <w:color w:val="111111"/>
          <w:sz w:val="22"/>
          <w:szCs w:val="22"/>
        </w:rPr>
        <w:t xml:space="preserve"> identifies as intensifying social attribution is deliberately maximized. The Roesler meta-analysis </w:t>
      </w:r>
      <w:r>
        <w:rPr>
          <w:rFonts w:ascii="Cambria" w:cs="Cambria" w:eastAsia="Cambria" w:hAnsi="Cambria"/>
          <w:color w:val="111111"/>
          <w:sz w:val="22"/>
          <w:szCs w:val="22"/>
        </w:rPr>
        <w:t xml:space="preserve">[144]</w:t>
      </w:r>
      <w:r>
        <w:rPr>
          <w:rFonts w:ascii="Cambria" w:cs="Cambria" w:eastAsia="Cambria" w:hAnsi="Cambria"/>
          <w:color w:val="111111"/>
          <w:sz w:val="22"/>
          <w:szCs w:val="22"/>
        </w:rPr>
        <w:t xml:space="preserve"> finds a medium positive overall effect for anthropomorphism in HRI, which reads as support.</w:t>
      </w:r>
    </w:p>
    <w:p>
      <w:pPr>
        <w:spacing w:after="140" w:before="0" w:line="300" w:lineRule="auto"/>
        <w:jc w:val="both"/>
      </w:pPr>
      <w:r>
        <w:rPr>
          <w:rFonts w:ascii="Cambria" w:cs="Cambria" w:eastAsia="Cambria" w:hAnsi="Cambria"/>
          <w:color w:val="111111"/>
          <w:sz w:val="22"/>
          <w:szCs w:val="22"/>
        </w:rPr>
        <w:t xml:space="preserve">But the same meta-analysis finds </w:t>
      </w:r>
      <w:r>
        <w:rPr>
          <w:rFonts w:ascii="Cambria" w:cs="Cambria" w:eastAsia="Cambria" w:hAnsi="Cambria"/>
          <w:i/>
          <w:iCs/>
          <w:color w:val="111111"/>
          <w:sz w:val="22"/>
          <w:szCs w:val="22"/>
        </w:rPr>
        <w:t xml:space="preserve">no positive effect for perceived safety, empathy, or task performance</w:t>
      </w:r>
      <w:r>
        <w:rPr>
          <w:rFonts w:ascii="Cambria" w:cs="Cambria" w:eastAsia="Cambria" w:hAnsi="Cambria"/>
          <w:color w:val="111111"/>
          <w:sz w:val="22"/>
          <w:szCs w:val="22"/>
        </w:rPr>
        <w:t xml:space="preserve"> at the lowest variable level, with a considerable number of results pointing the opposite way </w:t>
      </w:r>
      <w:r>
        <w:rPr>
          <w:rFonts w:ascii="Cambria" w:cs="Cambria" w:eastAsia="Cambria" w:hAnsi="Cambria"/>
          <w:color w:val="111111"/>
          <w:sz w:val="22"/>
          <w:szCs w:val="22"/>
        </w:rPr>
        <w:t xml:space="preserve">[144]</w:t>
      </w:r>
      <w:r>
        <w:rPr>
          <w:rFonts w:ascii="Cambria" w:cs="Cambria" w:eastAsia="Cambria" w:hAnsi="Cambria"/>
          <w:color w:val="111111"/>
          <w:sz w:val="22"/>
          <w:szCs w:val="22"/>
        </w:rPr>
        <w:t xml:space="preserve">. Salem et al. </w:t>
      </w:r>
      <w:r>
        <w:rPr>
          <w:rFonts w:ascii="Cambria" w:cs="Cambria" w:eastAsia="Cambria" w:hAnsi="Cambria"/>
          <w:color w:val="111111"/>
          <w:sz w:val="22"/>
          <w:szCs w:val="22"/>
        </w:rPr>
        <w:t xml:space="preserve">[147]</w:t>
      </w:r>
      <w:r>
        <w:rPr>
          <w:rFonts w:ascii="Cambria" w:cs="Cambria" w:eastAsia="Cambria" w:hAnsi="Cambria"/>
          <w:color w:val="111111"/>
          <w:sz w:val="22"/>
          <w:szCs w:val="22"/>
        </w:rPr>
        <w:t xml:space="preserve"> show faulty robots retain trust. Robinette et al. </w:t>
      </w:r>
      <w:r>
        <w:rPr>
          <w:rFonts w:ascii="Cambria" w:cs="Cambria" w:eastAsia="Cambria" w:hAnsi="Cambria"/>
          <w:color w:val="111111"/>
          <w:sz w:val="22"/>
          <w:szCs w:val="22"/>
        </w:rPr>
        <w:t xml:space="preserve">[143]</w:t>
      </w:r>
      <w:r>
        <w:rPr>
          <w:rFonts w:ascii="Cambria" w:cs="Cambria" w:eastAsia="Cambria" w:hAnsi="Cambria"/>
          <w:color w:val="111111"/>
          <w:sz w:val="22"/>
          <w:szCs w:val="22"/>
        </w:rPr>
        <w:t xml:space="preserve"> show participants following a robot that had already failed them, in a simulated emergency, away from marked exits. Bansal et al. </w:t>
      </w:r>
      <w:r>
        <w:rPr>
          <w:rFonts w:ascii="Cambria" w:cs="Cambria" w:eastAsia="Cambria" w:hAnsi="Cambria"/>
          <w:color w:val="111111"/>
          <w:sz w:val="22"/>
          <w:szCs w:val="22"/>
        </w:rPr>
        <w:t xml:space="preserve">[11]</w:t>
      </w:r>
      <w:r>
        <w:rPr>
          <w:rFonts w:ascii="Cambria" w:cs="Cambria" w:eastAsia="Cambria" w:hAnsi="Cambria"/>
          <w:color w:val="111111"/>
          <w:sz w:val="22"/>
          <w:szCs w:val="22"/>
        </w:rPr>
        <w:t xml:space="preserve"> show explanations increasing reliance without increasing accuracy.</w:t>
      </w:r>
    </w:p>
    <w:p>
      <w:pPr>
        <w:spacing w:after="140" w:before="0" w:line="300" w:lineRule="auto"/>
        <w:jc w:val="both"/>
      </w:pPr>
      <w:r>
        <w:rPr>
          <w:rFonts w:ascii="Cambria" w:cs="Cambria" w:eastAsia="Cambria" w:hAnsi="Cambria"/>
          <w:color w:val="111111"/>
          <w:sz w:val="22"/>
          <w:szCs w:val="22"/>
        </w:rPr>
        <w:t xml:space="preserve">Now combine that with §5.2 and §7.1: our local model is </w:t>
      </w:r>
      <w:r>
        <w:rPr>
          <w:rFonts w:ascii="Cambria" w:cs="Cambria" w:eastAsia="Cambria" w:hAnsi="Cambria"/>
          <w:i/>
          <w:iCs/>
          <w:color w:val="111111"/>
          <w:sz w:val="22"/>
          <w:szCs w:val="22"/>
        </w:rPr>
        <w:t xml:space="preserve">less capable</w:t>
      </w:r>
      <w:r>
        <w:rPr>
          <w:rFonts w:ascii="Cambria" w:cs="Cambria" w:eastAsia="Cambria" w:hAnsi="Cambria"/>
          <w:color w:val="111111"/>
          <w:sz w:val="22"/>
          <w:szCs w:val="22"/>
        </w:rPr>
        <w:t xml:space="preserve"> than a frontier cloud model. So the design gives the least capable configuration the most persuasive interface. The literature's prediction is unambiguous and unflattering: this should produce over-trust, and over-trust is most dangerous precisely where competence is lowest.</w:t>
      </w:r>
    </w:p>
    <w:p>
      <w:pPr>
        <w:spacing w:after="140" w:before="0" w:line="300" w:lineRule="auto"/>
        <w:jc w:val="both"/>
      </w:pPr>
      <w:r>
        <w:rPr>
          <w:rFonts w:ascii="Cambria" w:cs="Cambria" w:eastAsia="Cambria" w:hAnsi="Cambria"/>
          <w:color w:val="111111"/>
          <w:sz w:val="22"/>
          <w:szCs w:val="22"/>
        </w:rPr>
        <w:t xml:space="preserve">We therefore reframe the avatar, in this paper, as a research question rather than a feature: </w:t>
      </w:r>
      <w:r>
        <w:rPr>
          <w:rFonts w:ascii="Cambria" w:cs="Cambria" w:eastAsia="Cambria" w:hAnsi="Cambria"/>
          <w:i/>
          <w:iCs/>
          <w:color w:val="111111"/>
          <w:sz w:val="22"/>
          <w:szCs w:val="22"/>
        </w:rPr>
        <w:t xml:space="preserve">does embodiment miscalibrate trust more when the underlying model is weaker?</w:t>
      </w:r>
      <w:r>
        <w:rPr>
          <w:rFonts w:ascii="Cambria" w:cs="Cambria" w:eastAsia="Cambria" w:hAnsi="Cambria"/>
          <w:color w:val="111111"/>
          <w:sz w:val="22"/>
          <w:szCs w:val="22"/>
        </w:rPr>
        <w:t xml:space="preserve"> The voice-interface literature </w:t>
      </w:r>
      <w:r>
        <w:rPr>
          <w:rFonts w:ascii="Cambria" w:cs="Cambria" w:eastAsia="Cambria" w:hAnsi="Cambria"/>
          <w:color w:val="111111"/>
          <w:sz w:val="22"/>
          <w:szCs w:val="22"/>
        </w:rPr>
        <w:t xml:space="preserve">[24, 101, 136]</w:t>
      </w:r>
      <w:r>
        <w:rPr>
          <w:rFonts w:ascii="Cambria" w:cs="Cambria" w:eastAsia="Cambria" w:hAnsi="Cambria"/>
          <w:color w:val="111111"/>
          <w:sz w:val="22"/>
          <w:szCs w:val="22"/>
        </w:rPr>
        <w:t xml:space="preserve"> suggests users already over-expect from conversational agents; adding a face plausibly worsens it. The mitigation we can defend is the honest ceiling (§6.2): if the interface is persuasive, the constraint must be legible, and the system must say which model is loaded. An avatar that cannot state its own model size is an over-trust machine.</w:t>
      </w:r>
    </w:p>
    <w:p>
      <w:pPr>
        <w:pStyle w:val="Heading3"/>
      </w:pPr>
      <w:r>
        <w:t xml:space="preserve">6.5.4 Calm computing and the fleet</w:t>
      </w:r>
    </w:p>
    <w:p>
      <w:pPr>
        <w:spacing w:after="140" w:before="0" w:line="300" w:lineRule="auto"/>
        <w:jc w:val="both"/>
      </w:pPr>
      <w:r>
        <w:rPr>
          <w:rFonts w:ascii="Cambria" w:cs="Cambria" w:eastAsia="Cambria" w:hAnsi="Cambria"/>
          <w:color w:val="111111"/>
          <w:sz w:val="22"/>
          <w:szCs w:val="22"/>
        </w:rPr>
        <w:t xml:space="preserve">Weiser's vision </w:t>
      </w:r>
      <w:r>
        <w:rPr>
          <w:rFonts w:ascii="Cambria" w:cs="Cambria" w:eastAsia="Cambria" w:hAnsi="Cambria"/>
          <w:color w:val="111111"/>
          <w:sz w:val="22"/>
          <w:szCs w:val="22"/>
        </w:rPr>
        <w:t xml:space="preserve">[172, 173]</w:t>
      </w:r>
      <w:r>
        <w:rPr>
          <w:rFonts w:ascii="Cambria" w:cs="Cambria" w:eastAsia="Cambria" w:hAnsi="Cambria"/>
          <w:color w:val="111111"/>
          <w:sz w:val="22"/>
          <w:szCs w:val="22"/>
        </w:rPr>
        <w:t xml:space="preserve"> of technology that recedes into the periphery is the fleet's aspiration and, we suspect, its most likely failure. A quadruped, a drone, and a hologram are not calm; they are attention-demanding by construction. Weiser's criterion — that technology informs without demanding focus — is met better by the offline corpus, which is invisible, than by any embodied node. We note this as an unresolved tension in our own design rather than resolving it.</w:t>
      </w:r>
    </w:p>
    <w:p>
      <w:pPr>
        <w:pStyle w:val="Heading2"/>
      </w:pPr>
      <w:r>
        <w:t xml:space="preserve">6.6 What Locality Actually Changes</w:t>
      </w:r>
    </w:p>
    <w:p>
      <w:pPr>
        <w:spacing w:after="140" w:before="0" w:line="300" w:lineRule="auto"/>
        <w:jc w:val="both"/>
      </w:pPr>
      <w:r>
        <w:rPr>
          <w:rFonts w:ascii="Cambria" w:cs="Cambria" w:eastAsia="Cambria" w:hAnsi="Cambria"/>
          <w:color w:val="111111"/>
          <w:sz w:val="22"/>
          <w:szCs w:val="22"/>
        </w:rPr>
        <w:t xml:space="preserve">Synthesizing: locality changes four things, and only one of them is capability.</w:t>
      </w:r>
    </w:p>
    <w:p>
      <w:pPr>
        <w:pStyle w:val="ListParagraph"/>
        <w:numPr>
          <w:ilvl w:val="0"/>
          <w:numId w:val="3"/>
        </w:numPr>
        <w:spacing w:after="80" w:line="290" w:lineRule="auto"/>
      </w:pPr>
      <w:r>
        <w:rPr>
          <w:rFonts w:ascii="Cambria" w:cs="Cambria" w:eastAsia="Cambria" w:hAnsi="Cambria"/>
          <w:b/>
          <w:bCs/>
          <w:color w:val="111111"/>
          <w:sz w:val="22"/>
          <w:szCs w:val="22"/>
        </w:rPr>
        <w:t xml:space="preserve">Ownership semantics. </w:t>
      </w:r>
      <w:r>
        <w:rPr>
          <w:rFonts w:ascii="Cambria" w:cs="Cambria" w:eastAsia="Cambria" w:hAnsi="Cambria"/>
          <w:color w:val="111111"/>
          <w:sz w:val="22"/>
          <w:szCs w:val="22"/>
        </w:rPr>
        <w:t xml:space="preserve">Weights, memory, and behavioral records are files under an owned key. This is a categorical change, not a quantitative one.</w:t>
      </w:r>
    </w:p>
    <w:p>
      <w:pPr>
        <w:pStyle w:val="ListParagraph"/>
        <w:numPr>
          <w:ilvl w:val="0"/>
          <w:numId w:val="3"/>
        </w:numPr>
        <w:spacing w:after="80" w:line="290" w:lineRule="auto"/>
      </w:pPr>
      <w:r>
        <w:rPr>
          <w:rFonts w:ascii="Cambria" w:cs="Cambria" w:eastAsia="Cambria" w:hAnsi="Cambria"/>
          <w:b/>
          <w:bCs/>
          <w:color w:val="111111"/>
          <w:sz w:val="22"/>
          <w:szCs w:val="22"/>
        </w:rPr>
        <w:t xml:space="preserve">Constraint legibility. </w:t>
      </w:r>
      <w:r>
        <w:rPr>
          <w:rFonts w:ascii="Cambria" w:cs="Cambria" w:eastAsia="Cambria" w:hAnsi="Cambria"/>
          <w:color w:val="111111"/>
          <w:sz w:val="22"/>
          <w:szCs w:val="22"/>
        </w:rPr>
        <w:t xml:space="preserve">The ceiling is arithmetic the user can compute (§6.2), which is a trust affordance rented intelligence structurally cannot offer.</w:t>
      </w:r>
    </w:p>
    <w:p>
      <w:pPr>
        <w:pStyle w:val="ListParagraph"/>
        <w:numPr>
          <w:ilvl w:val="0"/>
          <w:numId w:val="3"/>
        </w:numPr>
        <w:spacing w:after="80" w:line="290" w:lineRule="auto"/>
      </w:pPr>
      <w:r>
        <w:rPr>
          <w:rFonts w:ascii="Cambria" w:cs="Cambria" w:eastAsia="Cambria" w:hAnsi="Cambria"/>
          <w:b/>
          <w:bCs/>
          <w:color w:val="111111"/>
          <w:sz w:val="22"/>
          <w:szCs w:val="22"/>
        </w:rPr>
        <w:t xml:space="preserve">Failure locality. </w:t>
      </w:r>
      <w:r>
        <w:rPr>
          <w:rFonts w:ascii="Cambria" w:cs="Cambria" w:eastAsia="Cambria" w:hAnsi="Cambria"/>
          <w:color w:val="111111"/>
          <w:sz w:val="22"/>
          <w:szCs w:val="22"/>
        </w:rPr>
        <w:t xml:space="preserve">When it breaks, it is broken here, and the user can fix it. Cloud failures are weather.</w:t>
      </w:r>
    </w:p>
    <w:p>
      <w:pPr>
        <w:pStyle w:val="ListParagraph"/>
        <w:numPr>
          <w:ilvl w:val="0"/>
          <w:numId w:val="3"/>
        </w:numPr>
        <w:spacing w:after="80" w:line="290" w:lineRule="auto"/>
      </w:pPr>
      <w:r>
        <w:rPr>
          <w:rFonts w:ascii="Cambria" w:cs="Cambria" w:eastAsia="Cambria" w:hAnsi="Cambria"/>
          <w:b/>
          <w:bCs/>
          <w:color w:val="111111"/>
          <w:sz w:val="22"/>
          <w:szCs w:val="22"/>
        </w:rPr>
        <w:t xml:space="preserve">Capability. </w:t>
      </w:r>
      <w:r>
        <w:rPr>
          <w:rFonts w:ascii="Cambria" w:cs="Cambria" w:eastAsia="Cambria" w:hAnsi="Cambria"/>
          <w:color w:val="111111"/>
          <w:sz w:val="22"/>
          <w:szCs w:val="22"/>
        </w:rPr>
        <w:t xml:space="preserve">Lower. Measurably (§7.1). This is the price.</w:t>
      </w:r>
    </w:p>
    <w:p>
      <w:pPr>
        <w:spacing w:after="140" w:before="0" w:line="300" w:lineRule="auto"/>
        <w:jc w:val="both"/>
      </w:pPr>
      <w:r>
        <w:rPr>
          <w:rFonts w:ascii="Cambria" w:cs="Cambria" w:eastAsia="Cambria" w:hAnsi="Cambria"/>
          <w:color w:val="111111"/>
          <w:sz w:val="22"/>
          <w:szCs w:val="22"/>
        </w:rPr>
        <w:t xml:space="preserve">The thesis of this paper is precisely that the first three are worth the fourth </w:t>
      </w:r>
      <w:r>
        <w:rPr>
          <w:rFonts w:ascii="Cambria" w:cs="Cambria" w:eastAsia="Cambria" w:hAnsi="Cambria"/>
          <w:i/>
          <w:iCs/>
          <w:color w:val="111111"/>
          <w:sz w:val="22"/>
          <w:szCs w:val="22"/>
        </w:rPr>
        <w:t xml:space="preserve">for some users and some tasks</w:t>
      </w:r>
      <w:r>
        <w:rPr>
          <w:rFonts w:ascii="Cambria" w:cs="Cambria" w:eastAsia="Cambria" w:hAnsi="Cambria"/>
          <w:color w:val="111111"/>
          <w:sz w:val="22"/>
          <w:szCs w:val="22"/>
        </w:rPr>
        <w:t xml:space="preserve">, and that the tradeoff is a real design point rather than a compromise or a superiority claim. A user for whom capability dominates should rent. A user for whom ownership, legibility, or continuity dominates has, as of 2026, a genuine alternative that did not exist in 2022. That is the finding.</w:t>
      </w:r>
    </w:p>
    <w:p>
      <w:pPr>
        <w:pStyle w:val="Heading2"/>
      </w:pPr>
      <w:r>
        <w:t xml:space="preserve">6.7 Alternatives We Rejected, and Why</w:t>
      </w:r>
    </w:p>
    <w:p>
      <w:pPr>
        <w:spacing w:after="140" w:before="0" w:line="300" w:lineRule="auto"/>
        <w:jc w:val="both"/>
      </w:pPr>
      <w:r>
        <w:rPr>
          <w:rFonts w:ascii="Cambria" w:cs="Cambria" w:eastAsia="Cambria" w:hAnsi="Cambria"/>
          <w:color w:val="111111"/>
          <w:sz w:val="22"/>
          <w:szCs w:val="22"/>
        </w:rPr>
        <w:t xml:space="preserve">A design-science paper owes an account of the alternatives </w:t>
      </w:r>
      <w:r>
        <w:rPr>
          <w:rFonts w:ascii="Cambria" w:cs="Cambria" w:eastAsia="Cambria" w:hAnsi="Cambria"/>
          <w:color w:val="111111"/>
          <w:sz w:val="22"/>
          <w:szCs w:val="22"/>
        </w:rPr>
        <w:t xml:space="preserve">[61]</w:t>
      </w:r>
      <w:r>
        <w:rPr>
          <w:rFonts w:ascii="Cambria" w:cs="Cambria" w:eastAsia="Cambria" w:hAnsi="Cambria"/>
          <w:color w:val="111111"/>
          <w:sz w:val="22"/>
          <w:szCs w:val="22"/>
        </w:rPr>
        <w:t xml:space="preserve">), because a search process that considered one option is not a search. Four alternatives were live, and three of them are better than ours on at least one axis.</w:t>
      </w:r>
    </w:p>
    <w:p>
      <w:pPr>
        <w:spacing w:after="60"/>
      </w:pPr>
      <w:r>
        <w:rPr>
          <w:rFonts w:ascii="Cambria" w:cs="Cambria" w:eastAsia="Cambria" w:hAnsi="Cambria"/>
          <w:color w:val="111111"/>
          <w:sz w:val="22"/>
          <w:szCs w:val="22"/>
        </w:rPr>
        <w:t xml:space="preserve"/>
      </w:r>
    </w:p>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2200"/>
        <w:gridCol w:w="2700"/>
        <w:gridCol w:w="5460"/>
      </w:tblGrid>
      <w:tr>
        <w:trPr>
          <w:tblHeader/>
        </w:trPr>
        <w:tc>
          <w:tcPr>
            <w:tcW w:type="dxa" w:w="22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Alternative</w:t>
            </w:r>
          </w:p>
        </w:tc>
        <w:tc>
          <w:tcPr>
            <w:tcW w:type="dxa" w:w="27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Better than ours at</w:t>
            </w:r>
          </w:p>
        </w:tc>
        <w:tc>
          <w:tcPr>
            <w:tcW w:type="dxa" w:w="54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Why rejected</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Rent a frontier API</w:t>
            </w:r>
          </w:p>
        </w:tc>
        <w:tc>
          <w:tcPr>
            <w:tcW w:type="dxa" w:w="2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Capability, cost-to-start, zero maintenance</w:t>
            </w:r>
          </w:p>
        </w:tc>
        <w:tc>
          <w:tcPr>
            <w:tcW w:type="dxa" w:w="54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Fails criterion 1 outright. The memory, the weights, and the behavioral record live on someone else's hardware under someone else's terms. This is the arrangement the project exists to test an alternative to — rejecting it is the premise, not a finding.</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Rent a cloud GPU (e.g. hourly A100)</w:t>
            </w:r>
          </w:p>
        </w:tc>
        <w:tc>
          <w:tcPr>
            <w:tcW w:type="dxa" w:w="2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Capability, no capex, runs any model</w:t>
            </w:r>
          </w:p>
        </w:tc>
        <w:tc>
          <w:tcPr>
            <w:tcW w:type="dxa" w:w="54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Weights are yours; the machine is not. Sovereignty over the model without sovereignty over the substrate is a weaker property than it appears: the instance is revocable, metered, and network-dependent. Fails criterion 1 on the substrate and criterion 3 entirely (nothing to game on).</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Mac Studio, 128 GB unified</w:t>
            </w:r>
          </w:p>
        </w:tc>
        <w:tc>
          <w:tcPr>
            <w:tcW w:type="dxa" w:w="2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Capability — decisively. More memory means larger models and a genuinely higher ceiling.</w:t>
            </w:r>
          </w:p>
        </w:tc>
        <w:tc>
          <w:tcPr>
            <w:tcW w:type="dxa" w:w="54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This is the honest one: it would raise the ceiling of Table 4 substantially. Rejected on cost and on the second-job constraint (§3.8) — the machine must also run Windows-only software. A reader for whom neither binds should probably buy the Mac. We say so plainly.</w:t>
            </w:r>
          </w:p>
        </w:tc>
      </w:tr>
      <w:tr>
        <w:tc>
          <w:tcPr>
            <w:tcW w:type="dxa" w:w="22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Desktop tower + discrete NVIDIA GPU</w:t>
            </w:r>
          </w:p>
        </w:tc>
        <w:tc>
          <w:tcPr>
            <w:tcW w:type="dxa" w:w="27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Capability, CUDA ecosystem, upgradeable, no Vulkan-only constraint</w:t>
            </w:r>
          </w:p>
        </w:tc>
        <w:tc>
          <w:tcPr>
            <w:tcW w:type="dxa" w:w="54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strongest technical alternative and the one we would recommend to most people. Rejected on form factor, power, and portability constraints specific to the author's situation — which is a personal constraint, not a research finding, and we decline to dress it as one.</w:t>
            </w:r>
          </w:p>
        </w:tc>
      </w:tr>
    </w:tbl>
    <w:p>
      <w:pPr>
        <w:spacing w:after="200" w:before="60" w:line="260" w:lineRule="auto"/>
        <w:jc w:val="left"/>
      </w:pPr>
      <w:r>
        <w:rPr>
          <w:rFonts w:ascii="Cambria" w:cs="Cambria" w:eastAsia="Cambria" w:hAnsi="Cambria"/>
          <w:i/>
          <w:iCs/>
          <w:color w:val="6E6E6E"/>
          <w:sz w:val="19"/>
          <w:szCs w:val="19"/>
        </w:rPr>
        <w:t xml:space="preserve">Table 6. Alternatives considered. Two of the four are better than the chosen design on capability, and one of those — the discrete-GPU tower — we would recommend over our own configuration to most readers.</w:t>
      </w:r>
    </w:p>
    <w:p>
      <w:pPr>
        <w:spacing w:after="140" w:before="0" w:line="300" w:lineRule="auto"/>
        <w:jc w:val="both"/>
      </w:pPr>
      <w:r>
        <w:rPr>
          <w:rFonts w:ascii="Cambria" w:cs="Cambria" w:eastAsia="Cambria" w:hAnsi="Cambria"/>
          <w:color w:val="111111"/>
          <w:sz w:val="22"/>
          <w:szCs w:val="22"/>
        </w:rPr>
        <w:t xml:space="preserve">The honest reading of this table is that our hardware choice is not the paper's contribution and should not be mistaken for one. The EVO-X1 is a </w:t>
      </w:r>
      <w:r>
        <w:rPr>
          <w:rFonts w:ascii="Cambria" w:cs="Cambria" w:eastAsia="Cambria" w:hAnsi="Cambria"/>
          <w:i/>
          <w:iCs/>
          <w:color w:val="111111"/>
          <w:sz w:val="22"/>
          <w:szCs w:val="22"/>
        </w:rPr>
        <w:t xml:space="preserve">constraint</w:t>
      </w:r>
      <w:r>
        <w:rPr>
          <w:rFonts w:ascii="Cambria" w:cs="Cambria" w:eastAsia="Cambria" w:hAnsi="Cambria"/>
          <w:color w:val="111111"/>
          <w:sz w:val="22"/>
          <w:szCs w:val="22"/>
        </w:rPr>
        <w:t xml:space="preserve">, not a recommendation. Its value to this research is precisely that it is tight: 32 GB and no ROCm forced the two-mode doctrine and the honest ceiling into existence, and those patterns are what generalize. A researcher with 128 GB would have built something more capable and learned less about what happens when the arithmetic does not close. That is a real methodological benefit of a constrained artifact and it is also, transparently, a rationalization of a budget. Both are true.</w:t>
      </w:r>
    </w:p>
    <w:p>
      <w:pPr>
        <w:pStyle w:val="Heading2"/>
      </w:pPr>
      <w:r>
        <w:t xml:space="preserve">6.8 The Council and the Orchestration Turn</w:t>
      </w:r>
    </w:p>
    <w:p>
      <w:pPr>
        <w:spacing w:after="140" w:before="0" w:line="300" w:lineRule="auto"/>
        <w:jc w:val="both"/>
      </w:pPr>
      <w:r>
        <w:rPr>
          <w:rFonts w:ascii="Cambria" w:cs="Cambria" w:eastAsia="Cambria" w:hAnsi="Cambria"/>
          <w:color w:val="111111"/>
          <w:sz w:val="22"/>
          <w:szCs w:val="22"/>
        </w:rPr>
        <w:t xml:space="preserve">The most important thing to happen to this paper's thesis between drafts was not a hardware release. It was the realization that the wider field converged, over 2025–2026, on the architecture the Council was already built around — and that this convergence reframes what the artifact contributes.</w:t>
      </w:r>
    </w:p>
    <w:p>
      <w:pPr>
        <w:spacing w:after="140" w:before="0" w:line="300" w:lineRule="auto"/>
        <w:jc w:val="both"/>
      </w:pPr>
      <w:r>
        <w:rPr>
          <w:rFonts w:ascii="Cambria" w:cs="Cambria" w:eastAsia="Cambria" w:hAnsi="Cambria"/>
          <w:color w:val="111111"/>
          <w:sz w:val="22"/>
          <w:szCs w:val="22"/>
        </w:rPr>
        <w:t xml:space="preserve">When ClawMaxxing was designed, a council of scoped specialists reporting to a supervisor was a hobbyist's answer to a hardware problem: no single small model was good enough, so route to several. The multi-agent literature </w:t>
      </w:r>
      <w:r>
        <w:rPr>
          <w:rFonts w:ascii="Cambria" w:cs="Cambria" w:eastAsia="Cambria" w:hAnsi="Cambria"/>
          <w:color w:val="111111"/>
          <w:sz w:val="22"/>
          <w:szCs w:val="22"/>
        </w:rPr>
        <w:t xml:space="preserve">[66, 131, 175]</w:t>
      </w:r>
      <w:r>
        <w:rPr>
          <w:rFonts w:ascii="Cambria" w:cs="Cambria" w:eastAsia="Cambria" w:hAnsi="Cambria"/>
          <w:color w:val="111111"/>
          <w:sz w:val="22"/>
          <w:szCs w:val="22"/>
        </w:rPr>
        <w:t xml:space="preserve"> supported the pattern but framed it as one option among many. By mid-2026 it is no longer one option. Learned orchestration has become a distinct and productized frontier strategy. Mixture-of-Agents showed coordination is a capability lever independent of scale </w:t>
      </w:r>
      <w:r>
        <w:rPr>
          <w:rFonts w:ascii="Cambria" w:cs="Cambria" w:eastAsia="Cambria" w:hAnsi="Cambria"/>
          <w:color w:val="111111"/>
          <w:sz w:val="22"/>
          <w:szCs w:val="22"/>
        </w:rPr>
        <w:t xml:space="preserve">[169]</w:t>
      </w:r>
      <w:r>
        <w:rPr>
          <w:rFonts w:ascii="Cambria" w:cs="Cambria" w:eastAsia="Cambria" w:hAnsi="Cambria"/>
          <w:color w:val="111111"/>
          <w:sz w:val="22"/>
          <w:szCs w:val="22"/>
        </w:rPr>
        <w:t xml:space="preserve">; RouteLLM showed learned routing recovers most of a strong model's quality at a fraction of its cost </w:t>
      </w:r>
      <w:r>
        <w:rPr>
          <w:rFonts w:ascii="Cambria" w:cs="Cambria" w:eastAsia="Cambria" w:hAnsi="Cambria"/>
          <w:color w:val="111111"/>
          <w:sz w:val="22"/>
          <w:szCs w:val="22"/>
        </w:rPr>
        <w:t xml:space="preserve">[124]</w:t>
      </w:r>
      <w:r>
        <w:rPr>
          <w:rFonts w:ascii="Cambria" w:cs="Cambria" w:eastAsia="Cambria" w:hAnsi="Cambria"/>
          <w:color w:val="111111"/>
          <w:sz w:val="22"/>
          <w:szCs w:val="22"/>
        </w:rPr>
        <w:t xml:space="preserve">; and the frontier labs now ship orchestration as a headline feature — GPT-5.6's “ultra” mode coordinates agents across parallel workstreams </w:t>
      </w:r>
      <w:r>
        <w:rPr>
          <w:rFonts w:ascii="Cambria" w:cs="Cambria" w:eastAsia="Cambria" w:hAnsi="Cambria"/>
          <w:color w:val="111111"/>
          <w:sz w:val="22"/>
          <w:szCs w:val="22"/>
        </w:rPr>
        <w:t xml:space="preserve">[125]</w:t>
      </w:r>
      <w:r>
        <w:rPr>
          <w:rFonts w:ascii="Cambria" w:cs="Cambria" w:eastAsia="Cambria" w:hAnsi="Cambria"/>
          <w:color w:val="111111"/>
          <w:sz w:val="22"/>
          <w:szCs w:val="22"/>
        </w:rPr>
        <w:t xml:space="preserve">), Meta's Muse Spark advertises a “Contemplating” mode that runs multiple agents reasoning in parallel </w:t>
      </w:r>
      <w:r>
        <w:rPr>
          <w:rFonts w:ascii="Cambria" w:cs="Cambria" w:eastAsia="Cambria" w:hAnsi="Cambria"/>
          <w:color w:val="111111"/>
          <w:sz w:val="22"/>
          <w:szCs w:val="22"/>
        </w:rPr>
        <w:t xml:space="preserve">[110]</w:t>
      </w:r>
      <w:r>
        <w:rPr>
          <w:rFonts w:ascii="Cambria" w:cs="Cambria" w:eastAsia="Cambria" w:hAnsi="Cambria"/>
          <w:color w:val="111111"/>
          <w:sz w:val="22"/>
          <w:szCs w:val="22"/>
        </w:rPr>
        <w:t xml:space="preserve">), and Grok and Kimi ship analogous multi-agent modes </w:t>
      </w:r>
      <w:r>
        <w:rPr>
          <w:rFonts w:ascii="Cambria" w:cs="Cambria" w:eastAsia="Cambria" w:hAnsi="Cambria"/>
          <w:color w:val="111111"/>
          <w:sz w:val="22"/>
          <w:szCs w:val="22"/>
        </w:rPr>
        <w:t xml:space="preserve">[113, 176]</w:t>
      </w:r>
      <w:r>
        <w:rPr>
          <w:rFonts w:ascii="Cambria" w:cs="Cambria" w:eastAsia="Cambria" w:hAnsi="Cambria"/>
          <w:color w:val="111111"/>
          <w:sz w:val="22"/>
          <w:szCs w:val="22"/>
        </w:rPr>
        <w:t xml:space="preserve">. The single most direct parallel is Sakana Fugu </w:t>
      </w:r>
      <w:r>
        <w:rPr>
          <w:rFonts w:ascii="Cambria" w:cs="Cambria" w:eastAsia="Cambria" w:hAnsi="Cambria"/>
          <w:color w:val="111111"/>
          <w:sz w:val="22"/>
          <w:szCs w:val="22"/>
        </w:rPr>
        <w:t xml:space="preserve">[47]</w:t>
      </w:r>
      <w:r>
        <w:rPr>
          <w:rFonts w:ascii="Cambria" w:cs="Cambria" w:eastAsia="Cambria" w:hAnsi="Cambria"/>
          <w:color w:val="111111"/>
          <w:sz w:val="22"/>
          <w:szCs w:val="22"/>
        </w:rPr>
        <w:t xml:space="preserve">): a system that is </w:t>
      </w:r>
      <w:r>
        <w:rPr>
          <w:rFonts w:ascii="Cambria" w:cs="Cambria" w:eastAsia="Cambria" w:hAnsi="Cambria"/>
          <w:i/>
          <w:iCs/>
          <w:color w:val="111111"/>
          <w:sz w:val="22"/>
          <w:szCs w:val="22"/>
        </w:rPr>
        <w:t xml:space="preserve">itself a model trained to orchestrate other models</w:t>
      </w:r>
      <w:r>
        <w:rPr>
          <w:rFonts w:ascii="Cambria" w:cs="Cambria" w:eastAsia="Cambria" w:hAnsi="Cambria"/>
          <w:color w:val="111111"/>
          <w:sz w:val="22"/>
          <w:szCs w:val="22"/>
        </w:rPr>
        <w:t xml:space="preserve">, assigning Thinker, Worker, and Verifier roles through a learned coordinator </w:t>
      </w:r>
      <w:r>
        <w:rPr>
          <w:rFonts w:ascii="Cambria" w:cs="Cambria" w:eastAsia="Cambria" w:hAnsi="Cambria"/>
          <w:color w:val="111111"/>
          <w:sz w:val="22"/>
          <w:szCs w:val="22"/>
        </w:rPr>
        <w:t xml:space="preserve">[120, 180]</w:t>
      </w:r>
      <w:r>
        <w:rPr>
          <w:rFonts w:ascii="Cambria" w:cs="Cambria" w:eastAsia="Cambria" w:hAnsi="Cambria"/>
          <w:color w:val="111111"/>
          <w:sz w:val="22"/>
          <w:szCs w:val="22"/>
        </w:rPr>
        <w:t xml:space="preserve">, and reporting frontier-competitive results on that basis.</w:t>
      </w:r>
    </w:p>
    <w:p>
      <w:pPr>
        <w:spacing w:after="140" w:before="0" w:line="300" w:lineRule="auto"/>
        <w:jc w:val="both"/>
      </w:pPr>
      <w:r>
        <w:rPr>
          <w:rFonts w:ascii="Cambria" w:cs="Cambria" w:eastAsia="Cambria" w:hAnsi="Cambria"/>
          <w:b/>
          <w:bCs/>
          <w:color w:val="111111"/>
          <w:sz w:val="22"/>
          <w:szCs w:val="22"/>
        </w:rPr>
        <w:t xml:space="preserve">Fugu is the frontier mirror of the Council, and holding the two side by side is clarifying in both directions. </w:t>
      </w:r>
      <w:r>
        <w:rPr>
          <w:rFonts w:ascii="Cambria" w:cs="Cambria" w:eastAsia="Cambria" w:hAnsi="Cambria"/>
          <w:color w:val="111111"/>
          <w:sz w:val="22"/>
          <w:szCs w:val="22"/>
        </w:rPr>
        <w:t xml:space="preserve">The architectures rhyme: a coordinator dispatching scoped roles, a verifier checking the workers, recursion permitted. What differs is the substrate and the stakes. Fugu orchestrates a pool of frontier models — Gemini 3.1 Pro, Opus 4.8, GPT-5.5 </w:t>
      </w:r>
      <w:r>
        <w:rPr>
          <w:rFonts w:ascii="Cambria" w:cs="Cambria" w:eastAsia="Cambria" w:hAnsi="Cambria"/>
          <w:color w:val="111111"/>
          <w:sz w:val="22"/>
          <w:szCs w:val="22"/>
        </w:rPr>
        <w:t xml:space="preserve">[47]</w:t>
      </w:r>
      <w:r>
        <w:rPr>
          <w:rFonts w:ascii="Cambria" w:cs="Cambria" w:eastAsia="Cambria" w:hAnsi="Cambria"/>
          <w:color w:val="111111"/>
          <w:sz w:val="22"/>
          <w:szCs w:val="22"/>
        </w:rPr>
        <w:t xml:space="preserve"> — rented over APIs, and its own materials note that this routes </w:t>
      </w:r>
      <w:r>
        <w:rPr>
          <w:rFonts w:ascii="Cambria" w:cs="Cambria" w:eastAsia="Cambria" w:hAnsi="Cambria"/>
          <w:i/>
          <w:iCs/>
          <w:color w:val="111111"/>
          <w:sz w:val="22"/>
          <w:szCs w:val="22"/>
        </w:rPr>
        <w:t xml:space="preserve">around</w:t>
      </w:r>
      <w:r>
        <w:rPr>
          <w:rFonts w:ascii="Cambria" w:cs="Cambria" w:eastAsia="Cambria" w:hAnsi="Cambria"/>
          <w:color w:val="111111"/>
          <w:sz w:val="22"/>
          <w:szCs w:val="22"/>
        </w:rPr>
        <w:t xml:space="preserve"> vendor and export constraints without escaping vendor dependence: it is still rented intelligence, and its frontier-parity benchmarks are provider-reported and not independently reproduced. The Council orchestrates a pool of </w:t>
      </w:r>
      <w:r>
        <w:rPr>
          <w:rFonts w:ascii="Cambria" w:cs="Cambria" w:eastAsia="Cambria" w:hAnsi="Cambria"/>
          <w:i/>
          <w:iCs/>
          <w:color w:val="111111"/>
          <w:sz w:val="22"/>
          <w:szCs w:val="22"/>
        </w:rPr>
        <w:t xml:space="preserve">owned</w:t>
      </w:r>
      <w:r>
        <w:rPr>
          <w:rFonts w:ascii="Cambria" w:cs="Cambria" w:eastAsia="Cambria" w:hAnsi="Cambria"/>
          <w:color w:val="111111"/>
          <w:sz w:val="22"/>
          <w:szCs w:val="22"/>
        </w:rPr>
        <w:t xml:space="preserve"> models — smaller, weaker, resident on a machine under an owned key. The orchestration thesis is identical; the sovereignty is inverted.</w:t>
      </w:r>
    </w:p>
    <w:p>
      <w:pPr>
        <w:spacing w:after="140" w:before="0" w:line="300" w:lineRule="auto"/>
        <w:jc w:val="both"/>
      </w:pPr>
      <w:r>
        <w:rPr>
          <w:rFonts w:ascii="Cambria" w:cs="Cambria" w:eastAsia="Cambria" w:hAnsi="Cambria"/>
          <w:b/>
          <w:bCs/>
          <w:color w:val="111111"/>
          <w:sz w:val="22"/>
          <w:szCs w:val="22"/>
        </w:rPr>
        <w:t xml:space="preserve">This reframes the paper's contribution, and we think it is the reframing that matters most. </w:t>
      </w:r>
      <w:r>
        <w:rPr>
          <w:rFonts w:ascii="Cambria" w:cs="Cambria" w:eastAsia="Cambria" w:hAnsi="Cambria"/>
          <w:color w:val="111111"/>
          <w:sz w:val="22"/>
          <w:szCs w:val="22"/>
        </w:rPr>
        <w:t xml:space="preserve">ClawMaxxing is not “a clever workaround for weak local hardware.” It is the </w:t>
      </w:r>
      <w:r>
        <w:rPr>
          <w:rFonts w:ascii="Cambria" w:cs="Cambria" w:eastAsia="Cambria" w:hAnsi="Cambria"/>
          <w:b/>
          <w:bCs/>
          <w:color w:val="111111"/>
          <w:sz w:val="22"/>
          <w:szCs w:val="22"/>
        </w:rPr>
        <w:t xml:space="preserve">local-first, data-sovereign instantiation of the orchestration thesis the entire field is converging on</w:t>
      </w:r>
      <w:r>
        <w:rPr>
          <w:rFonts w:ascii="Cambria" w:cs="Cambria" w:eastAsia="Cambria" w:hAnsi="Cambria"/>
          <w:color w:val="111111"/>
          <w:sz w:val="22"/>
          <w:szCs w:val="22"/>
        </w:rPr>
        <w:t xml:space="preserve">. The frontier's version coordinates borrowed intelligence; ours coordinates owned intelligence. That the two share an architecture is not coincidence — it is evidence that the pattern is fundamental rather than a hardware artifact, and it means the Council's design decisions inherit whatever validity the broader orchestration literature earns. The honest asymmetry, stated plainly: our council orchestrates measurably smaller models than Fugu's pool, so it produces measurably weaker outputs (§7.1). The architectural bet is the same and is now independently vindicated; the capability gap between orchestrating frontier models and orchestrating 8–30B local models is exactly the price of sovereignty this paper has been accounting for throughout.</w:t>
      </w:r>
    </w:p>
    <w:p>
      <w:pPr>
        <w:spacing w:after="140" w:before="0" w:line="300" w:lineRule="auto"/>
        <w:jc w:val="both"/>
      </w:pPr>
      <w:r>
        <w:rPr>
          <w:rFonts w:ascii="Cambria" w:cs="Cambria" w:eastAsia="Cambria" w:hAnsi="Cambria"/>
          <w:color w:val="111111"/>
          <w:sz w:val="22"/>
          <w:szCs w:val="22"/>
        </w:rPr>
        <w:t xml:space="preserve">There is also a specific interaction consequence, which returns us to the paper's HMI spine. Orchestration with a </w:t>
      </w:r>
      <w:r>
        <w:rPr>
          <w:rFonts w:ascii="Cambria" w:cs="Cambria" w:eastAsia="Cambria" w:hAnsi="Cambria"/>
          <w:i/>
          <w:iCs/>
          <w:color w:val="111111"/>
          <w:sz w:val="22"/>
          <w:szCs w:val="22"/>
        </w:rPr>
        <w:t xml:space="preserve">verifier</w:t>
      </w:r>
      <w:r>
        <w:rPr>
          <w:rFonts w:ascii="Cambria" w:cs="Cambria" w:eastAsia="Cambria" w:hAnsi="Cambria"/>
          <w:color w:val="111111"/>
          <w:sz w:val="22"/>
          <w:szCs w:val="22"/>
        </w:rPr>
        <w:t xml:space="preserve"> role </w:t>
      </w:r>
      <w:r>
        <w:rPr>
          <w:rFonts w:ascii="Cambria" w:cs="Cambria" w:eastAsia="Cambria" w:hAnsi="Cambria"/>
          <w:color w:val="111111"/>
          <w:sz w:val="22"/>
          <w:szCs w:val="22"/>
        </w:rPr>
        <w:t xml:space="preserve">[47, 180]</w:t>
      </w:r>
      <w:r>
        <w:rPr>
          <w:rFonts w:ascii="Cambria" w:cs="Cambria" w:eastAsia="Cambria" w:hAnsi="Cambria"/>
          <w:color w:val="111111"/>
          <w:sz w:val="22"/>
          <w:szCs w:val="22"/>
        </w:rPr>
        <w:t xml:space="preserve"> is, in trust-calibration terms </w:t>
      </w:r>
      <w:r>
        <w:rPr>
          <w:rFonts w:ascii="Cambria" w:cs="Cambria" w:eastAsia="Cambria" w:hAnsi="Cambria"/>
          <w:color w:val="111111"/>
          <w:sz w:val="22"/>
          <w:szCs w:val="22"/>
        </w:rPr>
        <w:t xml:space="preserve">[89]</w:t>
      </w:r>
      <w:r>
        <w:rPr>
          <w:rFonts w:ascii="Cambria" w:cs="Cambria" w:eastAsia="Cambria" w:hAnsi="Cambria"/>
          <w:color w:val="111111"/>
          <w:sz w:val="22"/>
          <w:szCs w:val="22"/>
        </w:rPr>
        <w:t xml:space="preserve">), a mechanism for a plural system to check its own members before presenting a result — the architectural analogue of the post-work heartbeat (§6.3) applied to correctness rather than liveness. A Council that routes a claim through a division whose job is to verify it, before that claim reaches the user, is building calibration into the architecture rather than hoping the user supplies it. Whether this actually improves the user's trust calibration, or merely adds a persuasive layer of apparent rigor </w:t>
      </w:r>
      <w:r>
        <w:rPr>
          <w:rFonts w:ascii="Cambria" w:cs="Cambria" w:eastAsia="Cambria" w:hAnsi="Cambria"/>
          <w:color w:val="111111"/>
          <w:sz w:val="22"/>
          <w:szCs w:val="22"/>
        </w:rPr>
        <w:t xml:space="preserve">[11]</w:t>
      </w:r>
      <w:r>
        <w:rPr>
          <w:rFonts w:ascii="Cambria" w:cs="Cambria" w:eastAsia="Cambria" w:hAnsi="Cambria"/>
          <w:color w:val="111111"/>
          <w:sz w:val="22"/>
          <w:szCs w:val="22"/>
        </w:rPr>
        <w:t xml:space="preserve">), is an open question we did not test — but it is the same question the frontier's orchestration modes now raise at scale, and the local system is a cleaner place to study it because every component is inspectable.</w:t>
      </w:r>
    </w:p>
    <w:p>
      <w:pPr>
        <w:pStyle w:val="Heading1"/>
        <w:pageBreakBefore/>
        <w:spacing w:after="180" w:before="240"/>
      </w:pPr>
      <w:r>
        <w:t xml:space="preserve">7. Limitations and Threats to Validity</w:t>
      </w:r>
    </w:p>
    <w:p>
      <w:pPr>
        <w:spacing w:after="140" w:before="0" w:line="300" w:lineRule="auto"/>
        <w:jc w:val="both"/>
      </w:pPr>
      <w:r>
        <w:rPr>
          <w:rFonts w:ascii="Cambria" w:cs="Cambria" w:eastAsia="Cambria" w:hAnsi="Cambria"/>
          <w:color w:val="111111"/>
          <w:sz w:val="22"/>
          <w:szCs w:val="22"/>
        </w:rPr>
        <w:t xml:space="preserve">This section is assembled from evidence against the thesis rather than for it. Constitution Rule IX requires flagging what cannot be verified; Rule II forbids claiming capability that is not there. We apply both to our own argument. A reader who finds this section more persuasive than §6 has read the paper correctly.</w:t>
      </w:r>
    </w:p>
    <w:p>
      <w:pPr>
        <w:pStyle w:val="Heading2"/>
      </w:pPr>
      <w:r>
        <w:t xml:space="preserve">7.1 The Capability Gap Is Real, and It Has a Moving Target</w:t>
      </w:r>
    </w:p>
    <w:p>
      <w:pPr>
        <w:spacing w:after="140" w:before="0" w:line="300" w:lineRule="auto"/>
        <w:jc w:val="both"/>
      </w:pPr>
      <w:r>
        <w:rPr>
          <w:rFonts w:ascii="Cambria" w:cs="Cambria" w:eastAsia="Cambria" w:hAnsi="Cambria"/>
          <w:color w:val="111111"/>
          <w:sz w:val="22"/>
          <w:szCs w:val="22"/>
        </w:rPr>
        <w:t xml:space="preserve">Local small models are less capable than frontier cloud models. This is not in dispute and we do not dispute it. Even the most favorable evidence — phi-3-mini at 69% MMLU running on a phone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 is a report about a 3.8B model reaching a threshold that frontier systems cleared long ago, and its own authors flag limited factual capacity as a structural constraint </w:t>
      </w:r>
      <w:r>
        <w:rPr>
          <w:rFonts w:ascii="Cambria" w:cs="Cambria" w:eastAsia="Cambria" w:hAnsi="Cambria"/>
          <w:color w:val="111111"/>
          <w:sz w:val="22"/>
          <w:szCs w:val="22"/>
        </w:rPr>
        <w:t xml:space="preserve">[2]</w:t>
      </w:r>
      <w:r>
        <w:rPr>
          <w:rFonts w:ascii="Cambria" w:cs="Cambria" w:eastAsia="Cambria" w:hAnsi="Cambria"/>
          <w:color w:val="111111"/>
          <w:sz w:val="22"/>
          <w:szCs w:val="22"/>
        </w:rPr>
        <w:t xml:space="preserve">. Chinchilla-style scaling </w:t>
      </w:r>
      <w:r>
        <w:rPr>
          <w:rFonts w:ascii="Cambria" w:cs="Cambria" w:eastAsia="Cambria" w:hAnsi="Cambria"/>
          <w:color w:val="111111"/>
          <w:sz w:val="22"/>
          <w:szCs w:val="22"/>
        </w:rPr>
        <w:t xml:space="preserve">[65, 80]</w:t>
      </w:r>
      <w:r>
        <w:rPr>
          <w:rFonts w:ascii="Cambria" w:cs="Cambria" w:eastAsia="Cambria" w:hAnsi="Cambria"/>
          <w:color w:val="111111"/>
          <w:sz w:val="22"/>
          <w:szCs w:val="22"/>
        </w:rPr>
        <w:t xml:space="preserve"> says capability tracks compute and data; we have less of both.</w:t>
      </w:r>
    </w:p>
    <w:p>
      <w:pPr>
        <w:spacing w:after="140" w:before="0" w:line="300" w:lineRule="auto"/>
        <w:jc w:val="both"/>
      </w:pPr>
      <w:r>
        <w:rPr>
          <w:rFonts w:ascii="Cambria" w:cs="Cambria" w:eastAsia="Cambria" w:hAnsi="Cambria"/>
          <w:color w:val="111111"/>
          <w:sz w:val="22"/>
          <w:szCs w:val="22"/>
        </w:rPr>
        <w:t xml:space="preserve">The target the local ceiling is measured against is specific and it moves fast. As of July 2026 the frontier is a named set — Claude Fable 5 and Opus 4.8, GPT-5.6 Sol </w:t>
      </w:r>
      <w:r>
        <w:rPr>
          <w:rFonts w:ascii="Cambria" w:cs="Cambria" w:eastAsia="Cambria" w:hAnsi="Cambria"/>
          <w:color w:val="111111"/>
          <w:sz w:val="22"/>
          <w:szCs w:val="22"/>
        </w:rPr>
        <w:t xml:space="preserve">[125]</w:t>
      </w:r>
      <w:r>
        <w:rPr>
          <w:rFonts w:ascii="Cambria" w:cs="Cambria" w:eastAsia="Cambria" w:hAnsi="Cambria"/>
          <w:color w:val="111111"/>
          <w:sz w:val="22"/>
          <w:szCs w:val="22"/>
        </w:rPr>
        <w:t xml:space="preserve">), Gemini 3.1 Pro </w:t>
      </w:r>
      <w:r>
        <w:rPr>
          <w:rFonts w:ascii="Cambria" w:cs="Cambria" w:eastAsia="Cambria" w:hAnsi="Cambria"/>
          <w:color w:val="111111"/>
          <w:sz w:val="22"/>
          <w:szCs w:val="22"/>
        </w:rPr>
        <w:t xml:space="preserve">[52]</w:t>
      </w:r>
      <w:r>
        <w:rPr>
          <w:rFonts w:ascii="Cambria" w:cs="Cambria" w:eastAsia="Cambria" w:hAnsi="Cambria"/>
          <w:color w:val="111111"/>
          <w:sz w:val="22"/>
          <w:szCs w:val="22"/>
        </w:rPr>
        <w:t xml:space="preserve">), Grok 4.5 </w:t>
      </w:r>
      <w:r>
        <w:rPr>
          <w:rFonts w:ascii="Cambria" w:cs="Cambria" w:eastAsia="Cambria" w:hAnsi="Cambria"/>
          <w:color w:val="111111"/>
          <w:sz w:val="22"/>
          <w:szCs w:val="22"/>
        </w:rPr>
        <w:t xml:space="preserve">[176]</w:t>
      </w:r>
      <w:r>
        <w:rPr>
          <w:rFonts w:ascii="Cambria" w:cs="Cambria" w:eastAsia="Cambria" w:hAnsi="Cambria"/>
          <w:color w:val="111111"/>
          <w:sz w:val="22"/>
          <w:szCs w:val="22"/>
        </w:rPr>
        <w:t xml:space="preserve"> — topping the composite leaderboards </w:t>
      </w:r>
      <w:r>
        <w:rPr>
          <w:rFonts w:ascii="Cambria" w:cs="Cambria" w:eastAsia="Cambria" w:hAnsi="Cambria"/>
          <w:color w:val="111111"/>
          <w:sz w:val="22"/>
          <w:szCs w:val="22"/>
        </w:rPr>
        <w:t xml:space="preserve">[9]</w:t>
      </w:r>
      <w:r>
        <w:rPr>
          <w:rFonts w:ascii="Cambria" w:cs="Cambria" w:eastAsia="Cambria" w:hAnsi="Cambria"/>
          <w:color w:val="111111"/>
          <w:sz w:val="22"/>
          <w:szCs w:val="22"/>
        </w:rPr>
        <w:t xml:space="preserve">, with the best reported agentic-coding scores clustered near 80 on SWE-Bench-class benchmarks. Nothing this paper's machine runs approaches that tier on hard reasoning.</w:t>
      </w:r>
    </w:p>
    <w:p>
      <w:pPr>
        <w:spacing w:after="140" w:before="0" w:line="300" w:lineRule="auto"/>
        <w:jc w:val="both"/>
      </w:pPr>
      <w:r>
        <w:rPr>
          <w:rFonts w:ascii="Cambria" w:cs="Cambria" w:eastAsia="Cambria" w:hAnsi="Cambria"/>
          <w:color w:val="111111"/>
          <w:sz w:val="22"/>
          <w:szCs w:val="22"/>
        </w:rPr>
        <w:t xml:space="preserve">The genuinely important nuance for a </w:t>
      </w:r>
      <w:r>
        <w:rPr>
          <w:rFonts w:ascii="Cambria" w:cs="Cambria" w:eastAsia="Cambria" w:hAnsi="Cambria"/>
          <w:i/>
          <w:iCs/>
          <w:color w:val="111111"/>
          <w:sz w:val="22"/>
          <w:szCs w:val="22"/>
        </w:rPr>
        <w:t xml:space="preserve">local-first</w:t>
      </w:r>
      <w:r>
        <w:rPr>
          <w:rFonts w:ascii="Cambria" w:cs="Cambria" w:eastAsia="Cambria" w:hAnsi="Cambria"/>
          <w:color w:val="111111"/>
          <w:sz w:val="22"/>
          <w:szCs w:val="22"/>
        </w:rPr>
        <w:t xml:space="preserve"> paper is the gap between “open” and “local.” The open-weight contenders have closed much of the </w:t>
      </w:r>
      <w:r>
        <w:rPr>
          <w:rFonts w:ascii="Cambria" w:cs="Cambria" w:eastAsia="Cambria" w:hAnsi="Cambria"/>
          <w:i/>
          <w:iCs/>
          <w:color w:val="111111"/>
          <w:sz w:val="22"/>
          <w:szCs w:val="22"/>
        </w:rPr>
        <w:t xml:space="preserve">quality</w:t>
      </w:r>
      <w:r>
        <w:rPr>
          <w:rFonts w:ascii="Cambria" w:cs="Cambria" w:eastAsia="Cambria" w:hAnsi="Cambria"/>
          <w:color w:val="111111"/>
          <w:sz w:val="22"/>
          <w:szCs w:val="22"/>
        </w:rPr>
        <w:t xml:space="preserve"> gap on coding and agentic tasks: GLM-5.2 reports beating GPT-5.5 on several long-horizon coding benchmarks </w:t>
      </w:r>
      <w:r>
        <w:rPr>
          <w:rFonts w:ascii="Cambria" w:cs="Cambria" w:eastAsia="Cambria" w:hAnsi="Cambria"/>
          <w:color w:val="111111"/>
          <w:sz w:val="22"/>
          <w:szCs w:val="22"/>
        </w:rPr>
        <w:t xml:space="preserve">[9, 186]</w:t>
      </w:r>
      <w:r>
        <w:rPr>
          <w:rFonts w:ascii="Cambria" w:cs="Cambria" w:eastAsia="Cambria" w:hAnsi="Cambria"/>
          <w:color w:val="111111"/>
          <w:sz w:val="22"/>
          <w:szCs w:val="22"/>
        </w:rPr>
        <w:t xml:space="preserve">), DeepSeek V4 posts among the highest open SWE-bench-Verified figures </w:t>
      </w:r>
      <w:r>
        <w:rPr>
          <w:rFonts w:ascii="Cambria" w:cs="Cambria" w:eastAsia="Cambria" w:hAnsi="Cambria"/>
          <w:color w:val="111111"/>
          <w:sz w:val="22"/>
          <w:szCs w:val="22"/>
        </w:rPr>
        <w:t xml:space="preserve">[31]</w:t>
      </w:r>
      <w:r>
        <w:rPr>
          <w:rFonts w:ascii="Cambria" w:cs="Cambria" w:eastAsia="Cambria" w:hAnsi="Cambria"/>
          <w:color w:val="111111"/>
          <w:sz w:val="22"/>
          <w:szCs w:val="22"/>
        </w:rPr>
        <w:t xml:space="preserve">), and Kimi K3 ranks among the top systems on composite indices </w:t>
      </w:r>
      <w:r>
        <w:rPr>
          <w:rFonts w:ascii="Cambria" w:cs="Cambria" w:eastAsia="Cambria" w:hAnsi="Cambria"/>
          <w:color w:val="111111"/>
          <w:sz w:val="22"/>
          <w:szCs w:val="22"/>
        </w:rPr>
        <w:t xml:space="preserve">[113]</w:t>
      </w:r>
      <w:r>
        <w:rPr>
          <w:rFonts w:ascii="Cambria" w:cs="Cambria" w:eastAsia="Cambria" w:hAnsi="Cambria"/>
          <w:color w:val="111111"/>
          <w:sz w:val="22"/>
          <w:szCs w:val="22"/>
        </w:rPr>
        <w:t xml:space="preserve">. But these models are ~753B, 1.6T, and 2.8T parameters. They are open; they are not </w:t>
      </w:r>
      <w:r>
        <w:rPr>
          <w:rFonts w:ascii="Cambria" w:cs="Cambria" w:eastAsia="Cambria" w:hAnsi="Cambria"/>
          <w:i/>
          <w:iCs/>
          <w:color w:val="111111"/>
          <w:sz w:val="22"/>
          <w:szCs w:val="22"/>
        </w:rPr>
        <w:t xml:space="preserve">local</w:t>
      </w:r>
      <w:r>
        <w:rPr>
          <w:rFonts w:ascii="Cambria" w:cs="Cambria" w:eastAsia="Cambria" w:hAnsi="Cambria"/>
          <w:color w:val="111111"/>
          <w:sz w:val="22"/>
          <w:szCs w:val="22"/>
        </w:rPr>
        <w:t xml:space="preserve"> on commodity hardware. The </w:t>
      </w:r>
      <w:r>
        <w:rPr>
          <w:rFonts w:ascii="Cambria" w:cs="Cambria" w:eastAsia="Cambria" w:hAnsi="Cambria"/>
          <w:i/>
          <w:iCs/>
          <w:color w:val="111111"/>
          <w:sz w:val="22"/>
          <w:szCs w:val="22"/>
        </w:rPr>
        <w:t xml:space="preserve">deployability</w:t>
      </w:r>
      <w:r>
        <w:rPr>
          <w:rFonts w:ascii="Cambria" w:cs="Cambria" w:eastAsia="Cambria" w:hAnsi="Cambria"/>
          <w:color w:val="111111"/>
          <w:sz w:val="22"/>
          <w:szCs w:val="22"/>
        </w:rPr>
        <w:t xml:space="preserve"> gap remains stark: what runs on this machine (7–35B, plus large MoE slowly via offload, even with the RTX 5090 upgrade of §3.9) still trails the frontier on hard reasoning by a meaningful margin. The honest two-part statement: open weights have nearly closed the quality gap on some tasks, and simultaneously the models that did so cannot be run locally by the population this paper is written for.</w:t>
      </w:r>
    </w:p>
    <w:p>
      <w:pPr>
        <w:spacing w:after="140" w:before="0" w:line="300" w:lineRule="auto"/>
        <w:jc w:val="both"/>
      </w:pPr>
      <w:r>
        <w:rPr>
          <w:rFonts w:ascii="Cambria" w:cs="Cambria" w:eastAsia="Cambria" w:hAnsi="Cambria"/>
          <w:b/>
          <w:bCs/>
          <w:i/>
          <w:iCs/>
          <w:color w:val="111111"/>
          <w:sz w:val="22"/>
          <w:szCs w:val="22"/>
        </w:rPr>
        <w:t xml:space="preserve">Every benchmark figure in this subsection is vendor-reported. </w:t>
      </w:r>
      <w:r>
        <w:rPr>
          <w:rFonts w:ascii="Cambria" w:cs="Cambria" w:eastAsia="Cambria" w:hAnsi="Cambria"/>
          <w:color w:val="111111"/>
          <w:sz w:val="22"/>
          <w:szCs w:val="22"/>
        </w:rPr>
        <w:t xml:space="preserve">Per §4.4.4, the models are real but their headline numbers are self-reported and not, at the time of writing, independently reproduced; the composite leaderboards </w:t>
      </w:r>
      <w:r>
        <w:rPr>
          <w:rFonts w:ascii="Cambria" w:cs="Cambria" w:eastAsia="Cambria" w:hAnsi="Cambria"/>
          <w:color w:val="111111"/>
          <w:sz w:val="22"/>
          <w:szCs w:val="22"/>
        </w:rPr>
        <w:t xml:space="preserve">[9]</w:t>
      </w:r>
      <w:r>
        <w:rPr>
          <w:rFonts w:ascii="Cambria" w:cs="Cambria" w:eastAsia="Cambria" w:hAnsi="Cambria"/>
          <w:color w:val="111111"/>
          <w:sz w:val="22"/>
          <w:szCs w:val="22"/>
        </w:rPr>
        <w:t xml:space="preserve"> mix independent and vendor-supplied results. We cite them as claims, and a reader should treat “beats GPT-5.5” as “the vendor reports beating GPT-5.5” until an independent evaluator confirms it. The frontier also increasingly wins through orchestration modes (§6.8) rather than raw single-model capability, which complicates any clean single-number comparison.</w:t>
      </w:r>
    </w:p>
    <w:p>
      <w:pPr>
        <w:spacing w:after="140" w:before="0" w:line="300" w:lineRule="auto"/>
        <w:jc w:val="both"/>
      </w:pPr>
      <w:r>
        <w:rPr>
          <w:rFonts w:ascii="Cambria" w:cs="Cambria" w:eastAsia="Cambria" w:hAnsi="Cambria"/>
          <w:color w:val="111111"/>
          <w:sz w:val="22"/>
          <w:szCs w:val="22"/>
        </w:rPr>
        <w:t xml:space="preserve">Worse, for our own system specifically, we did not measure our own gap (§5.2). We rely on published and vendor-reported figures to characterize a limitation of our own artifact, which is methodologically weak and which §9 names as the highest-value missing measurement. The honest position is unchanged and now more precisely stated: a user who needs the best available reasoning should use a frontier model or a frontier orchestrator; a user who can work within a sovereign 8–35B-plus-retrieval envelope has, in 2026, a genuinely more capable local option than existed when this project began — and still a materially weaker one than the datacenter.</w:t>
      </w:r>
    </w:p>
    <w:p>
      <w:pPr>
        <w:pStyle w:val="Heading2"/>
      </w:pPr>
      <w:r>
        <w:t xml:space="preserve">7.2 Quantization Degrades Quality</w:t>
      </w:r>
    </w:p>
    <w:p>
      <w:pPr>
        <w:spacing w:after="140" w:before="0" w:line="300" w:lineRule="auto"/>
        <w:jc w:val="both"/>
      </w:pPr>
      <w:r>
        <w:rPr>
          <w:rFonts w:ascii="Cambria" w:cs="Cambria" w:eastAsia="Cambria" w:hAnsi="Cambria"/>
          <w:color w:val="111111"/>
          <w:sz w:val="22"/>
          <w:szCs w:val="22"/>
        </w:rPr>
        <w:t xml:space="preserve">Our architecture depends on four-bit quantization, and four-bit is not free. Dettmers and Zettlemoyer </w:t>
      </w:r>
      <w:r>
        <w:rPr>
          <w:rFonts w:ascii="Cambria" w:cs="Cambria" w:eastAsia="Cambria" w:hAnsi="Cambria"/>
          <w:color w:val="111111"/>
          <w:sz w:val="22"/>
          <w:szCs w:val="22"/>
        </w:rPr>
        <w:t xml:space="preserve">[34]</w:t>
      </w:r>
      <w:r>
        <w:rPr>
          <w:rFonts w:ascii="Cambria" w:cs="Cambria" w:eastAsia="Cambria" w:hAnsi="Cambria"/>
          <w:color w:val="111111"/>
          <w:sz w:val="22"/>
          <w:szCs w:val="22"/>
        </w:rPr>
        <w:t xml:space="preserve"> find four bits near-optimal for accuracy-per-bit, which is our support — but the same work establishes that degradation below three bits is nonlinear and that the sweet spot is model-specific rather than universal. Aggregate benchmark parity conceals disproportionate loss on multi-step reasoning and mathematics. Any reading of this paper as “quantization is lossless” is a misreading. It is a good trade at four bits and a bad one below three, and we run at four because of the arithmetic in Table 1, not because it is free.</w:t>
      </w:r>
    </w:p>
    <w:p>
      <w:pPr>
        <w:pStyle w:val="Heading2"/>
      </w:pPr>
      <w:r>
        <w:t xml:space="preserve">7.3 Embodiment Does Not Reliably Help</w:t>
      </w:r>
    </w:p>
    <w:p>
      <w:pPr>
        <w:spacing w:after="140" w:before="0" w:line="300" w:lineRule="auto"/>
        <w:jc w:val="both"/>
      </w:pPr>
      <w:r>
        <w:rPr>
          <w:rFonts w:ascii="Cambria" w:cs="Cambria" w:eastAsia="Cambria" w:hAnsi="Cambria"/>
          <w:color w:val="111111"/>
          <w:sz w:val="22"/>
          <w:szCs w:val="22"/>
        </w:rPr>
        <w:t xml:space="preserve">§6.5.3 states this against our own design and we restate it here as a limitation rather than a discussion point. The best available meta-analytic evidence </w:t>
      </w:r>
      <w:r>
        <w:rPr>
          <w:rFonts w:ascii="Cambria" w:cs="Cambria" w:eastAsia="Cambria" w:hAnsi="Cambria"/>
          <w:color w:val="111111"/>
          <w:sz w:val="22"/>
          <w:szCs w:val="22"/>
        </w:rPr>
        <w:t xml:space="preserve">[144]</w:t>
      </w:r>
      <w:r>
        <w:rPr>
          <w:rFonts w:ascii="Cambria" w:cs="Cambria" w:eastAsia="Cambria" w:hAnsi="Cambria"/>
          <w:color w:val="111111"/>
          <w:sz w:val="22"/>
          <w:szCs w:val="22"/>
        </w:rPr>
        <w:t xml:space="preserve"> finds no positive anthropomorphism effect for perceived safety, empathy, or task performance, with substantial contrary results. Mori's uncanny valley </w:t>
      </w:r>
      <w:r>
        <w:rPr>
          <w:rFonts w:ascii="Cambria" w:cs="Cambria" w:eastAsia="Cambria" w:hAnsi="Cambria"/>
          <w:color w:val="111111"/>
          <w:sz w:val="22"/>
          <w:szCs w:val="22"/>
        </w:rPr>
        <w:t xml:space="preserve">[114]</w:t>
      </w:r>
      <w:r>
        <w:rPr>
          <w:rFonts w:ascii="Cambria" w:cs="Cambria" w:eastAsia="Cambria" w:hAnsi="Cambria"/>
          <w:color w:val="111111"/>
          <w:sz w:val="22"/>
          <w:szCs w:val="22"/>
        </w:rPr>
        <w:t xml:space="preserve"> names a failure mode our avatar sits close to. The embodiment components of our fleet are justified by intuition and by the general positive effect, not by evidence specific to our configuration — which we did not gather.</w:t>
      </w:r>
    </w:p>
    <w:p>
      <w:pPr>
        <w:pStyle w:val="Heading2"/>
      </w:pPr>
      <w:r>
        <w:t xml:space="preserve">7.4 The Fleet Contradicts the Thesis at Its Edge</w:t>
      </w:r>
    </w:p>
    <w:p>
      <w:pPr>
        <w:spacing w:after="140" w:before="0" w:line="300" w:lineRule="auto"/>
        <w:jc w:val="both"/>
      </w:pPr>
      <w:r>
        <w:rPr>
          <w:rFonts w:ascii="Cambria" w:cs="Cambria" w:eastAsia="Cambria" w:hAnsi="Cambria"/>
          <w:color w:val="111111"/>
          <w:sz w:val="22"/>
          <w:szCs w:val="22"/>
        </w:rPr>
        <w:t xml:space="preserve">This is the strongest single piece of evidence against local-first as a general position, and it comes from the robotics literature rather than from our critics.</w:t>
      </w:r>
    </w:p>
    <w:p>
      <w:pPr>
        <w:spacing w:after="140" w:before="0" w:line="300" w:lineRule="auto"/>
        <w:jc w:val="both"/>
      </w:pPr>
      <w:r>
        <w:rPr>
          <w:rFonts w:ascii="Cambria" w:cs="Cambria" w:eastAsia="Cambria" w:hAnsi="Cambria"/>
          <w:color w:val="111111"/>
          <w:sz w:val="22"/>
          <w:szCs w:val="22"/>
        </w:rPr>
        <w:t xml:space="preserve">RT-2's most capable configuration is a 55B model running on a multi-TPU cloud service networked to the robot, achieving 1–3 Hz control; the 5B variant reaches roughly 5 Hz </w:t>
      </w:r>
      <w:r>
        <w:rPr>
          <w:rFonts w:ascii="Cambria" w:cs="Cambria" w:eastAsia="Cambria" w:hAnsi="Cambria"/>
          <w:color w:val="111111"/>
          <w:sz w:val="22"/>
          <w:szCs w:val="22"/>
        </w:rPr>
        <w:t xml:space="preserve">[189]</w:t>
      </w:r>
      <w:r>
        <w:rPr>
          <w:rFonts w:ascii="Cambria" w:cs="Cambria" w:eastAsia="Cambria" w:hAnsi="Cambria"/>
          <w:color w:val="111111"/>
          <w:sz w:val="22"/>
          <w:szCs w:val="22"/>
        </w:rPr>
        <w:t xml:space="preserve">. The frontier of embodied AI is off-board, and the reason is not ideology but arithmetic: the models that transfer web-scale knowledge to control are too large for a robot to carry. Our fleet's design — minimal onboard intelligence, defer to hub — is a </w:t>
      </w:r>
      <w:r>
        <w:rPr>
          <w:rFonts w:ascii="Cambria" w:cs="Cambria" w:eastAsia="Cambria" w:hAnsi="Cambria"/>
          <w:i/>
          <w:iCs/>
          <w:color w:val="111111"/>
          <w:sz w:val="22"/>
          <w:szCs w:val="22"/>
        </w:rPr>
        <w:t xml:space="preserve">concession</w:t>
      </w:r>
      <w:r>
        <w:rPr>
          <w:rFonts w:ascii="Cambria" w:cs="Cambria" w:eastAsia="Cambria" w:hAnsi="Cambria"/>
          <w:color w:val="111111"/>
          <w:sz w:val="22"/>
          <w:szCs w:val="22"/>
        </w:rPr>
        <w:t xml:space="preserve"> to this, not a refutation of it. A local-first fleet accepts narrower competence at the edge. Anyone claiming a locally-hosted quadruped matches a cloud-backed VLA is contradicted by the published results.</w:t>
      </w:r>
    </w:p>
    <w:p>
      <w:pPr>
        <w:pStyle w:val="Heading2"/>
      </w:pPr>
      <w:r>
        <w:t xml:space="preserve">7.5 Single-Author, Autobiographical Bias</w:t>
      </w:r>
    </w:p>
    <w:p>
      <w:pPr>
        <w:spacing w:after="140" w:before="0" w:line="300" w:lineRule="auto"/>
        <w:jc w:val="both"/>
      </w:pPr>
      <w:r>
        <w:rPr>
          <w:rFonts w:ascii="Cambria" w:cs="Cambria" w:eastAsia="Cambria" w:hAnsi="Cambria"/>
          <w:color w:val="111111"/>
          <w:sz w:val="22"/>
          <w:szCs w:val="22"/>
        </w:rPr>
        <w:t xml:space="preserve">The system was designed, built, operated, evaluated, and written up by one person, who is also its only user and its principal beneficiary. Autobiographical design </w:t>
      </w:r>
      <w:r>
        <w:rPr>
          <w:rFonts w:ascii="Cambria" w:cs="Cambria" w:eastAsia="Cambria" w:hAnsi="Cambria"/>
          <w:color w:val="111111"/>
          <w:sz w:val="22"/>
          <w:szCs w:val="22"/>
        </w:rPr>
        <w:t xml:space="preserve">[119]</w:t>
      </w:r>
      <w:r>
        <w:rPr>
          <w:rFonts w:ascii="Cambria" w:cs="Cambria" w:eastAsia="Cambria" w:hAnsi="Cambria"/>
          <w:color w:val="111111"/>
          <w:sz w:val="22"/>
          <w:szCs w:val="22"/>
        </w:rPr>
        <w:t xml:space="preserve"> and autoethnography </w:t>
      </w:r>
      <w:r>
        <w:rPr>
          <w:rFonts w:ascii="Cambria" w:cs="Cambria" w:eastAsia="Cambria" w:hAnsi="Cambria"/>
          <w:color w:val="111111"/>
          <w:sz w:val="22"/>
          <w:szCs w:val="22"/>
        </w:rPr>
        <w:t xml:space="preserve">[40]</w:t>
      </w:r>
      <w:r>
        <w:rPr>
          <w:rFonts w:ascii="Cambria" w:cs="Cambria" w:eastAsia="Cambria" w:hAnsi="Cambria"/>
          <w:color w:val="111111"/>
          <w:sz w:val="22"/>
          <w:szCs w:val="22"/>
        </w:rPr>
        <w:t xml:space="preserve"> legitimize the method but do not neutralize its hazards, and we name them explicitly:</w:t>
      </w:r>
    </w:p>
    <w:p>
      <w:pPr>
        <w:pStyle w:val="ListParagraph"/>
        <w:numPr>
          <w:ilvl w:val="0"/>
          <w:numId w:val="3"/>
        </w:numPr>
        <w:spacing w:after="80" w:line="290" w:lineRule="auto"/>
      </w:pPr>
      <w:r>
        <w:rPr>
          <w:rFonts w:ascii="Cambria" w:cs="Cambria" w:eastAsia="Cambria" w:hAnsi="Cambria"/>
          <w:b/>
          <w:bCs/>
          <w:color w:val="111111"/>
          <w:sz w:val="22"/>
          <w:szCs w:val="22"/>
        </w:rPr>
        <w:t xml:space="preserve">Confirmation bias. </w:t>
      </w:r>
      <w:r>
        <w:rPr>
          <w:rFonts w:ascii="Cambria" w:cs="Cambria" w:eastAsia="Cambria" w:hAnsi="Cambria"/>
          <w:color w:val="111111"/>
          <w:sz w:val="22"/>
          <w:szCs w:val="22"/>
        </w:rPr>
        <w:t xml:space="preserve">The evaluator wanted the artifact to work. §5's “established” judgments were made by the person who would be embarrassed if they were not.</w:t>
      </w:r>
    </w:p>
    <w:p>
      <w:pPr>
        <w:pStyle w:val="ListParagraph"/>
        <w:numPr>
          <w:ilvl w:val="0"/>
          <w:numId w:val="3"/>
        </w:numPr>
        <w:spacing w:after="80" w:line="290" w:lineRule="auto"/>
      </w:pPr>
      <w:r>
        <w:rPr>
          <w:rFonts w:ascii="Cambria" w:cs="Cambria" w:eastAsia="Cambria" w:hAnsi="Cambria"/>
          <w:b/>
          <w:bCs/>
          <w:color w:val="111111"/>
          <w:sz w:val="22"/>
          <w:szCs w:val="22"/>
        </w:rPr>
        <w:t xml:space="preserve">Selection of criteria. </w:t>
      </w:r>
      <w:r>
        <w:rPr>
          <w:rFonts w:ascii="Cambria" w:cs="Cambria" w:eastAsia="Cambria" w:hAnsi="Cambria"/>
          <w:color w:val="111111"/>
          <w:sz w:val="22"/>
          <w:szCs w:val="22"/>
        </w:rPr>
        <w:t xml:space="preserve">The six criteria in §4.2 were written by the author. A criterion the system would fail — e.g. “matches a frontier model on a standard suite” — is conspicuously absent, and its absence was not an oversight.</w:t>
      </w:r>
    </w:p>
    <w:p>
      <w:pPr>
        <w:pStyle w:val="ListParagraph"/>
        <w:numPr>
          <w:ilvl w:val="0"/>
          <w:numId w:val="3"/>
        </w:numPr>
        <w:spacing w:after="80" w:line="290" w:lineRule="auto"/>
      </w:pPr>
      <w:r>
        <w:rPr>
          <w:rFonts w:ascii="Cambria" w:cs="Cambria" w:eastAsia="Cambria" w:hAnsi="Cambria"/>
          <w:b/>
          <w:bCs/>
          <w:color w:val="111111"/>
          <w:sz w:val="22"/>
          <w:szCs w:val="22"/>
        </w:rPr>
        <w:t xml:space="preserve">N=1 generalization. </w:t>
      </w:r>
      <w:r>
        <w:rPr>
          <w:rFonts w:ascii="Cambria" w:cs="Cambria" w:eastAsia="Cambria" w:hAnsi="Cambria"/>
          <w:color w:val="111111"/>
          <w:sz w:val="22"/>
          <w:szCs w:val="22"/>
        </w:rPr>
        <w:t xml:space="preserve">“Sufficient for the author's tasks” generalizes to exactly one person. Case-study methodology </w:t>
      </w:r>
      <w:r>
        <w:rPr>
          <w:rFonts w:ascii="Cambria" w:cs="Cambria" w:eastAsia="Cambria" w:hAnsi="Cambria"/>
          <w:color w:val="111111"/>
          <w:sz w:val="22"/>
          <w:szCs w:val="22"/>
        </w:rPr>
        <w:t xml:space="preserve">[183]</w:t>
      </w:r>
      <w:r>
        <w:rPr>
          <w:rFonts w:ascii="Cambria" w:cs="Cambria" w:eastAsia="Cambria" w:hAnsi="Cambria"/>
          <w:color w:val="111111"/>
          <w:sz w:val="22"/>
          <w:szCs w:val="22"/>
        </w:rPr>
        <w:t xml:space="preserve"> permits analytic generalization to theory, not statistical generalization to populations, and we claim only the former.</w:t>
      </w:r>
    </w:p>
    <w:p>
      <w:pPr>
        <w:pStyle w:val="ListParagraph"/>
        <w:numPr>
          <w:ilvl w:val="0"/>
          <w:numId w:val="3"/>
        </w:numPr>
        <w:spacing w:after="80" w:line="290" w:lineRule="auto"/>
      </w:pPr>
      <w:r>
        <w:rPr>
          <w:rFonts w:ascii="Cambria" w:cs="Cambria" w:eastAsia="Cambria" w:hAnsi="Cambria"/>
          <w:b/>
          <w:bCs/>
          <w:color w:val="111111"/>
          <w:sz w:val="22"/>
          <w:szCs w:val="22"/>
        </w:rPr>
        <w:t xml:space="preserve">Sunk cost. </w:t>
      </w:r>
      <w:r>
        <w:rPr>
          <w:rFonts w:ascii="Cambria" w:cs="Cambria" w:eastAsia="Cambria" w:hAnsi="Cambria"/>
          <w:color w:val="111111"/>
          <w:sz w:val="22"/>
          <w:szCs w:val="22"/>
        </w:rPr>
        <w:t xml:space="preserve">Eighteen months and three rebuilds create a powerful incentive to conclude that the thing was worth building.</w:t>
      </w:r>
    </w:p>
    <w:p>
      <w:pPr>
        <w:spacing w:after="140" w:before="0" w:line="300" w:lineRule="auto"/>
        <w:jc w:val="both"/>
      </w:pPr>
      <w:r>
        <w:rPr>
          <w:rFonts w:ascii="Cambria" w:cs="Cambria" w:eastAsia="Cambria" w:hAnsi="Cambria"/>
          <w:color w:val="111111"/>
          <w:sz w:val="22"/>
          <w:szCs w:val="22"/>
        </w:rPr>
        <w:t xml:space="preserve">The mitigation available to us is transparency rather than correction: the artifact is documented in six volumes, the arithmetic is published (Tables 1, 4), and the counter-evidence is in this section. A skeptical reader can check the subtraction. They cannot check whether the author's judgment of “sufficient” would survive contact with another user, and neither can we.</w:t>
      </w:r>
    </w:p>
    <w:p>
      <w:pPr>
        <w:pStyle w:val="Heading2"/>
      </w:pPr>
      <w:r>
        <w:t xml:space="preserve">7.6 The Free-Rider Problem</w:t>
      </w:r>
    </w:p>
    <w:p>
      <w:pPr>
        <w:spacing w:after="140" w:before="0" w:line="300" w:lineRule="auto"/>
        <w:jc w:val="both"/>
      </w:pPr>
      <w:r>
        <w:rPr>
          <w:rFonts w:ascii="Cambria" w:cs="Cambria" w:eastAsia="Cambria" w:hAnsi="Cambria"/>
          <w:color w:val="111111"/>
          <w:sz w:val="22"/>
          <w:szCs w:val="22"/>
        </w:rPr>
        <w:t xml:space="preserve">Our sustainability argument (§2.12) is weaker than it is usually stated by local-first advocates, and we would rather state it correctly than favorably.</w:t>
      </w:r>
    </w:p>
    <w:p>
      <w:pPr>
        <w:spacing w:after="140" w:before="0" w:line="300" w:lineRule="auto"/>
        <w:jc w:val="both"/>
      </w:pPr>
      <w:r>
        <w:rPr>
          <w:rFonts w:ascii="Cambria" w:cs="Cambria" w:eastAsia="Cambria" w:hAnsi="Cambria"/>
          <w:color w:val="111111"/>
          <w:sz w:val="22"/>
          <w:szCs w:val="22"/>
        </w:rPr>
        <w:t xml:space="preserve">Strubell et al.'s </w:t>
      </w:r>
      <w:r>
        <w:rPr>
          <w:rFonts w:ascii="Cambria" w:cs="Cambria" w:eastAsia="Cambria" w:hAnsi="Cambria"/>
          <w:color w:val="111111"/>
          <w:sz w:val="22"/>
          <w:szCs w:val="22"/>
        </w:rPr>
        <w:t xml:space="preserve">[157]</w:t>
      </w:r>
      <w:r>
        <w:rPr>
          <w:rFonts w:ascii="Cambria" w:cs="Cambria" w:eastAsia="Cambria" w:hAnsi="Cambria"/>
          <w:color w:val="111111"/>
          <w:sz w:val="22"/>
          <w:szCs w:val="22"/>
        </w:rPr>
        <w:t xml:space="preserve"> 626,000-pound figure concerns </w:t>
      </w:r>
      <w:r>
        <w:rPr>
          <w:rFonts w:ascii="Cambria" w:cs="Cambria" w:eastAsia="Cambria" w:hAnsi="Cambria"/>
          <w:i/>
          <w:iCs/>
          <w:color w:val="111111"/>
          <w:sz w:val="22"/>
          <w:szCs w:val="22"/>
        </w:rPr>
        <w:t xml:space="preserve">training</w:t>
      </w:r>
      <w:r>
        <w:rPr>
          <w:rFonts w:ascii="Cambria" w:cs="Cambria" w:eastAsia="Cambria" w:hAnsi="Cambria"/>
          <w:color w:val="111111"/>
          <w:sz w:val="22"/>
          <w:szCs w:val="22"/>
        </w:rPr>
        <w:t xml:space="preserve">. Local inference avoids repeated cloud inference energy and water; it does not avoid training cost. Every model this system runs was trained in a datacenter by an organization with resources the author does not have. A local-first system is a free rider on precisely the centralized infrastructure it declines to depend on at inference time. The defensible claim is narrow: local inference shifts marginal inference energy to a device the user already owns and powers. The indefensible claim — that running models locally is environmentally superior tout court — requires ignoring where the weights came from.</w:t>
      </w:r>
    </w:p>
    <w:p>
      <w:pPr>
        <w:pStyle w:val="Heading2"/>
      </w:pPr>
      <w:r>
        <w:t xml:space="preserve">7.7 The Trading Division Has No Results</w:t>
      </w:r>
    </w:p>
    <w:p>
      <w:pPr>
        <w:spacing w:after="140" w:before="0" w:line="300" w:lineRule="auto"/>
        <w:jc w:val="both"/>
      </w:pPr>
      <w:r>
        <w:rPr>
          <w:rFonts w:ascii="Cambria" w:cs="Cambria" w:eastAsia="Cambria" w:hAnsi="Cambria"/>
          <w:color w:val="111111"/>
          <w:sz w:val="22"/>
          <w:szCs w:val="22"/>
        </w:rPr>
        <w:t xml:space="preserve">The trading desk is described (§3.6) and its risk architecture is grounded in Kelly theory </w:t>
      </w:r>
      <w:r>
        <w:rPr>
          <w:rFonts w:ascii="Cambria" w:cs="Cambria" w:eastAsia="Cambria" w:hAnsi="Cambria"/>
          <w:color w:val="111111"/>
          <w:sz w:val="22"/>
          <w:szCs w:val="22"/>
        </w:rPr>
        <w:t xml:space="preserve">[82, 104, 105]</w:t>
      </w:r>
      <w:r>
        <w:rPr>
          <w:rFonts w:ascii="Cambria" w:cs="Cambria" w:eastAsia="Cambria" w:hAnsi="Cambria"/>
          <w:color w:val="111111"/>
          <w:sz w:val="22"/>
          <w:szCs w:val="22"/>
        </w:rPr>
        <w:t xml:space="preserve">). It has produced no evidence of profitability, was not evaluated for profitability, and its inclusion in this paper is as a </w:t>
      </w:r>
      <w:r>
        <w:rPr>
          <w:rFonts w:ascii="Cambria" w:cs="Cambria" w:eastAsia="Cambria" w:hAnsi="Cambria"/>
          <w:i/>
          <w:iCs/>
          <w:color w:val="111111"/>
          <w:sz w:val="22"/>
          <w:szCs w:val="22"/>
        </w:rPr>
        <w:t xml:space="preserve">governance</w:t>
      </w:r>
      <w:r>
        <w:rPr>
          <w:rFonts w:ascii="Cambria" w:cs="Cambria" w:eastAsia="Cambria" w:hAnsi="Cambria"/>
          <w:color w:val="111111"/>
          <w:sz w:val="22"/>
          <w:szCs w:val="22"/>
        </w:rPr>
        <w:t xml:space="preserve"> case study — an example of coded rather than prompted constraints — not as a financial result. Full Kelly is provably over-aggressive under estimation error, and an LLM's edge estimates are badly estimated; our quarter-Kelly cap acknowledges this. Readers should draw no inference about whether autonomous trading works. We do not know, and the flash-crash literature </w:t>
      </w:r>
      <w:r>
        <w:rPr>
          <w:rFonts w:ascii="Cambria" w:cs="Cambria" w:eastAsia="Cambria" w:hAnsi="Cambria"/>
          <w:color w:val="111111"/>
          <w:sz w:val="22"/>
          <w:szCs w:val="22"/>
        </w:rPr>
        <w:t xml:space="preserve">[85]</w:t>
      </w:r>
      <w:r>
        <w:rPr>
          <w:rFonts w:ascii="Cambria" w:cs="Cambria" w:eastAsia="Cambria" w:hAnsi="Cambria"/>
          <w:color w:val="111111"/>
          <w:sz w:val="22"/>
          <w:szCs w:val="22"/>
        </w:rPr>
        <w:t xml:space="preserve"> suggests the systemic questions are harder than the individual ones.</w:t>
      </w:r>
    </w:p>
    <w:p>
      <w:pPr>
        <w:pStyle w:val="Heading2"/>
      </w:pPr>
      <w:r>
        <w:t xml:space="preserve">7.8 Thin Literature, Vendor-Reported Evidence, and Date-Sensitivity</w:t>
      </w:r>
    </w:p>
    <w:p>
      <w:pPr>
        <w:spacing w:after="140" w:before="0" w:line="300" w:lineRule="auto"/>
        <w:jc w:val="both"/>
      </w:pPr>
      <w:r>
        <w:rPr>
          <w:rFonts w:ascii="Cambria" w:cs="Cambria" w:eastAsia="Cambria" w:hAnsi="Cambria"/>
          <w:color w:val="111111"/>
          <w:sz w:val="22"/>
          <w:szCs w:val="22"/>
        </w:rPr>
        <w:t xml:space="preserve">Three areas of our evidentiary base are weaker than the rest, and we mark them rather than dress them up. First, we located no peer-reviewed evaluation of Kiwix </w:t>
      </w:r>
      <w:r>
        <w:rPr>
          <w:rFonts w:ascii="Cambria" w:cs="Cambria" w:eastAsia="Cambria" w:hAnsi="Cambria"/>
          <w:color w:val="111111"/>
          <w:sz w:val="22"/>
          <w:szCs w:val="22"/>
        </w:rPr>
        <w:t xml:space="preserve">[86]</w:t>
      </w:r>
      <w:r>
        <w:rPr>
          <w:rFonts w:ascii="Cambria" w:cs="Cambria" w:eastAsia="Cambria" w:hAnsi="Cambria"/>
          <w:color w:val="111111"/>
          <w:sz w:val="22"/>
          <w:szCs w:val="22"/>
        </w:rPr>
        <w:t xml:space="preserve"> and no canonical scholarly treatment of offline-first computing as a systems discipline; the knowledge layer's scholarly grounding therefore rests on RAG's original Wikipedia-index formulation </w:t>
      </w:r>
      <w:r>
        <w:rPr>
          <w:rFonts w:ascii="Cambria" w:cs="Cambria" w:eastAsia="Cambria" w:hAnsi="Cambria"/>
          <w:color w:val="111111"/>
          <w:sz w:val="22"/>
          <w:szCs w:val="22"/>
        </w:rPr>
        <w:t xml:space="preserve">[91]</w:t>
      </w:r>
      <w:r>
        <w:rPr>
          <w:rFonts w:ascii="Cambria" w:cs="Cambria" w:eastAsia="Cambria" w:hAnsi="Cambria"/>
          <w:color w:val="111111"/>
          <w:sz w:val="22"/>
          <w:szCs w:val="22"/>
        </w:rPr>
        <w:t xml:space="preserve"> and on digital-divide work </w:t>
      </w:r>
      <w:r>
        <w:rPr>
          <w:rFonts w:ascii="Cambria" w:cs="Cambria" w:eastAsia="Cambria" w:hAnsi="Cambria"/>
          <w:color w:val="111111"/>
          <w:sz w:val="22"/>
          <w:szCs w:val="22"/>
        </w:rPr>
        <w:t xml:space="preserve">[62, 63, 162]</w:t>
      </w:r>
      <w:r>
        <w:rPr>
          <w:rFonts w:ascii="Cambria" w:cs="Cambria" w:eastAsia="Cambria" w:hAnsi="Cambria"/>
          <w:color w:val="111111"/>
          <w:sz w:val="22"/>
          <w:szCs w:val="22"/>
        </w:rPr>
        <w:t xml:space="preserve"> that is adjacent rather than direct. Second, the regulatory position (§2.11) is in motion: a proposed amendment may delay the EU AI Act's Article 50(2) marking obligation </w:t>
      </w:r>
      <w:r>
        <w:rPr>
          <w:rFonts w:ascii="Cambria" w:cs="Cambria" w:eastAsia="Cambria" w:hAnsi="Cambria"/>
          <w:color w:val="111111"/>
          <w:sz w:val="22"/>
          <w:szCs w:val="22"/>
        </w:rPr>
        <w:t xml:space="preserve">[43]</w:t>
      </w:r>
      <w:r>
        <w:rPr>
          <w:rFonts w:ascii="Cambria" w:cs="Cambria" w:eastAsia="Cambria" w:hAnsi="Cambria"/>
          <w:color w:val="111111"/>
          <w:sz w:val="22"/>
          <w:szCs w:val="22"/>
        </w:rPr>
        <w:t xml:space="preserve">, and we cite the regulation as enacted while flagging that readers must verify current status.</w:t>
      </w:r>
    </w:p>
    <w:p>
      <w:pPr>
        <w:spacing w:after="140" w:before="0" w:line="300" w:lineRule="auto"/>
        <w:jc w:val="both"/>
      </w:pPr>
      <w:r>
        <w:rPr>
          <w:rFonts w:ascii="Cambria" w:cs="Cambria" w:eastAsia="Cambria" w:hAnsi="Cambria"/>
          <w:color w:val="111111"/>
          <w:sz w:val="22"/>
          <w:szCs w:val="22"/>
        </w:rPr>
        <w:t xml:space="preserve">Third, and most pervasive in this revision: the July 2026 model landscape (§7.1, §6.8) rests substantially on </w:t>
      </w:r>
      <w:r>
        <w:rPr>
          <w:rFonts w:ascii="Cambria" w:cs="Cambria" w:eastAsia="Cambria" w:hAnsi="Cambria"/>
          <w:i/>
          <w:iCs/>
          <w:color w:val="111111"/>
          <w:sz w:val="22"/>
          <w:szCs w:val="22"/>
        </w:rPr>
        <w:t xml:space="preserve">vendor-reported</w:t>
      </w:r>
      <w:r>
        <w:rPr>
          <w:rFonts w:ascii="Cambria" w:cs="Cambria" w:eastAsia="Cambria" w:hAnsi="Cambria"/>
          <w:color w:val="111111"/>
          <w:sz w:val="22"/>
          <w:szCs w:val="22"/>
        </w:rPr>
        <w:t xml:space="preserve"> evidence. The models are real — that was verified against primary sources (§4.4.4) — but their benchmark figures are self-reported and, at the time of writing, largely unreproduced by independent evaluators; Fugu's frontier-parity numbers </w:t>
      </w:r>
      <w:r>
        <w:rPr>
          <w:rFonts w:ascii="Cambria" w:cs="Cambria" w:eastAsia="Cambria" w:hAnsi="Cambria"/>
          <w:color w:val="111111"/>
          <w:sz w:val="22"/>
          <w:szCs w:val="22"/>
        </w:rPr>
        <w:t xml:space="preserve">[47]</w:t>
      </w:r>
      <w:r>
        <w:rPr>
          <w:rFonts w:ascii="Cambria" w:cs="Cambria" w:eastAsia="Cambria" w:hAnsi="Cambria"/>
          <w:color w:val="111111"/>
          <w:sz w:val="22"/>
          <w:szCs w:val="22"/>
        </w:rPr>
        <w:t xml:space="preserve"> and the open-weight coding results </w:t>
      </w:r>
      <w:r>
        <w:rPr>
          <w:rFonts w:ascii="Cambria" w:cs="Cambria" w:eastAsia="Cambria" w:hAnsi="Cambria"/>
          <w:color w:val="111111"/>
          <w:sz w:val="22"/>
          <w:szCs w:val="22"/>
        </w:rPr>
        <w:t xml:space="preserve">[31, 113, 186]</w:t>
      </w:r>
      <w:r>
        <w:rPr>
          <w:rFonts w:ascii="Cambria" w:cs="Cambria" w:eastAsia="Cambria" w:hAnsi="Cambria"/>
          <w:color w:val="111111"/>
          <w:sz w:val="22"/>
          <w:szCs w:val="22"/>
        </w:rPr>
        <w:t xml:space="preserve"> are provider claims. The two things a reader should carry from this: existence is verified but performance is not, and “Cognitive Anti-Aliasing” — a technique attributed to a real lab in the source material — could not be confirmed and appears fabricated, joining the nonexistent “Clawglasses WG2” as this project's second documented hallucination. Everything in this paper is also a snapshot: models ship weekly, prices move (§3.9), and a figure accurate in July 2026 may be stale by the time it is read. We date-stamp accordingly and claim no more currency than a dated snapshot can support.</w:t>
      </w:r>
    </w:p>
    <w:p>
      <w:pPr>
        <w:spacing w:after="140" w:before="0" w:line="300" w:lineRule="auto"/>
        <w:jc w:val="both"/>
      </w:pPr>
      <w:r>
        <w:rPr>
          <w:rFonts w:ascii="Cambria" w:cs="Cambria" w:eastAsia="Cambria" w:hAnsi="Cambria"/>
          <w:color w:val="111111"/>
          <w:sz w:val="22"/>
          <w:szCs w:val="22"/>
        </w:rPr>
        <w:t xml:space="preserve">This paper's bibliography is itself tiered for the same reason (see the note following the Abstract). Fifty-four entries were located and cross-referenced during this project's research pass; the remainder are canonical works cited from the established record but not re-verified. We consider publishing that distinction preferable to the alternative, which is a uniform-looking reference list in which the verified and the assumed are indistinguishable — the exact condition that produced the fabricated-model incident of §4.4.1.</w:t>
      </w:r>
    </w:p>
    <w:p>
      <w:pPr>
        <w:pStyle w:val="Heading2"/>
      </w:pPr>
      <w:r>
        <w:t xml:space="preserve">7.9 Construct, Internal, and External Validity</w:t>
      </w:r>
    </w:p>
    <w:p>
      <w:pPr>
        <w:spacing w:after="140" w:before="0" w:line="300" w:lineRule="auto"/>
        <w:jc w:val="both"/>
      </w:pPr>
      <w:r>
        <w:rPr>
          <w:rFonts w:ascii="Cambria" w:cs="Cambria" w:eastAsia="Cambria" w:hAnsi="Cambria"/>
          <w:b/>
          <w:bCs/>
          <w:color w:val="111111"/>
          <w:sz w:val="22"/>
          <w:szCs w:val="22"/>
        </w:rPr>
        <w:t xml:space="preserve">Construct validity. </w:t>
      </w:r>
      <w:r>
        <w:rPr>
          <w:rFonts w:ascii="Cambria" w:cs="Cambria" w:eastAsia="Cambria" w:hAnsi="Cambria"/>
          <w:color w:val="111111"/>
          <w:sz w:val="22"/>
          <w:szCs w:val="22"/>
        </w:rPr>
        <w:t xml:space="preserve">“Capability sufficiency” is operationalized as “the author kept using it,” which is a proxy contaminated by sunk cost and by the absence of a frictionless alternative on the same desk. “Groundedness” is operationalized as a configuration setting rather than a measured faithfulness rate.</w:t>
      </w:r>
    </w:p>
    <w:p>
      <w:pPr>
        <w:spacing w:after="140" w:before="0" w:line="300" w:lineRule="auto"/>
        <w:jc w:val="both"/>
      </w:pPr>
      <w:r>
        <w:rPr>
          <w:rFonts w:ascii="Cambria" w:cs="Cambria" w:eastAsia="Cambria" w:hAnsi="Cambria"/>
          <w:b/>
          <w:bCs/>
          <w:color w:val="111111"/>
          <w:sz w:val="22"/>
          <w:szCs w:val="22"/>
        </w:rPr>
        <w:t xml:space="preserve">Internal validity. </w:t>
      </w:r>
      <w:r>
        <w:rPr>
          <w:rFonts w:ascii="Cambria" w:cs="Cambria" w:eastAsia="Cambria" w:hAnsi="Cambria"/>
          <w:color w:val="111111"/>
          <w:sz w:val="22"/>
          <w:szCs w:val="22"/>
        </w:rPr>
        <w:t xml:space="preserve">No controlled comparison exists between this system and any alternative. The three rebuilds are not a within-subjects design; they are a history. Attributions of causality between constraints and patterns (§6) are argued, not demonstrated.</w:t>
      </w:r>
    </w:p>
    <w:p>
      <w:pPr>
        <w:spacing w:after="140" w:before="0" w:line="300" w:lineRule="auto"/>
        <w:jc w:val="both"/>
      </w:pPr>
      <w:r>
        <w:rPr>
          <w:rFonts w:ascii="Cambria" w:cs="Cambria" w:eastAsia="Cambria" w:hAnsi="Cambria"/>
          <w:b/>
          <w:bCs/>
          <w:color w:val="111111"/>
          <w:sz w:val="22"/>
          <w:szCs w:val="22"/>
        </w:rPr>
        <w:t xml:space="preserve">External validity. </w:t>
      </w:r>
      <w:r>
        <w:rPr>
          <w:rFonts w:ascii="Cambria" w:cs="Cambria" w:eastAsia="Cambria" w:hAnsi="Cambria"/>
          <w:color w:val="111111"/>
          <w:sz w:val="22"/>
          <w:szCs w:val="22"/>
        </w:rPr>
        <w:t xml:space="preserve">One user, one machine, one task profile, eighteen months. Table 1's arithmetic generalizes to any 32 GB unified-memory host; the patterns of §6 are conjectured to generalize to local-first AI deployments broadly; the interaction claims of §6.5 generalize to nothing without a study. We claim analytic generalization to theory </w:t>
      </w:r>
      <w:r>
        <w:rPr>
          <w:rFonts w:ascii="Cambria" w:cs="Cambria" w:eastAsia="Cambria" w:hAnsi="Cambria"/>
          <w:color w:val="111111"/>
          <w:sz w:val="22"/>
          <w:szCs w:val="22"/>
        </w:rPr>
        <w:t xml:space="preserve">[183]</w:t>
      </w:r>
      <w:r>
        <w:rPr>
          <w:rFonts w:ascii="Cambria" w:cs="Cambria" w:eastAsia="Cambria" w:hAnsi="Cambria"/>
          <w:color w:val="111111"/>
          <w:sz w:val="22"/>
          <w:szCs w:val="22"/>
        </w:rPr>
        <w:t xml:space="preserve"> and no more.</w:t>
      </w:r>
    </w:p>
    <w:p>
      <w:pPr>
        <w:pStyle w:val="Heading1"/>
        <w:pageBreakBefore/>
        <w:spacing w:after="180" w:before="240"/>
      </w:pPr>
      <w:r>
        <w:t xml:space="preserve">8. Ethical Considerations</w:t>
      </w:r>
    </w:p>
    <w:p>
      <w:pPr>
        <w:spacing w:after="140" w:before="0" w:line="300" w:lineRule="auto"/>
        <w:jc w:val="both"/>
      </w:pPr>
      <w:r>
        <w:rPr>
          <w:rFonts w:ascii="Cambria" w:cs="Cambria" w:eastAsia="Cambria" w:hAnsi="Cambria"/>
          <w:color w:val="111111"/>
          <w:sz w:val="22"/>
          <w:szCs w:val="22"/>
        </w:rPr>
        <w:t xml:space="preserve">A system that acts autonomously, reads the world, holds a persistent record of a person, and can spend money and move physical objects raises questions that a chatbot does not. We state our positions and the mechanisms that back them, and we distinguish carefully between the two — a position without a mechanism is a preference.</w:t>
      </w:r>
    </w:p>
    <w:p>
      <w:pPr>
        <w:pStyle w:val="Heading2"/>
      </w:pPr>
      <w:r>
        <w:t xml:space="preserve">8.1 Governance as Architecture</w:t>
      </w:r>
    </w:p>
    <w:p>
      <w:pPr>
        <w:spacing w:after="140" w:before="0" w:line="300" w:lineRule="auto"/>
        <w:jc w:val="both"/>
      </w:pPr>
      <w:r>
        <w:rPr>
          <w:rFonts w:ascii="Cambria" w:cs="Cambria" w:eastAsia="Cambria" w:hAnsi="Cambria"/>
          <w:color w:val="111111"/>
          <w:sz w:val="22"/>
          <w:szCs w:val="22"/>
        </w:rPr>
        <w:t xml:space="preserve">The constitution (§3.7, Table 3) is our central ethical claim: that behavioral commitments must be mechanized to count. The AI safety literature has argued versions of this for a decade — concrete problems </w:t>
      </w:r>
      <w:r>
        <w:rPr>
          <w:rFonts w:ascii="Cambria" w:cs="Cambria" w:eastAsia="Cambria" w:hAnsi="Cambria"/>
          <w:color w:val="111111"/>
          <w:sz w:val="22"/>
          <w:szCs w:val="22"/>
        </w:rPr>
        <w:t xml:space="preserve">[8]</w:t>
      </w:r>
      <w:r>
        <w:rPr>
          <w:rFonts w:ascii="Cambria" w:cs="Cambria" w:eastAsia="Cambria" w:hAnsi="Cambria"/>
          <w:color w:val="111111"/>
          <w:sz w:val="22"/>
          <w:szCs w:val="22"/>
        </w:rPr>
        <w:t xml:space="preserve">, safe interruptibility </w:t>
      </w:r>
      <w:r>
        <w:rPr>
          <w:rFonts w:ascii="Cambria" w:cs="Cambria" w:eastAsia="Cambria" w:hAnsi="Cambria"/>
          <w:color w:val="111111"/>
          <w:sz w:val="22"/>
          <w:szCs w:val="22"/>
        </w:rPr>
        <w:t xml:space="preserve">[126]</w:t>
      </w:r>
      <w:r>
        <w:rPr>
          <w:rFonts w:ascii="Cambria" w:cs="Cambria" w:eastAsia="Cambria" w:hAnsi="Cambria"/>
          <w:color w:val="111111"/>
          <w:sz w:val="22"/>
          <w:szCs w:val="22"/>
        </w:rPr>
        <w:t xml:space="preserve">, the off-switch game </w:t>
      </w:r>
      <w:r>
        <w:rPr>
          <w:rFonts w:ascii="Cambria" w:cs="Cambria" w:eastAsia="Cambria" w:hAnsi="Cambria"/>
          <w:color w:val="111111"/>
          <w:sz w:val="22"/>
          <w:szCs w:val="22"/>
        </w:rPr>
        <w:t xml:space="preserve">[56]</w:t>
      </w:r>
      <w:r>
        <w:rPr>
          <w:rFonts w:ascii="Cambria" w:cs="Cambria" w:eastAsia="Cambria" w:hAnsi="Cambria"/>
          <w:color w:val="111111"/>
          <w:sz w:val="22"/>
          <w:szCs w:val="22"/>
        </w:rPr>
        <w:t xml:space="preserve">, the control problem </w:t>
      </w:r>
      <w:r>
        <w:rPr>
          <w:rFonts w:ascii="Cambria" w:cs="Cambria" w:eastAsia="Cambria" w:hAnsi="Cambria"/>
          <w:color w:val="111111"/>
          <w:sz w:val="22"/>
          <w:szCs w:val="22"/>
        </w:rPr>
        <w:t xml:space="preserve">[146]</w:t>
      </w:r>
      <w:r>
        <w:rPr>
          <w:rFonts w:ascii="Cambria" w:cs="Cambria" w:eastAsia="Cambria" w:hAnsi="Cambria"/>
          <w:color w:val="111111"/>
          <w:sz w:val="22"/>
          <w:szCs w:val="22"/>
        </w:rPr>
        <w:t xml:space="preserve"> — and the argument's practical form is simple: a rule enforced by prompt is a request, and an agent operating under distributional shift is the entity least likely to honor a request. A rule enforced by a function call that blocks is a rule.</w:t>
      </w:r>
    </w:p>
    <w:p>
      <w:pPr>
        <w:spacing w:after="140" w:before="0" w:line="300" w:lineRule="auto"/>
        <w:jc w:val="both"/>
      </w:pPr>
      <w:r>
        <w:rPr>
          <w:rFonts w:ascii="Cambria" w:cs="Cambria" w:eastAsia="Cambria" w:hAnsi="Cambria"/>
          <w:color w:val="111111"/>
          <w:sz w:val="22"/>
          <w:szCs w:val="22"/>
        </w:rPr>
        <w:t xml:space="preserve">We hold this to our own system unevenly, and say so. Rules IV, V, VI, XI, and XII are mechanical. Rules II, IX, X, and XIV are editorial — enforced by the author's review, which is to say enforced by a person who is tired sometimes. The ingest gate (§3.4) is policy rather than control. These are real weaknesses. The defensible claim is not that our governance is complete; it is that the rules protecting </w:t>
      </w:r>
      <w:r>
        <w:rPr>
          <w:rFonts w:ascii="Cambria" w:cs="Cambria" w:eastAsia="Cambria" w:hAnsi="Cambria"/>
          <w:i/>
          <w:iCs/>
          <w:color w:val="111111"/>
          <w:sz w:val="22"/>
          <w:szCs w:val="22"/>
        </w:rPr>
        <w:t xml:space="preserve">irreversible</w:t>
      </w:r>
      <w:r>
        <w:rPr>
          <w:rFonts w:ascii="Cambria" w:cs="Cambria" w:eastAsia="Cambria" w:hAnsi="Cambria"/>
          <w:color w:val="111111"/>
          <w:sz w:val="22"/>
          <w:szCs w:val="22"/>
        </w:rPr>
        <w:t xml:space="preserve"> outcomes are mechanical, and that this is the correct place to spend the engineering.</w:t>
      </w:r>
    </w:p>
    <w:p>
      <w:pPr>
        <w:pStyle w:val="Heading2"/>
      </w:pPr>
      <w:r>
        <w:t xml:space="preserve">8.2 Provenance as Obligation</w:t>
      </w:r>
    </w:p>
    <w:p>
      <w:pPr>
        <w:spacing w:after="140" w:before="0" w:line="300" w:lineRule="auto"/>
        <w:jc w:val="both"/>
      </w:pPr>
      <w:r>
        <w:rPr>
          <w:rFonts w:ascii="Cambria" w:cs="Cambria" w:eastAsia="Cambria" w:hAnsi="Cambria"/>
          <w:color w:val="111111"/>
          <w:sz w:val="22"/>
          <w:szCs w:val="22"/>
        </w:rPr>
        <w:t xml:space="preserve">Rule VII requires C2PA credentials </w:t>
      </w:r>
      <w:r>
        <w:rPr>
          <w:rFonts w:ascii="Cambria" w:cs="Cambria" w:eastAsia="Cambria" w:hAnsi="Cambria"/>
          <w:color w:val="111111"/>
          <w:sz w:val="22"/>
          <w:szCs w:val="22"/>
        </w:rPr>
        <w:t xml:space="preserve">[25]</w:t>
      </w:r>
      <w:r>
        <w:rPr>
          <w:rFonts w:ascii="Cambria" w:cs="Cambria" w:eastAsia="Cambria" w:hAnsi="Cambria"/>
          <w:color w:val="111111"/>
          <w:sz w:val="22"/>
          <w:szCs w:val="22"/>
        </w:rPr>
        <w:t xml:space="preserve"> on AI-assisted published output. The EU AI Act </w:t>
      </w:r>
      <w:r>
        <w:rPr>
          <w:rFonts w:ascii="Cambria" w:cs="Cambria" w:eastAsia="Cambria" w:hAnsi="Cambria"/>
          <w:color w:val="111111"/>
          <w:sz w:val="22"/>
          <w:szCs w:val="22"/>
        </w:rPr>
        <w:t xml:space="preserve">[43]</w:t>
      </w:r>
      <w:r>
        <w:rPr>
          <w:rFonts w:ascii="Cambria" w:cs="Cambria" w:eastAsia="Cambria" w:hAnsi="Cambria"/>
          <w:color w:val="111111"/>
          <w:sz w:val="22"/>
          <w:szCs w:val="22"/>
        </w:rPr>
        <w:t xml:space="preserve"> makes this legally binding from 2 August 2026 for systems in scope, but we adopted it before the deadline and would hold it without one. The reasoning is that the harm from synthetic media is not primarily deception of the sophisticated; it is the erosion of the default assumption that a recording depicts something that happened </w:t>
      </w:r>
      <w:r>
        <w:rPr>
          <w:rFonts w:ascii="Cambria" w:cs="Cambria" w:eastAsia="Cambria" w:hAnsi="Cambria"/>
          <w:color w:val="111111"/>
          <w:sz w:val="22"/>
          <w:szCs w:val="22"/>
        </w:rPr>
        <w:t xml:space="preserve">[23]</w:t>
      </w:r>
      <w:r>
        <w:rPr>
          <w:rFonts w:ascii="Cambria" w:cs="Cambria" w:eastAsia="Cambria" w:hAnsi="Cambria"/>
          <w:color w:val="111111"/>
          <w:sz w:val="22"/>
          <w:szCs w:val="22"/>
        </w:rPr>
        <w:t xml:space="preserve">. Watermarking research </w:t>
      </w:r>
      <w:r>
        <w:rPr>
          <w:rFonts w:ascii="Cambria" w:cs="Cambria" w:eastAsia="Cambria" w:hAnsi="Cambria"/>
          <w:color w:val="111111"/>
          <w:sz w:val="22"/>
          <w:szCs w:val="22"/>
        </w:rPr>
        <w:t xml:space="preserve">[84]</w:t>
      </w:r>
      <w:r>
        <w:rPr>
          <w:rFonts w:ascii="Cambria" w:cs="Cambria" w:eastAsia="Cambria" w:hAnsi="Cambria"/>
          <w:color w:val="111111"/>
          <w:sz w:val="22"/>
          <w:szCs w:val="22"/>
        </w:rPr>
        <w:t xml:space="preserve"> attacks the same problem from the generation side.</w:t>
      </w:r>
    </w:p>
    <w:p>
      <w:pPr>
        <w:spacing w:after="140" w:before="0" w:line="300" w:lineRule="auto"/>
        <w:jc w:val="both"/>
      </w:pPr>
      <w:r>
        <w:rPr>
          <w:rFonts w:ascii="Cambria" w:cs="Cambria" w:eastAsia="Cambria" w:hAnsi="Cambria"/>
          <w:color w:val="111111"/>
          <w:sz w:val="22"/>
          <w:szCs w:val="22"/>
        </w:rPr>
        <w:t xml:space="preserve">An honest note on friction: provenance signing is annoying, the tooling is immature, and the temptation to skip it on a small post is constant. We record this because ethics sections tend to describe commitments as if they were costless, and this one is not.</w:t>
      </w:r>
    </w:p>
    <w:p>
      <w:pPr>
        <w:pStyle w:val="Heading2"/>
      </w:pPr>
      <w:r>
        <w:t xml:space="preserve">8.3 Security Operations</w:t>
      </w:r>
    </w:p>
    <w:p>
      <w:pPr>
        <w:spacing w:after="140" w:before="0" w:line="300" w:lineRule="auto"/>
        <w:jc w:val="both"/>
      </w:pPr>
      <w:r>
        <w:rPr>
          <w:rFonts w:ascii="Cambria" w:cs="Cambria" w:eastAsia="Cambria" w:hAnsi="Cambria"/>
          <w:color w:val="111111"/>
          <w:sz w:val="22"/>
          <w:szCs w:val="22"/>
        </w:rPr>
        <w:t xml:space="preserve">The Kali node (§3.5) is bridged into the agent framework, which means an autonomous system has access to offensive security tooling. Our position is procedural and narrow: authorized targets only, on hardware the author owns, with no action taken without human confirmation. The node is firewalled from Council infrastructure per Rule XII </w:t>
      </w:r>
      <w:r>
        <w:rPr>
          <w:rFonts w:ascii="Cambria" w:cs="Cambria" w:eastAsia="Cambria" w:hAnsi="Cambria"/>
          <w:color w:val="111111"/>
          <w:sz w:val="22"/>
          <w:szCs w:val="22"/>
        </w:rPr>
        <w:t xml:space="preserve">[148]</w:t>
      </w:r>
      <w:r>
        <w:rPr>
          <w:rFonts w:ascii="Cambria" w:cs="Cambria" w:eastAsia="Cambria" w:hAnsi="Cambria"/>
          <w:color w:val="111111"/>
          <w:sz w:val="22"/>
          <w:szCs w:val="22"/>
        </w:rPr>
        <w:t xml:space="preserve">.</w:t>
      </w:r>
    </w:p>
    <w:p>
      <w:pPr>
        <w:spacing w:after="140" w:before="0" w:line="300" w:lineRule="auto"/>
        <w:jc w:val="both"/>
      </w:pPr>
      <w:r>
        <w:rPr>
          <w:rFonts w:ascii="Cambria" w:cs="Cambria" w:eastAsia="Cambria" w:hAnsi="Cambria"/>
          <w:color w:val="111111"/>
          <w:sz w:val="22"/>
          <w:szCs w:val="22"/>
        </w:rPr>
        <w:t xml:space="preserve">We are aware this is the least comfortable component to publish and have considered omitting it. We include it because omitting it would misrepresent the artifact, and because the dual-use character of AI-assisted security tooling is a real question the field has not settled. The mitigation we can defend — human confirmation on every action — is exactly the Rule IV gate, and its adequacy rests on the gate being mechanical rather than aspirational. We note the obvious: a person who removed that gate would have something meaningfully more dangerous, and the code that stops them is one commit away from not existing.</w:t>
      </w:r>
    </w:p>
    <w:p>
      <w:pPr>
        <w:pStyle w:val="Heading2"/>
      </w:pPr>
      <w:r>
        <w:t xml:space="preserve">8.4 The Injection Finding, as Ethics</w:t>
      </w:r>
    </w:p>
    <w:p>
      <w:pPr>
        <w:spacing w:after="140" w:before="0" w:line="300" w:lineRule="auto"/>
        <w:jc w:val="both"/>
      </w:pPr>
      <w:r>
        <w:rPr>
          <w:rFonts w:ascii="Cambria" w:cs="Cambria" w:eastAsia="Cambria" w:hAnsi="Cambria"/>
          <w:color w:val="111111"/>
          <w:sz w:val="22"/>
          <w:szCs w:val="22"/>
        </w:rPr>
        <w:t xml:space="preserve">§4.4.3 reports that this paper was written under sustained indirect prompt injection </w:t>
      </w:r>
      <w:r>
        <w:rPr>
          <w:rFonts w:ascii="Cambria" w:cs="Cambria" w:eastAsia="Cambria" w:hAnsi="Cambria"/>
          <w:color w:val="111111"/>
          <w:sz w:val="22"/>
          <w:szCs w:val="22"/>
        </w:rPr>
        <w:t xml:space="preserve">[53]</w:t>
      </w:r>
      <w:r>
        <w:rPr>
          <w:rFonts w:ascii="Cambria" w:cs="Cambria" w:eastAsia="Cambria" w:hAnsi="Cambria"/>
          <w:color w:val="111111"/>
          <w:sz w:val="22"/>
          <w:szCs w:val="22"/>
        </w:rPr>
        <w:t xml:space="preserve">. The ethical content of that finding is not that injection exists — the literature established that </w:t>
      </w:r>
      <w:r>
        <w:rPr>
          <w:rFonts w:ascii="Cambria" w:cs="Cambria" w:eastAsia="Cambria" w:hAnsi="Cambria"/>
          <w:color w:val="111111"/>
          <w:sz w:val="22"/>
          <w:szCs w:val="22"/>
        </w:rPr>
        <w:t xml:space="preserve">[30, 53, 184]</w:t>
      </w:r>
      <w:r>
        <w:rPr>
          <w:rFonts w:ascii="Cambria" w:cs="Cambria" w:eastAsia="Cambria" w:hAnsi="Cambria"/>
          <w:color w:val="111111"/>
          <w:sz w:val="22"/>
          <w:szCs w:val="22"/>
        </w:rPr>
        <w:t xml:space="preserve"> — but that the effective defense was procedural. A human noticed a pattern, named it, and instructed the assistant to flag and ignore it every time. No technical control was involved. Instruction-hierarchy training </w:t>
      </w:r>
      <w:r>
        <w:rPr>
          <w:rFonts w:ascii="Cambria" w:cs="Cambria" w:eastAsia="Cambria" w:hAnsi="Cambria"/>
          <w:color w:val="111111"/>
          <w:sz w:val="22"/>
          <w:szCs w:val="22"/>
        </w:rPr>
        <w:t xml:space="preserve">[166]</w:t>
      </w:r>
      <w:r>
        <w:rPr>
          <w:rFonts w:ascii="Cambria" w:cs="Cambria" w:eastAsia="Cambria" w:hAnsi="Cambria"/>
          <w:color w:val="111111"/>
          <w:sz w:val="22"/>
          <w:szCs w:val="22"/>
        </w:rPr>
        <w:t xml:space="preserve"> is a promising mitigation and is not a solution.</w:t>
      </w:r>
    </w:p>
    <w:p>
      <w:pPr>
        <w:spacing w:after="140" w:before="0" w:line="300" w:lineRule="auto"/>
        <w:jc w:val="both"/>
      </w:pPr>
      <w:r>
        <w:rPr>
          <w:rFonts w:ascii="Cambria" w:cs="Cambria" w:eastAsia="Cambria" w:hAnsi="Cambria"/>
          <w:color w:val="111111"/>
          <w:sz w:val="22"/>
          <w:szCs w:val="22"/>
        </w:rPr>
        <w:t xml:space="preserve">The implication for anyone deploying agents that read untrusted content is uncomfortable: as of 2026, the reliable defense against an agent being instructed by its inputs is a human who is paying attention. That does not scale, and the fact that it does not scale is the argument for keeping the human gate on anything irreversible rather than automating the oversight.</w:t>
      </w:r>
    </w:p>
    <w:p>
      <w:pPr>
        <w:pStyle w:val="Heading2"/>
      </w:pPr>
      <w:r>
        <w:t xml:space="preserve">8.5 What We Refuse</w:t>
      </w:r>
    </w:p>
    <w:p>
      <w:pPr>
        <w:spacing w:after="140" w:before="0" w:line="300" w:lineRule="auto"/>
        <w:jc w:val="both"/>
      </w:pPr>
      <w:r>
        <w:rPr>
          <w:rFonts w:ascii="Cambria" w:cs="Cambria" w:eastAsia="Cambria" w:hAnsi="Cambria"/>
          <w:color w:val="111111"/>
          <w:sz w:val="22"/>
          <w:szCs w:val="22"/>
        </w:rPr>
        <w:t xml:space="preserve">Rule IV's gate list — money, deletion, publication, physical actuation — is the boundary of the system's autonomy, and it is drawn at irreversibility rather than at risk. The system may draft anything and publish nothing. It may generate a thesis and place no capital. It may plan a flight and arm no motor. The asymmetry is deliberate: reversible errors are how a system learns, and irreversible ones are how a person gets hurt.</w:t>
      </w:r>
    </w:p>
    <w:p>
      <w:pPr>
        <w:spacing w:after="140" w:before="0" w:line="300" w:lineRule="auto"/>
        <w:jc w:val="both"/>
      </w:pPr>
      <w:r>
        <w:rPr>
          <w:rFonts w:ascii="Cambria" w:cs="Cambria" w:eastAsia="Cambria" w:hAnsi="Cambria"/>
          <w:color w:val="111111"/>
          <w:sz w:val="22"/>
          <w:szCs w:val="22"/>
        </w:rPr>
        <w:t xml:space="preserve">Also refused, and recorded here because absence is invisible: the corpus admits no third-party personal data (§3.4); the divisions do not touch biomedical or clinical inference; the legacy-device terminals are segmented from anything holding a credential. These are scope decisions rather than technical achievements, and they are the cheapest safety available.</w:t>
      </w:r>
    </w:p>
    <w:p>
      <w:pPr>
        <w:pStyle w:val="Heading1"/>
        <w:pageBreakBefore/>
        <w:spacing w:after="180" w:before="240"/>
      </w:pPr>
      <w:r>
        <w:t xml:space="preserve">9. Future Work</w:t>
      </w:r>
    </w:p>
    <w:p>
      <w:pPr>
        <w:spacing w:after="140" w:before="0" w:line="300" w:lineRule="auto"/>
        <w:jc w:val="both"/>
      </w:pPr>
      <w:r>
        <w:rPr>
          <w:rFonts w:ascii="Cambria" w:cs="Cambria" w:eastAsia="Cambria" w:hAnsi="Cambria"/>
          <w:color w:val="111111"/>
          <w:sz w:val="22"/>
          <w:szCs w:val="22"/>
        </w:rPr>
        <w:t xml:space="preserve">The limitations of §7 are the work plan. We list what would most change our confidence, ordered by how much it would change it.</w:t>
      </w:r>
    </w:p>
    <w:p>
      <w:pPr>
        <w:pStyle w:val="ListParagraph"/>
        <w:numPr>
          <w:ilvl w:val="0"/>
          <w:numId w:val="2"/>
        </w:numPr>
        <w:spacing w:after="80" w:line="290" w:lineRule="auto"/>
      </w:pPr>
      <w:r>
        <w:rPr>
          <w:rFonts w:ascii="Cambria" w:cs="Cambria" w:eastAsia="Cambria" w:hAnsi="Cambria"/>
          <w:b/>
          <w:bCs/>
          <w:color w:val="111111"/>
          <w:sz w:val="22"/>
          <w:szCs w:val="22"/>
        </w:rPr>
        <w:t xml:space="preserve">Measure the gap we assumed. </w:t>
      </w:r>
      <w:r>
        <w:rPr>
          <w:rFonts w:ascii="Cambria" w:cs="Cambria" w:eastAsia="Cambria" w:hAnsi="Cambria"/>
          <w:color w:val="111111"/>
          <w:sz w:val="22"/>
          <w:szCs w:val="22"/>
        </w:rPr>
        <w:t xml:space="preserve">§5.2 and §7.1 characterize our own capability ceiling from published literature rather than measurement. A benchmark of our actual local configurations against a frontier model on the author's real task distribution is the single highest-value missing artifact, and its absence is the paper's largest methodological hole.</w:t>
      </w:r>
    </w:p>
    <w:p>
      <w:pPr>
        <w:pStyle w:val="ListParagraph"/>
        <w:numPr>
          <w:ilvl w:val="0"/>
          <w:numId w:val="2"/>
        </w:numPr>
        <w:spacing w:after="80" w:line="290" w:lineRule="auto"/>
      </w:pPr>
      <w:r>
        <w:rPr>
          <w:rFonts w:ascii="Cambria" w:cs="Cambria" w:eastAsia="Cambria" w:hAnsi="Cambria"/>
          <w:b/>
          <w:bCs/>
          <w:color w:val="111111"/>
          <w:sz w:val="22"/>
          <w:szCs w:val="22"/>
        </w:rPr>
        <w:t xml:space="preserve">Test the embodiment hypothesis rather than asserting it. </w:t>
      </w:r>
      <w:r>
        <w:rPr>
          <w:rFonts w:ascii="Cambria" w:cs="Cambria" w:eastAsia="Cambria" w:hAnsi="Cambria"/>
          <w:color w:val="111111"/>
          <w:sz w:val="22"/>
          <w:szCs w:val="22"/>
        </w:rPr>
        <w:t xml:space="preserve">§6.5.3 conjectures that embodiment miscalibrates trust more when the underlying model is weaker. This is testable with a within-subjects design comparing text, voice, and avatar interfaces over identical model configurations, with Godspeed </w:t>
      </w:r>
      <w:r>
        <w:rPr>
          <w:rFonts w:ascii="Cambria" w:cs="Cambria" w:eastAsia="Cambria" w:hAnsi="Cambria"/>
          <w:color w:val="111111"/>
          <w:sz w:val="22"/>
          <w:szCs w:val="22"/>
        </w:rPr>
        <w:t xml:space="preserve">[12]</w:t>
      </w:r>
      <w:r>
        <w:rPr>
          <w:rFonts w:ascii="Cambria" w:cs="Cambria" w:eastAsia="Cambria" w:hAnsi="Cambria"/>
          <w:color w:val="111111"/>
          <w:sz w:val="22"/>
          <w:szCs w:val="22"/>
        </w:rPr>
        <w:t xml:space="preserve"> and reliance measures. It is the study this paper should have run.</w:t>
      </w:r>
    </w:p>
    <w:p>
      <w:pPr>
        <w:pStyle w:val="ListParagraph"/>
        <w:numPr>
          <w:ilvl w:val="0"/>
          <w:numId w:val="2"/>
        </w:numPr>
        <w:spacing w:after="80" w:line="290" w:lineRule="auto"/>
      </w:pPr>
      <w:r>
        <w:rPr>
          <w:rFonts w:ascii="Cambria" w:cs="Cambria" w:eastAsia="Cambria" w:hAnsi="Cambria"/>
          <w:b/>
          <w:bCs/>
          <w:color w:val="111111"/>
          <w:sz w:val="22"/>
          <w:szCs w:val="22"/>
        </w:rPr>
        <w:t xml:space="preserve">Test the custodianship claim. </w:t>
      </w:r>
      <w:r>
        <w:rPr>
          <w:rFonts w:ascii="Cambria" w:cs="Cambria" w:eastAsia="Cambria" w:hAnsi="Cambria"/>
          <w:color w:val="111111"/>
          <w:sz w:val="22"/>
          <w:szCs w:val="22"/>
        </w:rPr>
        <w:t xml:space="preserve">§6.5.2 predicts, from Lee and See </w:t>
      </w:r>
      <w:r>
        <w:rPr>
          <w:rFonts w:ascii="Cambria" w:cs="Cambria" w:eastAsia="Cambria" w:hAnsi="Cambria"/>
          <w:color w:val="111111"/>
          <w:sz w:val="22"/>
          <w:szCs w:val="22"/>
        </w:rPr>
        <w:t xml:space="preserve">[89]</w:t>
      </w:r>
      <w:r>
        <w:rPr>
          <w:rFonts w:ascii="Cambria" w:cs="Cambria" w:eastAsia="Cambria" w:hAnsi="Cambria"/>
          <w:color w:val="111111"/>
          <w:sz w:val="22"/>
          <w:szCs w:val="22"/>
        </w:rPr>
        <w:t xml:space="preserve">), that memory inspectability improves trust calibration bidirectionally. A study contrasting inspectable and opaque agent memory would confirm or kill it.</w:t>
      </w:r>
    </w:p>
    <w:p>
      <w:pPr>
        <w:pStyle w:val="ListParagraph"/>
        <w:numPr>
          <w:ilvl w:val="0"/>
          <w:numId w:val="2"/>
        </w:numPr>
        <w:spacing w:after="80" w:line="290" w:lineRule="auto"/>
      </w:pPr>
      <w:r>
        <w:rPr>
          <w:rFonts w:ascii="Cambria" w:cs="Cambria" w:eastAsia="Cambria" w:hAnsi="Cambria"/>
          <w:b/>
          <w:bCs/>
          <w:color w:val="111111"/>
          <w:sz w:val="22"/>
          <w:szCs w:val="22"/>
        </w:rPr>
        <w:t xml:space="preserve">Measure groundedness. </w:t>
      </w:r>
      <w:r>
        <w:rPr>
          <w:rFonts w:ascii="Cambria" w:cs="Cambria" w:eastAsia="Cambria" w:hAnsi="Cambria"/>
          <w:color w:val="111111"/>
          <w:sz w:val="22"/>
          <w:szCs w:val="22"/>
        </w:rPr>
        <w:t xml:space="preserve">RAGAS </w:t>
      </w:r>
      <w:r>
        <w:rPr>
          <w:rFonts w:ascii="Cambria" w:cs="Cambria" w:eastAsia="Cambria" w:hAnsi="Cambria"/>
          <w:color w:val="111111"/>
          <w:sz w:val="22"/>
          <w:szCs w:val="22"/>
        </w:rPr>
        <w:t xml:space="preserve">[42]</w:t>
      </w:r>
      <w:r>
        <w:rPr>
          <w:rFonts w:ascii="Cambria" w:cs="Cambria" w:eastAsia="Cambria" w:hAnsi="Cambria"/>
          <w:color w:val="111111"/>
          <w:sz w:val="22"/>
          <w:szCs w:val="22"/>
        </w:rPr>
        <w:t xml:space="preserve"> or equivalent on the corpus, producing a faithfulness rate rather than a configuration claim (§5.4).</w:t>
      </w:r>
    </w:p>
    <w:p>
      <w:pPr>
        <w:pStyle w:val="ListParagraph"/>
        <w:numPr>
          <w:ilvl w:val="0"/>
          <w:numId w:val="2"/>
        </w:numPr>
        <w:spacing w:after="80" w:line="290" w:lineRule="auto"/>
      </w:pPr>
      <w:r>
        <w:rPr>
          <w:rFonts w:ascii="Cambria" w:cs="Cambria" w:eastAsia="Cambria" w:hAnsi="Cambria"/>
          <w:b/>
          <w:bCs/>
          <w:color w:val="111111"/>
          <w:sz w:val="22"/>
          <w:szCs w:val="22"/>
        </w:rPr>
        <w:t xml:space="preserve">Address memory drift. </w:t>
      </w:r>
      <w:r>
        <w:rPr>
          <w:rFonts w:ascii="Cambria" w:cs="Cambria" w:eastAsia="Cambria" w:hAnsi="Cambria"/>
          <w:color w:val="111111"/>
          <w:sz w:val="22"/>
          <w:szCs w:val="22"/>
        </w:rPr>
        <w:t xml:space="preserve">A-Mem </w:t>
      </w:r>
      <w:r>
        <w:rPr>
          <w:rFonts w:ascii="Cambria" w:cs="Cambria" w:eastAsia="Cambria" w:hAnsi="Cambria"/>
          <w:color w:val="111111"/>
          <w:sz w:val="22"/>
          <w:szCs w:val="22"/>
        </w:rPr>
        <w:t xml:space="preserve">[179]</w:t>
      </w:r>
      <w:r>
        <w:rPr>
          <w:rFonts w:ascii="Cambria" w:cs="Cambria" w:eastAsia="Cambria" w:hAnsi="Cambria"/>
          <w:color w:val="111111"/>
          <w:sz w:val="22"/>
          <w:szCs w:val="22"/>
        </w:rPr>
        <w:t xml:space="preserve"> documents the compounding-summarization failure our memory layer inherits. Their approach, or an evaluation of it against ours, is concrete follow-on work.</w:t>
      </w:r>
    </w:p>
    <w:p>
      <w:pPr>
        <w:pStyle w:val="ListParagraph"/>
        <w:numPr>
          <w:ilvl w:val="0"/>
          <w:numId w:val="2"/>
        </w:numPr>
        <w:spacing w:after="80" w:line="290" w:lineRule="auto"/>
      </w:pPr>
      <w:r>
        <w:rPr>
          <w:rFonts w:ascii="Cambria" w:cs="Cambria" w:eastAsia="Cambria" w:hAnsi="Cambria"/>
          <w:b/>
          <w:bCs/>
          <w:color w:val="111111"/>
          <w:sz w:val="22"/>
          <w:szCs w:val="22"/>
        </w:rPr>
        <w:t xml:space="preserve">Finish the fleet honestly. </w:t>
      </w:r>
      <w:r>
        <w:rPr>
          <w:rFonts w:ascii="Cambria" w:cs="Cambria" w:eastAsia="Cambria" w:hAnsi="Cambria"/>
          <w:color w:val="111111"/>
          <w:sz w:val="22"/>
          <w:szCs w:val="22"/>
        </w:rPr>
        <w:t xml:space="preserve">The drone and avatar are designed, not built (§3.5). Completing them would let §6.5's interaction claims be tested rather than argued — and would subject the offboard-compute concession of §7.4 to a real latency budget.</w:t>
      </w:r>
    </w:p>
    <w:p>
      <w:pPr>
        <w:pStyle w:val="ListParagraph"/>
        <w:numPr>
          <w:ilvl w:val="0"/>
          <w:numId w:val="2"/>
        </w:numPr>
        <w:spacing w:after="80" w:line="290" w:lineRule="auto"/>
      </w:pPr>
      <w:r>
        <w:rPr>
          <w:rFonts w:ascii="Cambria" w:cs="Cambria" w:eastAsia="Cambria" w:hAnsi="Cambria"/>
          <w:b/>
          <w:bCs/>
          <w:color w:val="111111"/>
          <w:sz w:val="22"/>
          <w:szCs w:val="22"/>
        </w:rPr>
        <w:t xml:space="preserve">Find or produce the missing literature. </w:t>
      </w:r>
      <w:r>
        <w:rPr>
          <w:rFonts w:ascii="Cambria" w:cs="Cambria" w:eastAsia="Cambria" w:hAnsi="Cambria"/>
          <w:color w:val="111111"/>
          <w:sz w:val="22"/>
          <w:szCs w:val="22"/>
        </w:rPr>
        <w:t xml:space="preserve">§7.8 flags the absence of peer-reviewed offline-first systems scholarship. Given the digital-divide evidence that access inequality is durable </w:t>
      </w:r>
      <w:r>
        <w:rPr>
          <w:rFonts w:ascii="Cambria" w:cs="Cambria" w:eastAsia="Cambria" w:hAnsi="Cambria"/>
          <w:color w:val="111111"/>
          <w:sz w:val="22"/>
          <w:szCs w:val="22"/>
        </w:rPr>
        <w:t xml:space="preserve">[63]</w:t>
      </w:r>
      <w:r>
        <w:rPr>
          <w:rFonts w:ascii="Cambria" w:cs="Cambria" w:eastAsia="Cambria" w:hAnsi="Cambria"/>
          <w:color w:val="111111"/>
          <w:sz w:val="22"/>
          <w:szCs w:val="22"/>
        </w:rPr>
        <w:t xml:space="preserve">), an evaluation of offline retrieval deployments seems both tractable and overdue.</w:t>
      </w:r>
    </w:p>
    <w:p>
      <w:pPr>
        <w:spacing w:after="140" w:before="0" w:line="300" w:lineRule="auto"/>
        <w:jc w:val="both"/>
      </w:pPr>
      <w:r>
        <w:rPr>
          <w:rFonts w:ascii="Cambria" w:cs="Cambria" w:eastAsia="Cambria" w:hAnsi="Cambria"/>
          <w:color w:val="111111"/>
          <w:sz w:val="22"/>
          <w:szCs w:val="22"/>
        </w:rPr>
        <w:t xml:space="preserve">A structural note. Items 1–4 are studies; items 5–7 are engineering. The ratio is the correct diagnosis of this paper: it is an artifact with a theory attached, and what it most needs is not more artifact.</w:t>
      </w:r>
    </w:p>
    <w:p>
      <w:pPr>
        <w:pStyle w:val="Heading1"/>
        <w:pageBreakBefore/>
        <w:spacing w:after="180" w:before="240"/>
      </w:pPr>
      <w:r>
        <w:t xml:space="preserve">10. Conclusion</w:t>
      </w:r>
    </w:p>
    <w:p>
      <w:pPr>
        <w:spacing w:after="140" w:before="0" w:line="300" w:lineRule="auto"/>
        <w:jc w:val="both"/>
      </w:pPr>
      <w:r>
        <w:rPr>
          <w:rFonts w:ascii="Cambria" w:cs="Cambria" w:eastAsia="Cambria" w:hAnsi="Cambria"/>
          <w:color w:val="111111"/>
          <w:sz w:val="22"/>
          <w:szCs w:val="22"/>
        </w:rPr>
        <w:t xml:space="preserve">We asked what kind of human–machine relationship becomes possible when the machine is local, persistent, plural, and embodied. Having built one and lived with it for eighteen months, the answer we can defend is narrower than the one we wanted, and more interesting.</w:t>
      </w:r>
    </w:p>
    <w:p>
      <w:pPr>
        <w:spacing w:after="140" w:before="0" w:line="300" w:lineRule="auto"/>
        <w:jc w:val="both"/>
      </w:pPr>
      <w:r>
        <w:rPr>
          <w:rFonts w:ascii="Cambria" w:cs="Cambria" w:eastAsia="Cambria" w:hAnsi="Cambria"/>
          <w:color w:val="111111"/>
          <w:sz w:val="22"/>
          <w:szCs w:val="22"/>
        </w:rPr>
        <w:t xml:space="preserve">Local-first, embodied, multi-agent AI on commodity hardware is feasible. Not aspirationally — the system runs, does real work, and does it with the network interface down. The ceiling is real, and it is arithmetic rather than opinion: one large model at a time, 32 GB is 32 GB, a 30B model and a modern game do not coexist (Tables 1, 4). Stating that ceiling honestly turns out not to be a concession but a feature, because a legible constraint is a trust-calibration instrument </w:t>
      </w:r>
      <w:r>
        <w:rPr>
          <w:rFonts w:ascii="Cambria" w:cs="Cambria" w:eastAsia="Cambria" w:hAnsi="Cambria"/>
          <w:color w:val="111111"/>
          <w:sz w:val="22"/>
          <w:szCs w:val="22"/>
        </w:rPr>
        <w:t xml:space="preserve">[89]</w:t>
      </w:r>
      <w:r>
        <w:rPr>
          <w:rFonts w:ascii="Cambria" w:cs="Cambria" w:eastAsia="Cambria" w:hAnsi="Cambria"/>
          <w:color w:val="111111"/>
          <w:sz w:val="22"/>
          <w:szCs w:val="22"/>
        </w:rPr>
        <w:t xml:space="preserve"> that rented intelligence structurally cannot offer.</w:t>
      </w:r>
    </w:p>
    <w:p>
      <w:pPr>
        <w:spacing w:after="140" w:before="0" w:line="300" w:lineRule="auto"/>
        <w:jc w:val="both"/>
      </w:pPr>
      <w:r>
        <w:rPr>
          <w:rFonts w:ascii="Cambria" w:cs="Cambria" w:eastAsia="Cambria" w:hAnsi="Cambria"/>
          <w:color w:val="111111"/>
          <w:sz w:val="22"/>
          <w:szCs w:val="22"/>
        </w:rPr>
        <w:t xml:space="preserve">The constraints produced patterns that a cloud architecture never encounters: the two-mode doctrine, which makes resource contention scheduled rather than catastrophic; the honest ceiling, which makes capability arithmetic rather than marketing; the post-work heartbeat, which makes agent status a side effect of work rather than a timer — rediscovering, through failure, what Norman </w:t>
      </w:r>
      <w:r>
        <w:rPr>
          <w:rFonts w:ascii="Cambria" w:cs="Cambria" w:eastAsia="Cambria" w:hAnsi="Cambria"/>
          <w:color w:val="111111"/>
          <w:sz w:val="22"/>
          <w:szCs w:val="22"/>
        </w:rPr>
        <w:t xml:space="preserve">[121]</w:t>
      </w:r>
      <w:r>
        <w:rPr>
          <w:rFonts w:ascii="Cambria" w:cs="Cambria" w:eastAsia="Cambria" w:hAnsi="Cambria"/>
          <w:color w:val="111111"/>
          <w:sz w:val="22"/>
          <w:szCs w:val="22"/>
        </w:rPr>
        <w:t xml:space="preserve"> published in 1990; and the documented exit, which makes dependency reversible. We believe these generalize to local-first AI broadly, and we have shown that they are forced rather than chosen.</w:t>
      </w:r>
    </w:p>
    <w:p>
      <w:pPr>
        <w:spacing w:after="140" w:before="0" w:line="300" w:lineRule="auto"/>
        <w:jc w:val="both"/>
      </w:pPr>
      <w:r>
        <w:rPr>
          <w:rFonts w:ascii="Cambria" w:cs="Cambria" w:eastAsia="Cambria" w:hAnsi="Cambria"/>
          <w:color w:val="111111"/>
          <w:sz w:val="22"/>
          <w:szCs w:val="22"/>
        </w:rPr>
        <w:t xml:space="preserve">The thesis fails in specific, documented places, and we regard reporting them as the paper's most useful contribution. Local models are measurably less capable than frontier models </w:t>
      </w:r>
      <w:r>
        <w:rPr>
          <w:rFonts w:ascii="Cambria" w:cs="Cambria" w:eastAsia="Cambria" w:hAnsi="Cambria"/>
          <w:color w:val="111111"/>
          <w:sz w:val="22"/>
          <w:szCs w:val="22"/>
        </w:rPr>
        <w:t xml:space="preserve">[2, 65]</w:t>
      </w:r>
      <w:r>
        <w:rPr>
          <w:rFonts w:ascii="Cambria" w:cs="Cambria" w:eastAsia="Cambria" w:hAnsi="Cambria"/>
          <w:color w:val="111111"/>
          <w:sz w:val="22"/>
          <w:szCs w:val="22"/>
        </w:rPr>
        <w:t xml:space="preserve">, and we did not even measure our own gap. Quantization is not free below four bits </w:t>
      </w:r>
      <w:r>
        <w:rPr>
          <w:rFonts w:ascii="Cambria" w:cs="Cambria" w:eastAsia="Cambria" w:hAnsi="Cambria"/>
          <w:color w:val="111111"/>
          <w:sz w:val="22"/>
          <w:szCs w:val="22"/>
        </w:rPr>
        <w:t xml:space="preserve">[34]</w:t>
      </w:r>
      <w:r>
        <w:rPr>
          <w:rFonts w:ascii="Cambria" w:cs="Cambria" w:eastAsia="Cambria" w:hAnsi="Cambria"/>
          <w:color w:val="111111"/>
          <w:sz w:val="22"/>
          <w:szCs w:val="22"/>
        </w:rPr>
        <w:t xml:space="preserve">). Embodiment does not reliably help and may hurt </w:t>
      </w:r>
      <w:r>
        <w:rPr>
          <w:rFonts w:ascii="Cambria" w:cs="Cambria" w:eastAsia="Cambria" w:hAnsi="Cambria"/>
          <w:color w:val="111111"/>
          <w:sz w:val="22"/>
          <w:szCs w:val="22"/>
        </w:rPr>
        <w:t xml:space="preserve">[144]</w:t>
      </w:r>
      <w:r>
        <w:rPr>
          <w:rFonts w:ascii="Cambria" w:cs="Cambria" w:eastAsia="Cambria" w:hAnsi="Cambria"/>
          <w:color w:val="111111"/>
          <w:sz w:val="22"/>
          <w:szCs w:val="22"/>
        </w:rPr>
        <w:t xml:space="preserve">). The frontier of embodied AI runs off-board at 1–3 Hz on multi-TPU infrastructure </w:t>
      </w:r>
      <w:r>
        <w:rPr>
          <w:rFonts w:ascii="Cambria" w:cs="Cambria" w:eastAsia="Cambria" w:hAnsi="Cambria"/>
          <w:color w:val="111111"/>
          <w:sz w:val="22"/>
          <w:szCs w:val="22"/>
        </w:rPr>
        <w:t xml:space="preserve">[189]</w:t>
      </w:r>
      <w:r>
        <w:rPr>
          <w:rFonts w:ascii="Cambria" w:cs="Cambria" w:eastAsia="Cambria" w:hAnsi="Cambria"/>
          <w:color w:val="111111"/>
          <w:sz w:val="22"/>
          <w:szCs w:val="22"/>
        </w:rPr>
        <w:t xml:space="preserve">), which contradicts local-first at the fleet's edge. A local system is a free rider on the datacenter training it declines to depend on. And the whole thing was evaluated by the person who built it, wanted it to work, and wrote the criteria.</w:t>
      </w:r>
    </w:p>
    <w:p>
      <w:pPr>
        <w:spacing w:after="140" w:before="0" w:line="300" w:lineRule="auto"/>
        <w:jc w:val="both"/>
      </w:pPr>
      <w:r>
        <w:rPr>
          <w:rFonts w:ascii="Cambria" w:cs="Cambria" w:eastAsia="Cambria" w:hAnsi="Cambria"/>
          <w:color w:val="111111"/>
          <w:sz w:val="22"/>
          <w:szCs w:val="22"/>
        </w:rPr>
        <w:t xml:space="preserve">What survives all of that is the claim we opened with. Local-first embodied multi-agent AI is a </w:t>
      </w:r>
      <w:r>
        <w:rPr>
          <w:rFonts w:ascii="Cambria" w:cs="Cambria" w:eastAsia="Cambria" w:hAnsi="Cambria"/>
          <w:b/>
          <w:bCs/>
          <w:color w:val="111111"/>
          <w:sz w:val="22"/>
          <w:szCs w:val="22"/>
        </w:rPr>
        <w:t xml:space="preserve">viable and meaningfully distinct design point</w:t>
      </w:r>
      <w:r>
        <w:rPr>
          <w:rFonts w:ascii="Cambria" w:cs="Cambria" w:eastAsia="Cambria" w:hAnsi="Cambria"/>
          <w:color w:val="111111"/>
          <w:sz w:val="22"/>
          <w:szCs w:val="22"/>
        </w:rPr>
        <w:t xml:space="preserve"> — not superior, not a compromise, but a different position in a real tradeoff space whose axes are ownership, capability, resilience, and trust. For a user who needs the best available reasoning, the datacenter wins and nothing here argues otherwise. For a user who needs to own the memory, read the constraint, fix the failure, or keep working when the network does not, the basement is now a place where a capable machine can actually live. That option did not exist in 2022. It exists now, it costs real capability, and the cost is worth naming precisely rather than hiding — which has been, throughout, the entire point.</w:t>
      </w:r>
    </w:p>
    <w:p>
      <w:pPr>
        <w:spacing w:after="140"/>
      </w:pPr>
      <w:r>
        <w:rPr>
          <w:rFonts w:ascii="Cambria" w:cs="Cambria" w:eastAsia="Cambria" w:hAnsi="Cambria"/>
          <w:color w:val="111111"/>
          <w:sz w:val="22"/>
          <w:szCs w:val="22"/>
        </w:rPr>
        <w:t xml:space="preserve"/>
      </w:r>
    </w:p>
    <w:p>
      <w:pPr>
        <w:spacing w:after="140" w:before="0" w:line="300" w:lineRule="auto"/>
        <w:jc w:val="both"/>
      </w:pPr>
      <w:r>
        <w:rPr>
          <w:rFonts w:ascii="Cambria" w:cs="Cambria" w:eastAsia="Cambria" w:hAnsi="Cambria"/>
          <w:b/>
          <w:bCs/>
          <w:i/>
          <w:iCs/>
          <w:color w:val="111111"/>
          <w:sz w:val="22"/>
          <w:szCs w:val="22"/>
        </w:rPr>
        <w:t xml:space="preserve">Reproducibility statement. </w:t>
      </w:r>
      <w:r>
        <w:rPr>
          <w:rFonts w:ascii="Cambria" w:cs="Cambria" w:eastAsia="Cambria" w:hAnsi="Cambria"/>
          <w:i/>
          <w:iCs/>
          <w:color w:val="111111"/>
          <w:sz w:val="22"/>
          <w:szCs w:val="22"/>
        </w:rPr>
        <w:t xml:space="preserve">The artifact is documented across six technical volumes covering hardware, both architectures, the Council, the trading desk, the fleet, and operations, including the migration paths required by Rule XIV. The arithmetic in Tables 1 and 4 is reproducible on any 32 GB unified-memory host. The models, corpus, and frameworks are open-weights or open-source and named in §3. What is not reproducible is the sustained-use evidence of §5.2, which is one person's eighteen months.</w:t>
      </w:r>
    </w:p>
    <w:p>
      <w:pPr>
        <w:pStyle w:val="Heading1"/>
        <w:pageBreakBefore/>
        <w:spacing w:after="180" w:before="240"/>
      </w:pPr>
      <w:r>
        <w:t xml:space="preserve">References</w:t>
      </w:r>
    </w:p>
    <w:p>
      <w:pPr>
        <w:spacing w:after="140" w:before="0" w:line="300" w:lineRule="auto"/>
        <w:jc w:val="both"/>
      </w:pPr>
      <w:r>
        <w:rPr>
          <w:rFonts w:ascii="Cambria" w:cs="Cambria" w:eastAsia="Cambria" w:hAnsi="Cambria"/>
          <w:color w:val="111111"/>
          <w:sz w:val="22"/>
          <w:szCs w:val="22"/>
        </w:rPr>
        <w:t xml:space="preserve">Entries marked </w:t>
      </w:r>
      <w:r>
        <w:rPr>
          <w:rFonts w:ascii="Cambria" w:cs="Cambria" w:eastAsia="Cambria" w:hAnsi="Cambria"/>
          <w:b/>
          <w:bCs/>
          <w:color w:val="1F7A3D"/>
          <w:sz w:val="22"/>
          <w:szCs w:val="22"/>
        </w:rPr>
        <w:t xml:space="preserve">●</w:t>
      </w:r>
      <w:r>
        <w:rPr>
          <w:rFonts w:ascii="Cambria" w:cs="Cambria" w:eastAsia="Cambria" w:hAnsi="Cambria"/>
          <w:color w:val="111111"/>
          <w:sz w:val="22"/>
          <w:szCs w:val="22"/>
        </w:rPr>
        <w:t xml:space="preserve"> were located and cross-referenced against primary venues (arXiv, ACL Anthology, ACM Digital Library, NeurIPS/PMLR proceedings, journal pages, and standards bodies) during the research pass conducted for this paper. Unmarked entries are canonical works of their fields, cited from the established record but </w:t>
      </w:r>
      <w:r>
        <w:rPr>
          <w:rFonts w:ascii="Cambria" w:cs="Cambria" w:eastAsia="Cambria" w:hAnsi="Cambria"/>
          <w:i/>
          <w:iCs/>
          <w:color w:val="111111"/>
          <w:sz w:val="22"/>
          <w:szCs w:val="22"/>
        </w:rPr>
        <w:t xml:space="preserve">not re-verified in that pass</w:t>
      </w:r>
      <w:r>
        <w:rPr>
          <w:rFonts w:ascii="Cambria" w:cs="Cambria" w:eastAsia="Cambria" w:hAnsi="Cambria"/>
          <w:color w:val="111111"/>
          <w:sz w:val="22"/>
          <w:szCs w:val="22"/>
        </w:rPr>
        <w:t xml:space="preserve">; readers depending on exact page ranges, identifiers, or venue details should confirm them independently. Where no DOI is listed, none was confirmed — an arXiv identifier is given instead rather than a fabricated one. This tiering is a deliberate application of Constitution Rule IX (§3.7) to the paper's own bibliography, for the reasons given in §4.4.1.</w:t>
      </w:r>
    </w:p>
    <w:p>
      <w:pPr>
        <w:spacing w:after="100"/>
      </w:pPr>
      <w:r>
        <w:rPr>
          <w:rFonts w:ascii="Cambria" w:cs="Cambria" w:eastAsia="Cambria" w:hAnsi="Cambria"/>
          <w:color w:val="111111"/>
          <w:sz w:val="22"/>
          <w:szCs w:val="22"/>
        </w:rPr>
        <w:t xml:space="preserve"/>
      </w:r>
    </w:p>
    <w:p>
      <w:pPr>
        <w:spacing w:after="70" w:line="250" w:lineRule="auto"/>
        <w:ind w:left="520" w:hanging="520"/>
        <w:jc w:val="left"/>
      </w:pPr>
      <w:r>
        <w:rPr>
          <w:rFonts w:ascii="Cambria" w:cs="Cambria" w:eastAsia="Cambria" w:hAnsi="Cambria"/>
          <w:b/>
          <w:bCs/>
          <w:color w:val="111111"/>
          <w:sz w:val="19"/>
          <w:szCs w:val="19"/>
        </w:rPr>
        <w:t xml:space="preserve">[1]  </w:t>
      </w:r>
      <w:r>
        <w:rPr>
          <w:rFonts w:ascii="Cambria" w:cs="Cambria" w:eastAsia="Cambria" w:hAnsi="Cambria"/>
          <w:color w:val="111111"/>
          <w:sz w:val="19"/>
          <w:szCs w:val="19"/>
        </w:rPr>
        <w:t xml:space="preserve">Abadi, M., Chu, A., Goodfellow, I., McMahan, H. B., Mironov, I., Talwar, K., &amp; Zhang, L. (2016). Deep Learning with Differential Privacy. Proceedings of the ACM SIGSAC Conference on Computer and Communications Security (CCS). doi:10.1145/2976749.2978318</w:t>
      </w:r>
    </w:p>
    <w:p>
      <w:pPr>
        <w:spacing w:after="70" w:line="250" w:lineRule="auto"/>
        <w:ind w:left="520" w:hanging="520"/>
        <w:jc w:val="left"/>
      </w:pPr>
      <w:r>
        <w:rPr>
          <w:rFonts w:ascii="Cambria" w:cs="Cambria" w:eastAsia="Cambria" w:hAnsi="Cambria"/>
          <w:b/>
          <w:bCs/>
          <w:color w:val="111111"/>
          <w:sz w:val="19"/>
          <w:szCs w:val="19"/>
        </w:rPr>
        <w:t xml:space="preserve">[2]  </w:t>
      </w:r>
      <w:r>
        <w:rPr>
          <w:rFonts w:ascii="Cambria" w:cs="Cambria" w:eastAsia="Cambria" w:hAnsi="Cambria"/>
          <w:color w:val="111111"/>
          <w:sz w:val="19"/>
          <w:szCs w:val="19"/>
        </w:rPr>
        <w:t xml:space="preserve">Abdin, M., et al. (2024). Phi-3 Technical Report: A Highly Capable Language Model Locally on Your Phone. arXiv preprint. arXiv:2404.14219</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[3]  </w:t>
      </w:r>
      <w:r>
        <w:rPr>
          <w:rFonts w:ascii="Cambria" w:cs="Cambria" w:eastAsia="Cambria" w:hAnsi="Cambria"/>
          <w:color w:val="111111"/>
          <w:sz w:val="19"/>
          <w:szCs w:val="19"/>
        </w:rPr>
        <w:t xml:space="preserve">Abowd, G. D., &amp; Mynatt, E. D. (2000). Charting Past, Present, and Future Research in Ubiquitous Computing. ACM Transactions on Computer-Human Interaction (TOCHI), 7(1), 29–58. doi:10.1145/344949.344988</w:t>
      </w:r>
    </w:p>
    <w:p>
      <w:pPr>
        <w:spacing w:after="70" w:line="250" w:lineRule="auto"/>
        <w:ind w:left="520" w:hanging="520"/>
        <w:jc w:val="left"/>
      </w:pPr>
      <w:r>
        <w:rPr>
          <w:rFonts w:ascii="Cambria" w:cs="Cambria" w:eastAsia="Cambria" w:hAnsi="Cambria"/>
          <w:b/>
          <w:bCs/>
          <w:color w:val="111111"/>
          <w:sz w:val="19"/>
          <w:szCs w:val="19"/>
        </w:rPr>
        <w:t xml:space="preserve">[4]  </w:t>
      </w:r>
      <w:r>
        <w:rPr>
          <w:rFonts w:ascii="Cambria" w:cs="Cambria" w:eastAsia="Cambria" w:hAnsi="Cambria"/>
          <w:color w:val="111111"/>
          <w:sz w:val="19"/>
          <w:szCs w:val="19"/>
        </w:rPr>
        <w:t xml:space="preserve">Ahn, M., et al. (2022). Do As I Can, Not As I Say: Grounding Language in Robotic Affordances (SayCan). Conference on Robot Learning (CoRL). arXiv:2204.01691</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[5]  </w:t>
      </w:r>
      <w:r>
        <w:rPr>
          <w:rFonts w:ascii="Cambria" w:cs="Cambria" w:eastAsia="Cambria" w:hAnsi="Cambria"/>
          <w:color w:val="111111"/>
          <w:sz w:val="19"/>
          <w:szCs w:val="19"/>
        </w:rPr>
        <w:t xml:space="preserve">Akiba, T., Shing, M., Tang, Y., Sun, Q., &amp; Ha, D. (2024). Evolutionary Optimization of Model Merging Recipes. Nature Machine Intelligence. doi:10.1038/s42256-024-00975-8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[6]  </w:t>
      </w:r>
      <w:r>
        <w:rPr>
          <w:rFonts w:ascii="Cambria" w:cs="Cambria" w:eastAsia="Cambria" w:hAnsi="Cambria"/>
          <w:color w:val="111111"/>
          <w:sz w:val="19"/>
          <w:szCs w:val="19"/>
        </w:rPr>
        <w:t xml:space="preserve">Alibaba (Qwen Team) (2026). Qwen3.8-Max-Preview (claimed ~2.4T; no model card, license, or active-parameter count disclosed as of preview). Alibaba [preview announcement, 19 Jul 2026; specifications UNCONFIRMED].</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[7]  </w:t>
      </w:r>
      <w:r>
        <w:rPr>
          <w:rFonts w:ascii="Cambria" w:cs="Cambria" w:eastAsia="Cambria" w:hAnsi="Cambria"/>
          <w:color w:val="111111"/>
          <w:sz w:val="19"/>
          <w:szCs w:val="19"/>
        </w:rPr>
        <w:t xml:space="preserve">Amershi, S., Weld, D., Vorvoreanu, M., Fourney, A., Nushi, B., Collisson, P., Suh, J., Iqbal, S., Bennett, P. N., Inkpen, K., Teevan, J., Kikin-Gil, R., &amp; Horvitz, E. (2019). Guidelines for Human-AI Interaction. Proceedings of the CHI Conference on Human Factors in Computing Systems. doi:10.1145/3290605.3300233</w:t>
      </w:r>
    </w:p>
    <w:p>
      <w:pPr>
        <w:spacing w:after="70" w:line="250" w:lineRule="auto"/>
        <w:ind w:left="520" w:hanging="520"/>
        <w:jc w:val="left"/>
      </w:pPr>
      <w:r>
        <w:rPr>
          <w:rFonts w:ascii="Cambria" w:cs="Cambria" w:eastAsia="Cambria" w:hAnsi="Cambria"/>
          <w:b/>
          <w:bCs/>
          <w:color w:val="111111"/>
          <w:sz w:val="19"/>
          <w:szCs w:val="19"/>
        </w:rPr>
        <w:t xml:space="preserve">[8]  </w:t>
      </w:r>
      <w:r>
        <w:rPr>
          <w:rFonts w:ascii="Cambria" w:cs="Cambria" w:eastAsia="Cambria" w:hAnsi="Cambria"/>
          <w:color w:val="111111"/>
          <w:sz w:val="19"/>
          <w:szCs w:val="19"/>
        </w:rPr>
        <w:t xml:space="preserve">Amodei, D., Olah, C., Steinhardt, J., Christiano, P., Schulman, J., &amp; Mané, D. (2016). Concrete Problems in AI Safety. arXiv preprint. arXiv:1606.06565</w:t>
      </w:r>
    </w:p>
    <w:p>
      <w:pPr>
        <w:spacing w:after="70" w:line="250" w:lineRule="auto"/>
        <w:ind w:left="520" w:hanging="520"/>
        <w:jc w:val="left"/>
      </w:pPr>
      <w:r>
        <w:rPr>
          <w:rFonts w:ascii="Cambria" w:cs="Cambria" w:eastAsia="Cambria" w:hAnsi="Cambria"/>
          <w:b/>
          <w:bCs/>
          <w:color w:val="111111"/>
          <w:sz w:val="19"/>
          <w:szCs w:val="19"/>
        </w:rPr>
        <w:t xml:space="preserve">[9]  </w:t>
      </w:r>
      <w:r>
        <w:rPr>
          <w:rFonts w:ascii="Cambria" w:cs="Cambria" w:eastAsia="Cambria" w:hAnsi="Cambria"/>
          <w:color w:val="111111"/>
          <w:sz w:val="19"/>
          <w:szCs w:val="19"/>
        </w:rPr>
        <w:t xml:space="preserve">Artificial Analysis (2026). Artificial Analysis Intelligence Index and LMArena Leaderboards (competitive standings, mid-2026). Artificial Analysis / LMArena [aggregator; composite of vendor-reported and independent evaluations]. artificialanalysis.ai</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[10]  </w:t>
      </w:r>
      <w:r>
        <w:rPr>
          <w:rFonts w:ascii="Cambria" w:cs="Cambria" w:eastAsia="Cambria" w:hAnsi="Cambria"/>
          <w:color w:val="111111"/>
          <w:sz w:val="19"/>
          <w:szCs w:val="19"/>
        </w:rPr>
        <w:t xml:space="preserve">Asai, A., Wu, Z., Wang, Y., Sil, A., &amp; Hajishirzi, H. (2024). Self-RAG: Learning to Retrieve, Generate, and Critique through Self-Reflection. International Conference on Learning Representations (ICLR). arXiv:2310.11511</w:t>
      </w:r>
    </w:p>
    <w:p>
      <w:pPr>
        <w:spacing w:after="70" w:line="250" w:lineRule="auto"/>
        <w:ind w:left="520" w:hanging="520"/>
        <w:jc w:val="left"/>
      </w:pPr>
      <w:r>
        <w:rPr>
          <w:rFonts w:ascii="Cambria" w:cs="Cambria" w:eastAsia="Cambria" w:hAnsi="Cambria"/>
          <w:b/>
          <w:bCs/>
          <w:color w:val="111111"/>
          <w:sz w:val="19"/>
          <w:szCs w:val="19"/>
        </w:rPr>
        <w:t xml:space="preserve">[11]  </w:t>
      </w:r>
      <w:r>
        <w:rPr>
          <w:rFonts w:ascii="Cambria" w:cs="Cambria" w:eastAsia="Cambria" w:hAnsi="Cambria"/>
          <w:color w:val="111111"/>
          <w:sz w:val="19"/>
          <w:szCs w:val="19"/>
        </w:rPr>
        <w:t xml:space="preserve">Bansal, G., Wu, T., Zhou, J., Fok, R., Nushi, B., Kamar, E., Ribeiro, M. T., &amp; Weld, D. (2021). Does the Whole Exceed its Parts? The Effect of AI Explanations on Complementary Team Performance. Proceedings of CHI. doi:10.1145/3411764.3445717</w:t>
      </w:r>
    </w:p>
    <w:p>
      <w:pPr>
        <w:spacing w:after="70" w:line="250" w:lineRule="auto"/>
        <w:ind w:left="520" w:hanging="520"/>
        <w:jc w:val="left"/>
      </w:pPr>
      <w:r>
        <w:rPr>
          <w:rFonts w:ascii="Cambria" w:cs="Cambria" w:eastAsia="Cambria" w:hAnsi="Cambria"/>
          <w:b/>
          <w:bCs/>
          <w:color w:val="111111"/>
          <w:sz w:val="19"/>
          <w:szCs w:val="19"/>
        </w:rPr>
        <w:t xml:space="preserve">[12]  </w:t>
      </w:r>
      <w:r>
        <w:rPr>
          <w:rFonts w:ascii="Cambria" w:cs="Cambria" w:eastAsia="Cambria" w:hAnsi="Cambria"/>
          <w:color w:val="111111"/>
          <w:sz w:val="19"/>
          <w:szCs w:val="19"/>
        </w:rPr>
        <w:t xml:space="preserve">Bartneck, C., Kulić, D., Croft, E., &amp; Zoghbi, S. (2009). Measurement Instruments for the Anthropomorphism, Animacy, Likeability, Perceived Intelligence, and Perceived Safety of Robots. International Journal of Social Robotics, 1(1), 71–81. doi:10.1007/s12369-008-0001-3</w:t>
      </w:r>
    </w:p>
    <w:p>
      <w:pPr>
        <w:spacing w:after="70" w:line="250" w:lineRule="auto"/>
        <w:ind w:left="520" w:hanging="520"/>
        <w:jc w:val="left"/>
      </w:pPr>
      <w:r>
        <w:rPr>
          <w:rFonts w:ascii="Cambria" w:cs="Cambria" w:eastAsia="Cambria" w:hAnsi="Cambria"/>
          <w:b/>
          <w:bCs/>
          <w:color w:val="111111"/>
          <w:sz w:val="19"/>
          <w:szCs w:val="19"/>
        </w:rPr>
        <w:t xml:space="preserve">[13]  </w:t>
      </w:r>
      <w:r>
        <w:rPr>
          <w:rFonts w:ascii="Cambria" w:cs="Cambria" w:eastAsia="Cambria" w:hAnsi="Cambria"/>
          <w:color w:val="111111"/>
          <w:sz w:val="19"/>
          <w:szCs w:val="19"/>
        </w:rPr>
        <w:t xml:space="preserve">BattlEye (2026). Statement on Virtual-Machine Countermeasures. BattlEye (@TheBattlEye) [official statement; anti-cheat detects and blocks virtualization].</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[14]  </w:t>
      </w:r>
      <w:r>
        <w:rPr>
          <w:rFonts w:ascii="Cambria" w:cs="Cambria" w:eastAsia="Cambria" w:hAnsi="Cambria"/>
          <w:color w:val="111111"/>
          <w:sz w:val="19"/>
          <w:szCs w:val="19"/>
        </w:rPr>
        <w:t xml:space="preserve">Bender, E. M., Gebru, T., McMillan-Major, A., &amp; Shmitchell, S. (2021). On the Dangers of Stochastic Parrots: Can Language Models Be Too Big?. Proceedings of the ACM Conference on Fairness, Accountability, and Transparency (FAccT). doi:10.1145/3442188.3445922</w:t>
      </w:r>
    </w:p>
    <w:p>
      <w:pPr>
        <w:spacing w:after="70" w:line="250" w:lineRule="auto"/>
        <w:ind w:left="520" w:hanging="520"/>
        <w:jc w:val="left"/>
      </w:pPr>
      <w:r>
        <w:rPr>
          <w:rFonts w:ascii="Cambria" w:cs="Cambria" w:eastAsia="Cambria" w:hAnsi="Cambria"/>
          <w:b/>
          <w:bCs/>
          <w:color w:val="111111"/>
          <w:sz w:val="19"/>
          <w:szCs w:val="19"/>
        </w:rPr>
        <w:t xml:space="preserve">[15]  </w:t>
      </w:r>
      <w:r>
        <w:rPr>
          <w:rFonts w:ascii="Cambria" w:cs="Cambria" w:eastAsia="Cambria" w:hAnsi="Cambria"/>
          <w:color w:val="111111"/>
          <w:sz w:val="19"/>
          <w:szCs w:val="19"/>
        </w:rPr>
        <w:t xml:space="preserve">Bonawitz, K., Ivanov, V., Kreuter, B., Marcedone, A., McMahan, H. B., Patel, S., Ramage, D., Segal, A., &amp; Seth, K. (2017). Practical Secure Aggregation for Privacy-Preserving Machine Learning. Proceedings of ACM CCS. doi:10.1145/3133956.3133982</w:t>
      </w:r>
    </w:p>
    <w:p>
      <w:pPr>
        <w:spacing w:after="70" w:line="250" w:lineRule="auto"/>
        <w:ind w:left="520" w:hanging="520"/>
        <w:jc w:val="left"/>
      </w:pPr>
      <w:r>
        <w:rPr>
          <w:rFonts w:ascii="Cambria" w:cs="Cambria" w:eastAsia="Cambria" w:hAnsi="Cambria"/>
          <w:b/>
          <w:bCs/>
          <w:color w:val="111111"/>
          <w:sz w:val="19"/>
          <w:szCs w:val="19"/>
        </w:rPr>
        <w:t xml:space="preserve">[16]  </w:t>
      </w:r>
      <w:r>
        <w:rPr>
          <w:rFonts w:ascii="Cambria" w:cs="Cambria" w:eastAsia="Cambria" w:hAnsi="Cambria"/>
          <w:color w:val="111111"/>
          <w:sz w:val="19"/>
          <w:szCs w:val="19"/>
        </w:rPr>
        <w:t xml:space="preserve">Brohan, A., et al. (2022). RT-1: Robotics Transformer for Real-World Control at Scale. arXiv preprint. arXiv:2212.06817</w:t>
      </w:r>
    </w:p>
    <w:p>
      <w:pPr>
        <w:spacing w:after="70" w:line="250" w:lineRule="auto"/>
        <w:ind w:left="520" w:hanging="520"/>
        <w:jc w:val="left"/>
      </w:pPr>
      <w:r>
        <w:rPr>
          <w:rFonts w:ascii="Cambria" w:cs="Cambria" w:eastAsia="Cambria" w:hAnsi="Cambria"/>
          <w:b/>
          <w:bCs/>
          <w:color w:val="111111"/>
          <w:sz w:val="19"/>
          <w:szCs w:val="19"/>
        </w:rPr>
        <w:t xml:space="preserve">[17]  </w:t>
      </w:r>
      <w:r>
        <w:rPr>
          <w:rFonts w:ascii="Cambria" w:cs="Cambria" w:eastAsia="Cambria" w:hAnsi="Cambria"/>
          <w:color w:val="111111"/>
          <w:sz w:val="19"/>
          <w:szCs w:val="19"/>
        </w:rPr>
        <w:t xml:space="preserve">Brown, T. B., et al. (2020). Language Models are Few-Shot Learners. Advances in Neural Information Processing Systems (NeurIPS). arXiv:2005.14165</w:t>
      </w:r>
    </w:p>
    <w:p>
      <w:pPr>
        <w:spacing w:after="70" w:line="250" w:lineRule="auto"/>
        <w:ind w:left="520" w:hanging="520"/>
        <w:jc w:val="left"/>
      </w:pPr>
      <w:r>
        <w:rPr>
          <w:rFonts w:ascii="Cambria" w:cs="Cambria" w:eastAsia="Cambria" w:hAnsi="Cambria"/>
          <w:b/>
          <w:bCs/>
          <w:color w:val="111111"/>
          <w:sz w:val="19"/>
          <w:szCs w:val="19"/>
        </w:rPr>
        <w:t xml:space="preserve">[18]  </w:t>
      </w:r>
      <w:r>
        <w:rPr>
          <w:rFonts w:ascii="Cambria" w:cs="Cambria" w:eastAsia="Cambria" w:hAnsi="Cambria"/>
          <w:color w:val="111111"/>
          <w:sz w:val="19"/>
          <w:szCs w:val="19"/>
        </w:rPr>
        <w:t xml:space="preserve">Buçinca, Z., Malaya, M. B., &amp; Gajos, K. Z. (2021). To Trust or to Think: Cognitive Forcing Functions Can Reduce Overreliance on AI in AI-assisted Decision-making. Proceedings of the ACM on Human-Computer Interaction (CSCW). doi:10.1145/3449287</w:t>
      </w:r>
    </w:p>
    <w:p>
      <w:pPr>
        <w:spacing w:after="70" w:line="250" w:lineRule="auto"/>
        <w:ind w:left="520" w:hanging="520"/>
        <w:jc w:val="left"/>
      </w:pPr>
      <w:r>
        <w:rPr>
          <w:rFonts w:ascii="Cambria" w:cs="Cambria" w:eastAsia="Cambria" w:hAnsi="Cambria"/>
          <w:b/>
          <w:bCs/>
          <w:color w:val="111111"/>
          <w:sz w:val="19"/>
          <w:szCs w:val="19"/>
        </w:rPr>
        <w:t xml:space="preserve">[19]  </w:t>
      </w:r>
      <w:r>
        <w:rPr>
          <w:rFonts w:ascii="Cambria" w:cs="Cambria" w:eastAsia="Cambria" w:hAnsi="Cambria"/>
          <w:color w:val="111111"/>
          <w:sz w:val="19"/>
          <w:szCs w:val="19"/>
        </w:rPr>
        <w:t xml:space="preserve">Cadena, C., Carlone, L., Carrillo, H., Latif, Y., Scaramuzza, D., Neira, J., Reid, I., &amp; Leonard, J. J. (2016). Past, Present, and Future of Simultaneous Localization and Mapping: Toward the Robust-Perception Age. IEEE Transactions on Robotics, 32(6), 1309–1332. doi:10.1109/TRO.2016.2624754</w:t>
      </w:r>
    </w:p>
    <w:p>
      <w:pPr>
        <w:spacing w:after="70" w:line="250" w:lineRule="auto"/>
        <w:ind w:left="520" w:hanging="520"/>
        <w:jc w:val="left"/>
      </w:pPr>
      <w:r>
        <w:rPr>
          <w:rFonts w:ascii="Cambria" w:cs="Cambria" w:eastAsia="Cambria" w:hAnsi="Cambria"/>
          <w:b/>
          <w:bCs/>
          <w:color w:val="111111"/>
          <w:sz w:val="19"/>
          <w:szCs w:val="19"/>
        </w:rPr>
        <w:t xml:space="preserve">[20]  </w:t>
      </w:r>
      <w:r>
        <w:rPr>
          <w:rFonts w:ascii="Cambria" w:cs="Cambria" w:eastAsia="Cambria" w:hAnsi="Cambria"/>
          <w:color w:val="111111"/>
          <w:sz w:val="19"/>
          <w:szCs w:val="19"/>
        </w:rPr>
        <w:t xml:space="preserve">Carlini, N., Tramèr, F., Wallace, E., Jagielski, M., Herbert-Voss, A., Lee, K., Roberts, A., Brown, T., Song, D., Erlingsson, Ú., Oprea, A., &amp; Raffel, C. (2021). Extracting Training Data from Large Language Models. Proceedings of the 30th USENIX Security Symposium. arXiv:2012.07805</w:t>
      </w:r>
    </w:p>
    <w:p>
      <w:pPr>
        <w:spacing w:after="70" w:line="250" w:lineRule="auto"/>
        <w:ind w:left="520" w:hanging="520"/>
        <w:jc w:val="left"/>
      </w:pPr>
      <w:r>
        <w:rPr>
          <w:rFonts w:ascii="Cambria" w:cs="Cambria" w:eastAsia="Cambria" w:hAnsi="Cambria"/>
          <w:b/>
          <w:bCs/>
          <w:color w:val="111111"/>
          <w:sz w:val="19"/>
          <w:szCs w:val="19"/>
        </w:rPr>
        <w:t xml:space="preserve">[21]  </w:t>
      </w:r>
      <w:r>
        <w:rPr>
          <w:rFonts w:ascii="Cambria" w:cs="Cambria" w:eastAsia="Cambria" w:hAnsi="Cambria"/>
          <w:color w:val="111111"/>
          <w:sz w:val="19"/>
          <w:szCs w:val="19"/>
        </w:rPr>
        <w:t xml:space="preserve">Chen, C., Borgeaud, S., Irving, G., Lespiau, J.-B., Sifre, L., &amp; Jumper, J. (2023). Accelerating Large Language Model Decoding with Speculative Sampling. arXiv preprint. arXiv:2302.01318</w:t>
      </w:r>
    </w:p>
    <w:p>
      <w:pPr>
        <w:spacing w:after="70" w:line="250" w:lineRule="auto"/>
        <w:ind w:left="520" w:hanging="520"/>
        <w:jc w:val="left"/>
      </w:pPr>
      <w:r>
        <w:rPr>
          <w:rFonts w:ascii="Cambria" w:cs="Cambria" w:eastAsia="Cambria" w:hAnsi="Cambria"/>
          <w:b/>
          <w:bCs/>
          <w:color w:val="111111"/>
          <w:sz w:val="19"/>
          <w:szCs w:val="19"/>
        </w:rPr>
        <w:t xml:space="preserve">[22]  </w:t>
      </w:r>
      <w:r>
        <w:rPr>
          <w:rFonts w:ascii="Cambria" w:cs="Cambria" w:eastAsia="Cambria" w:hAnsi="Cambria"/>
          <w:color w:val="111111"/>
          <w:sz w:val="19"/>
          <w:szCs w:val="19"/>
        </w:rPr>
        <w:t xml:space="preserve">Chen, L., Zaharia, M., &amp; Zou, J. (2023). FrugalGPT: How to Use Large Language Models While Reducing Cost and Improving Performance. arXiv preprint. arXiv:2305.05176</w:t>
      </w:r>
    </w:p>
    <w:p>
      <w:pPr>
        <w:spacing w:after="70" w:line="250" w:lineRule="auto"/>
        <w:ind w:left="520" w:hanging="520"/>
        <w:jc w:val="left"/>
      </w:pPr>
      <w:r>
        <w:rPr>
          <w:rFonts w:ascii="Cambria" w:cs="Cambria" w:eastAsia="Cambria" w:hAnsi="Cambria"/>
          <w:b/>
          <w:bCs/>
          <w:color w:val="111111"/>
          <w:sz w:val="19"/>
          <w:szCs w:val="19"/>
        </w:rPr>
        <w:t xml:space="preserve">[23]  </w:t>
      </w:r>
      <w:r>
        <w:rPr>
          <w:rFonts w:ascii="Cambria" w:cs="Cambria" w:eastAsia="Cambria" w:hAnsi="Cambria"/>
          <w:color w:val="111111"/>
          <w:sz w:val="19"/>
          <w:szCs w:val="19"/>
        </w:rPr>
        <w:t xml:space="preserve">Chesney, R., &amp; Citron, D. K. (2019). Deep Fakes: A Looming Challenge for Privacy, Democracy, and National Security. California Law Review, 107, 1753.</w:t>
      </w:r>
    </w:p>
    <w:p>
      <w:pPr>
        <w:spacing w:after="70" w:line="250" w:lineRule="auto"/>
        <w:ind w:left="520" w:hanging="520"/>
        <w:jc w:val="left"/>
      </w:pPr>
      <w:r>
        <w:rPr>
          <w:rFonts w:ascii="Cambria" w:cs="Cambria" w:eastAsia="Cambria" w:hAnsi="Cambria"/>
          <w:b/>
          <w:bCs/>
          <w:color w:val="111111"/>
          <w:sz w:val="19"/>
          <w:szCs w:val="19"/>
        </w:rPr>
        <w:t xml:space="preserve">[24]  </w:t>
      </w:r>
      <w:r>
        <w:rPr>
          <w:rFonts w:ascii="Cambria" w:cs="Cambria" w:eastAsia="Cambria" w:hAnsi="Cambria"/>
          <w:color w:val="111111"/>
          <w:sz w:val="19"/>
          <w:szCs w:val="19"/>
        </w:rPr>
        <w:t xml:space="preserve">Clark, L., Pantidi, N., Cooney, O., Doyle, P., Garaialde, D., Edwards, J., Spillane, B., Gilmartin, E., Murad, C., Munteanu, C., Wade, V., &amp; Cowan, B. R. (2019). What Makes a Good Conversation? Challenges in Designing Truly Conversational Agents. Proceedings of CHI. doi:10.1145/3290605.3300705</w:t>
      </w:r>
    </w:p>
    <w:p>
      <w:pPr>
        <w:spacing w:after="70" w:line="250" w:lineRule="auto"/>
        <w:ind w:left="520" w:hanging="520"/>
        <w:jc w:val="left"/>
      </w:pPr>
      <w:r>
        <w:rPr>
          <w:rFonts w:ascii="Cambria" w:cs="Cambria" w:eastAsia="Cambria" w:hAnsi="Cambria"/>
          <w:b/>
          <w:bCs/>
          <w:color w:val="111111"/>
          <w:sz w:val="19"/>
          <w:szCs w:val="19"/>
        </w:rPr>
        <w:t xml:space="preserve">[25]  </w:t>
      </w:r>
      <w:r>
        <w:rPr>
          <w:rFonts w:ascii="Cambria" w:cs="Cambria" w:eastAsia="Cambria" w:hAnsi="Cambria"/>
          <w:color w:val="111111"/>
          <w:sz w:val="19"/>
          <w:szCs w:val="19"/>
        </w:rPr>
        <w:t xml:space="preserve">Coalition for Content Provenance and Authenticity (C2PA) (2026). C2PA Technical Specification, Version 2.4. Joint Development Foundation Projects, LLC — spec.c2pa.org [standards body].</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[26]  </w:t>
      </w:r>
      <w:r>
        <w:rPr>
          <w:rFonts w:ascii="Cambria" w:cs="Cambria" w:eastAsia="Cambria" w:hAnsi="Cambria"/>
          <w:color w:val="111111"/>
          <w:sz w:val="19"/>
          <w:szCs w:val="19"/>
        </w:rPr>
        <w:t xml:space="preserve">Cooper, T. (Ed.) (2010). Longer Lasting Products: Alternatives to the Throwaway Society. Gower Publishing.</w:t>
      </w:r>
    </w:p>
    <w:p>
      <w:pPr>
        <w:spacing w:after="70" w:line="250" w:lineRule="auto"/>
        <w:ind w:left="520" w:hanging="520"/>
        <w:jc w:val="left"/>
      </w:pPr>
      <w:r>
        <w:rPr>
          <w:rFonts w:ascii="Cambria" w:cs="Cambria" w:eastAsia="Cambria" w:hAnsi="Cambria"/>
          <w:b/>
          <w:bCs/>
          <w:color w:val="111111"/>
          <w:sz w:val="19"/>
          <w:szCs w:val="19"/>
        </w:rPr>
        <w:t xml:space="preserve">[27]  </w:t>
      </w:r>
      <w:r>
        <w:rPr>
          <w:rFonts w:ascii="Cambria" w:cs="Cambria" w:eastAsia="Cambria" w:hAnsi="Cambria"/>
          <w:color w:val="111111"/>
          <w:sz w:val="19"/>
          <w:szCs w:val="19"/>
        </w:rPr>
        <w:t xml:space="preserve">Cowan, B. R., Pantidi, N., Coyle, D., Morrissey, K., Clarke, P., Al-Shehri, S., Earley, D., &amp; Bandeira, N. (2017). "What Can I Help You With?": Infrequent Users’ Experiences of Intelligent Personal Assistants. Proceedings of MobileHCI. doi:10.1145/3098279.3098539</w:t>
      </w:r>
    </w:p>
    <w:p>
      <w:pPr>
        <w:spacing w:after="70" w:line="250" w:lineRule="auto"/>
        <w:ind w:left="520" w:hanging="520"/>
        <w:jc w:val="left"/>
      </w:pPr>
      <w:r>
        <w:rPr>
          <w:rFonts w:ascii="Cambria" w:cs="Cambria" w:eastAsia="Cambria" w:hAnsi="Cambria"/>
          <w:b/>
          <w:bCs/>
          <w:color w:val="111111"/>
          <w:sz w:val="19"/>
          <w:szCs w:val="19"/>
        </w:rPr>
        <w:t xml:space="preserve">[28]  </w:t>
      </w:r>
      <w:r>
        <w:rPr>
          <w:rFonts w:ascii="Cambria" w:cs="Cambria" w:eastAsia="Cambria" w:hAnsi="Cambria"/>
          <w:color w:val="111111"/>
          <w:sz w:val="19"/>
          <w:szCs w:val="19"/>
        </w:rPr>
        <w:t xml:space="preserve">Dao, T., Fu, D. Y., Ermon, S., Rudra, A., &amp; Ré, C. (2022). FlashAttention: Fast and Memory-Efficient Exact Attention with IO-Awareness. Advances in Neural Information Processing Systems (NeurIPS). arXiv:2205.14135</w:t>
      </w:r>
    </w:p>
    <w:p>
      <w:pPr>
        <w:spacing w:after="70" w:line="250" w:lineRule="auto"/>
        <w:ind w:left="520" w:hanging="520"/>
        <w:jc w:val="left"/>
      </w:pPr>
      <w:r>
        <w:rPr>
          <w:rFonts w:ascii="Cambria" w:cs="Cambria" w:eastAsia="Cambria" w:hAnsi="Cambria"/>
          <w:b/>
          <w:bCs/>
          <w:color w:val="111111"/>
          <w:sz w:val="19"/>
          <w:szCs w:val="19"/>
        </w:rPr>
        <w:t xml:space="preserve">[29]  </w:t>
      </w:r>
      <w:r>
        <w:rPr>
          <w:rFonts w:ascii="Cambria" w:cs="Cambria" w:eastAsia="Cambria" w:hAnsi="Cambria"/>
          <w:color w:val="111111"/>
          <w:sz w:val="19"/>
          <w:szCs w:val="19"/>
        </w:rPr>
        <w:t xml:space="preserve">Dao, T. (2023). FlashAttention-2: Faster Attention with Better Parallelism and Work Partitioning. arXiv preprint. arXiv:2307.08691</w:t>
      </w:r>
    </w:p>
    <w:p>
      <w:pPr>
        <w:spacing w:after="70" w:line="250" w:lineRule="auto"/>
        <w:ind w:left="520" w:hanging="520"/>
        <w:jc w:val="left"/>
      </w:pPr>
      <w:r>
        <w:rPr>
          <w:rFonts w:ascii="Cambria" w:cs="Cambria" w:eastAsia="Cambria" w:hAnsi="Cambria"/>
          <w:b/>
          <w:bCs/>
          <w:color w:val="111111"/>
          <w:sz w:val="19"/>
          <w:szCs w:val="19"/>
        </w:rPr>
        <w:t xml:space="preserve">[30]  </w:t>
      </w:r>
      <w:r>
        <w:rPr>
          <w:rFonts w:ascii="Cambria" w:cs="Cambria" w:eastAsia="Cambria" w:hAnsi="Cambria"/>
          <w:color w:val="111111"/>
          <w:sz w:val="19"/>
          <w:szCs w:val="19"/>
        </w:rPr>
        <w:t xml:space="preserve">Debenedetti, E., Zhang, J., Balunović, M., Beurer-Kellner, L., Fischer, M., &amp; Tramèr, F. (2024). AgentDojo: A Dynamic Environment to Evaluate Prompt Injection Attacks and Defenses for LLM Agents. Advances in Neural Information Processing Systems (NeurIPS), Datasets and Benchmarks Track. arXiv:2406.13352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[31]  </w:t>
      </w:r>
      <w:r>
        <w:rPr>
          <w:rFonts w:ascii="Cambria" w:cs="Cambria" w:eastAsia="Cambria" w:hAnsi="Cambria"/>
          <w:color w:val="111111"/>
          <w:sz w:val="19"/>
          <w:szCs w:val="19"/>
        </w:rPr>
        <w:t xml:space="preserve">DeepSeek-AI (2026). DeepSeek-V4-Pro: A 1.6-Trillion-Parameter Mixture-of-Experts Model (49B active, 1M context, MIT license). DeepSeek [model card; benchmarks vendor-reported]. huggingface.co/deepseek-ai/DeepSeek-V4-Pro</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[32]  </w:t>
      </w:r>
      <w:r>
        <w:rPr>
          <w:rFonts w:ascii="Cambria" w:cs="Cambria" w:eastAsia="Cambria" w:hAnsi="Cambria"/>
          <w:color w:val="111111"/>
          <w:sz w:val="19"/>
          <w:szCs w:val="19"/>
        </w:rPr>
        <w:t xml:space="preserve">Deng, E., Mutlu, B., &amp; Mataric, M. J. (2019). Embodiment in Socially Interactive Robots. Foundations and Trends in Robotics, 7(4), 251–356. arXiv:1912.00312</w:t>
      </w:r>
    </w:p>
    <w:p>
      <w:pPr>
        <w:spacing w:after="70" w:line="250" w:lineRule="auto"/>
        <w:ind w:left="520" w:hanging="520"/>
        <w:jc w:val="left"/>
      </w:pPr>
      <w:r>
        <w:rPr>
          <w:rFonts w:ascii="Cambria" w:cs="Cambria" w:eastAsia="Cambria" w:hAnsi="Cambria"/>
          <w:b/>
          <w:bCs/>
          <w:color w:val="111111"/>
          <w:sz w:val="19"/>
          <w:szCs w:val="19"/>
        </w:rPr>
        <w:t xml:space="preserve">[33]  </w:t>
      </w:r>
      <w:r>
        <w:rPr>
          <w:rFonts w:ascii="Cambria" w:cs="Cambria" w:eastAsia="Cambria" w:hAnsi="Cambria"/>
          <w:color w:val="111111"/>
          <w:sz w:val="19"/>
          <w:szCs w:val="19"/>
        </w:rPr>
        <w:t xml:space="preserve">Dettmers, T., Lewis, M., Belkada, Y., &amp; Zettlemoyer, L. (2022). LLM.int8(): 8-bit Matrix Multiplication for Transformers at Scale. Advances in Neural Information Processing Systems (NeurIPS). arXiv:2208.07339</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[34]  </w:t>
      </w:r>
      <w:r>
        <w:rPr>
          <w:rFonts w:ascii="Cambria" w:cs="Cambria" w:eastAsia="Cambria" w:hAnsi="Cambria"/>
          <w:color w:val="111111"/>
          <w:sz w:val="19"/>
          <w:szCs w:val="19"/>
        </w:rPr>
        <w:t xml:space="preserve">Dettmers, T., &amp; Zettlemoyer, L. (2022). The Case for 4-bit Precision: k-bit Inference Scaling Laws. arXiv preprint (subsequently ICML 2023). arXiv:2212.09720</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[35]  </w:t>
      </w:r>
      <w:r>
        <w:rPr>
          <w:rFonts w:ascii="Cambria" w:cs="Cambria" w:eastAsia="Cambria" w:hAnsi="Cambria"/>
          <w:color w:val="111111"/>
          <w:sz w:val="19"/>
          <w:szCs w:val="19"/>
        </w:rPr>
        <w:t xml:space="preserve">Dettmers, T., Pagnoni, A., Holtzman, A., &amp; Zettlemoyer, L. (2023). QLoRA: Efficient Finetuning of Quantized LLMs. Advances in Neural Information Processing Systems (NeurIPS). arXiv:2305.14314</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[36]  </w:t>
      </w:r>
      <w:r>
        <w:rPr>
          <w:rFonts w:ascii="Cambria" w:cs="Cambria" w:eastAsia="Cambria" w:hAnsi="Cambria"/>
          <w:color w:val="111111"/>
          <w:sz w:val="19"/>
          <w:szCs w:val="19"/>
        </w:rPr>
        <w:t xml:space="preserve">Devlin, J., Chang, M.-W., Lee, K., &amp; Toutanova, K. (2019). BERT: Pre-training of Deep Bidirectional Transformers for Language Understanding. Proceedings of NAACL-HLT. arXiv:1810.04805</w:t>
      </w:r>
    </w:p>
    <w:p>
      <w:pPr>
        <w:spacing w:after="70" w:line="250" w:lineRule="auto"/>
        <w:ind w:left="520" w:hanging="520"/>
        <w:jc w:val="left"/>
      </w:pPr>
      <w:r>
        <w:rPr>
          <w:rFonts w:ascii="Cambria" w:cs="Cambria" w:eastAsia="Cambria" w:hAnsi="Cambria"/>
          <w:b/>
          <w:bCs/>
          <w:color w:val="111111"/>
          <w:sz w:val="19"/>
          <w:szCs w:val="19"/>
        </w:rPr>
        <w:t xml:space="preserve">[37]  </w:t>
      </w:r>
      <w:r>
        <w:rPr>
          <w:rFonts w:ascii="Cambria" w:cs="Cambria" w:eastAsia="Cambria" w:hAnsi="Cambria"/>
          <w:color w:val="111111"/>
          <w:sz w:val="19"/>
          <w:szCs w:val="19"/>
        </w:rPr>
        <w:t xml:space="preserve">Driess, D., Xia, F., Sajjadi, M. S. M., Lynch, C., Chowdhery, A., Ichter, B., Wahid, A., Tompson, J., Vuong, Q., Yu, T., et al. (2023). PaLM-E: An Embodied Multimodal Language Model. International Conference on Machine Learning (ICML). arXiv:2303.03378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[38]  </w:t>
      </w:r>
      <w:r>
        <w:rPr>
          <w:rFonts w:ascii="Cambria" w:cs="Cambria" w:eastAsia="Cambria" w:hAnsi="Cambria"/>
          <w:color w:val="111111"/>
          <w:sz w:val="19"/>
          <w:szCs w:val="19"/>
        </w:rPr>
        <w:t xml:space="preserve">Du, Y., Li, S., Torralba, A., Tenenbaum, J. B., &amp; Mordatch, I. (2023). Improving Factuality and Reasoning in Language Models through Multiagent Debate. arXiv preprint. arXiv:2305.14325</w:t>
      </w:r>
    </w:p>
    <w:p>
      <w:pPr>
        <w:spacing w:after="70" w:line="250" w:lineRule="auto"/>
        <w:ind w:left="520" w:hanging="520"/>
        <w:jc w:val="left"/>
      </w:pPr>
      <w:r>
        <w:rPr>
          <w:rFonts w:ascii="Cambria" w:cs="Cambria" w:eastAsia="Cambria" w:hAnsi="Cambria"/>
          <w:b/>
          <w:bCs/>
          <w:color w:val="111111"/>
          <w:sz w:val="19"/>
          <w:szCs w:val="19"/>
        </w:rPr>
        <w:t xml:space="preserve">[39]  </w:t>
      </w:r>
      <w:r>
        <w:rPr>
          <w:rFonts w:ascii="Cambria" w:cs="Cambria" w:eastAsia="Cambria" w:hAnsi="Cambria"/>
          <w:color w:val="111111"/>
          <w:sz w:val="19"/>
          <w:szCs w:val="19"/>
        </w:rPr>
        <w:t xml:space="preserve">Dwork, C. (2006). Differential Privacy. Automata, Languages and Programming (ICALP), LNCS 4052. doi:10.1007/11787006_1</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[40]  </w:t>
      </w:r>
      <w:r>
        <w:rPr>
          <w:rFonts w:ascii="Cambria" w:cs="Cambria" w:eastAsia="Cambria" w:hAnsi="Cambria"/>
          <w:color w:val="111111"/>
          <w:sz w:val="19"/>
          <w:szCs w:val="19"/>
        </w:rPr>
        <w:t xml:space="preserve">Ellis, C., Adams, T. E., &amp; Bochner, A. P. (2011). Autoethnography: An Overview. Forum: Qualitative Social Research, 12(1). doi:10.17169/fqs-12.1.1589</w:t>
      </w:r>
    </w:p>
    <w:p>
      <w:pPr>
        <w:spacing w:after="70" w:line="250" w:lineRule="auto"/>
        <w:ind w:left="520" w:hanging="520"/>
        <w:jc w:val="left"/>
      </w:pPr>
      <w:r>
        <w:rPr>
          <w:rFonts w:ascii="Cambria" w:cs="Cambria" w:eastAsia="Cambria" w:hAnsi="Cambria"/>
          <w:b/>
          <w:bCs/>
          <w:color w:val="111111"/>
          <w:sz w:val="19"/>
          <w:szCs w:val="19"/>
        </w:rPr>
        <w:t xml:space="preserve">[41]  </w:t>
      </w:r>
      <w:r>
        <w:rPr>
          <w:rFonts w:ascii="Cambria" w:cs="Cambria" w:eastAsia="Cambria" w:hAnsi="Cambria"/>
          <w:color w:val="111111"/>
          <w:sz w:val="19"/>
          <w:szCs w:val="19"/>
        </w:rPr>
        <w:t xml:space="preserve">Epley, N., Waytz, A., &amp; Cacioppo, J. T. (2007). On Seeing Human: A Three-Factor Theory of Anthropomorphism. Psychological Review, 114(4), 864–886. doi:10.1037/0033-295X.114.4.864</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[42]  </w:t>
      </w:r>
      <w:r>
        <w:rPr>
          <w:rFonts w:ascii="Cambria" w:cs="Cambria" w:eastAsia="Cambria" w:hAnsi="Cambria"/>
          <w:color w:val="111111"/>
          <w:sz w:val="19"/>
          <w:szCs w:val="19"/>
        </w:rPr>
        <w:t xml:space="preserve">Es, S., James, J., Espinosa-Anke, L., &amp; Schockaert, S. (2024). RAGAS: Automated Evaluation of Retrieval Augmented Generation. Proceedings of EACL (System Demonstrations). arXiv:2309.15217</w:t>
      </w:r>
    </w:p>
    <w:p>
      <w:pPr>
        <w:spacing w:after="70" w:line="250" w:lineRule="auto"/>
        <w:ind w:left="520" w:hanging="520"/>
        <w:jc w:val="left"/>
      </w:pPr>
      <w:r>
        <w:rPr>
          <w:rFonts w:ascii="Cambria" w:cs="Cambria" w:eastAsia="Cambria" w:hAnsi="Cambria"/>
          <w:b/>
          <w:bCs/>
          <w:color w:val="111111"/>
          <w:sz w:val="19"/>
          <w:szCs w:val="19"/>
        </w:rPr>
        <w:t xml:space="preserve">[43]  </w:t>
      </w:r>
      <w:r>
        <w:rPr>
          <w:rFonts w:ascii="Cambria" w:cs="Cambria" w:eastAsia="Cambria" w:hAnsi="Cambria"/>
          <w:color w:val="111111"/>
          <w:sz w:val="19"/>
          <w:szCs w:val="19"/>
        </w:rPr>
        <w:t xml:space="preserve">European Parliament and Council of the European Union (2024). Regulation (EU) 2024/1689 (Artificial Intelligence Act), Article 50: Transparency Obligations. Official Journal of the European Union [legal instrument].</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[44]  </w:t>
      </w:r>
      <w:r>
        <w:rPr>
          <w:rFonts w:ascii="Cambria" w:cs="Cambria" w:eastAsia="Cambria" w:hAnsi="Cambria"/>
          <w:color w:val="111111"/>
          <w:sz w:val="19"/>
          <w:szCs w:val="19"/>
        </w:rPr>
        <w:t xml:space="preserve">Fedus, W., Zoph, B., &amp; Shazeer, N. (2022). Switch Transformers: Scaling to Trillion Parameter Models with Simple and Efficient Sparsity. Journal of Machine Learning Research, 23(120). arXiv:2101.03961</w:t>
      </w:r>
    </w:p>
    <w:p>
      <w:pPr>
        <w:spacing w:after="70" w:line="250" w:lineRule="auto"/>
        <w:ind w:left="520" w:hanging="520"/>
        <w:jc w:val="left"/>
      </w:pPr>
      <w:r>
        <w:rPr>
          <w:rFonts w:ascii="Cambria" w:cs="Cambria" w:eastAsia="Cambria" w:hAnsi="Cambria"/>
          <w:b/>
          <w:bCs/>
          <w:color w:val="111111"/>
          <w:sz w:val="19"/>
          <w:szCs w:val="19"/>
        </w:rPr>
        <w:t xml:space="preserve">[45]  </w:t>
      </w:r>
      <w:r>
        <w:rPr>
          <w:rFonts w:ascii="Cambria" w:cs="Cambria" w:eastAsia="Cambria" w:hAnsi="Cambria"/>
          <w:color w:val="111111"/>
          <w:sz w:val="19"/>
          <w:szCs w:val="19"/>
        </w:rPr>
        <w:t xml:space="preserve">Forti, V., Baldé, C. P., Kuehr, R., &amp; Bel, G. (2020). The Global E-waste Monitor 2020: Quantities, Flows, and the Circular Economy Potential. United Nations University (UNU)/UNITAR, ITU &amp; ISWA.</w:t>
      </w:r>
    </w:p>
    <w:p>
      <w:pPr>
        <w:spacing w:after="70" w:line="250" w:lineRule="auto"/>
        <w:ind w:left="520" w:hanging="520"/>
        <w:jc w:val="left"/>
      </w:pPr>
      <w:r>
        <w:rPr>
          <w:rFonts w:ascii="Cambria" w:cs="Cambria" w:eastAsia="Cambria" w:hAnsi="Cambria"/>
          <w:b/>
          <w:bCs/>
          <w:color w:val="111111"/>
          <w:sz w:val="19"/>
          <w:szCs w:val="19"/>
        </w:rPr>
        <w:t xml:space="preserve">[46]  </w:t>
      </w:r>
      <w:r>
        <w:rPr>
          <w:rFonts w:ascii="Cambria" w:cs="Cambria" w:eastAsia="Cambria" w:hAnsi="Cambria"/>
          <w:color w:val="111111"/>
          <w:sz w:val="19"/>
          <w:szCs w:val="19"/>
        </w:rPr>
        <w:t xml:space="preserve">Frantar, E., Ashkboos, S., Hoefler, T., &amp; Alistarh, D. (2023). GPTQ: Accurate Post-Training Quantization for Generative Pre-trained Transformers. International Conference on Learning Representations (ICLR). arXiv:2210.17323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[47]  </w:t>
      </w:r>
      <w:r>
        <w:rPr>
          <w:rFonts w:ascii="Cambria" w:cs="Cambria" w:eastAsia="Cambria" w:hAnsi="Cambria"/>
          <w:color w:val="111111"/>
          <w:sz w:val="19"/>
          <w:szCs w:val="19"/>
        </w:rPr>
        <w:t xml:space="preserve">Fugu Team (Sakana AI); Tang, Y., Cetin, E., Xu, J., Sun, Q., Nielsen, S., et al. (2026). Sakana Fugu Technical Report. arXiv preprint [orchestration model; baseline scores provider-reported]. arXiv:2606.21228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[48]  </w:t>
      </w:r>
      <w:r>
        <w:rPr>
          <w:rFonts w:ascii="Cambria" w:cs="Cambria" w:eastAsia="Cambria" w:hAnsi="Cambria"/>
          <w:color w:val="111111"/>
          <w:sz w:val="19"/>
          <w:szCs w:val="19"/>
        </w:rPr>
        <w:t xml:space="preserve">Gao, Y., Xiong, Y., Gao, X., Jia, K., Pan, J., Bi, Y., Dai, Y., Sun, J., Wang, M., &amp; Wang, H. (2023). Retrieval-Augmented Generation for Large Language Models: A Survey. arXiv preprint. arXiv:2312.10997</w:t>
      </w:r>
    </w:p>
    <w:p>
      <w:pPr>
        <w:spacing w:after="70" w:line="250" w:lineRule="auto"/>
        <w:ind w:left="520" w:hanging="520"/>
        <w:jc w:val="left"/>
      </w:pPr>
      <w:r>
        <w:rPr>
          <w:rFonts w:ascii="Cambria" w:cs="Cambria" w:eastAsia="Cambria" w:hAnsi="Cambria"/>
          <w:b/>
          <w:bCs/>
          <w:color w:val="111111"/>
          <w:sz w:val="19"/>
          <w:szCs w:val="19"/>
        </w:rPr>
        <w:t xml:space="preserve">[49]  </w:t>
      </w:r>
      <w:r>
        <w:rPr>
          <w:rFonts w:ascii="Cambria" w:cs="Cambria" w:eastAsia="Cambria" w:hAnsi="Cambria"/>
          <w:color w:val="111111"/>
          <w:sz w:val="19"/>
          <w:szCs w:val="19"/>
        </w:rPr>
        <w:t xml:space="preserve">Gaver, W. (2012). What Should We Expect from Research Through Design?. Proceedings of CHI. doi:10.1145/2207676.2208538</w:t>
      </w:r>
    </w:p>
    <w:p>
      <w:pPr>
        <w:spacing w:after="70" w:line="250" w:lineRule="auto"/>
        <w:ind w:left="520" w:hanging="520"/>
        <w:jc w:val="left"/>
      </w:pPr>
      <w:r>
        <w:rPr>
          <w:rFonts w:ascii="Cambria" w:cs="Cambria" w:eastAsia="Cambria" w:hAnsi="Cambria"/>
          <w:b/>
          <w:bCs/>
          <w:color w:val="111111"/>
          <w:sz w:val="19"/>
          <w:szCs w:val="19"/>
        </w:rPr>
        <w:t xml:space="preserve">[50]  </w:t>
      </w:r>
      <w:r>
        <w:rPr>
          <w:rFonts w:ascii="Cambria" w:cs="Cambria" w:eastAsia="Cambria" w:hAnsi="Cambria"/>
          <w:color w:val="111111"/>
          <w:sz w:val="19"/>
          <w:szCs w:val="19"/>
        </w:rPr>
        <w:t xml:space="preserve">Gemma Team, Google DeepMind (2024). Gemma: Open Models Based on Gemini Research and Technology. arXiv preprint. arXiv:2403.08295</w:t>
      </w:r>
    </w:p>
    <w:p>
      <w:pPr>
        <w:spacing w:after="70" w:line="250" w:lineRule="auto"/>
        <w:ind w:left="520" w:hanging="520"/>
        <w:jc w:val="left"/>
      </w:pPr>
      <w:r>
        <w:rPr>
          <w:rFonts w:ascii="Cambria" w:cs="Cambria" w:eastAsia="Cambria" w:hAnsi="Cambria"/>
          <w:b/>
          <w:bCs/>
          <w:color w:val="111111"/>
          <w:sz w:val="19"/>
          <w:szCs w:val="19"/>
        </w:rPr>
        <w:t xml:space="preserve">[51]  </w:t>
      </w:r>
      <w:r>
        <w:rPr>
          <w:rFonts w:ascii="Cambria" w:cs="Cambria" w:eastAsia="Cambria" w:hAnsi="Cambria"/>
          <w:color w:val="111111"/>
          <w:sz w:val="19"/>
          <w:szCs w:val="19"/>
        </w:rPr>
        <w:t xml:space="preserve">Gholami, A., Kim, S., Dong, Z., Yao, Z., Mahoney, M. W., &amp; Keutzer, K. (2021). A Survey of Quantization Methods for Efficient Neural Network Inference. arXiv preprint. arXiv:2103.13630</w:t>
      </w:r>
    </w:p>
    <w:p>
      <w:pPr>
        <w:spacing w:after="70" w:line="250" w:lineRule="auto"/>
        <w:ind w:left="520" w:hanging="520"/>
        <w:jc w:val="left"/>
      </w:pPr>
      <w:r>
        <w:rPr>
          <w:rFonts w:ascii="Cambria" w:cs="Cambria" w:eastAsia="Cambria" w:hAnsi="Cambria"/>
          <w:b/>
          <w:bCs/>
          <w:color w:val="111111"/>
          <w:sz w:val="19"/>
          <w:szCs w:val="19"/>
        </w:rPr>
        <w:t xml:space="preserve">[52]  </w:t>
      </w:r>
      <w:r>
        <w:rPr>
          <w:rFonts w:ascii="Cambria" w:cs="Cambria" w:eastAsia="Cambria" w:hAnsi="Cambria"/>
          <w:color w:val="111111"/>
          <w:sz w:val="19"/>
          <w:szCs w:val="19"/>
        </w:rPr>
        <w:t xml:space="preserve">Google DeepMind (2026). Gemini 3.1 Pro (Transformer-MoE, 1M context; 77.1% ARC-AGI-2, ARC-Prize-verified). Google DeepMind [model card; other benchmarks vendor-reported]. deepmind.google</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[53]  </w:t>
      </w:r>
      <w:r>
        <w:rPr>
          <w:rFonts w:ascii="Cambria" w:cs="Cambria" w:eastAsia="Cambria" w:hAnsi="Cambria"/>
          <w:color w:val="111111"/>
          <w:sz w:val="19"/>
          <w:szCs w:val="19"/>
        </w:rPr>
        <w:t xml:space="preserve">Greshake, K., Abdelnabi, S., Mishra, S., Endres, C., Holz, T., &amp; Fritz, M. (2023). Not What You’ve Signed Up For: Compromising Real-World LLM-Integrated Applications with Indirect Prompt Injection. Proceedings of the 16th ACM Workshop on Artificial Intelligence and Security (AISec). arXiv:2302.12173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[54]  </w:t>
      </w:r>
      <w:r>
        <w:rPr>
          <w:rFonts w:ascii="Cambria" w:cs="Cambria" w:eastAsia="Cambria" w:hAnsi="Cambria"/>
          <w:color w:val="111111"/>
          <w:sz w:val="19"/>
          <w:szCs w:val="19"/>
        </w:rPr>
        <w:t xml:space="preserve">Guo, T., Chen, X., Wang, Y., Chang, R., Pei, S., Chawla, N. V., Wiest, O., &amp; Zhang, X. (2024). Large Language Model based Multi-Agents: A Survey of Progress and Challenges. International Joint Conference on Artificial Intelligence (IJCAI). arXiv:2402.01680</w:t>
      </w:r>
    </w:p>
    <w:p>
      <w:pPr>
        <w:spacing w:after="70" w:line="250" w:lineRule="auto"/>
        <w:ind w:left="520" w:hanging="520"/>
        <w:jc w:val="left"/>
      </w:pPr>
      <w:r>
        <w:rPr>
          <w:rFonts w:ascii="Cambria" w:cs="Cambria" w:eastAsia="Cambria" w:hAnsi="Cambria"/>
          <w:b/>
          <w:bCs/>
          <w:color w:val="111111"/>
          <w:sz w:val="19"/>
          <w:szCs w:val="19"/>
        </w:rPr>
        <w:t xml:space="preserve">[55]  </w:t>
      </w:r>
      <w:r>
        <w:rPr>
          <w:rFonts w:ascii="Cambria" w:cs="Cambria" w:eastAsia="Cambria" w:hAnsi="Cambria"/>
          <w:color w:val="111111"/>
          <w:sz w:val="19"/>
          <w:szCs w:val="19"/>
        </w:rPr>
        <w:t xml:space="preserve">Guu, K., Lee, K., Tung, Z., Pasupat, P., &amp; Chang, M.-W. (2020). REALM: Retrieval-Augmented Language Model Pre-Training. International Conference on Machine Learning (ICML). arXiv:2002.08909</w:t>
      </w:r>
    </w:p>
    <w:p>
      <w:pPr>
        <w:spacing w:after="70" w:line="250" w:lineRule="auto"/>
        <w:ind w:left="520" w:hanging="520"/>
        <w:jc w:val="left"/>
      </w:pPr>
      <w:r>
        <w:rPr>
          <w:rFonts w:ascii="Cambria" w:cs="Cambria" w:eastAsia="Cambria" w:hAnsi="Cambria"/>
          <w:b/>
          <w:bCs/>
          <w:color w:val="111111"/>
          <w:sz w:val="19"/>
          <w:szCs w:val="19"/>
        </w:rPr>
        <w:t xml:space="preserve">[56]  </w:t>
      </w:r>
      <w:r>
        <w:rPr>
          <w:rFonts w:ascii="Cambria" w:cs="Cambria" w:eastAsia="Cambria" w:hAnsi="Cambria"/>
          <w:color w:val="111111"/>
          <w:sz w:val="19"/>
          <w:szCs w:val="19"/>
        </w:rPr>
        <w:t xml:space="preserve">Hadfield-Menell, D., Dragan, A., Abbeel, P., &amp; Russell, S. (2017). The Off-Switch Game. Proceedings of the International Joint Conference on Artificial Intelligence (IJCAI). arXiv:1611.08219</w:t>
      </w:r>
    </w:p>
    <w:p>
      <w:pPr>
        <w:spacing w:after="70" w:line="250" w:lineRule="auto"/>
        <w:ind w:left="520" w:hanging="520"/>
        <w:jc w:val="left"/>
      </w:pPr>
      <w:r>
        <w:rPr>
          <w:rFonts w:ascii="Cambria" w:cs="Cambria" w:eastAsia="Cambria" w:hAnsi="Cambria"/>
          <w:b/>
          <w:bCs/>
          <w:color w:val="111111"/>
          <w:sz w:val="19"/>
          <w:szCs w:val="19"/>
        </w:rPr>
        <w:t xml:space="preserve">[57]  </w:t>
      </w:r>
      <w:r>
        <w:rPr>
          <w:rFonts w:ascii="Cambria" w:cs="Cambria" w:eastAsia="Cambria" w:hAnsi="Cambria"/>
          <w:color w:val="111111"/>
          <w:sz w:val="19"/>
          <w:szCs w:val="19"/>
        </w:rPr>
        <w:t xml:space="preserve">Han, S., Mao, H., &amp; Dally, W. J. (2016). Deep Compression: Compressing Deep Neural Networks with Pruning, Trained Quantization and Huffman Coding. International Conference on Learning Representations (ICLR). arXiv:1510.00149</w:t>
      </w:r>
    </w:p>
    <w:p>
      <w:pPr>
        <w:spacing w:after="70" w:line="250" w:lineRule="auto"/>
        <w:ind w:left="520" w:hanging="520"/>
        <w:jc w:val="left"/>
      </w:pPr>
      <w:r>
        <w:rPr>
          <w:rFonts w:ascii="Cambria" w:cs="Cambria" w:eastAsia="Cambria" w:hAnsi="Cambria"/>
          <w:b/>
          <w:bCs/>
          <w:color w:val="111111"/>
          <w:sz w:val="19"/>
          <w:szCs w:val="19"/>
        </w:rPr>
        <w:t xml:space="preserve">[58]  </w:t>
      </w:r>
      <w:r>
        <w:rPr>
          <w:rFonts w:ascii="Cambria" w:cs="Cambria" w:eastAsia="Cambria" w:hAnsi="Cambria"/>
          <w:color w:val="111111"/>
          <w:sz w:val="19"/>
          <w:szCs w:val="19"/>
        </w:rPr>
        <w:t xml:space="preserve">Hancock, P. A., Billings, D. R., Schaefer, K. E., Chen, J. Y. C., de Visser, E. J., &amp; Parasuraman, R. (2011). A Meta-Analysis of Factors Affecting Trust in Human-Robot Interaction. Human Factors, 53(5), 517–527. doi:10.1177/0018720811417254</w:t>
      </w:r>
    </w:p>
    <w:p>
      <w:pPr>
        <w:spacing w:after="70" w:line="250" w:lineRule="auto"/>
        <w:ind w:left="520" w:hanging="520"/>
        <w:jc w:val="left"/>
      </w:pPr>
      <w:r>
        <w:rPr>
          <w:rFonts w:ascii="Cambria" w:cs="Cambria" w:eastAsia="Cambria" w:hAnsi="Cambria"/>
          <w:b/>
          <w:bCs/>
          <w:color w:val="111111"/>
          <w:sz w:val="19"/>
          <w:szCs w:val="19"/>
        </w:rPr>
        <w:t xml:space="preserve">[59]  </w:t>
      </w:r>
      <w:r>
        <w:rPr>
          <w:rFonts w:ascii="Cambria" w:cs="Cambria" w:eastAsia="Cambria" w:hAnsi="Cambria"/>
          <w:color w:val="111111"/>
          <w:sz w:val="19"/>
          <w:szCs w:val="19"/>
        </w:rPr>
        <w:t xml:space="preserve">Henderson, P., Hu, J., Romoff, J., Brunskill, E., Jurafsky, D., &amp; Pineau, J. (2020). Towards the Systematic Reporting of the Energy and Carbon Footprints of Machine Learning. Journal of Machine Learning Research, 21(248), 1–43. arXiv:2002.05651</w:t>
      </w:r>
    </w:p>
    <w:p>
      <w:pPr>
        <w:spacing w:after="70" w:line="250" w:lineRule="auto"/>
        <w:ind w:left="520" w:hanging="520"/>
        <w:jc w:val="left"/>
      </w:pPr>
      <w:r>
        <w:rPr>
          <w:rFonts w:ascii="Cambria" w:cs="Cambria" w:eastAsia="Cambria" w:hAnsi="Cambria"/>
          <w:b/>
          <w:bCs/>
          <w:color w:val="111111"/>
          <w:sz w:val="19"/>
          <w:szCs w:val="19"/>
        </w:rPr>
        <w:t xml:space="preserve">[60]  </w:t>
      </w:r>
      <w:r>
        <w:rPr>
          <w:rFonts w:ascii="Cambria" w:cs="Cambria" w:eastAsia="Cambria" w:hAnsi="Cambria"/>
          <w:color w:val="111111"/>
          <w:sz w:val="19"/>
          <w:szCs w:val="19"/>
        </w:rPr>
        <w:t xml:space="preserve">Hendrycks, D., Burns, C., Basart, S., Zou, A., Mazeika, M., Song, D., &amp; Steinhardt, J. (2021). Measuring Massive Multitask Language Understanding (MMLU). International Conference on Learning Representations (ICLR). arXiv:2009.03300</w:t>
      </w:r>
    </w:p>
    <w:p>
      <w:pPr>
        <w:spacing w:after="70" w:line="250" w:lineRule="auto"/>
        <w:ind w:left="520" w:hanging="520"/>
        <w:jc w:val="left"/>
      </w:pPr>
      <w:r>
        <w:rPr>
          <w:rFonts w:ascii="Cambria" w:cs="Cambria" w:eastAsia="Cambria" w:hAnsi="Cambria"/>
          <w:b/>
          <w:bCs/>
          <w:color w:val="111111"/>
          <w:sz w:val="19"/>
          <w:szCs w:val="19"/>
        </w:rPr>
        <w:t xml:space="preserve">[61]  </w:t>
      </w:r>
      <w:r>
        <w:rPr>
          <w:rFonts w:ascii="Cambria" w:cs="Cambria" w:eastAsia="Cambria" w:hAnsi="Cambria"/>
          <w:color w:val="111111"/>
          <w:sz w:val="19"/>
          <w:szCs w:val="19"/>
        </w:rPr>
        <w:t xml:space="preserve">Hevner, A. R., March, S. T., Park, J., &amp; Ram, S. (2004). Design Science in Information Systems Research. MIS Quarterly, 28(1), 75–105. doi:10.2307/25148625</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[62]  </w:t>
      </w:r>
      <w:r>
        <w:rPr>
          <w:rFonts w:ascii="Cambria" w:cs="Cambria" w:eastAsia="Cambria" w:hAnsi="Cambria"/>
          <w:color w:val="111111"/>
          <w:sz w:val="19"/>
          <w:szCs w:val="19"/>
        </w:rPr>
        <w:t xml:space="preserve">Hilbert, M. (2014). Technological Information Inequality as an Incessantly Moving Target: The Redistribution of Information and Communication Capacities Between 1986 and 2010. Journal of the Association for Information Science and Technology, 65(4), 821–835. doi:10.1002/asi.23020</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[63]  </w:t>
      </w:r>
      <w:r>
        <w:rPr>
          <w:rFonts w:ascii="Cambria" w:cs="Cambria" w:eastAsia="Cambria" w:hAnsi="Cambria"/>
          <w:color w:val="111111"/>
          <w:sz w:val="19"/>
          <w:szCs w:val="19"/>
        </w:rPr>
        <w:t xml:space="preserve">Hilbert, M. (2016). The Bad News is that the Digital Access Divide is Here to Stay: Domestically Installed Bandwidths Among 172 Countries for 1986–2014. Telecommunications Policy, 40(6), 567–581. doi:10.1016/j.telpol.2016.01.006</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[64]  </w:t>
      </w:r>
      <w:r>
        <w:rPr>
          <w:rFonts w:ascii="Cambria" w:cs="Cambria" w:eastAsia="Cambria" w:hAnsi="Cambria"/>
          <w:color w:val="111111"/>
          <w:sz w:val="19"/>
          <w:szCs w:val="19"/>
        </w:rPr>
        <w:t xml:space="preserve">Hinton, G., Vinyals, O., &amp; Dean, J. (2015). Distilling the Knowledge in a Neural Network. arXiv preprint. arXiv:1503.02531</w:t>
      </w:r>
    </w:p>
    <w:p>
      <w:pPr>
        <w:spacing w:after="70" w:line="250" w:lineRule="auto"/>
        <w:ind w:left="520" w:hanging="520"/>
        <w:jc w:val="left"/>
      </w:pPr>
      <w:r>
        <w:rPr>
          <w:rFonts w:ascii="Cambria" w:cs="Cambria" w:eastAsia="Cambria" w:hAnsi="Cambria"/>
          <w:b/>
          <w:bCs/>
          <w:color w:val="111111"/>
          <w:sz w:val="19"/>
          <w:szCs w:val="19"/>
        </w:rPr>
        <w:t xml:space="preserve">[65]  </w:t>
      </w:r>
      <w:r>
        <w:rPr>
          <w:rFonts w:ascii="Cambria" w:cs="Cambria" w:eastAsia="Cambria" w:hAnsi="Cambria"/>
          <w:color w:val="111111"/>
          <w:sz w:val="19"/>
          <w:szCs w:val="19"/>
        </w:rPr>
        <w:t xml:space="preserve">Hoffmann, J., et al. (2022). Training Compute-Optimal Large Language Models. Advances in Neural Information Processing Systems (NeurIPS). arXiv:2203.15556</w:t>
      </w:r>
    </w:p>
    <w:p>
      <w:pPr>
        <w:spacing w:after="70" w:line="250" w:lineRule="auto"/>
        <w:ind w:left="520" w:hanging="520"/>
        <w:jc w:val="left"/>
      </w:pPr>
      <w:r>
        <w:rPr>
          <w:rFonts w:ascii="Cambria" w:cs="Cambria" w:eastAsia="Cambria" w:hAnsi="Cambria"/>
          <w:b/>
          <w:bCs/>
          <w:color w:val="111111"/>
          <w:sz w:val="19"/>
          <w:szCs w:val="19"/>
        </w:rPr>
        <w:t xml:space="preserve">[66]  </w:t>
      </w:r>
      <w:r>
        <w:rPr>
          <w:rFonts w:ascii="Cambria" w:cs="Cambria" w:eastAsia="Cambria" w:hAnsi="Cambria"/>
          <w:color w:val="111111"/>
          <w:sz w:val="19"/>
          <w:szCs w:val="19"/>
        </w:rPr>
        <w:t xml:space="preserve">Hong, S., et al. (2024). MetaGPT: Meta Programming for a Multi-Agent Collaborative Framework. International Conference on Learning Representations (ICLR) — Oral. arXiv:2308.00352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[67]  </w:t>
      </w:r>
      <w:r>
        <w:rPr>
          <w:rFonts w:ascii="Cambria" w:cs="Cambria" w:eastAsia="Cambria" w:hAnsi="Cambria"/>
          <w:color w:val="111111"/>
          <w:sz w:val="19"/>
          <w:szCs w:val="19"/>
        </w:rPr>
        <w:t xml:space="preserve">Horvitz, E. (1999). Principles of Mixed-Initiative User Interfaces. Proceedings of the SIGCHI Conference on Human Factors in Computing Systems (CHI). doi:10.1145/302979.303030</w:t>
      </w:r>
    </w:p>
    <w:p>
      <w:pPr>
        <w:spacing w:after="70" w:line="250" w:lineRule="auto"/>
        <w:ind w:left="520" w:hanging="520"/>
        <w:jc w:val="left"/>
      </w:pPr>
      <w:r>
        <w:rPr>
          <w:rFonts w:ascii="Cambria" w:cs="Cambria" w:eastAsia="Cambria" w:hAnsi="Cambria"/>
          <w:b/>
          <w:bCs/>
          <w:color w:val="111111"/>
          <w:sz w:val="19"/>
          <w:szCs w:val="19"/>
        </w:rPr>
        <w:t xml:space="preserve">[68]  </w:t>
      </w:r>
      <w:r>
        <w:rPr>
          <w:rFonts w:ascii="Cambria" w:cs="Cambria" w:eastAsia="Cambria" w:hAnsi="Cambria"/>
          <w:color w:val="111111"/>
          <w:sz w:val="19"/>
          <w:szCs w:val="19"/>
        </w:rPr>
        <w:t xml:space="preserve">Hu, E. J., Shen, Y., Wallis, P., Allen-Zhu, Z., Li, Y., Wang, S., Wang, L., &amp; Chen, W. (2021). LoRA: Low-Rank Adaptation of Large Language Models. International Conference on Learning Representations (ICLR). arXiv:2106.09685</w:t>
      </w:r>
    </w:p>
    <w:p>
      <w:pPr>
        <w:spacing w:after="70" w:line="250" w:lineRule="auto"/>
        <w:ind w:left="520" w:hanging="520"/>
        <w:jc w:val="left"/>
      </w:pPr>
      <w:r>
        <w:rPr>
          <w:rFonts w:ascii="Cambria" w:cs="Cambria" w:eastAsia="Cambria" w:hAnsi="Cambria"/>
          <w:b/>
          <w:bCs/>
          <w:color w:val="111111"/>
          <w:sz w:val="19"/>
          <w:szCs w:val="19"/>
        </w:rPr>
        <w:t xml:space="preserve">[69]  </w:t>
      </w:r>
      <w:r>
        <w:rPr>
          <w:rFonts w:ascii="Cambria" w:cs="Cambria" w:eastAsia="Cambria" w:hAnsi="Cambria"/>
          <w:color w:val="111111"/>
          <w:sz w:val="19"/>
          <w:szCs w:val="19"/>
        </w:rPr>
        <w:t xml:space="preserve">Huang, W., Abbeel, P., Pathak, D., &amp; Mordatch, I. (2022). Language Models as Zero-Shot Planners: Extracting Actionable Knowledge for Embodied Agents. International Conference on Machine Learning (ICML). arXiv:2201.07207</w:t>
      </w:r>
    </w:p>
    <w:p>
      <w:pPr>
        <w:spacing w:after="70" w:line="250" w:lineRule="auto"/>
        <w:ind w:left="520" w:hanging="520"/>
        <w:jc w:val="left"/>
      </w:pPr>
      <w:r>
        <w:rPr>
          <w:rFonts w:ascii="Cambria" w:cs="Cambria" w:eastAsia="Cambria" w:hAnsi="Cambria"/>
          <w:b/>
          <w:bCs/>
          <w:color w:val="111111"/>
          <w:sz w:val="19"/>
          <w:szCs w:val="19"/>
        </w:rPr>
        <w:t xml:space="preserve">[70]  </w:t>
      </w:r>
      <w:r>
        <w:rPr>
          <w:rFonts w:ascii="Cambria" w:cs="Cambria" w:eastAsia="Cambria" w:hAnsi="Cambria"/>
          <w:color w:val="111111"/>
          <w:sz w:val="19"/>
          <w:szCs w:val="19"/>
        </w:rPr>
        <w:t xml:space="preserve">Ishii, H., &amp; Ullmer, B. (1997). Tangible Bits: Towards Seamless Interfaces between People, Bits and Atoms. Proceedings of CHI. doi:10.1145/258549.258715</w:t>
      </w:r>
    </w:p>
    <w:p>
      <w:pPr>
        <w:spacing w:after="70" w:line="250" w:lineRule="auto"/>
        <w:ind w:left="520" w:hanging="520"/>
        <w:jc w:val="left"/>
      </w:pPr>
      <w:r>
        <w:rPr>
          <w:rFonts w:ascii="Cambria" w:cs="Cambria" w:eastAsia="Cambria" w:hAnsi="Cambria"/>
          <w:b/>
          <w:bCs/>
          <w:color w:val="111111"/>
          <w:sz w:val="19"/>
          <w:szCs w:val="19"/>
        </w:rPr>
        <w:t xml:space="preserve">[71]  </w:t>
      </w:r>
      <w:r>
        <w:rPr>
          <w:rFonts w:ascii="Cambria" w:cs="Cambria" w:eastAsia="Cambria" w:hAnsi="Cambria"/>
          <w:color w:val="111111"/>
          <w:sz w:val="19"/>
          <w:szCs w:val="19"/>
        </w:rPr>
        <w:t xml:space="preserve">Izacard, G., &amp; Grave, E. (2021). Leveraging Passage Retrieval with Generative Models for Open Domain Question Answering. Proceedings of EACL. arXiv:2007.01282</w:t>
      </w:r>
    </w:p>
    <w:p>
      <w:pPr>
        <w:spacing w:after="70" w:line="250" w:lineRule="auto"/>
        <w:ind w:left="520" w:hanging="520"/>
        <w:jc w:val="left"/>
      </w:pPr>
      <w:r>
        <w:rPr>
          <w:rFonts w:ascii="Cambria" w:cs="Cambria" w:eastAsia="Cambria" w:hAnsi="Cambria"/>
          <w:b/>
          <w:bCs/>
          <w:color w:val="111111"/>
          <w:sz w:val="19"/>
          <w:szCs w:val="19"/>
        </w:rPr>
        <w:t xml:space="preserve">[72]  </w:t>
      </w:r>
      <w:r>
        <w:rPr>
          <w:rFonts w:ascii="Cambria" w:cs="Cambria" w:eastAsia="Cambria" w:hAnsi="Cambria"/>
          <w:color w:val="111111"/>
          <w:sz w:val="19"/>
          <w:szCs w:val="19"/>
        </w:rPr>
        <w:t xml:space="preserve">Ji, Z., Lee, N., Frieske, R., Yu, T., Su, D., Xu, Y., Ishii, E., Bang, Y. J., Madotto, A., &amp; Fung, P. (2023). Survey of Hallucination in Natural Language Generation. ACM Computing Surveys, 55(12), 1–38. doi:10.1145/3571730</w:t>
      </w:r>
    </w:p>
    <w:p>
      <w:pPr>
        <w:spacing w:after="70" w:line="250" w:lineRule="auto"/>
        <w:ind w:left="520" w:hanging="520"/>
        <w:jc w:val="left"/>
      </w:pPr>
      <w:r>
        <w:rPr>
          <w:rFonts w:ascii="Cambria" w:cs="Cambria" w:eastAsia="Cambria" w:hAnsi="Cambria"/>
          <w:b/>
          <w:bCs/>
          <w:color w:val="111111"/>
          <w:sz w:val="19"/>
          <w:szCs w:val="19"/>
        </w:rPr>
        <w:t xml:space="preserve">[73]  </w:t>
      </w:r>
      <w:r>
        <w:rPr>
          <w:rFonts w:ascii="Cambria" w:cs="Cambria" w:eastAsia="Cambria" w:hAnsi="Cambria"/>
          <w:color w:val="111111"/>
          <w:sz w:val="19"/>
          <w:szCs w:val="19"/>
        </w:rPr>
        <w:t xml:space="preserve">Jiang, A. Q., et al. (2023). Mistral 7B. arXiv preprint. arXiv:2310.06825</w:t>
      </w:r>
    </w:p>
    <w:p>
      <w:pPr>
        <w:spacing w:after="70" w:line="250" w:lineRule="auto"/>
        <w:ind w:left="520" w:hanging="520"/>
        <w:jc w:val="left"/>
      </w:pPr>
      <w:r>
        <w:rPr>
          <w:rFonts w:ascii="Cambria" w:cs="Cambria" w:eastAsia="Cambria" w:hAnsi="Cambria"/>
          <w:b/>
          <w:bCs/>
          <w:color w:val="111111"/>
          <w:sz w:val="19"/>
          <w:szCs w:val="19"/>
        </w:rPr>
        <w:t xml:space="preserve">[74]  </w:t>
      </w:r>
      <w:r>
        <w:rPr>
          <w:rFonts w:ascii="Cambria" w:cs="Cambria" w:eastAsia="Cambria" w:hAnsi="Cambria"/>
          <w:color w:val="111111"/>
          <w:sz w:val="19"/>
          <w:szCs w:val="19"/>
        </w:rPr>
        <w:t xml:space="preserve">Jiang, Z., Xu, F. F., Gao, L., Sun, Z., Liu, Q., Dwivedi-Yu, J., Yang, Y., Callan, J., &amp; Neubig, G. (2023). Active Retrieval Augmented Generation (FLARE). Proceedings of EMNLP. arXiv:2305.06983</w:t>
      </w:r>
    </w:p>
    <w:p>
      <w:pPr>
        <w:spacing w:after="70" w:line="250" w:lineRule="auto"/>
        <w:ind w:left="520" w:hanging="520"/>
        <w:jc w:val="left"/>
      </w:pPr>
      <w:r>
        <w:rPr>
          <w:rFonts w:ascii="Cambria" w:cs="Cambria" w:eastAsia="Cambria" w:hAnsi="Cambria"/>
          <w:b/>
          <w:bCs/>
          <w:color w:val="111111"/>
          <w:sz w:val="19"/>
          <w:szCs w:val="19"/>
        </w:rPr>
        <w:t xml:space="preserve">[75]  </w:t>
      </w:r>
      <w:r>
        <w:rPr>
          <w:rFonts w:ascii="Cambria" w:cs="Cambria" w:eastAsia="Cambria" w:hAnsi="Cambria"/>
          <w:color w:val="111111"/>
          <w:sz w:val="19"/>
          <w:szCs w:val="19"/>
        </w:rPr>
        <w:t xml:space="preserve">Jiang, D., Ren, X., &amp; Lin, B. Y. (2023). LLM-Blender: Ensembling Large Language Models with Pairwise Ranking and Generative Fusion. Proceedings of the Association for Computational Linguistics (ACL). arXiv:2306.02561</w:t>
      </w:r>
    </w:p>
    <w:p>
      <w:pPr>
        <w:spacing w:after="70" w:line="250" w:lineRule="auto"/>
        <w:ind w:left="520" w:hanging="520"/>
        <w:jc w:val="left"/>
      </w:pPr>
      <w:r>
        <w:rPr>
          <w:rFonts w:ascii="Cambria" w:cs="Cambria" w:eastAsia="Cambria" w:hAnsi="Cambria"/>
          <w:b/>
          <w:bCs/>
          <w:color w:val="111111"/>
          <w:sz w:val="19"/>
          <w:szCs w:val="19"/>
        </w:rPr>
        <w:t xml:space="preserve">[76]  </w:t>
      </w:r>
      <w:r>
        <w:rPr>
          <w:rFonts w:ascii="Cambria" w:cs="Cambria" w:eastAsia="Cambria" w:hAnsi="Cambria"/>
          <w:color w:val="111111"/>
          <w:sz w:val="19"/>
          <w:szCs w:val="19"/>
        </w:rPr>
        <w:t xml:space="preserve">Jiang, A. Q., et al. (2024). Mixtral of Experts. arXiv preprint. arXiv:2401.04088</w:t>
      </w:r>
    </w:p>
    <w:p>
      <w:pPr>
        <w:spacing w:after="70" w:line="250" w:lineRule="auto"/>
        <w:ind w:left="520" w:hanging="520"/>
        <w:jc w:val="left"/>
      </w:pPr>
      <w:r>
        <w:rPr>
          <w:rFonts w:ascii="Cambria" w:cs="Cambria" w:eastAsia="Cambria" w:hAnsi="Cambria"/>
          <w:b/>
          <w:bCs/>
          <w:color w:val="111111"/>
          <w:sz w:val="19"/>
          <w:szCs w:val="19"/>
        </w:rPr>
        <w:t xml:space="preserve">[77]  </w:t>
      </w:r>
      <w:r>
        <w:rPr>
          <w:rFonts w:ascii="Cambria" w:cs="Cambria" w:eastAsia="Cambria" w:hAnsi="Cambria"/>
          <w:color w:val="111111"/>
          <w:sz w:val="19"/>
          <w:szCs w:val="19"/>
        </w:rPr>
        <w:t xml:space="preserve">Jimenez, C. E., Yang, J., Wettig, A., Yao, S., Pei, K., Press, O., &amp; Narasimhan, K. (2024). SWE-bench: Can Language Models Resolve Real-World GitHub Issues?. International Conference on Learning Representations (ICLR). arXiv:2310.06770</w:t>
      </w:r>
    </w:p>
    <w:p>
      <w:pPr>
        <w:spacing w:after="70" w:line="250" w:lineRule="auto"/>
        <w:ind w:left="520" w:hanging="520"/>
        <w:jc w:val="left"/>
      </w:pPr>
      <w:r>
        <w:rPr>
          <w:rFonts w:ascii="Cambria" w:cs="Cambria" w:eastAsia="Cambria" w:hAnsi="Cambria"/>
          <w:b/>
          <w:bCs/>
          <w:color w:val="111111"/>
          <w:sz w:val="19"/>
          <w:szCs w:val="19"/>
        </w:rPr>
        <w:t xml:space="preserve">[78]  </w:t>
      </w:r>
      <w:r>
        <w:rPr>
          <w:rFonts w:ascii="Cambria" w:cs="Cambria" w:eastAsia="Cambria" w:hAnsi="Cambria"/>
          <w:color w:val="111111"/>
          <w:sz w:val="19"/>
          <w:szCs w:val="19"/>
        </w:rPr>
        <w:t xml:space="preserve">Johnson, J., Douze, M., &amp; Jégou, H. (2019). Billion-Scale Similarity Search with GPUs. IEEE Transactions on Big Data. arXiv:1702.08734</w:t>
      </w:r>
    </w:p>
    <w:p>
      <w:pPr>
        <w:spacing w:after="70" w:line="250" w:lineRule="auto"/>
        <w:ind w:left="520" w:hanging="520"/>
        <w:jc w:val="left"/>
      </w:pPr>
      <w:r>
        <w:rPr>
          <w:rFonts w:ascii="Cambria" w:cs="Cambria" w:eastAsia="Cambria" w:hAnsi="Cambria"/>
          <w:b/>
          <w:bCs/>
          <w:color w:val="111111"/>
          <w:sz w:val="19"/>
          <w:szCs w:val="19"/>
        </w:rPr>
        <w:t xml:space="preserve">[79]  </w:t>
      </w:r>
      <w:r>
        <w:rPr>
          <w:rFonts w:ascii="Cambria" w:cs="Cambria" w:eastAsia="Cambria" w:hAnsi="Cambria"/>
          <w:color w:val="111111"/>
          <w:sz w:val="19"/>
          <w:szCs w:val="19"/>
        </w:rPr>
        <w:t xml:space="preserve">Kairouz, P., et al. (2021). Advances and Open Problems in Federated Learning. Foundations and Trends in Machine Learning, 14(1–2). arXiv:1912.04977</w:t>
      </w:r>
    </w:p>
    <w:p>
      <w:pPr>
        <w:spacing w:after="70" w:line="250" w:lineRule="auto"/>
        <w:ind w:left="520" w:hanging="520"/>
        <w:jc w:val="left"/>
      </w:pPr>
      <w:r>
        <w:rPr>
          <w:rFonts w:ascii="Cambria" w:cs="Cambria" w:eastAsia="Cambria" w:hAnsi="Cambria"/>
          <w:b/>
          <w:bCs/>
          <w:color w:val="111111"/>
          <w:sz w:val="19"/>
          <w:szCs w:val="19"/>
        </w:rPr>
        <w:t xml:space="preserve">[80]  </w:t>
      </w:r>
      <w:r>
        <w:rPr>
          <w:rFonts w:ascii="Cambria" w:cs="Cambria" w:eastAsia="Cambria" w:hAnsi="Cambria"/>
          <w:color w:val="111111"/>
          <w:sz w:val="19"/>
          <w:szCs w:val="19"/>
        </w:rPr>
        <w:t xml:space="preserve">Kaplan, J., McCandlish, S., Henighan, T., Brown, T. B., Chess, B., Child, R., Gray, S., Radford, A., Wu, J., &amp; Amodei, D. (2020). Scaling Laws for Neural Language Models. arXiv preprint. arXiv:2001.08361</w:t>
      </w:r>
    </w:p>
    <w:p>
      <w:pPr>
        <w:spacing w:after="70" w:line="250" w:lineRule="auto"/>
        <w:ind w:left="520" w:hanging="520"/>
        <w:jc w:val="left"/>
      </w:pPr>
      <w:r>
        <w:rPr>
          <w:rFonts w:ascii="Cambria" w:cs="Cambria" w:eastAsia="Cambria" w:hAnsi="Cambria"/>
          <w:b/>
          <w:bCs/>
          <w:color w:val="111111"/>
          <w:sz w:val="19"/>
          <w:szCs w:val="19"/>
        </w:rPr>
        <w:t xml:space="preserve">[81]  </w:t>
      </w:r>
      <w:r>
        <w:rPr>
          <w:rFonts w:ascii="Cambria" w:cs="Cambria" w:eastAsia="Cambria" w:hAnsi="Cambria"/>
          <w:color w:val="111111"/>
          <w:sz w:val="19"/>
          <w:szCs w:val="19"/>
        </w:rPr>
        <w:t xml:space="preserve">Karpukhin, V., Oğuz, B., Min, S., Lewis, P., Wu, L., Edunov, S., Chen, D., &amp; Yih, W. (2020). Dense Passage Retrieval for Open-Domain Question Answering. Proceedings of EMNLP. arXiv:2004.04906</w:t>
      </w:r>
    </w:p>
    <w:p>
      <w:pPr>
        <w:spacing w:after="70" w:line="250" w:lineRule="auto"/>
        <w:ind w:left="520" w:hanging="520"/>
        <w:jc w:val="left"/>
      </w:pPr>
      <w:r>
        <w:rPr>
          <w:rFonts w:ascii="Cambria" w:cs="Cambria" w:eastAsia="Cambria" w:hAnsi="Cambria"/>
          <w:b/>
          <w:bCs/>
          <w:color w:val="111111"/>
          <w:sz w:val="19"/>
          <w:szCs w:val="19"/>
        </w:rPr>
        <w:t xml:space="preserve">[82]  </w:t>
      </w:r>
      <w:r>
        <w:rPr>
          <w:rFonts w:ascii="Cambria" w:cs="Cambria" w:eastAsia="Cambria" w:hAnsi="Cambria"/>
          <w:color w:val="111111"/>
          <w:sz w:val="19"/>
          <w:szCs w:val="19"/>
        </w:rPr>
        <w:t xml:space="preserve">Kelly, J. L., Jr. (1956). A New Interpretation of Information Rate. Bell System Technical Journal, 35(4), 917–926. doi:10.1002/j.1538-7305.1956.tb03809.x</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[83]  </w:t>
      </w:r>
      <w:r>
        <w:rPr>
          <w:rFonts w:ascii="Cambria" w:cs="Cambria" w:eastAsia="Cambria" w:hAnsi="Cambria"/>
          <w:color w:val="111111"/>
          <w:sz w:val="19"/>
          <w:szCs w:val="19"/>
        </w:rPr>
        <w:t xml:space="preserve">Kim, M. J., Pertsch, K., Karamcheti, S., Xiao, T., Balakrishna, A., Nair, S., Rafailov, R., Foster, E., Lam, G., Sanketi, P., Vuong, Q., Kollar, T., Burchfiel, B., Tedrake, R., Sadigh, D., Levine, S., Liang, P., &amp; Finn, C. (2024). OpenVLA: An Open-Source Vision-Language-Action Model. Conference on Robot Learning (CoRL). arXiv:2406.09246</w:t>
      </w:r>
    </w:p>
    <w:p>
      <w:pPr>
        <w:spacing w:after="70" w:line="250" w:lineRule="auto"/>
        <w:ind w:left="520" w:hanging="520"/>
        <w:jc w:val="left"/>
      </w:pPr>
      <w:r>
        <w:rPr>
          <w:rFonts w:ascii="Cambria" w:cs="Cambria" w:eastAsia="Cambria" w:hAnsi="Cambria"/>
          <w:b/>
          <w:bCs/>
          <w:color w:val="111111"/>
          <w:sz w:val="19"/>
          <w:szCs w:val="19"/>
        </w:rPr>
        <w:t xml:space="preserve">[84]  </w:t>
      </w:r>
      <w:r>
        <w:rPr>
          <w:rFonts w:ascii="Cambria" w:cs="Cambria" w:eastAsia="Cambria" w:hAnsi="Cambria"/>
          <w:color w:val="111111"/>
          <w:sz w:val="19"/>
          <w:szCs w:val="19"/>
        </w:rPr>
        <w:t xml:space="preserve">Kirchenbauer, J., Geiping, J., Wen, Y., Katz, J., Miers, I., &amp; Goldstein, T. (2023). A Watermark for Large Language Models. Proceedings of the 40th International Conference on Machine Learning (ICML), PMLR 202, 17061–17084. arXiv:2301.10226</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[85]  </w:t>
      </w:r>
      <w:r>
        <w:rPr>
          <w:rFonts w:ascii="Cambria" w:cs="Cambria" w:eastAsia="Cambria" w:hAnsi="Cambria"/>
          <w:color w:val="111111"/>
          <w:sz w:val="19"/>
          <w:szCs w:val="19"/>
        </w:rPr>
        <w:t xml:space="preserve">Kirilenko, A., Kyle, A. S., Samadi, M., &amp; Tuzun, T. (2017). The Flash Crash: High-Frequency Trading in an Electronic Market. The Journal of Finance, 72(3), 967–998. doi:10.1111/jofi.12498</w:t>
      </w:r>
    </w:p>
    <w:p>
      <w:pPr>
        <w:spacing w:after="70" w:line="250" w:lineRule="auto"/>
        <w:ind w:left="520" w:hanging="520"/>
        <w:jc w:val="left"/>
      </w:pPr>
      <w:r>
        <w:rPr>
          <w:rFonts w:ascii="Cambria" w:cs="Cambria" w:eastAsia="Cambria" w:hAnsi="Cambria"/>
          <w:b/>
          <w:bCs/>
          <w:color w:val="111111"/>
          <w:sz w:val="19"/>
          <w:szCs w:val="19"/>
        </w:rPr>
        <w:t xml:space="preserve">[86]  </w:t>
      </w:r>
      <w:r>
        <w:rPr>
          <w:rFonts w:ascii="Cambria" w:cs="Cambria" w:eastAsia="Cambria" w:hAnsi="Cambria"/>
          <w:color w:val="111111"/>
          <w:sz w:val="19"/>
          <w:szCs w:val="19"/>
        </w:rPr>
        <w:t xml:space="preserve">Kiwix Association (2026). Kiwix: Offline Access to Wikipedia and Other Web Content (project documentation). kiwix.org [organizational source — no peer-reviewed evaluation located].</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[87]  </w:t>
      </w:r>
      <w:r>
        <w:rPr>
          <w:rFonts w:ascii="Cambria" w:cs="Cambria" w:eastAsia="Cambria" w:hAnsi="Cambria"/>
          <w:color w:val="111111"/>
          <w:sz w:val="19"/>
          <w:szCs w:val="19"/>
        </w:rPr>
        <w:t xml:space="preserve">Kleppmann, M., Wiggins, A., van Hardenberg, P., &amp; McGranaghan, M. (2019). Local-First Software: You Own Your Data, in Spite of the Cloud. Proceedings of the 2019 ACM SIGPLAN International Symposium on New Ideas, New Paradigms, and Reflections on Programming and Software (Onward!). doi:10.1145/3359591.3359737</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[88]  </w:t>
      </w:r>
      <w:r>
        <w:rPr>
          <w:rFonts w:ascii="Cambria" w:cs="Cambria" w:eastAsia="Cambria" w:hAnsi="Cambria"/>
          <w:color w:val="111111"/>
          <w:sz w:val="19"/>
          <w:szCs w:val="19"/>
        </w:rPr>
        <w:t xml:space="preserve">Kwon, W., Li, Z., Zhuang, S., Sheng, Y., Zheng, L., Yu, C. H., Gonzalez, J. E., Zhang, H., &amp; Stoica, I. (2023). Efficient Memory Management for Large Language Model Serving with PagedAttention. Proceedings of the 29th ACM Symposium on Operating Systems Principles (SOSP). arXiv:2309.06180</w:t>
      </w:r>
    </w:p>
    <w:p>
      <w:pPr>
        <w:spacing w:after="70" w:line="250" w:lineRule="auto"/>
        <w:ind w:left="520" w:hanging="520"/>
        <w:jc w:val="left"/>
      </w:pPr>
      <w:r>
        <w:rPr>
          <w:rFonts w:ascii="Cambria" w:cs="Cambria" w:eastAsia="Cambria" w:hAnsi="Cambria"/>
          <w:b/>
          <w:bCs/>
          <w:color w:val="111111"/>
          <w:sz w:val="19"/>
          <w:szCs w:val="19"/>
        </w:rPr>
        <w:t xml:space="preserve">[89]  </w:t>
      </w:r>
      <w:r>
        <w:rPr>
          <w:rFonts w:ascii="Cambria" w:cs="Cambria" w:eastAsia="Cambria" w:hAnsi="Cambria"/>
          <w:color w:val="111111"/>
          <w:sz w:val="19"/>
          <w:szCs w:val="19"/>
        </w:rPr>
        <w:t xml:space="preserve">Lee, J. D., &amp; See, K. A. (2004). Trust in Automation: Designing for Appropriate Reliance. Human Factors, 46(1), 50–80. doi:10.1518/hfes.46.1.50_30392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[90]  </w:t>
      </w:r>
      <w:r>
        <w:rPr>
          <w:rFonts w:ascii="Cambria" w:cs="Cambria" w:eastAsia="Cambria" w:hAnsi="Cambria"/>
          <w:color w:val="111111"/>
          <w:sz w:val="19"/>
          <w:szCs w:val="19"/>
        </w:rPr>
        <w:t xml:space="preserve">Leviathan, Y., Kalman, M., &amp; Matias, Y. (2023). Fast Inference from Transformers via Speculative Decoding. International Conference on Machine Learning (ICML). arXiv:2211.17192</w:t>
      </w:r>
    </w:p>
    <w:p>
      <w:pPr>
        <w:spacing w:after="70" w:line="250" w:lineRule="auto"/>
        <w:ind w:left="520" w:hanging="520"/>
        <w:jc w:val="left"/>
      </w:pPr>
      <w:r>
        <w:rPr>
          <w:rFonts w:ascii="Cambria" w:cs="Cambria" w:eastAsia="Cambria" w:hAnsi="Cambria"/>
          <w:b/>
          <w:bCs/>
          <w:color w:val="111111"/>
          <w:sz w:val="19"/>
          <w:szCs w:val="19"/>
        </w:rPr>
        <w:t xml:space="preserve">[91]  </w:t>
      </w:r>
      <w:r>
        <w:rPr>
          <w:rFonts w:ascii="Cambria" w:cs="Cambria" w:eastAsia="Cambria" w:hAnsi="Cambria"/>
          <w:color w:val="111111"/>
          <w:sz w:val="19"/>
          <w:szCs w:val="19"/>
        </w:rPr>
        <w:t xml:space="preserve">Lewis, P., Perez, E., Piktus, A., Petroni, F., Karpukhin, V., Goyal, N., Küttler, H., Lewis, M., Yih, W., Rocktäschel, T., Riedel, S., &amp; Kiela, D. (2020). Retrieval-Augmented Generation for Knowledge-Intensive NLP Tasks. Advances in Neural Information Processing Systems (NeurIPS). arXiv:2005.11401</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[92]  </w:t>
      </w:r>
      <w:r>
        <w:rPr>
          <w:rFonts w:ascii="Cambria" w:cs="Cambria" w:eastAsia="Cambria" w:hAnsi="Cambria"/>
          <w:color w:val="111111"/>
          <w:sz w:val="19"/>
          <w:szCs w:val="19"/>
        </w:rPr>
        <w:t xml:space="preserve">Li, J. (2015). The Benefit of Being Physically Present: A Survey of Experimental Works Comparing Copresent Robots, Telepresent Robots and Virtual Agents. International Journal of Human-Computer Studies, 77, 23–37. doi:10.1016/j.ijhcs.2015.01.001</w:t>
      </w:r>
    </w:p>
    <w:p>
      <w:pPr>
        <w:spacing w:after="70" w:line="250" w:lineRule="auto"/>
        <w:ind w:left="520" w:hanging="520"/>
        <w:jc w:val="left"/>
      </w:pPr>
      <w:r>
        <w:rPr>
          <w:rFonts w:ascii="Cambria" w:cs="Cambria" w:eastAsia="Cambria" w:hAnsi="Cambria"/>
          <w:b/>
          <w:bCs/>
          <w:color w:val="111111"/>
          <w:sz w:val="19"/>
          <w:szCs w:val="19"/>
        </w:rPr>
        <w:t xml:space="preserve">[93]  </w:t>
      </w:r>
      <w:r>
        <w:rPr>
          <w:rFonts w:ascii="Cambria" w:cs="Cambria" w:eastAsia="Cambria" w:hAnsi="Cambria"/>
          <w:color w:val="111111"/>
          <w:sz w:val="19"/>
          <w:szCs w:val="19"/>
        </w:rPr>
        <w:t xml:space="preserve">Li, G., Hammoud, H. A. A. K., Itani, H., Khizbullin, D., &amp; Ghanem, B. (2023). CAMEL: Communicative Agents for "Mind" Exploration of Large Language Model Society. Advances in Neural Information Processing Systems (NeurIPS). arXiv:2303.17760</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[94]  </w:t>
      </w:r>
      <w:r>
        <w:rPr>
          <w:rFonts w:ascii="Cambria" w:cs="Cambria" w:eastAsia="Cambria" w:hAnsi="Cambria"/>
          <w:color w:val="111111"/>
          <w:sz w:val="19"/>
          <w:szCs w:val="19"/>
        </w:rPr>
        <w:t xml:space="preserve">Liang, J., Huang, W., Xia, F., Xu, P., Hausman, K., Ichter, B., Florence, P., &amp; Zeng, A. (2023). Code as Policies: Language Model Programs for Embodied Control. IEEE International Conference on Robotics and Automation (ICRA). arXiv:2209.07753</w:t>
      </w:r>
    </w:p>
    <w:p>
      <w:pPr>
        <w:spacing w:after="70" w:line="250" w:lineRule="auto"/>
        <w:ind w:left="520" w:hanging="520"/>
        <w:jc w:val="left"/>
      </w:pPr>
      <w:r>
        <w:rPr>
          <w:rFonts w:ascii="Cambria" w:cs="Cambria" w:eastAsia="Cambria" w:hAnsi="Cambria"/>
          <w:b/>
          <w:bCs/>
          <w:color w:val="111111"/>
          <w:sz w:val="19"/>
          <w:szCs w:val="19"/>
        </w:rPr>
        <w:t xml:space="preserve">[95]  </w:t>
      </w:r>
      <w:r>
        <w:rPr>
          <w:rFonts w:ascii="Cambria" w:cs="Cambria" w:eastAsia="Cambria" w:hAnsi="Cambria"/>
          <w:color w:val="111111"/>
          <w:sz w:val="19"/>
          <w:szCs w:val="19"/>
        </w:rPr>
        <w:t xml:space="preserve">Lin, S., Hilton, J., &amp; Evans, O. (2022). TruthfulQA: Measuring How Models Mimic Human Falsehoods. Proceedings of ACL. arXiv:2109.07958</w:t>
      </w:r>
    </w:p>
    <w:p>
      <w:pPr>
        <w:spacing w:after="70" w:line="250" w:lineRule="auto"/>
        <w:ind w:left="520" w:hanging="520"/>
        <w:jc w:val="left"/>
      </w:pPr>
      <w:r>
        <w:rPr>
          <w:rFonts w:ascii="Cambria" w:cs="Cambria" w:eastAsia="Cambria" w:hAnsi="Cambria"/>
          <w:b/>
          <w:bCs/>
          <w:color w:val="111111"/>
          <w:sz w:val="19"/>
          <w:szCs w:val="19"/>
        </w:rPr>
        <w:t xml:space="preserve">[96]  </w:t>
      </w:r>
      <w:r>
        <w:rPr>
          <w:rFonts w:ascii="Cambria" w:cs="Cambria" w:eastAsia="Cambria" w:hAnsi="Cambria"/>
          <w:color w:val="111111"/>
          <w:sz w:val="19"/>
          <w:szCs w:val="19"/>
        </w:rPr>
        <w:t xml:space="preserve">Lin, J., Tang, J., Tang, H., Yang, S., Dang, X., Gan, C., &amp; Han, S. (2024). AWQ: Activation-aware Weight Quantization for LLM Compression and Acceleration. Proceedings of Machine Learning and Systems (MLSys) — Best Paper. arXiv:2306.00978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[97]  </w:t>
      </w:r>
      <w:r>
        <w:rPr>
          <w:rFonts w:ascii="Cambria" w:cs="Cambria" w:eastAsia="Cambria" w:hAnsi="Cambria"/>
          <w:color w:val="111111"/>
          <w:sz w:val="19"/>
          <w:szCs w:val="19"/>
        </w:rPr>
        <w:t xml:space="preserve">Liu, X., et al. (2024). AgentBench: Evaluating LLMs as Agents. International Conference on Learning Representations (ICLR). arXiv:2308.03688</w:t>
      </w:r>
    </w:p>
    <w:p>
      <w:pPr>
        <w:spacing w:after="70" w:line="250" w:lineRule="auto"/>
        <w:ind w:left="520" w:hanging="520"/>
        <w:jc w:val="left"/>
      </w:pPr>
      <w:r>
        <w:rPr>
          <w:rFonts w:ascii="Cambria" w:cs="Cambria" w:eastAsia="Cambria" w:hAnsi="Cambria"/>
          <w:b/>
          <w:bCs/>
          <w:color w:val="111111"/>
          <w:sz w:val="19"/>
          <w:szCs w:val="19"/>
        </w:rPr>
        <w:t xml:space="preserve">[98]  </w:t>
      </w:r>
      <w:r>
        <w:rPr>
          <w:rFonts w:ascii="Cambria" w:cs="Cambria" w:eastAsia="Cambria" w:hAnsi="Cambria"/>
          <w:color w:val="111111"/>
          <w:sz w:val="19"/>
          <w:szCs w:val="19"/>
        </w:rPr>
        <w:t xml:space="preserve">Liu, Y., Deng, G., Li, Y., Wang, K., Zhang, T., Liu, Y., Wang, H., Zheng, Y., &amp; Liu, Y. (2024). Prompt Injection Attack Against LLM-Integrated Applications. arXiv preprint. arXiv:2306.05499</w:t>
      </w:r>
    </w:p>
    <w:p>
      <w:pPr>
        <w:spacing w:after="70" w:line="250" w:lineRule="auto"/>
        <w:ind w:left="520" w:hanging="520"/>
        <w:jc w:val="left"/>
      </w:pPr>
      <w:r>
        <w:rPr>
          <w:rFonts w:ascii="Cambria" w:cs="Cambria" w:eastAsia="Cambria" w:hAnsi="Cambria"/>
          <w:b/>
          <w:bCs/>
          <w:color w:val="111111"/>
          <w:sz w:val="19"/>
          <w:szCs w:val="19"/>
        </w:rPr>
        <w:t xml:space="preserve">[99]  </w:t>
      </w:r>
      <w:r>
        <w:rPr>
          <w:rFonts w:ascii="Cambria" w:cs="Cambria" w:eastAsia="Cambria" w:hAnsi="Cambria"/>
          <w:color w:val="111111"/>
          <w:sz w:val="19"/>
          <w:szCs w:val="19"/>
        </w:rPr>
        <w:t xml:space="preserve">Lu, C., Lu, C., Lange, R. T., Foerster, J., Clune, J., &amp; Ha, D. (2024). The AI Scientist: Towards Fully Automated Open-Ended Scientific Discovery. arXiv preprint. arXiv:2408.06292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[100]  </w:t>
      </w:r>
      <w:r>
        <w:rPr>
          <w:rFonts w:ascii="Cambria" w:cs="Cambria" w:eastAsia="Cambria" w:hAnsi="Cambria"/>
          <w:color w:val="111111"/>
          <w:sz w:val="19"/>
          <w:szCs w:val="19"/>
        </w:rPr>
        <w:t xml:space="preserve">Luccioni, A. S., Viguier, S., &amp; Ligozat, A.-L. (2023). Estimating the Carbon Footprint of BLOOM, a 176B Parameter Language Model. Journal of Machine Learning Research, 24(253), 1–15. arXiv:2211.02001</w:t>
      </w:r>
    </w:p>
    <w:p>
      <w:pPr>
        <w:spacing w:after="70" w:line="250" w:lineRule="auto"/>
        <w:ind w:left="520" w:hanging="520"/>
        <w:jc w:val="left"/>
      </w:pPr>
      <w:r>
        <w:rPr>
          <w:rFonts w:ascii="Cambria" w:cs="Cambria" w:eastAsia="Cambria" w:hAnsi="Cambria"/>
          <w:b/>
          <w:bCs/>
          <w:color w:val="111111"/>
          <w:sz w:val="19"/>
          <w:szCs w:val="19"/>
        </w:rPr>
        <w:t xml:space="preserve">[101]  </w:t>
      </w:r>
      <w:r>
        <w:rPr>
          <w:rFonts w:ascii="Cambria" w:cs="Cambria" w:eastAsia="Cambria" w:hAnsi="Cambria"/>
          <w:color w:val="111111"/>
          <w:sz w:val="19"/>
          <w:szCs w:val="19"/>
        </w:rPr>
        <w:t xml:space="preserve">Luger, E., &amp; Sellen, A. (2016). "Like Having a Really Bad PA": The Gulf between User Expectation and Experience of Conversational Agents. Proceedings of CHI. doi:10.1145/2858036.2858288</w:t>
      </w:r>
    </w:p>
    <w:p>
      <w:pPr>
        <w:spacing w:after="70" w:line="250" w:lineRule="auto"/>
        <w:ind w:left="520" w:hanging="520"/>
        <w:jc w:val="left"/>
      </w:pPr>
      <w:r>
        <w:rPr>
          <w:rFonts w:ascii="Cambria" w:cs="Cambria" w:eastAsia="Cambria" w:hAnsi="Cambria"/>
          <w:b/>
          <w:bCs/>
          <w:color w:val="111111"/>
          <w:sz w:val="19"/>
          <w:szCs w:val="19"/>
        </w:rPr>
        <w:t xml:space="preserve">[102]  </w:t>
      </w:r>
      <w:r>
        <w:rPr>
          <w:rFonts w:ascii="Cambria" w:cs="Cambria" w:eastAsia="Cambria" w:hAnsi="Cambria"/>
          <w:color w:val="111111"/>
          <w:sz w:val="19"/>
          <w:szCs w:val="19"/>
        </w:rPr>
        <w:t xml:space="preserve">Lála, J., O’Donoghue, O., Shtedritski, A., Cox, S., Rodriques, S. G., &amp; White, A. D. (2023). PaperQA: Retrieval-Augmented Generative Agent for Scientific Research. arXiv preprint. arXiv:2312.07559</w:t>
      </w:r>
    </w:p>
    <w:p>
      <w:pPr>
        <w:spacing w:after="70" w:line="250" w:lineRule="auto"/>
        <w:ind w:left="520" w:hanging="520"/>
        <w:jc w:val="left"/>
      </w:pPr>
      <w:r>
        <w:rPr>
          <w:rFonts w:ascii="Cambria" w:cs="Cambria" w:eastAsia="Cambria" w:hAnsi="Cambria"/>
          <w:b/>
          <w:bCs/>
          <w:color w:val="111111"/>
          <w:sz w:val="19"/>
          <w:szCs w:val="19"/>
        </w:rPr>
        <w:t xml:space="preserve">[103]  </w:t>
      </w:r>
      <w:r>
        <w:rPr>
          <w:rFonts w:ascii="Cambria" w:cs="Cambria" w:eastAsia="Cambria" w:hAnsi="Cambria"/>
          <w:color w:val="111111"/>
          <w:sz w:val="19"/>
          <w:szCs w:val="19"/>
        </w:rPr>
        <w:t xml:space="preserve">Ma, S., Wang, H., Ma, L., Wang, L., Wang, W., Huang, S., Dong, L., Wang, R., Xue, J., &amp; Wei, F. (2024). The Era of 1-bit LLMs: All Large Language Models are in 1.58 Bits. arXiv preprint. arXiv:2402.17764</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[104]  </w:t>
      </w:r>
      <w:r>
        <w:rPr>
          <w:rFonts w:ascii="Cambria" w:cs="Cambria" w:eastAsia="Cambria" w:hAnsi="Cambria"/>
          <w:color w:val="111111"/>
          <w:sz w:val="19"/>
          <w:szCs w:val="19"/>
        </w:rPr>
        <w:t xml:space="preserve">MacLean, L. C., Ziemba, W. T., &amp; Blazenko, G. (1992). Growth Versus Security in Dynamic Investment Analysis. Management Science, 38(11), 1562–1585. doi:10.1287/mnsc.38.11.1562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[105]  </w:t>
      </w:r>
      <w:r>
        <w:rPr>
          <w:rFonts w:ascii="Cambria" w:cs="Cambria" w:eastAsia="Cambria" w:hAnsi="Cambria"/>
          <w:color w:val="111111"/>
          <w:sz w:val="19"/>
          <w:szCs w:val="19"/>
        </w:rPr>
        <w:t xml:space="preserve">MacLean, L. C., Thorp, E. O., &amp; Ziemba, W. T. (Eds.) (2011). The Kelly Capital Growth Investment Criterion: Theory and Practice. World Scientific Handbook in Financial Economics Series. doi:10.1142/7598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[106]  </w:t>
      </w:r>
      <w:r>
        <w:rPr>
          <w:rFonts w:ascii="Cambria" w:cs="Cambria" w:eastAsia="Cambria" w:hAnsi="Cambria"/>
          <w:color w:val="111111"/>
          <w:sz w:val="19"/>
          <w:szCs w:val="19"/>
        </w:rPr>
        <w:t xml:space="preserve">Malkov, Y. A., &amp; Yashunin, D. A. (2020). Efficient and Robust Approximate Nearest Neighbor Search Using Hierarchical Navigable Small World Graphs. IEEE Transactions on Pattern Analysis and Machine Intelligence, 42(4). arXiv:1603.09320</w:t>
      </w:r>
    </w:p>
    <w:p>
      <w:pPr>
        <w:spacing w:after="70" w:line="250" w:lineRule="auto"/>
        <w:ind w:left="520" w:hanging="520"/>
        <w:jc w:val="left"/>
      </w:pPr>
      <w:r>
        <w:rPr>
          <w:rFonts w:ascii="Cambria" w:cs="Cambria" w:eastAsia="Cambria" w:hAnsi="Cambria"/>
          <w:b/>
          <w:bCs/>
          <w:color w:val="111111"/>
          <w:sz w:val="19"/>
          <w:szCs w:val="19"/>
        </w:rPr>
        <w:t xml:space="preserve">[107]  </w:t>
      </w:r>
      <w:r>
        <w:rPr>
          <w:rFonts w:ascii="Cambria" w:cs="Cambria" w:eastAsia="Cambria" w:hAnsi="Cambria"/>
          <w:color w:val="111111"/>
          <w:sz w:val="19"/>
          <w:szCs w:val="19"/>
        </w:rPr>
        <w:t xml:space="preserve">Maynez, J., Narayan, S., Bohnet, B., &amp; McDonald, R. (2020). On Faithfulness and Factuality in Abstractive Summarization. Proceedings of ACL. arXiv:2005.00661</w:t>
      </w:r>
    </w:p>
    <w:p>
      <w:pPr>
        <w:spacing w:after="70" w:line="250" w:lineRule="auto"/>
        <w:ind w:left="520" w:hanging="520"/>
        <w:jc w:val="left"/>
      </w:pPr>
      <w:r>
        <w:rPr>
          <w:rFonts w:ascii="Cambria" w:cs="Cambria" w:eastAsia="Cambria" w:hAnsi="Cambria"/>
          <w:b/>
          <w:bCs/>
          <w:color w:val="111111"/>
          <w:sz w:val="19"/>
          <w:szCs w:val="19"/>
        </w:rPr>
        <w:t xml:space="preserve">[108]  </w:t>
      </w:r>
      <w:r>
        <w:rPr>
          <w:rFonts w:ascii="Cambria" w:cs="Cambria" w:eastAsia="Cambria" w:hAnsi="Cambria"/>
          <w:color w:val="111111"/>
          <w:sz w:val="19"/>
          <w:szCs w:val="19"/>
        </w:rPr>
        <w:t xml:space="preserve">McMahan, H. B., Moore, E., Ramage, D., Hampson, S., &amp; Agüera y Arcas, B. (2017). Communication-Efficient Learning of Deep Networks from Decentralized Data. Proceedings of the 20th International Conference on Artificial Intelligence and Statistics (AISTATS). arXiv:1602.05629</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[109]  </w:t>
      </w:r>
      <w:r>
        <w:rPr>
          <w:rFonts w:ascii="Cambria" w:cs="Cambria" w:eastAsia="Cambria" w:hAnsi="Cambria"/>
          <w:color w:val="111111"/>
          <w:sz w:val="19"/>
          <w:szCs w:val="19"/>
        </w:rPr>
        <w:t xml:space="preserve">Meier, L., Honegger, D., &amp; Pollefeys, M. (2015). PX4: A Node-Based Multithreaded Open Source Robotics Framework for Deeply Embedded Platforms. IEEE International Conference on Robotics and Automation (ICRA). doi:10.1109/ICRA.2015.7140074</w:t>
      </w:r>
    </w:p>
    <w:p>
      <w:pPr>
        <w:spacing w:after="70" w:line="250" w:lineRule="auto"/>
        <w:ind w:left="520" w:hanging="520"/>
        <w:jc w:val="left"/>
      </w:pPr>
      <w:r>
        <w:rPr>
          <w:rFonts w:ascii="Cambria" w:cs="Cambria" w:eastAsia="Cambria" w:hAnsi="Cambria"/>
          <w:b/>
          <w:bCs/>
          <w:color w:val="111111"/>
          <w:sz w:val="19"/>
          <w:szCs w:val="19"/>
        </w:rPr>
        <w:t xml:space="preserve">[110]  </w:t>
      </w:r>
      <w:r>
        <w:rPr>
          <w:rFonts w:ascii="Cambria" w:cs="Cambria" w:eastAsia="Cambria" w:hAnsi="Cambria"/>
          <w:color w:val="111111"/>
          <w:sz w:val="19"/>
          <w:szCs w:val="19"/>
        </w:rPr>
        <w:t xml:space="preserve">Meta Superintelligence Labs (2026). Muse Spark: Scaling Towards Personal Superintelligence (multi-agent "Contemplating" mode). Meta AI [technical blog; proprietary, parameter count undisclosed]. ai.meta.com/blog/introducing-muse-spark-msl</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[111]  </w:t>
      </w:r>
      <w:r>
        <w:rPr>
          <w:rFonts w:ascii="Cambria" w:cs="Cambria" w:eastAsia="Cambria" w:hAnsi="Cambria"/>
          <w:color w:val="111111"/>
          <w:sz w:val="19"/>
          <w:szCs w:val="19"/>
        </w:rPr>
        <w:t xml:space="preserve">MiniMax (2026). MiniMax M3: An Open-Weight Mixture-of-Experts Model (428B total, 23B active, 1M context). MiniMax [model release, Jun 2026; license terms vendor-dependent]. huggingface.co/MiniMaxAI/MiniMax-M3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[112]  </w:t>
      </w:r>
      <w:r>
        <w:rPr>
          <w:rFonts w:ascii="Cambria" w:cs="Cambria" w:eastAsia="Cambria" w:hAnsi="Cambria"/>
          <w:color w:val="111111"/>
          <w:sz w:val="19"/>
          <w:szCs w:val="19"/>
        </w:rPr>
        <w:t xml:space="preserve">Moonshot AI (2025). Kimi K2: A 1-Trillion-Parameter Mixture-of-Experts Model (32B active). Moonshot AI [model release; modified MIT license].</w:t>
      </w:r>
    </w:p>
    <w:p>
      <w:pPr>
        <w:spacing w:after="70" w:line="250" w:lineRule="auto"/>
        <w:ind w:left="520" w:hanging="520"/>
        <w:jc w:val="left"/>
      </w:pPr>
      <w:r>
        <w:rPr>
          <w:rFonts w:ascii="Cambria" w:cs="Cambria" w:eastAsia="Cambria" w:hAnsi="Cambria"/>
          <w:b/>
          <w:bCs/>
          <w:color w:val="111111"/>
          <w:sz w:val="19"/>
          <w:szCs w:val="19"/>
        </w:rPr>
        <w:t xml:space="preserve">[113]  </w:t>
      </w:r>
      <w:r>
        <w:rPr>
          <w:rFonts w:ascii="Cambria" w:cs="Cambria" w:eastAsia="Cambria" w:hAnsi="Cambria"/>
          <w:color w:val="111111"/>
          <w:sz w:val="19"/>
          <w:szCs w:val="19"/>
        </w:rPr>
        <w:t xml:space="preserve">Moonshot AI (2026). Kimi K3: A 2.8-Trillion-Parameter Open-Weight Mixture-of-Experts Model with 1M Context. Moonshot AI [model release, 16 Jul 2026; specifications vendor-reported, weights scheduled 27 Jul 2026]. platform.kimi.ai</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[114]  </w:t>
      </w:r>
      <w:r>
        <w:rPr>
          <w:rFonts w:ascii="Cambria" w:cs="Cambria" w:eastAsia="Cambria" w:hAnsi="Cambria"/>
          <w:color w:val="111111"/>
          <w:sz w:val="19"/>
          <w:szCs w:val="19"/>
        </w:rPr>
        <w:t xml:space="preserve">Mori, M., MacDorman, K. F., &amp; Kageki, N. (2012). The Uncanny Valley [From the Field] (orig. 1970). IEEE Robotics &amp; Automation Magazine, 19(2), 98–100. doi:10.1109/MRA.2012.2192811</w:t>
      </w:r>
    </w:p>
    <w:p>
      <w:pPr>
        <w:spacing w:after="70" w:line="250" w:lineRule="auto"/>
        <w:ind w:left="520" w:hanging="520"/>
        <w:jc w:val="left"/>
      </w:pPr>
      <w:r>
        <w:rPr>
          <w:rFonts w:ascii="Cambria" w:cs="Cambria" w:eastAsia="Cambria" w:hAnsi="Cambria"/>
          <w:b/>
          <w:bCs/>
          <w:color w:val="111111"/>
          <w:sz w:val="19"/>
          <w:szCs w:val="19"/>
        </w:rPr>
        <w:t xml:space="preserve">[115]  </w:t>
      </w:r>
      <w:r>
        <w:rPr>
          <w:rFonts w:ascii="Cambria" w:cs="Cambria" w:eastAsia="Cambria" w:hAnsi="Cambria"/>
          <w:color w:val="111111"/>
          <w:sz w:val="19"/>
          <w:szCs w:val="19"/>
        </w:rPr>
        <w:t xml:space="preserve">Muennighoff, N., Tazi, N., Magne, L., &amp; Reimers, N. (2023). MTEB: Massive Text Embedding Benchmark. Proceedings of the European Chapter of the ACL (EACL). arXiv:2210.07316</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[116]  </w:t>
      </w:r>
      <w:r>
        <w:rPr>
          <w:rFonts w:ascii="Cambria" w:cs="Cambria" w:eastAsia="Cambria" w:hAnsi="Cambria"/>
          <w:color w:val="111111"/>
          <w:sz w:val="19"/>
          <w:szCs w:val="19"/>
        </w:rPr>
        <w:t xml:space="preserve">Muir, B. M. (1987). Trust Between Humans and Machines, and the Design of Decision Aids. International Journal of Man-Machine Studies, 27(5–6), 527–539. doi:10.1016/S0020-7373(87)80013-5</w:t>
      </w:r>
    </w:p>
    <w:p>
      <w:pPr>
        <w:spacing w:after="70" w:line="250" w:lineRule="auto"/>
        <w:ind w:left="520" w:hanging="520"/>
        <w:jc w:val="left"/>
      </w:pPr>
      <w:r>
        <w:rPr>
          <w:rFonts w:ascii="Cambria" w:cs="Cambria" w:eastAsia="Cambria" w:hAnsi="Cambria"/>
          <w:b/>
          <w:bCs/>
          <w:color w:val="111111"/>
          <w:sz w:val="19"/>
          <w:szCs w:val="19"/>
        </w:rPr>
        <w:t xml:space="preserve">[117]  </w:t>
      </w:r>
      <w:r>
        <w:rPr>
          <w:rFonts w:ascii="Cambria" w:cs="Cambria" w:eastAsia="Cambria" w:hAnsi="Cambria"/>
          <w:color w:val="111111"/>
          <w:sz w:val="19"/>
          <w:szCs w:val="19"/>
        </w:rPr>
        <w:t xml:space="preserve">Mur-Artal, R., &amp; Tardós, J. D. (2017). ORB-SLAM2: An Open-Source SLAM System for Monocular, Stereo, and RGB-D Cameras. IEEE Transactions on Robotics, 33(5), 1255–1262. doi:10.1109/TRO.2017.2705103</w:t>
      </w:r>
    </w:p>
    <w:p>
      <w:pPr>
        <w:spacing w:after="70" w:line="250" w:lineRule="auto"/>
        <w:ind w:left="520" w:hanging="520"/>
        <w:jc w:val="left"/>
      </w:pPr>
      <w:r>
        <w:rPr>
          <w:rFonts w:ascii="Cambria" w:cs="Cambria" w:eastAsia="Cambria" w:hAnsi="Cambria"/>
          <w:b/>
          <w:bCs/>
          <w:color w:val="111111"/>
          <w:sz w:val="19"/>
          <w:szCs w:val="19"/>
        </w:rPr>
        <w:t xml:space="preserve">[118]  </w:t>
      </w:r>
      <w:r>
        <w:rPr>
          <w:rFonts w:ascii="Cambria" w:cs="Cambria" w:eastAsia="Cambria" w:hAnsi="Cambria"/>
          <w:color w:val="111111"/>
          <w:sz w:val="19"/>
          <w:szCs w:val="19"/>
        </w:rPr>
        <w:t xml:space="preserve">Nass, C., Steuer, J., &amp; Tauber, E. R. (1994). Computers are Social Actors. Proceedings of the SIGCHI Conference on Human Factors in Computing Systems (CHI). doi:10.1145/191666.191703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[119]  </w:t>
      </w:r>
      <w:r>
        <w:rPr>
          <w:rFonts w:ascii="Cambria" w:cs="Cambria" w:eastAsia="Cambria" w:hAnsi="Cambria"/>
          <w:color w:val="111111"/>
          <w:sz w:val="19"/>
          <w:szCs w:val="19"/>
        </w:rPr>
        <w:t xml:space="preserve">Neustaedter, C., &amp; Sengers, P. (2012). Autobiographical Design in HCI Research: Designing and Learning Through Use-It-Yourself. Proceedings of the Designing Interactive Systems Conference (DIS). doi:10.1145/2317956.2318034</w:t>
      </w:r>
    </w:p>
    <w:p>
      <w:pPr>
        <w:spacing w:after="70" w:line="250" w:lineRule="auto"/>
        <w:ind w:left="520" w:hanging="520"/>
        <w:jc w:val="left"/>
      </w:pPr>
      <w:r>
        <w:rPr>
          <w:rFonts w:ascii="Cambria" w:cs="Cambria" w:eastAsia="Cambria" w:hAnsi="Cambria"/>
          <w:b/>
          <w:bCs/>
          <w:color w:val="111111"/>
          <w:sz w:val="19"/>
          <w:szCs w:val="19"/>
        </w:rPr>
        <w:t xml:space="preserve">[120]  </w:t>
      </w:r>
      <w:r>
        <w:rPr>
          <w:rFonts w:ascii="Cambria" w:cs="Cambria" w:eastAsia="Cambria" w:hAnsi="Cambria"/>
          <w:color w:val="111111"/>
          <w:sz w:val="19"/>
          <w:szCs w:val="19"/>
        </w:rPr>
        <w:t xml:space="preserve">Nielsen, S., Cetin, E., Schwendeman, A., Sun, Q., Xu, J., &amp; Tang, Y. (2026). Learning to Orchestrate Agents in Natural Language with the Conductor. International Conference on Learning Representations (ICLR). arXiv:2512.04388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[121]  </w:t>
      </w:r>
      <w:r>
        <w:rPr>
          <w:rFonts w:ascii="Cambria" w:cs="Cambria" w:eastAsia="Cambria" w:hAnsi="Cambria"/>
          <w:color w:val="111111"/>
          <w:sz w:val="19"/>
          <w:szCs w:val="19"/>
        </w:rPr>
        <w:t xml:space="preserve">Norman, D. A. (1990). The "Problem" with Automation: Inappropriate Feedback and Interaction, Not "Over-Automation". Philosophical Transactions of the Royal Society of London B, 327(1241), 585–593. doi:10.1098/rstb.1990.0101</w:t>
      </w:r>
    </w:p>
    <w:p>
      <w:pPr>
        <w:spacing w:after="70" w:line="250" w:lineRule="auto"/>
        <w:ind w:left="520" w:hanging="520"/>
        <w:jc w:val="left"/>
      </w:pPr>
      <w:r>
        <w:rPr>
          <w:rFonts w:ascii="Cambria" w:cs="Cambria" w:eastAsia="Cambria" w:hAnsi="Cambria"/>
          <w:b/>
          <w:bCs/>
          <w:color w:val="111111"/>
          <w:sz w:val="19"/>
          <w:szCs w:val="19"/>
        </w:rPr>
        <w:t xml:space="preserve">[122]  </w:t>
      </w:r>
      <w:r>
        <w:rPr>
          <w:rFonts w:ascii="Cambria" w:cs="Cambria" w:eastAsia="Cambria" w:hAnsi="Cambria"/>
          <w:color w:val="111111"/>
          <w:sz w:val="19"/>
          <w:szCs w:val="19"/>
        </w:rPr>
        <w:t xml:space="preserve">Nussbaum, Z., Morris, J. X., Duderstadt, B., &amp; Mulyar, A. (2024). Nomic Embed: Training a Reproducible Long Context Text Embedder. Transactions on Machine Learning Research (TMLR). arXiv:2402.01613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[123]  </w:t>
      </w:r>
      <w:r>
        <w:rPr>
          <w:rFonts w:ascii="Cambria" w:cs="Cambria" w:eastAsia="Cambria" w:hAnsi="Cambria"/>
          <w:color w:val="111111"/>
          <w:sz w:val="19"/>
          <w:szCs w:val="19"/>
        </w:rPr>
        <w:t xml:space="preserve">NVIDIA Corporation (2025). GeForce RTX 5090 Specifications (32 GB GDDR7, 512-bit, ~1.79 TB/s bandwidth, Blackwell GB202). NVIDIA [official product specification; MSRP $1,999, street pricing substantially higher]. nvidia.com</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[124]  </w:t>
      </w:r>
      <w:r>
        <w:rPr>
          <w:rFonts w:ascii="Cambria" w:cs="Cambria" w:eastAsia="Cambria" w:hAnsi="Cambria"/>
          <w:color w:val="111111"/>
          <w:sz w:val="19"/>
          <w:szCs w:val="19"/>
        </w:rPr>
        <w:t xml:space="preserve">Ong, I., Almahairi, A., Wu, V., Chiang, W.-L., Wu, T., Gonzalez, J. E., Kadous, M. W., &amp; Stoica, I. (2025). RouteLLM: Learning to Route LLMs with Preference Data. International Conference on Learning Representations (ICLR). arXiv:2406.18665</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[125]  </w:t>
      </w:r>
      <w:r>
        <w:rPr>
          <w:rFonts w:ascii="Cambria" w:cs="Cambria" w:eastAsia="Cambria" w:hAnsi="Cambria"/>
          <w:color w:val="111111"/>
          <w:sz w:val="19"/>
          <w:szCs w:val="19"/>
        </w:rPr>
        <w:t xml:space="preserve">OpenAI (2026). GPT-5.6 (Sol / Terra / Luna tiers; multi-agent "ultra" coordination mode). OpenAI [technical release; proprietary]. openai.com/index/gpt-5-6</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[126]  </w:t>
      </w:r>
      <w:r>
        <w:rPr>
          <w:rFonts w:ascii="Cambria" w:cs="Cambria" w:eastAsia="Cambria" w:hAnsi="Cambria"/>
          <w:color w:val="111111"/>
          <w:sz w:val="19"/>
          <w:szCs w:val="19"/>
        </w:rPr>
        <w:t xml:space="preserve">Orseau, L., &amp; Armstrong, S. (2016). Safely Interruptible Agents. Proceedings of the 32nd Conference on Uncertainty in Artificial Intelligence (UAI).</w:t>
      </w:r>
    </w:p>
    <w:p>
      <w:pPr>
        <w:spacing w:after="70" w:line="250" w:lineRule="auto"/>
        <w:ind w:left="520" w:hanging="520"/>
        <w:jc w:val="left"/>
      </w:pPr>
      <w:r>
        <w:rPr>
          <w:rFonts w:ascii="Cambria" w:cs="Cambria" w:eastAsia="Cambria" w:hAnsi="Cambria"/>
          <w:b/>
          <w:bCs/>
          <w:color w:val="111111"/>
          <w:sz w:val="19"/>
          <w:szCs w:val="19"/>
        </w:rPr>
        <w:t xml:space="preserve">[127]  </w:t>
      </w:r>
      <w:r>
        <w:rPr>
          <w:rFonts w:ascii="Cambria" w:cs="Cambria" w:eastAsia="Cambria" w:hAnsi="Cambria"/>
          <w:color w:val="111111"/>
          <w:sz w:val="19"/>
          <w:szCs w:val="19"/>
        </w:rPr>
        <w:t xml:space="preserve">Packer, C., Fang, V., Patil, S. G., Lin, K., Wooders, S., &amp; Gonzalez, J. E. (2023). MemGPT: Towards LLMs as Operating Systems. arXiv preprint. arXiv:2310.08560</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[128]  </w:t>
      </w:r>
      <w:r>
        <w:rPr>
          <w:rFonts w:ascii="Cambria" w:cs="Cambria" w:eastAsia="Cambria" w:hAnsi="Cambria"/>
          <w:color w:val="111111"/>
          <w:sz w:val="19"/>
          <w:szCs w:val="19"/>
        </w:rPr>
        <w:t xml:space="preserve">Padalkar, A., et al. (Open X-Embodiment Collaboration) (2023). Open X-Embodiment: Robotic Learning Datasets and RT-X Models. arXiv preprint. arXiv:2310.08864</w:t>
      </w:r>
    </w:p>
    <w:p>
      <w:pPr>
        <w:spacing w:after="70" w:line="250" w:lineRule="auto"/>
        <w:ind w:left="520" w:hanging="520"/>
        <w:jc w:val="left"/>
      </w:pPr>
      <w:r>
        <w:rPr>
          <w:rFonts w:ascii="Cambria" w:cs="Cambria" w:eastAsia="Cambria" w:hAnsi="Cambria"/>
          <w:b/>
          <w:bCs/>
          <w:color w:val="111111"/>
          <w:sz w:val="19"/>
          <w:szCs w:val="19"/>
        </w:rPr>
        <w:t xml:space="preserve">[129]  </w:t>
      </w:r>
      <w:r>
        <w:rPr>
          <w:rFonts w:ascii="Cambria" w:cs="Cambria" w:eastAsia="Cambria" w:hAnsi="Cambria"/>
          <w:color w:val="111111"/>
          <w:sz w:val="19"/>
          <w:szCs w:val="19"/>
        </w:rPr>
        <w:t xml:space="preserve">Parasuraman, R., &amp; Riley, V. (1997). Humans and Automation: Use, Misuse, Disuse, Abuse. Human Factors, 39(2), 230–253. doi:10.1518/001872097778543886</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[130]  </w:t>
      </w:r>
      <w:r>
        <w:rPr>
          <w:rFonts w:ascii="Cambria" w:cs="Cambria" w:eastAsia="Cambria" w:hAnsi="Cambria"/>
          <w:color w:val="111111"/>
          <w:sz w:val="19"/>
          <w:szCs w:val="19"/>
        </w:rPr>
        <w:t xml:space="preserve">Parasuraman, R., Sheridan, T. B., &amp; Wickens, C. D. (2000). A Model for Types and Levels of Human Interaction with Automation. IEEE Transactions on Systems, Man, and Cybernetics — Part A, 30(3), 286–297. doi:10.1109/3468.844354</w:t>
      </w:r>
    </w:p>
    <w:p>
      <w:pPr>
        <w:spacing w:after="70" w:line="250" w:lineRule="auto"/>
        <w:ind w:left="520" w:hanging="520"/>
        <w:jc w:val="left"/>
      </w:pPr>
      <w:r>
        <w:rPr>
          <w:rFonts w:ascii="Cambria" w:cs="Cambria" w:eastAsia="Cambria" w:hAnsi="Cambria"/>
          <w:b/>
          <w:bCs/>
          <w:color w:val="111111"/>
          <w:sz w:val="19"/>
          <w:szCs w:val="19"/>
        </w:rPr>
        <w:t xml:space="preserve">[131]  </w:t>
      </w:r>
      <w:r>
        <w:rPr>
          <w:rFonts w:ascii="Cambria" w:cs="Cambria" w:eastAsia="Cambria" w:hAnsi="Cambria"/>
          <w:color w:val="111111"/>
          <w:sz w:val="19"/>
          <w:szCs w:val="19"/>
        </w:rPr>
        <w:t xml:space="preserve">Park, J. S., O’Brien, J. C., Cai, C. J., Morris, M. R., Liang, P., &amp; Bernstein, M. S. (2023). Generative Agents: Interactive Simulacra of Human Behavior. Proceedings of the 36th Annual ACM Symposium on User Interface Software and Technology (UIST). doi:10.1145/3586183.3606763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[132]  </w:t>
      </w:r>
      <w:r>
        <w:rPr>
          <w:rFonts w:ascii="Cambria" w:cs="Cambria" w:eastAsia="Cambria" w:hAnsi="Cambria"/>
          <w:color w:val="111111"/>
          <w:sz w:val="19"/>
          <w:szCs w:val="19"/>
        </w:rPr>
        <w:t xml:space="preserve">Patterson, D., Gonzalez, J., Le, Q., Liang, C., Munguia, L.-M., Rothchild, D., So, D., Texier, M., &amp; Dean, J. (2021). Carbon Emissions and Large Neural Network Training. arXiv preprint. arXiv:2104.10350</w:t>
      </w:r>
    </w:p>
    <w:p>
      <w:pPr>
        <w:spacing w:after="70" w:line="250" w:lineRule="auto"/>
        <w:ind w:left="520" w:hanging="520"/>
        <w:jc w:val="left"/>
      </w:pPr>
      <w:r>
        <w:rPr>
          <w:rFonts w:ascii="Cambria" w:cs="Cambria" w:eastAsia="Cambria" w:hAnsi="Cambria"/>
          <w:b/>
          <w:bCs/>
          <w:color w:val="111111"/>
          <w:sz w:val="19"/>
          <w:szCs w:val="19"/>
        </w:rPr>
        <w:t xml:space="preserve">[133]  </w:t>
      </w:r>
      <w:r>
        <w:rPr>
          <w:rFonts w:ascii="Cambria" w:cs="Cambria" w:eastAsia="Cambria" w:hAnsi="Cambria"/>
          <w:color w:val="111111"/>
          <w:sz w:val="19"/>
          <w:szCs w:val="19"/>
        </w:rPr>
        <w:t xml:space="preserve">Peffers, K., Tuunanen, T., Rothenberger, M. A., &amp; Chatterjee, S. (2007). A Design Science Research Methodology for Information Systems Research. Journal of Management Information Systems, 24(3), 45–77. doi:10.2753/MIS0742-1222240302</w:t>
      </w:r>
    </w:p>
    <w:p>
      <w:pPr>
        <w:spacing w:after="70" w:line="250" w:lineRule="auto"/>
        <w:ind w:left="520" w:hanging="520"/>
        <w:jc w:val="left"/>
      </w:pPr>
      <w:r>
        <w:rPr>
          <w:rFonts w:ascii="Cambria" w:cs="Cambria" w:eastAsia="Cambria" w:hAnsi="Cambria"/>
          <w:b/>
          <w:bCs/>
          <w:color w:val="111111"/>
          <w:sz w:val="19"/>
          <w:szCs w:val="19"/>
        </w:rPr>
        <w:t xml:space="preserve">[134]  </w:t>
      </w:r>
      <w:r>
        <w:rPr>
          <w:rFonts w:ascii="Cambria" w:cs="Cambria" w:eastAsia="Cambria" w:hAnsi="Cambria"/>
          <w:color w:val="111111"/>
          <w:sz w:val="19"/>
          <w:szCs w:val="19"/>
        </w:rPr>
        <w:t xml:space="preserve">Perez, F., &amp; Ribeiro, I. (2022). Ignore Previous Prompt: Attack Techniques For Language Models. NeurIPS ML Safety Workshop. arXiv:2211.09527</w:t>
      </w:r>
    </w:p>
    <w:p>
      <w:pPr>
        <w:spacing w:after="70" w:line="250" w:lineRule="auto"/>
        <w:ind w:left="520" w:hanging="520"/>
        <w:jc w:val="left"/>
      </w:pPr>
      <w:r>
        <w:rPr>
          <w:rFonts w:ascii="Cambria" w:cs="Cambria" w:eastAsia="Cambria" w:hAnsi="Cambria"/>
          <w:b/>
          <w:bCs/>
          <w:color w:val="111111"/>
          <w:sz w:val="19"/>
          <w:szCs w:val="19"/>
        </w:rPr>
        <w:t xml:space="preserve">[135]  </w:t>
      </w:r>
      <w:r>
        <w:rPr>
          <w:rFonts w:ascii="Cambria" w:cs="Cambria" w:eastAsia="Cambria" w:hAnsi="Cambria"/>
          <w:color w:val="111111"/>
          <w:sz w:val="19"/>
          <w:szCs w:val="19"/>
        </w:rPr>
        <w:t xml:space="preserve">Pope, R., Douglas, S., Chowdhery, A., Devlin, J., Bradbury, J., Levskaya, A., Heek, J., Xiao, K., Agrawal, S., &amp; Dean, J. (2023). Efficiently Scaling Transformer Inference. Proceedings of Machine Learning and Systems (MLSys). arXiv:2211.05102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[136]  </w:t>
      </w:r>
      <w:r>
        <w:rPr>
          <w:rFonts w:ascii="Cambria" w:cs="Cambria" w:eastAsia="Cambria" w:hAnsi="Cambria"/>
          <w:color w:val="111111"/>
          <w:sz w:val="19"/>
          <w:szCs w:val="19"/>
        </w:rPr>
        <w:t xml:space="preserve">Porcheron, M., Fischer, J. E., Reeves, S., &amp; Sharples, S. (2018). Voice Interfaces in Everyday Life. Proceedings of CHI. doi:10.1145/3173574.3174214</w:t>
      </w:r>
    </w:p>
    <w:p>
      <w:pPr>
        <w:spacing w:after="70" w:line="250" w:lineRule="auto"/>
        <w:ind w:left="520" w:hanging="520"/>
        <w:jc w:val="left"/>
      </w:pPr>
      <w:r>
        <w:rPr>
          <w:rFonts w:ascii="Cambria" w:cs="Cambria" w:eastAsia="Cambria" w:hAnsi="Cambria"/>
          <w:b/>
          <w:bCs/>
          <w:color w:val="111111"/>
          <w:sz w:val="19"/>
          <w:szCs w:val="19"/>
        </w:rPr>
        <w:t xml:space="preserve">[137]  </w:t>
      </w:r>
      <w:r>
        <w:rPr>
          <w:rFonts w:ascii="Cambria" w:cs="Cambria" w:eastAsia="Cambria" w:hAnsi="Cambria"/>
          <w:color w:val="111111"/>
          <w:sz w:val="19"/>
          <w:szCs w:val="19"/>
        </w:rPr>
        <w:t xml:space="preserve">Qian, C., Liu, W., Liu, H., Chen, N., Dang, Y., Li, J., Yang, C., Chen, W., Su, Y., Cong, X., Xu, J., Li, D., Liu, Z., &amp; Sun, M. (2023). ChatDev: Communicative Agents for Software Development. Proceedings of the Association for Computational Linguistics (ACL 2024). arXiv:2307.07924</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[138]  </w:t>
      </w:r>
      <w:r>
        <w:rPr>
          <w:rFonts w:ascii="Cambria" w:cs="Cambria" w:eastAsia="Cambria" w:hAnsi="Cambria"/>
          <w:color w:val="111111"/>
          <w:sz w:val="19"/>
          <w:szCs w:val="19"/>
        </w:rPr>
        <w:t xml:space="preserve">Quigley, M., Conley, K., Gerkey, B., Faust, J., Foote, T., Leibs, J., Wheeler, R., &amp; Ng, A. Y. (2009). ROS: An Open-Source Robot Operating System. ICRA Workshop on Open Source Software.</w:t>
      </w:r>
    </w:p>
    <w:p>
      <w:pPr>
        <w:spacing w:after="70" w:line="250" w:lineRule="auto"/>
        <w:ind w:left="520" w:hanging="520"/>
        <w:jc w:val="left"/>
      </w:pPr>
      <w:r>
        <w:rPr>
          <w:rFonts w:ascii="Cambria" w:cs="Cambria" w:eastAsia="Cambria" w:hAnsi="Cambria"/>
          <w:b/>
          <w:bCs/>
          <w:color w:val="111111"/>
          <w:sz w:val="19"/>
          <w:szCs w:val="19"/>
        </w:rPr>
        <w:t xml:space="preserve">[139]  </w:t>
      </w:r>
      <w:r>
        <w:rPr>
          <w:rFonts w:ascii="Cambria" w:cs="Cambria" w:eastAsia="Cambria" w:hAnsi="Cambria"/>
          <w:color w:val="111111"/>
          <w:sz w:val="19"/>
          <w:szCs w:val="19"/>
        </w:rPr>
        <w:t xml:space="preserve">Ram, O., Levine, Y., Dalmedigos, I., Muhlgay, D., Shashua, A., Leyton-Brown, K., &amp; Shoham, Y. (2023). In-Context Retrieval-Augmented Language Models. Transactions of the Association for Computational Linguistics (TACL). arXiv:2302.00083</w:t>
      </w:r>
    </w:p>
    <w:p>
      <w:pPr>
        <w:spacing w:after="70" w:line="250" w:lineRule="auto"/>
        <w:ind w:left="520" w:hanging="520"/>
        <w:jc w:val="left"/>
      </w:pPr>
      <w:r>
        <w:rPr>
          <w:rFonts w:ascii="Cambria" w:cs="Cambria" w:eastAsia="Cambria" w:hAnsi="Cambria"/>
          <w:b/>
          <w:bCs/>
          <w:color w:val="111111"/>
          <w:sz w:val="19"/>
          <w:szCs w:val="19"/>
        </w:rPr>
        <w:t xml:space="preserve">[140]  </w:t>
      </w:r>
      <w:r>
        <w:rPr>
          <w:rFonts w:ascii="Cambria" w:cs="Cambria" w:eastAsia="Cambria" w:hAnsi="Cambria"/>
          <w:color w:val="111111"/>
          <w:sz w:val="19"/>
          <w:szCs w:val="19"/>
        </w:rPr>
        <w:t xml:space="preserve">Reeves, B., &amp; Nass, C. (1996). The Media Equation: How People Treat Computers, Television, and New Media Like Real People and Places. Cambridge University Press / CSLI Publications.</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[141]  </w:t>
      </w:r>
      <w:r>
        <w:rPr>
          <w:rFonts w:ascii="Cambria" w:cs="Cambria" w:eastAsia="Cambria" w:hAnsi="Cambria"/>
          <w:color w:val="111111"/>
          <w:sz w:val="19"/>
          <w:szCs w:val="19"/>
        </w:rPr>
        <w:t xml:space="preserve">Reimers, N., &amp; Gurevych, I. (2019). Sentence-BERT: Sentence Embeddings using Siamese BERT-Networks. Proceedings of EMNLP. arXiv:1908.10084</w:t>
      </w:r>
    </w:p>
    <w:p>
      <w:pPr>
        <w:spacing w:after="70" w:line="250" w:lineRule="auto"/>
        <w:ind w:left="520" w:hanging="520"/>
        <w:jc w:val="left"/>
      </w:pPr>
      <w:r>
        <w:rPr>
          <w:rFonts w:ascii="Cambria" w:cs="Cambria" w:eastAsia="Cambria" w:hAnsi="Cambria"/>
          <w:b/>
          <w:bCs/>
          <w:color w:val="111111"/>
          <w:sz w:val="19"/>
          <w:szCs w:val="19"/>
        </w:rPr>
        <w:t xml:space="preserve">[142]  </w:t>
      </w:r>
      <w:r>
        <w:rPr>
          <w:rFonts w:ascii="Cambria" w:cs="Cambria" w:eastAsia="Cambria" w:hAnsi="Cambria"/>
          <w:color w:val="111111"/>
          <w:sz w:val="19"/>
          <w:szCs w:val="19"/>
        </w:rPr>
        <w:t xml:space="preserve">Robertson, S., &amp; Zaragoza, H. (2009). The Probabilistic Relevance Framework: BM25 and Beyond. Foundations and Trends in Information Retrieval, 3(4), 333–389. doi:10.1561/1500000019</w:t>
      </w:r>
    </w:p>
    <w:p>
      <w:pPr>
        <w:spacing w:after="70" w:line="250" w:lineRule="auto"/>
        <w:ind w:left="520" w:hanging="520"/>
        <w:jc w:val="left"/>
      </w:pPr>
      <w:r>
        <w:rPr>
          <w:rFonts w:ascii="Cambria" w:cs="Cambria" w:eastAsia="Cambria" w:hAnsi="Cambria"/>
          <w:b/>
          <w:bCs/>
          <w:color w:val="111111"/>
          <w:sz w:val="19"/>
          <w:szCs w:val="19"/>
        </w:rPr>
        <w:t xml:space="preserve">[143]  </w:t>
      </w:r>
      <w:r>
        <w:rPr>
          <w:rFonts w:ascii="Cambria" w:cs="Cambria" w:eastAsia="Cambria" w:hAnsi="Cambria"/>
          <w:color w:val="111111"/>
          <w:sz w:val="19"/>
          <w:szCs w:val="19"/>
        </w:rPr>
        <w:t xml:space="preserve">Robinette, P., Li, W., Allen, R., Howard, A. M., &amp; Wagner, A. R. (2016). Overtrust of Robots in Emergency Evacuation Scenarios. Proceedings of the ACM/IEEE International Conference on Human-Robot Interaction (HRI). doi:10.1109/HRI.2016.7451740</w:t>
      </w:r>
    </w:p>
    <w:p>
      <w:pPr>
        <w:spacing w:after="70" w:line="250" w:lineRule="auto"/>
        <w:ind w:left="520" w:hanging="520"/>
        <w:jc w:val="left"/>
      </w:pPr>
      <w:r>
        <w:rPr>
          <w:rFonts w:ascii="Cambria" w:cs="Cambria" w:eastAsia="Cambria" w:hAnsi="Cambria"/>
          <w:b/>
          <w:bCs/>
          <w:color w:val="111111"/>
          <w:sz w:val="19"/>
          <w:szCs w:val="19"/>
        </w:rPr>
        <w:t xml:space="preserve">[144]  </w:t>
      </w:r>
      <w:r>
        <w:rPr>
          <w:rFonts w:ascii="Cambria" w:cs="Cambria" w:eastAsia="Cambria" w:hAnsi="Cambria"/>
          <w:color w:val="111111"/>
          <w:sz w:val="19"/>
          <w:szCs w:val="19"/>
        </w:rPr>
        <w:t xml:space="preserve">Roesler, E., Manzey, D., &amp; Onnasch, L. (2021). A Meta-Analysis on the Effectiveness of Anthropomorphism in Human-Robot Interaction. Science Robotics, 6(58), eabj5425. doi:10.1126/scirobotics.abj5425</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[145]  </w:t>
      </w:r>
      <w:r>
        <w:rPr>
          <w:rFonts w:ascii="Cambria" w:cs="Cambria" w:eastAsia="Cambria" w:hAnsi="Cambria"/>
          <w:color w:val="111111"/>
          <w:sz w:val="19"/>
          <w:szCs w:val="19"/>
        </w:rPr>
        <w:t xml:space="preserve">Rotando, L. M., &amp; Thorp, E. O. (1992). The Kelly Criterion and the Stock Market. The American Mathematical Monthly, 99(10), 922–931. doi:10.2307/2324484</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[146]  </w:t>
      </w:r>
      <w:r>
        <w:rPr>
          <w:rFonts w:ascii="Cambria" w:cs="Cambria" w:eastAsia="Cambria" w:hAnsi="Cambria"/>
          <w:color w:val="111111"/>
          <w:sz w:val="19"/>
          <w:szCs w:val="19"/>
        </w:rPr>
        <w:t xml:space="preserve">Russell, S. (2019). Human Compatible: Artificial Intelligence and the Problem of Control. Viking.</w:t>
      </w:r>
    </w:p>
    <w:p>
      <w:pPr>
        <w:spacing w:after="70" w:line="250" w:lineRule="auto"/>
        <w:ind w:left="520" w:hanging="520"/>
        <w:jc w:val="left"/>
      </w:pPr>
      <w:r>
        <w:rPr>
          <w:rFonts w:ascii="Cambria" w:cs="Cambria" w:eastAsia="Cambria" w:hAnsi="Cambria"/>
          <w:b/>
          <w:bCs/>
          <w:color w:val="111111"/>
          <w:sz w:val="19"/>
          <w:szCs w:val="19"/>
        </w:rPr>
        <w:t xml:space="preserve">[147]  </w:t>
      </w:r>
      <w:r>
        <w:rPr>
          <w:rFonts w:ascii="Cambria" w:cs="Cambria" w:eastAsia="Cambria" w:hAnsi="Cambria"/>
          <w:color w:val="111111"/>
          <w:sz w:val="19"/>
          <w:szCs w:val="19"/>
        </w:rPr>
        <w:t xml:space="preserve">Salem, M., Lakatos, G., Amirabdollahian, F., &amp; Dautenhahn, K. (2015). Would You Trust a (Faulty) Robot? Effects of Error, Task Type and Personality on Human-Robot Cooperation and Trust. Proceedings of the ACM/IEEE International Conference on Human-Robot Interaction (HRI). doi:10.1145/2696454.2696497</w:t>
      </w:r>
    </w:p>
    <w:p>
      <w:pPr>
        <w:spacing w:after="70" w:line="250" w:lineRule="auto"/>
        <w:ind w:left="520" w:hanging="520"/>
        <w:jc w:val="left"/>
      </w:pPr>
      <w:r>
        <w:rPr>
          <w:rFonts w:ascii="Cambria" w:cs="Cambria" w:eastAsia="Cambria" w:hAnsi="Cambria"/>
          <w:b/>
          <w:bCs/>
          <w:color w:val="111111"/>
          <w:sz w:val="19"/>
          <w:szCs w:val="19"/>
        </w:rPr>
        <w:t xml:space="preserve">[148]  </w:t>
      </w:r>
      <w:r>
        <w:rPr>
          <w:rFonts w:ascii="Cambria" w:cs="Cambria" w:eastAsia="Cambria" w:hAnsi="Cambria"/>
          <w:color w:val="111111"/>
          <w:sz w:val="19"/>
          <w:szCs w:val="19"/>
        </w:rPr>
        <w:t xml:space="preserve">Saltzer, J. H., &amp; Schroeder, M. D. (1975). The Protection of Information in Computer Systems. Proceedings of the IEEE, 63(9), 1278–1308. doi:10.1109/PROC.1975.9939</w:t>
      </w:r>
    </w:p>
    <w:p>
      <w:pPr>
        <w:spacing w:after="70" w:line="250" w:lineRule="auto"/>
        <w:ind w:left="520" w:hanging="520"/>
        <w:jc w:val="left"/>
      </w:pPr>
      <w:r>
        <w:rPr>
          <w:rFonts w:ascii="Cambria" w:cs="Cambria" w:eastAsia="Cambria" w:hAnsi="Cambria"/>
          <w:b/>
          <w:bCs/>
          <w:color w:val="111111"/>
          <w:sz w:val="19"/>
          <w:szCs w:val="19"/>
        </w:rPr>
        <w:t xml:space="preserve">[149]  </w:t>
      </w:r>
      <w:r>
        <w:rPr>
          <w:rFonts w:ascii="Cambria" w:cs="Cambria" w:eastAsia="Cambria" w:hAnsi="Cambria"/>
          <w:color w:val="111111"/>
          <w:sz w:val="19"/>
          <w:szCs w:val="19"/>
        </w:rPr>
        <w:t xml:space="preserve">Schick, T., Dwivedi-Yu, J., Dessì, R., Raileanu, R., Lomeli, M., Zettlemoyer, L., Cancedda, N., &amp; Scialom, T. (2023). Toolformer: Language Models Can Teach Themselves to Use Tools. Advances in Neural Information Processing Systems (NeurIPS). arXiv:2302.04761</w:t>
      </w:r>
    </w:p>
    <w:p>
      <w:pPr>
        <w:spacing w:after="70" w:line="250" w:lineRule="auto"/>
        <w:ind w:left="520" w:hanging="520"/>
        <w:jc w:val="left"/>
      </w:pPr>
      <w:r>
        <w:rPr>
          <w:rFonts w:ascii="Cambria" w:cs="Cambria" w:eastAsia="Cambria" w:hAnsi="Cambria"/>
          <w:b/>
          <w:bCs/>
          <w:color w:val="111111"/>
          <w:sz w:val="19"/>
          <w:szCs w:val="19"/>
        </w:rPr>
        <w:t xml:space="preserve">[150]  </w:t>
      </w:r>
      <w:r>
        <w:rPr>
          <w:rFonts w:ascii="Cambria" w:cs="Cambria" w:eastAsia="Cambria" w:hAnsi="Cambria"/>
          <w:color w:val="111111"/>
          <w:sz w:val="19"/>
          <w:szCs w:val="19"/>
        </w:rPr>
        <w:t xml:space="preserve">Schwartz, R., Dodge, J., Smith, N. A., &amp; Etzioni, O. (2020). Green AI. Communications of the ACM, 63(12), 54–63. doi:10.1145/3381831</w:t>
      </w:r>
    </w:p>
    <w:p>
      <w:pPr>
        <w:spacing w:after="70" w:line="250" w:lineRule="auto"/>
        <w:ind w:left="520" w:hanging="520"/>
        <w:jc w:val="left"/>
      </w:pPr>
      <w:r>
        <w:rPr>
          <w:rFonts w:ascii="Cambria" w:cs="Cambria" w:eastAsia="Cambria" w:hAnsi="Cambria"/>
          <w:b/>
          <w:bCs/>
          <w:color w:val="111111"/>
          <w:sz w:val="19"/>
          <w:szCs w:val="19"/>
        </w:rPr>
        <w:t xml:space="preserve">[151]  </w:t>
      </w:r>
      <w:r>
        <w:rPr>
          <w:rFonts w:ascii="Cambria" w:cs="Cambria" w:eastAsia="Cambria" w:hAnsi="Cambria"/>
          <w:color w:val="111111"/>
          <w:sz w:val="19"/>
          <w:szCs w:val="19"/>
        </w:rPr>
        <w:t xml:space="preserve">Shazeer, N., Mirhoseini, A., Maziarz, K., Davis, A., Le, Q., Hinton, G., &amp; Dean, J. (2017). Outrageously Large Neural Networks: The Sparsely-Gated Mixture-of-Experts Layer. International Conference on Learning Representations (ICLR). arXiv:1701.06538</w:t>
      </w:r>
    </w:p>
    <w:p>
      <w:pPr>
        <w:spacing w:after="70" w:line="250" w:lineRule="auto"/>
        <w:ind w:left="520" w:hanging="520"/>
        <w:jc w:val="left"/>
      </w:pPr>
      <w:r>
        <w:rPr>
          <w:rFonts w:ascii="Cambria" w:cs="Cambria" w:eastAsia="Cambria" w:hAnsi="Cambria"/>
          <w:b/>
          <w:bCs/>
          <w:color w:val="111111"/>
          <w:sz w:val="19"/>
          <w:szCs w:val="19"/>
        </w:rPr>
        <w:t xml:space="preserve">[152]  </w:t>
      </w:r>
      <w:r>
        <w:rPr>
          <w:rFonts w:ascii="Cambria" w:cs="Cambria" w:eastAsia="Cambria" w:hAnsi="Cambria"/>
          <w:color w:val="111111"/>
          <w:sz w:val="19"/>
          <w:szCs w:val="19"/>
        </w:rPr>
        <w:t xml:space="preserve">Sheridan, T. B., &amp; Verplank, W. L. (1978). Human and Computer Control of Undersea Teleoperators. MIT Man-Machine Systems Laboratory Technical Report.</w:t>
      </w:r>
    </w:p>
    <w:p>
      <w:pPr>
        <w:spacing w:after="70" w:line="250" w:lineRule="auto"/>
        <w:ind w:left="520" w:hanging="520"/>
        <w:jc w:val="left"/>
      </w:pPr>
      <w:r>
        <w:rPr>
          <w:rFonts w:ascii="Cambria" w:cs="Cambria" w:eastAsia="Cambria" w:hAnsi="Cambria"/>
          <w:b/>
          <w:bCs/>
          <w:color w:val="111111"/>
          <w:sz w:val="19"/>
          <w:szCs w:val="19"/>
        </w:rPr>
        <w:t xml:space="preserve">[153]  </w:t>
      </w:r>
      <w:r>
        <w:rPr>
          <w:rFonts w:ascii="Cambria" w:cs="Cambria" w:eastAsia="Cambria" w:hAnsi="Cambria"/>
          <w:color w:val="111111"/>
          <w:sz w:val="19"/>
          <w:szCs w:val="19"/>
        </w:rPr>
        <w:t xml:space="preserve">Shi, W., Min, S., Yasunaga, M., Seo, M., James, R., Lewis, M., Zettlemoyer, L., &amp; Yih, W. (2024). REPLUG: Retrieval-Augmented Black-Box Language Models. Proceedings of NAACL. arXiv:2301.12652</w:t>
      </w:r>
    </w:p>
    <w:p>
      <w:pPr>
        <w:spacing w:after="70" w:line="250" w:lineRule="auto"/>
        <w:ind w:left="520" w:hanging="520"/>
        <w:jc w:val="left"/>
      </w:pPr>
      <w:r>
        <w:rPr>
          <w:rFonts w:ascii="Cambria" w:cs="Cambria" w:eastAsia="Cambria" w:hAnsi="Cambria"/>
          <w:b/>
          <w:bCs/>
          <w:color w:val="111111"/>
          <w:sz w:val="19"/>
          <w:szCs w:val="19"/>
        </w:rPr>
        <w:t xml:space="preserve">[154]  </w:t>
      </w:r>
      <w:r>
        <w:rPr>
          <w:rFonts w:ascii="Cambria" w:cs="Cambria" w:eastAsia="Cambria" w:hAnsi="Cambria"/>
          <w:color w:val="111111"/>
          <w:sz w:val="19"/>
          <w:szCs w:val="19"/>
        </w:rPr>
        <w:t xml:space="preserve">Shinn, N., Cassano, F., Berman, E., Gopinath, A., Narasimhan, K., &amp; Yao, S. (2023). Reflexion: Language Agents with Verbal Reinforcement Learning. Advances in Neural Information Processing Systems (NeurIPS). arXiv:2303.11366</w:t>
      </w:r>
    </w:p>
    <w:p>
      <w:pPr>
        <w:spacing w:after="70" w:line="250" w:lineRule="auto"/>
        <w:ind w:left="520" w:hanging="520"/>
        <w:jc w:val="left"/>
      </w:pPr>
      <w:r>
        <w:rPr>
          <w:rFonts w:ascii="Cambria" w:cs="Cambria" w:eastAsia="Cambria" w:hAnsi="Cambria"/>
          <w:b/>
          <w:bCs/>
          <w:color w:val="111111"/>
          <w:sz w:val="19"/>
          <w:szCs w:val="19"/>
        </w:rPr>
        <w:t xml:space="preserve">[155]  </w:t>
      </w:r>
      <w:r>
        <w:rPr>
          <w:rFonts w:ascii="Cambria" w:cs="Cambria" w:eastAsia="Cambria" w:hAnsi="Cambria"/>
          <w:color w:val="111111"/>
          <w:sz w:val="19"/>
          <w:szCs w:val="19"/>
        </w:rPr>
        <w:t xml:space="preserve">Shokri, R., Stronati, M., Song, C., &amp; Shmatikov, V. (2017). Membership Inference Attacks Against Machine Learning Models. IEEE Symposium on Security and Privacy (S&amp;P). doi:10.1109/SP.2017.41</w:t>
      </w:r>
    </w:p>
    <w:p>
      <w:pPr>
        <w:spacing w:after="70" w:line="250" w:lineRule="auto"/>
        <w:ind w:left="520" w:hanging="520"/>
        <w:jc w:val="left"/>
      </w:pPr>
      <w:r>
        <w:rPr>
          <w:rFonts w:ascii="Cambria" w:cs="Cambria" w:eastAsia="Cambria" w:hAnsi="Cambria"/>
          <w:b/>
          <w:bCs/>
          <w:color w:val="111111"/>
          <w:sz w:val="19"/>
          <w:szCs w:val="19"/>
        </w:rPr>
        <w:t xml:space="preserve">[156]  </w:t>
      </w:r>
      <w:r>
        <w:rPr>
          <w:rFonts w:ascii="Cambria" w:cs="Cambria" w:eastAsia="Cambria" w:hAnsi="Cambria"/>
          <w:color w:val="111111"/>
          <w:sz w:val="19"/>
          <w:szCs w:val="19"/>
        </w:rPr>
        <w:t xml:space="preserve">Skarlinski, M. D., Cox, S., Laurent, J. M., Braza, J. D., Hinks, M., Hammerling, M. J., Ponnapati, M., Rodriques, S. G., &amp; White, A. D. (2024). Language Agents Achieve Superhuman Synthesis of Scientific Knowledge (PaperQA2). arXiv preprint. arXiv:2409.13740</w:t>
      </w:r>
    </w:p>
    <w:p>
      <w:pPr>
        <w:spacing w:after="70" w:line="250" w:lineRule="auto"/>
        <w:ind w:left="520" w:hanging="520"/>
        <w:jc w:val="left"/>
      </w:pPr>
      <w:r>
        <w:rPr>
          <w:rFonts w:ascii="Cambria" w:cs="Cambria" w:eastAsia="Cambria" w:hAnsi="Cambria"/>
          <w:b/>
          <w:bCs/>
          <w:color w:val="111111"/>
          <w:sz w:val="19"/>
          <w:szCs w:val="19"/>
        </w:rPr>
        <w:t xml:space="preserve">[157]  </w:t>
      </w:r>
      <w:r>
        <w:rPr>
          <w:rFonts w:ascii="Cambria" w:cs="Cambria" w:eastAsia="Cambria" w:hAnsi="Cambria"/>
          <w:color w:val="111111"/>
          <w:sz w:val="19"/>
          <w:szCs w:val="19"/>
        </w:rPr>
        <w:t xml:space="preserve">Strubell, E., Ganesh, A., &amp; McCallum, A. (2019). Energy and Policy Considerations for Deep Learning in NLP. Proceedings of the 57th Annual Meeting of the Association for Computational Linguistics (ACL). arXiv:1906.02243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[158]  </w:t>
      </w:r>
      <w:r>
        <w:rPr>
          <w:rFonts w:ascii="Cambria" w:cs="Cambria" w:eastAsia="Cambria" w:hAnsi="Cambria"/>
          <w:color w:val="111111"/>
          <w:sz w:val="19"/>
          <w:szCs w:val="19"/>
        </w:rPr>
        <w:t xml:space="preserve">Tesfatsion, L., &amp; Judd, K. L. (Eds.) (2006). Handbook of Computational Economics, Volume 2: Agent-Based Computational Economics. Elsevier.</w:t>
      </w:r>
    </w:p>
    <w:p>
      <w:pPr>
        <w:spacing w:after="70" w:line="250" w:lineRule="auto"/>
        <w:ind w:left="520" w:hanging="520"/>
        <w:jc w:val="left"/>
      </w:pPr>
      <w:r>
        <w:rPr>
          <w:rFonts w:ascii="Cambria" w:cs="Cambria" w:eastAsia="Cambria" w:hAnsi="Cambria"/>
          <w:b/>
          <w:bCs/>
          <w:color w:val="111111"/>
          <w:sz w:val="19"/>
          <w:szCs w:val="19"/>
        </w:rPr>
        <w:t xml:space="preserve">[159]  </w:t>
      </w:r>
      <w:r>
        <w:rPr>
          <w:rFonts w:ascii="Cambria" w:cs="Cambria" w:eastAsia="Cambria" w:hAnsi="Cambria"/>
          <w:color w:val="111111"/>
          <w:sz w:val="19"/>
          <w:szCs w:val="19"/>
        </w:rPr>
        <w:t xml:space="preserve">Thorp, E. O. (2006). The Kelly Criterion in Blackjack, Sports Betting, and the Stock Market. Handbook of Asset and Liability Management, Vol. 1.</w:t>
      </w:r>
    </w:p>
    <w:p>
      <w:pPr>
        <w:spacing w:after="70" w:line="250" w:lineRule="auto"/>
        <w:ind w:left="520" w:hanging="520"/>
        <w:jc w:val="left"/>
      </w:pPr>
      <w:r>
        <w:rPr>
          <w:rFonts w:ascii="Cambria" w:cs="Cambria" w:eastAsia="Cambria" w:hAnsi="Cambria"/>
          <w:b/>
          <w:bCs/>
          <w:color w:val="111111"/>
          <w:sz w:val="19"/>
          <w:szCs w:val="19"/>
        </w:rPr>
        <w:t xml:space="preserve">[160]  </w:t>
      </w:r>
      <w:r>
        <w:rPr>
          <w:rFonts w:ascii="Cambria" w:cs="Cambria" w:eastAsia="Cambria" w:hAnsi="Cambria"/>
          <w:color w:val="111111"/>
          <w:sz w:val="19"/>
          <w:szCs w:val="19"/>
        </w:rPr>
        <w:t xml:space="preserve">Touvron, H., et al. (2023). LLaMA: Open and Efficient Foundation Language Models. arXiv preprint. arXiv:2302.13971</w:t>
      </w:r>
    </w:p>
    <w:p>
      <w:pPr>
        <w:spacing w:after="70" w:line="250" w:lineRule="auto"/>
        <w:ind w:left="520" w:hanging="520"/>
        <w:jc w:val="left"/>
      </w:pPr>
      <w:r>
        <w:rPr>
          <w:rFonts w:ascii="Cambria" w:cs="Cambria" w:eastAsia="Cambria" w:hAnsi="Cambria"/>
          <w:b/>
          <w:bCs/>
          <w:color w:val="111111"/>
          <w:sz w:val="19"/>
          <w:szCs w:val="19"/>
        </w:rPr>
        <w:t xml:space="preserve">[161]  </w:t>
      </w:r>
      <w:r>
        <w:rPr>
          <w:rFonts w:ascii="Cambria" w:cs="Cambria" w:eastAsia="Cambria" w:hAnsi="Cambria"/>
          <w:color w:val="111111"/>
          <w:sz w:val="19"/>
          <w:szCs w:val="19"/>
        </w:rPr>
        <w:t xml:space="preserve">Touvron, H., et al. (2023). Llama 2: Open Foundation and Fine-Tuned Chat Models. arXiv preprint. arXiv:2307.09288</w:t>
      </w:r>
    </w:p>
    <w:p>
      <w:pPr>
        <w:spacing w:after="70" w:line="250" w:lineRule="auto"/>
        <w:ind w:left="520" w:hanging="520"/>
        <w:jc w:val="left"/>
      </w:pPr>
      <w:r>
        <w:rPr>
          <w:rFonts w:ascii="Cambria" w:cs="Cambria" w:eastAsia="Cambria" w:hAnsi="Cambria"/>
          <w:b/>
          <w:bCs/>
          <w:color w:val="111111"/>
          <w:sz w:val="19"/>
          <w:szCs w:val="19"/>
        </w:rPr>
        <w:t xml:space="preserve">[162]  </w:t>
      </w:r>
      <w:r>
        <w:rPr>
          <w:rFonts w:ascii="Cambria" w:cs="Cambria" w:eastAsia="Cambria" w:hAnsi="Cambria"/>
          <w:color w:val="111111"/>
          <w:sz w:val="19"/>
          <w:szCs w:val="19"/>
        </w:rPr>
        <w:t xml:space="preserve">van Dijk, J. A. G. M. (2005). The Deepening Divide: Inequality in the Information Society. SAGE Publications.</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[163]  </w:t>
      </w:r>
      <w:r>
        <w:rPr>
          <w:rFonts w:ascii="Cambria" w:cs="Cambria" w:eastAsia="Cambria" w:hAnsi="Cambria"/>
          <w:color w:val="111111"/>
          <w:sz w:val="19"/>
          <w:szCs w:val="19"/>
        </w:rPr>
        <w:t xml:space="preserve">Vaswani, A., Shazeer, N., Parmar, N., Uszkoreit, J., Jones, L., Gomez, A. N., Kaiser, Ł., &amp; Polosukhin, I. (2017). Attention Is All You Need. Advances in Neural Information Processing Systems (NeurIPS). arXiv:1706.03762</w:t>
      </w:r>
    </w:p>
    <w:p>
      <w:pPr>
        <w:spacing w:after="70" w:line="250" w:lineRule="auto"/>
        <w:ind w:left="520" w:hanging="520"/>
        <w:jc w:val="left"/>
      </w:pPr>
      <w:r>
        <w:rPr>
          <w:rFonts w:ascii="Cambria" w:cs="Cambria" w:eastAsia="Cambria" w:hAnsi="Cambria"/>
          <w:b/>
          <w:bCs/>
          <w:color w:val="111111"/>
          <w:sz w:val="19"/>
          <w:szCs w:val="19"/>
        </w:rPr>
        <w:t xml:space="preserve">[164]  </w:t>
      </w:r>
      <w:r>
        <w:rPr>
          <w:rFonts w:ascii="Cambria" w:cs="Cambria" w:eastAsia="Cambria" w:hAnsi="Cambria"/>
          <w:color w:val="111111"/>
          <w:sz w:val="19"/>
          <w:szCs w:val="19"/>
        </w:rPr>
        <w:t xml:space="preserve">Wainer, J., Feil-Seifer, D. J., Shell, D. A., &amp; Mataric, M. J. (2006). The Role of Physical Embodiment in Human-Robot Interaction. Proceedings of the IEEE International Symposium on Robot and Human Interactive Communication (RO-MAN). doi:10.1109/ROMAN.2006.314404</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[165]  </w:t>
      </w:r>
      <w:r>
        <w:rPr>
          <w:rFonts w:ascii="Cambria" w:cs="Cambria" w:eastAsia="Cambria" w:hAnsi="Cambria"/>
          <w:color w:val="111111"/>
          <w:sz w:val="19"/>
          <w:szCs w:val="19"/>
        </w:rPr>
        <w:t xml:space="preserve">Wainer, J., Feil-Seifer, D. J., Shell, D. A., &amp; Mataric, M. J. (2007). Embodiment and Human-Robot Interaction: A Task-Based Perspective. Proceedings of RO-MAN. doi:10.1109/ROMAN.2007.4415207</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[166]  </w:t>
      </w:r>
      <w:r>
        <w:rPr>
          <w:rFonts w:ascii="Cambria" w:cs="Cambria" w:eastAsia="Cambria" w:hAnsi="Cambria"/>
          <w:color w:val="111111"/>
          <w:sz w:val="19"/>
          <w:szCs w:val="19"/>
        </w:rPr>
        <w:t xml:space="preserve">Wallace, E., Xiao, K., Leike, R., Weng, L., Heidecke, J., &amp; Beutel, A. (2024). The Instruction Hierarchy: Training LLMs to Prioritize Privileged Instructions. arXiv preprint. arXiv:2404.13208</w:t>
      </w:r>
    </w:p>
    <w:p>
      <w:pPr>
        <w:spacing w:after="70" w:line="250" w:lineRule="auto"/>
        <w:ind w:left="520" w:hanging="520"/>
        <w:jc w:val="left"/>
      </w:pPr>
      <w:r>
        <w:rPr>
          <w:rFonts w:ascii="Cambria" w:cs="Cambria" w:eastAsia="Cambria" w:hAnsi="Cambria"/>
          <w:b/>
          <w:bCs/>
          <w:color w:val="111111"/>
          <w:sz w:val="19"/>
          <w:szCs w:val="19"/>
        </w:rPr>
        <w:t xml:space="preserve">[167]  </w:t>
      </w:r>
      <w:r>
        <w:rPr>
          <w:rFonts w:ascii="Cambria" w:cs="Cambria" w:eastAsia="Cambria" w:hAnsi="Cambria"/>
          <w:color w:val="111111"/>
          <w:sz w:val="19"/>
          <w:szCs w:val="19"/>
        </w:rPr>
        <w:t xml:space="preserve">Wang, H., Ma, S., Dong, L., Huang, S., Wang, H., Ma, L., Yang, F., Wang, R., Wu, Y., &amp; Wei, F. (2023). BitNet: Scaling 1-bit Transformers for Large Language Models. arXiv preprint. arXiv:2310.11453</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[168]  </w:t>
      </w:r>
      <w:r>
        <w:rPr>
          <w:rFonts w:ascii="Cambria" w:cs="Cambria" w:eastAsia="Cambria" w:hAnsi="Cambria"/>
          <w:color w:val="111111"/>
          <w:sz w:val="19"/>
          <w:szCs w:val="19"/>
        </w:rPr>
        <w:t xml:space="preserve">Wang, L., Ma, C., Feng, X., Zhang, Z., Yang, H., Zhang, J., Chen, Z., Tang, J., Chen, X., Lin, Y., Zhao, W. X., Wei, Z., &amp; Wen, J. (2024). A Survey on Large Language Model based Autonomous Agents. Frontiers of Computer Science, 18(6). arXiv:2308.11432</w:t>
      </w:r>
    </w:p>
    <w:p>
      <w:pPr>
        <w:spacing w:after="70" w:line="250" w:lineRule="auto"/>
        <w:ind w:left="520" w:hanging="520"/>
        <w:jc w:val="left"/>
      </w:pPr>
      <w:r>
        <w:rPr>
          <w:rFonts w:ascii="Cambria" w:cs="Cambria" w:eastAsia="Cambria" w:hAnsi="Cambria"/>
          <w:b/>
          <w:bCs/>
          <w:color w:val="111111"/>
          <w:sz w:val="19"/>
          <w:szCs w:val="19"/>
        </w:rPr>
        <w:t xml:space="preserve">[169]  </w:t>
      </w:r>
      <w:r>
        <w:rPr>
          <w:rFonts w:ascii="Cambria" w:cs="Cambria" w:eastAsia="Cambria" w:hAnsi="Cambria"/>
          <w:color w:val="111111"/>
          <w:sz w:val="19"/>
          <w:szCs w:val="19"/>
        </w:rPr>
        <w:t xml:space="preserve">Wang, J., Wang, J., Athiwaratkun, B., Zhang, C., &amp; Zou, J. (2024). Mixture-of-Agents Enhances Large Language Model Capabilities. International Conference on Learning Representations (ICLR 2025). arXiv:2406.04692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[170]  </w:t>
      </w:r>
      <w:r>
        <w:rPr>
          <w:rFonts w:ascii="Cambria" w:cs="Cambria" w:eastAsia="Cambria" w:hAnsi="Cambria"/>
          <w:color w:val="111111"/>
          <w:sz w:val="19"/>
          <w:szCs w:val="19"/>
        </w:rPr>
        <w:t xml:space="preserve">Wei, J., Wang, X., Schuurmans, D., Bosma, M., Ichter, B., Xia, F., Chi, E., Le, Q., &amp; Zhou, D. (2022). Chain-of-Thought Prompting Elicits Reasoning in Large Language Models. Advances in Neural Information Processing Systems (NeurIPS). arXiv:2201.11903</w:t>
      </w:r>
    </w:p>
    <w:p>
      <w:pPr>
        <w:spacing w:after="70" w:line="250" w:lineRule="auto"/>
        <w:ind w:left="520" w:hanging="520"/>
        <w:jc w:val="left"/>
      </w:pPr>
      <w:r>
        <w:rPr>
          <w:rFonts w:ascii="Cambria" w:cs="Cambria" w:eastAsia="Cambria" w:hAnsi="Cambria"/>
          <w:b/>
          <w:bCs/>
          <w:color w:val="111111"/>
          <w:sz w:val="19"/>
          <w:szCs w:val="19"/>
        </w:rPr>
        <w:t xml:space="preserve">[171]  </w:t>
      </w:r>
      <w:r>
        <w:rPr>
          <w:rFonts w:ascii="Cambria" w:cs="Cambria" w:eastAsia="Cambria" w:hAnsi="Cambria"/>
          <w:color w:val="111111"/>
          <w:sz w:val="19"/>
          <w:szCs w:val="19"/>
        </w:rPr>
        <w:t xml:space="preserve">Weidinger, L., et al. (2021). Ethical and Social Risks of Harm from Language Models. arXiv preprint. arXiv:2112.04359</w:t>
      </w:r>
    </w:p>
    <w:p>
      <w:pPr>
        <w:spacing w:after="70" w:line="250" w:lineRule="auto"/>
        <w:ind w:left="520" w:hanging="520"/>
        <w:jc w:val="left"/>
      </w:pPr>
      <w:r>
        <w:rPr>
          <w:rFonts w:ascii="Cambria" w:cs="Cambria" w:eastAsia="Cambria" w:hAnsi="Cambria"/>
          <w:b/>
          <w:bCs/>
          <w:color w:val="111111"/>
          <w:sz w:val="19"/>
          <w:szCs w:val="19"/>
        </w:rPr>
        <w:t xml:space="preserve">[172]  </w:t>
      </w:r>
      <w:r>
        <w:rPr>
          <w:rFonts w:ascii="Cambria" w:cs="Cambria" w:eastAsia="Cambria" w:hAnsi="Cambria"/>
          <w:color w:val="111111"/>
          <w:sz w:val="19"/>
          <w:szCs w:val="19"/>
        </w:rPr>
        <w:t xml:space="preserve">Weiser, M. (1991). The Computer for the 21st Century. Scientific American, 265(3), 94–104.</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[173]  </w:t>
      </w:r>
      <w:r>
        <w:rPr>
          <w:rFonts w:ascii="Cambria" w:cs="Cambria" w:eastAsia="Cambria" w:hAnsi="Cambria"/>
          <w:color w:val="111111"/>
          <w:sz w:val="19"/>
          <w:szCs w:val="19"/>
        </w:rPr>
        <w:t xml:space="preserve">Weiser, M., &amp; Brown, J. S. (1996). The Coming Age of Calm Technology. Xerox PARC.</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[174]  </w:t>
      </w:r>
      <w:r>
        <w:rPr>
          <w:rFonts w:ascii="Cambria" w:cs="Cambria" w:eastAsia="Cambria" w:hAnsi="Cambria"/>
          <w:color w:val="111111"/>
          <w:sz w:val="19"/>
          <w:szCs w:val="19"/>
        </w:rPr>
        <w:t xml:space="preserve">Williams, S., Waterman, A., &amp; Patterson, D. (2009). Roofline: An Insightful Visual Performance Model for Multicore Architectures. Communications of the ACM, 52(4), 65–76. doi:10.1145/1498765.1498785</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[175]  </w:t>
      </w:r>
      <w:r>
        <w:rPr>
          <w:rFonts w:ascii="Cambria" w:cs="Cambria" w:eastAsia="Cambria" w:hAnsi="Cambria"/>
          <w:color w:val="111111"/>
          <w:sz w:val="19"/>
          <w:szCs w:val="19"/>
        </w:rPr>
        <w:t xml:space="preserve">Wu, Q., Bansal, G., Zhang, J., Wu, Y., Li, B., Zhu, E., Jiang, L., Zhang, X., Zhang, S., Liu, J., Awadallah, A. H., White, R. W., Burger, D., &amp; Wang, C. (2023). AutoGen: Enabling Next-Gen LLM Applications via Multi-Agent Conversation. arXiv preprint. arXiv:2308.08155</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[176]  </w:t>
      </w:r>
      <w:r>
        <w:rPr>
          <w:rFonts w:ascii="Cambria" w:cs="Cambria" w:eastAsia="Cambria" w:hAnsi="Cambria"/>
          <w:color w:val="111111"/>
          <w:sz w:val="19"/>
          <w:szCs w:val="19"/>
        </w:rPr>
        <w:t xml:space="preserve">xAI (2026). Grok 4.5 (V9 foundation model, MoE; parameter count unconfirmed). xAI [technical release; benchmarks vendor-reported]. x.ai/news/grok-4-5</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[177]  </w:t>
      </w:r>
      <w:r>
        <w:rPr>
          <w:rFonts w:ascii="Cambria" w:cs="Cambria" w:eastAsia="Cambria" w:hAnsi="Cambria"/>
          <w:color w:val="111111"/>
          <w:sz w:val="19"/>
          <w:szCs w:val="19"/>
        </w:rPr>
        <w:t xml:space="preserve">Xi, Z., et al. (2023). The Rise and Potential of Large Language Model Based Agents: A Survey. arXiv preprint. arXiv:2309.07864</w:t>
      </w:r>
    </w:p>
    <w:p>
      <w:pPr>
        <w:spacing w:after="70" w:line="250" w:lineRule="auto"/>
        <w:ind w:left="520" w:hanging="520"/>
        <w:jc w:val="left"/>
      </w:pPr>
      <w:r>
        <w:rPr>
          <w:rFonts w:ascii="Cambria" w:cs="Cambria" w:eastAsia="Cambria" w:hAnsi="Cambria"/>
          <w:b/>
          <w:bCs/>
          <w:color w:val="111111"/>
          <w:sz w:val="19"/>
          <w:szCs w:val="19"/>
        </w:rPr>
        <w:t xml:space="preserve">[178]  </w:t>
      </w:r>
      <w:r>
        <w:rPr>
          <w:rFonts w:ascii="Cambria" w:cs="Cambria" w:eastAsia="Cambria" w:hAnsi="Cambria"/>
          <w:color w:val="111111"/>
          <w:sz w:val="19"/>
          <w:szCs w:val="19"/>
        </w:rPr>
        <w:t xml:space="preserve">Xiao, G., Lin, J., Seznec, M., Wu, H., Demouth, J., &amp; Han, S. (2023). SmoothQuant: Accurate and Efficient Post-Training Quantization for Large Language Models. International Conference on Machine Learning (ICML). arXiv:2211.10438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[179]  </w:t>
      </w:r>
      <w:r>
        <w:rPr>
          <w:rFonts w:ascii="Cambria" w:cs="Cambria" w:eastAsia="Cambria" w:hAnsi="Cambria"/>
          <w:color w:val="111111"/>
          <w:sz w:val="19"/>
          <w:szCs w:val="19"/>
        </w:rPr>
        <w:t xml:space="preserve">Xu, W., Liang, Z., Mei, K., Gao, H., Tan, J., &amp; Zhang, Y. (2025). A-Mem: Agentic Memory for LLM Agents. arXiv preprint. arXiv:2502.12110</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[180]  </w:t>
      </w:r>
      <w:r>
        <w:rPr>
          <w:rFonts w:ascii="Cambria" w:cs="Cambria" w:eastAsia="Cambria" w:hAnsi="Cambria"/>
          <w:color w:val="111111"/>
          <w:sz w:val="19"/>
          <w:szCs w:val="19"/>
        </w:rPr>
        <w:t xml:space="preserve">Xu, J., Sun, Q., Schwendeman, A., Nielsen, S., Cetin, E., &amp; Tang, Y. (2026). TRINITY: An Evolved LLM Coordinator. International Conference on Learning Representations (ICLR). arXiv:2512.04695</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[181]  </w:t>
      </w:r>
      <w:r>
        <w:rPr>
          <w:rFonts w:ascii="Cambria" w:cs="Cambria" w:eastAsia="Cambria" w:hAnsi="Cambria"/>
          <w:color w:val="111111"/>
          <w:sz w:val="19"/>
          <w:szCs w:val="19"/>
        </w:rPr>
        <w:t xml:space="preserve">Yao, S., Zhao, J., Yu, D., Du, N., Shafran, I., Narasimhan, K., &amp; Cao, Y. (2023). ReAct: Synergizing Reasoning and Acting in Language Models. International Conference on Learning Representations (ICLR). arXiv:2210.03629</w:t>
      </w:r>
    </w:p>
    <w:p>
      <w:pPr>
        <w:spacing w:after="70" w:line="250" w:lineRule="auto"/>
        <w:ind w:left="520" w:hanging="520"/>
        <w:jc w:val="left"/>
      </w:pPr>
      <w:r>
        <w:rPr>
          <w:rFonts w:ascii="Cambria" w:cs="Cambria" w:eastAsia="Cambria" w:hAnsi="Cambria"/>
          <w:b/>
          <w:bCs/>
          <w:color w:val="111111"/>
          <w:sz w:val="19"/>
          <w:szCs w:val="19"/>
        </w:rPr>
        <w:t xml:space="preserve">[182]  </w:t>
      </w:r>
      <w:r>
        <w:rPr>
          <w:rFonts w:ascii="Cambria" w:cs="Cambria" w:eastAsia="Cambria" w:hAnsi="Cambria"/>
          <w:color w:val="111111"/>
          <w:sz w:val="19"/>
          <w:szCs w:val="19"/>
        </w:rPr>
        <w:t xml:space="preserve">Yao, S., Yu, D., Zhao, J., Shafran, I., Griffiths, T. L., Cao, Y., &amp; Narasimhan, K. (2023). Tree of Thoughts: Deliberate Problem Solving with Large Language Models. Advances in Neural Information Processing Systems (NeurIPS). arXiv:2305.10601</w:t>
      </w:r>
    </w:p>
    <w:p>
      <w:pPr>
        <w:spacing w:after="70" w:line="250" w:lineRule="auto"/>
        <w:ind w:left="520" w:hanging="520"/>
        <w:jc w:val="left"/>
      </w:pPr>
      <w:r>
        <w:rPr>
          <w:rFonts w:ascii="Cambria" w:cs="Cambria" w:eastAsia="Cambria" w:hAnsi="Cambria"/>
          <w:b/>
          <w:bCs/>
          <w:color w:val="111111"/>
          <w:sz w:val="19"/>
          <w:szCs w:val="19"/>
        </w:rPr>
        <w:t xml:space="preserve">[183]  </w:t>
      </w:r>
      <w:r>
        <w:rPr>
          <w:rFonts w:ascii="Cambria" w:cs="Cambria" w:eastAsia="Cambria" w:hAnsi="Cambria"/>
          <w:color w:val="111111"/>
          <w:sz w:val="19"/>
          <w:szCs w:val="19"/>
        </w:rPr>
        <w:t xml:space="preserve">Yin, R. K. (2018). Case Study Research and Applications: Design and Methods (6th ed.). SAGE Publications.</w:t>
      </w:r>
    </w:p>
    <w:p>
      <w:pPr>
        <w:spacing w:after="70" w:line="250" w:lineRule="auto"/>
        <w:ind w:left="520" w:hanging="520"/>
        <w:jc w:val="left"/>
      </w:pPr>
      <w:r>
        <w:rPr>
          <w:rFonts w:ascii="Cambria" w:cs="Cambria" w:eastAsia="Cambria" w:hAnsi="Cambria"/>
          <w:b/>
          <w:bCs/>
          <w:color w:val="111111"/>
          <w:sz w:val="19"/>
          <w:szCs w:val="19"/>
        </w:rPr>
        <w:t xml:space="preserve">[184]  </w:t>
      </w:r>
      <w:r>
        <w:rPr>
          <w:rFonts w:ascii="Cambria" w:cs="Cambria" w:eastAsia="Cambria" w:hAnsi="Cambria"/>
          <w:color w:val="111111"/>
          <w:sz w:val="19"/>
          <w:szCs w:val="19"/>
        </w:rPr>
        <w:t xml:space="preserve">Zhan, Q., Liang, Z., Ying, Z., &amp; Kang, D. (2024). InjecAgent: Benchmarking Indirect Prompt Injections in Tool-Integrated Large Language Model Agents. Findings of ACL. arXiv:2403.02691</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[185]  </w:t>
      </w:r>
      <w:r>
        <w:rPr>
          <w:rFonts w:ascii="Cambria" w:cs="Cambria" w:eastAsia="Cambria" w:hAnsi="Cambria"/>
          <w:color w:val="111111"/>
          <w:sz w:val="19"/>
          <w:szCs w:val="19"/>
        </w:rPr>
        <w:t xml:space="preserve">Zhang, P., Zeng, G., Wang, T., &amp; Lu, W. (2024). TinyLlama: An Open-Source Small Language Model. arXiv preprint. arXiv:2401.02385</w:t>
      </w:r>
    </w:p>
    <w:p>
      <w:pPr>
        <w:spacing w:after="70" w:line="250" w:lineRule="auto"/>
        <w:ind w:left="520" w:hanging="520"/>
        <w:jc w:val="left"/>
      </w:pPr>
      <w:r>
        <w:rPr>
          <w:rFonts w:ascii="Cambria" w:cs="Cambria" w:eastAsia="Cambria" w:hAnsi="Cambria"/>
          <w:b/>
          <w:bCs/>
          <w:color w:val="111111"/>
          <w:sz w:val="19"/>
          <w:szCs w:val="19"/>
        </w:rPr>
        <w:t xml:space="preserve">[186]  </w:t>
      </w:r>
      <w:r>
        <w:rPr>
          <w:rFonts w:ascii="Cambria" w:cs="Cambria" w:eastAsia="Cambria" w:hAnsi="Cambria"/>
          <w:color w:val="111111"/>
          <w:sz w:val="19"/>
          <w:szCs w:val="19"/>
        </w:rPr>
        <w:t xml:space="preserve">Zhipu AI (Z.ai) (2026). GLM-5.2: An Open-Weight Mixture-of-Experts Model (~753B total, ~40B active, MIT license). Zhipu AI [model release, Jun 2026; benchmarks vendor-reported]. huggingface.co/zai-org/GLM-5.2</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[187]  </w:t>
      </w:r>
      <w:r>
        <w:rPr>
          <w:rFonts w:ascii="Cambria" w:cs="Cambria" w:eastAsia="Cambria" w:hAnsi="Cambria"/>
          <w:color w:val="111111"/>
          <w:sz w:val="19"/>
          <w:szCs w:val="19"/>
        </w:rPr>
        <w:t xml:space="preserve">Zhu, X., Li, J., Liu, Y., Ma, C., &amp; Wang, W. (2023). A Survey on Model Compression for Large Language Models. Transactions of the Association for Computational Linguistics (TACL). arXiv:2308.07633</w:t>
      </w:r>
    </w:p>
    <w:p>
      <w:pPr>
        <w:spacing w:after="70" w:line="250" w:lineRule="auto"/>
        <w:ind w:left="520" w:hanging="520"/>
        <w:jc w:val="left"/>
      </w:pPr>
      <w:r>
        <w:rPr>
          <w:rFonts w:ascii="Cambria" w:cs="Cambria" w:eastAsia="Cambria" w:hAnsi="Cambria"/>
          <w:b/>
          <w:bCs/>
          <w:color w:val="111111"/>
          <w:sz w:val="19"/>
          <w:szCs w:val="19"/>
        </w:rPr>
        <w:t xml:space="preserve">[188]  </w:t>
      </w:r>
      <w:r>
        <w:rPr>
          <w:rFonts w:ascii="Cambria" w:cs="Cambria" w:eastAsia="Cambria" w:hAnsi="Cambria"/>
          <w:color w:val="111111"/>
          <w:sz w:val="19"/>
          <w:szCs w:val="19"/>
        </w:rPr>
        <w:t xml:space="preserve">Zimmerman, J., Forlizzi, J., &amp; Evenson, S. (2007). Research Through Design as a Method for Interaction Design Research in HCI. Proceedings of CHI. doi:10.1145/1240624.1240704</w:t>
      </w:r>
    </w:p>
    <w:p>
      <w:pPr>
        <w:spacing w:after="70" w:line="250" w:lineRule="auto"/>
        <w:ind w:left="520" w:hanging="520"/>
        <w:jc w:val="left"/>
      </w:pPr>
      <w:r>
        <w:rPr>
          <w:rFonts w:ascii="Cambria" w:cs="Cambria" w:eastAsia="Cambria" w:hAnsi="Cambria"/>
          <w:b/>
          <w:bCs/>
          <w:color w:val="111111"/>
          <w:sz w:val="19"/>
          <w:szCs w:val="19"/>
        </w:rPr>
        <w:t xml:space="preserve">[189]  </w:t>
      </w:r>
      <w:r>
        <w:rPr>
          <w:rFonts w:ascii="Cambria" w:cs="Cambria" w:eastAsia="Cambria" w:hAnsi="Cambria"/>
          <w:color w:val="111111"/>
          <w:sz w:val="19"/>
          <w:szCs w:val="19"/>
        </w:rPr>
        <w:t xml:space="preserve">Zitkovich, B., Yu, T., Xu, S., Xu, P., Xiao, T., Xia, F., et al. (Brohan, A., et al.) (2023). RT-2: Vision-Language-Action Models Transfer Web Knowledge to Robotic Control. Conference on Robot Learning (CoRL). arXiv:2307.15818</w:t>
      </w:r>
      <w:r>
        <w:rPr>
          <w:rFonts w:ascii="Cambria" w:cs="Cambria" w:eastAsia="Cambria" w:hAnsi="Cambria"/>
          <w:b/>
          <w:bCs/>
          <w:color w:val="1F7A3D"/>
          <w:sz w:val="19"/>
          <w:szCs w:val="19"/>
        </w:rPr>
        <w:t xml:space="preserve">  ●</w:t>
      </w:r>
    </w:p>
    <w:p>
      <w:pPr>
        <w:spacing w:after="70" w:line="250" w:lineRule="auto"/>
        <w:ind w:left="520" w:hanging="520"/>
        <w:jc w:val="left"/>
      </w:pPr>
      <w:r>
        <w:rPr>
          <w:rFonts w:ascii="Cambria" w:cs="Cambria" w:eastAsia="Cambria" w:hAnsi="Cambria"/>
          <w:b/>
          <w:bCs/>
          <w:color w:val="111111"/>
          <w:sz w:val="19"/>
          <w:szCs w:val="19"/>
        </w:rPr>
        <w:t xml:space="preserve">[190]  </w:t>
      </w:r>
      <w:r>
        <w:rPr>
          <w:rFonts w:ascii="Cambria" w:cs="Cambria" w:eastAsia="Cambria" w:hAnsi="Cambria"/>
          <w:color w:val="111111"/>
          <w:sz w:val="19"/>
          <w:szCs w:val="19"/>
        </w:rPr>
        <w:t xml:space="preserve">Zou, A., Wang, Z., Carlini, N., Nasr, M., Kolter, J. Z., &amp; Fredrikson, M. (2023). Universal and Transferable Adversarial Attacks on Aligned Language Models. arXiv preprint. arXiv:2307.15043</w:t>
      </w:r>
    </w:p>
    <w:p>
      <w:pPr>
        <w:spacing w:after="70" w:line="250" w:lineRule="auto"/>
        <w:ind w:left="520" w:hanging="520"/>
        <w:jc w:val="left"/>
      </w:pPr>
      <w:r>
        <w:rPr>
          <w:rFonts w:ascii="Cambria" w:cs="Cambria" w:eastAsia="Cambria" w:hAnsi="Cambria"/>
          <w:b/>
          <w:bCs/>
          <w:color w:val="111111"/>
          <w:sz w:val="19"/>
          <w:szCs w:val="19"/>
        </w:rPr>
        <w:t xml:space="preserve">[191]  </w:t>
      </w:r>
      <w:r>
        <w:rPr>
          <w:rFonts w:ascii="Cambria" w:cs="Cambria" w:eastAsia="Cambria" w:hAnsi="Cambria"/>
          <w:color w:val="111111"/>
          <w:sz w:val="19"/>
          <w:szCs w:val="19"/>
        </w:rPr>
        <w:t xml:space="preserve">Zuboff, S. (2019). The Age of Surveillance Capitalism: The Fight for a Human Future at the New Frontier of Power. PublicAffairs.</w:t>
      </w:r>
      <w:r>
        <w:rPr>
          <w:rFonts w:ascii="Cambria" w:cs="Cambria" w:eastAsia="Cambria" w:hAnsi="Cambria"/>
          <w:b/>
          <w:bCs/>
          <w:color w:val="1F7A3D"/>
          <w:sz w:val="19"/>
          <w:szCs w:val="19"/>
        </w:rPr>
        <w:t xml:space="preserve">  ●</w:t>
      </w:r>
    </w:p>
    <w:p>
      <w:pPr>
        <w:spacing w:after="160"/>
      </w:pPr>
      <w:r>
        <w:rPr>
          <w:rFonts w:ascii="Cambria" w:cs="Cambria" w:eastAsia="Cambria" w:hAnsi="Cambria"/>
          <w:color w:val="111111"/>
          <w:sz w:val="22"/>
          <w:szCs w:val="22"/>
        </w:rPr>
        <w:t xml:space="preserve"/>
      </w:r>
    </w:p>
    <w:p>
      <w:pPr>
        <w:spacing w:after="140" w:before="0" w:line="300" w:lineRule="auto"/>
        <w:jc w:val="both"/>
      </w:pPr>
      <w:r>
        <w:rPr>
          <w:rFonts w:ascii="Cambria" w:cs="Cambria" w:eastAsia="Cambria" w:hAnsi="Cambria"/>
          <w:i/>
          <w:iCs/>
          <w:color w:val="111111"/>
          <w:sz w:val="19"/>
          <w:szCs w:val="19"/>
        </w:rPr>
        <w:t xml:space="preserve">Reference count: 191 entries — 73 live-verified (●), 118 canonical, cited from record. </w:t>
      </w:r>
      <w:r>
        <w:rPr>
          <w:rFonts w:ascii="Cambria" w:cs="Cambria" w:eastAsia="Cambria" w:hAnsi="Cambria"/>
          <w:i/>
          <w:iCs/>
          <w:color w:val="111111"/>
          <w:sz w:val="19"/>
          <w:szCs w:val="19"/>
        </w:rPr>
        <w:t xml:space="preserve">The distinction is published rather than smoothed, because a reference list in which the verified and the assumed are typographically identical is the exact artifact that cost this project several days in §4.4.1.</w:t>
      </w:r>
    </w:p>
    <w:p>
      <w:pPr>
        <w:pStyle w:val="Heading1"/>
        <w:pageBreakBefore/>
        <w:spacing w:after="180" w:before="240"/>
      </w:pPr>
      <w:r>
        <w:t xml:space="preserve">Appendix A. Reproducibility</w:t>
      </w:r>
    </w:p>
    <w:p>
      <w:pPr>
        <w:spacing w:after="140" w:before="0" w:line="300" w:lineRule="auto"/>
        <w:jc w:val="both"/>
      </w:pPr>
      <w:r>
        <w:rPr>
          <w:rFonts w:ascii="Cambria" w:cs="Cambria" w:eastAsia="Cambria" w:hAnsi="Cambria"/>
          <w:color w:val="111111"/>
          <w:sz w:val="22"/>
          <w:szCs w:val="22"/>
        </w:rPr>
        <w:t xml:space="preserve">§10 claims the arithmetic is reproducible. This appendix is what that claim costs. Component names are given as deployed; where a name could not be verified against a primary vendor source it is described functionally instead, per Rule IX.</w:t>
      </w:r>
    </w:p>
    <w:p>
      <w:pPr>
        <w:pStyle w:val="Heading2"/>
      </w:pPr>
      <w:r>
        <w:t xml:space="preserve">A.1 Host</w:t>
      </w:r>
    </w:p>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2100"/>
        <w:gridCol w:w="3400"/>
        <w:gridCol w:w="4860"/>
      </w:tblGrid>
      <w:tr>
        <w:trPr>
          <w:tblHeader/>
        </w:trPr>
        <w:tc>
          <w:tcPr>
            <w:tcW w:type="dxa" w:w="21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Component</w:t>
            </w:r>
          </w:p>
        </w:tc>
        <w:tc>
          <w:tcPr>
            <w:tcW w:type="dxa" w:w="34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As deployed</w:t>
            </w:r>
          </w:p>
        </w:tc>
        <w:tc>
          <w:tcPr>
            <w:tcW w:type="dxa" w:w="48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Constraint it imposes</w:t>
            </w:r>
          </w:p>
        </w:tc>
      </w:tr>
      <w:tr>
        <w:tc>
          <w:tcPr>
            <w:tcW w:type="dxa" w:w="21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Mini-PC</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GMKtec EVO-X1</w:t>
            </w:r>
          </w:p>
        </w:tc>
        <w:tc>
          <w:tcPr>
            <w:tcW w:type="dxa" w:w="48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Soldered memory. No upgrade path. This is why Table 1 is fixed.</w:t>
            </w:r>
          </w:p>
        </w:tc>
      </w:tr>
      <w:tr>
        <w:tc>
          <w:tcPr>
            <w:tcW w:type="dxa" w:w="21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CPU/APU</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AMD Ryzen AI 9 HX 370 (12C/24T, Zen 5/5c)</w:t>
            </w:r>
          </w:p>
        </w:tc>
        <w:tc>
          <w:tcPr>
            <w:tcW w:type="dxa" w:w="48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Adequate. Not the bottleneck (§2.1).</w:t>
            </w:r>
          </w:p>
        </w:tc>
      </w:tr>
      <w:tr>
        <w:tc>
          <w:tcPr>
            <w:tcW w:type="dxa" w:w="21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iGPU</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Radeon 890M (RDNA 3.5), LLVM target gfx1150</w:t>
            </w:r>
          </w:p>
        </w:tc>
        <w:tc>
          <w:tcPr>
            <w:tcW w:type="dxa" w:w="48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Not ROCm-supported. Vulkan is the only acceleration path.</w:t>
            </w:r>
          </w:p>
        </w:tc>
      </w:tr>
      <w:tr>
        <w:tc>
          <w:tcPr>
            <w:tcW w:type="dxa" w:w="21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Memory</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32 GB unified LPDDR5X</w:t>
            </w:r>
          </w:p>
        </w:tc>
        <w:tc>
          <w:tcPr>
            <w:tcW w:type="dxa" w:w="48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The binding constraint. Every decision in §3 subtracts from this.</w:t>
            </w:r>
          </w:p>
        </w:tc>
      </w:tr>
      <w:tr>
        <w:tc>
          <w:tcPr>
            <w:tcW w:type="dxa" w:w="21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Storage</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2 TB NVMe, full-disk encrypted</w:t>
            </w:r>
          </w:p>
        </w:tc>
        <w:tc>
          <w:tcPr>
            <w:tcW w:type="dxa" w:w="48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Corpus (~110 GB) + weights + Postgres. Not tight.</w:t>
            </w:r>
          </w:p>
        </w:tc>
      </w:tr>
      <w:tr>
        <w:tc>
          <w:tcPr>
            <w:tcW w:type="dxa" w:w="21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Host OS</w:t>
            </w:r>
          </w:p>
        </w:tc>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Windows 11, hardened</w:t>
            </w:r>
          </w:p>
        </w:tc>
        <w:tc>
          <w:tcPr>
            <w:tcW w:type="dxa" w:w="48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Owns metal and iGPU (§3.8). Not a preference — a consequence.</w:t>
            </w:r>
          </w:p>
        </w:tc>
      </w:tr>
      <w:tr>
        <w:tc>
          <w:tcPr>
            <w:tcW w:type="dxa" w:w="21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Council runtime</w:t>
            </w:r>
          </w:p>
        </w:tc>
        <w:tc>
          <w:tcPr>
            <w:tcW w:type="dxa" w:w="34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WSL2 / Ubuntu</w:t>
            </w:r>
          </w:p>
        </w:tc>
        <w:tc>
          <w:tcPr>
            <w:tcW w:type="dxa" w:w="48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Where the tooling is sane. Calls host over localhost.</w:t>
            </w:r>
          </w:p>
        </w:tc>
      </w:tr>
    </w:tbl>
    <w:p>
      <w:pPr>
        <w:pStyle w:val="Heading2"/>
      </w:pPr>
      <w:r>
        <w:t xml:space="preserve">A.2 Software</w:t>
      </w:r>
    </w:p>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1900"/>
        <w:gridCol w:w="3800"/>
        <w:gridCol w:w="4660"/>
      </w:tblGrid>
      <w:tr>
        <w:trPr>
          <w:tblHeader/>
        </w:trPr>
        <w:tc>
          <w:tcPr>
            <w:tcW w:type="dxa" w:w="19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Layer</w:t>
            </w:r>
          </w:p>
        </w:tc>
        <w:tc>
          <w:tcPr>
            <w:tcW w:type="dxa" w:w="38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As deployed</w:t>
            </w:r>
          </w:p>
        </w:tc>
        <w:tc>
          <w:tcPr>
            <w:tcW w:type="dxa" w:w="46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Exit path (Rule XIV)</w:t>
            </w:r>
          </w:p>
        </w:tc>
      </w:tr>
      <w:t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Inference server</w:t>
            </w:r>
          </w:p>
        </w:tc>
        <w:tc>
          <w:tcPr>
            <w:tcW w:type="dxa" w:w="3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Ollama, Windows-native, Vulkan backend</w:t>
            </w:r>
          </w:p>
        </w:tc>
        <w:tc>
          <w:tcPr>
            <w:tcW w:type="dxa" w:w="46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llama.cpp directly; same GGUF weights, no reconversion.</w:t>
            </w:r>
          </w:p>
        </w:tc>
      </w:tr>
      <w:t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Orchestration</w:t>
            </w:r>
          </w:p>
        </w:tc>
        <w:tc>
          <w:tcPr>
            <w:tcW w:type="dxa" w:w="3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LangGraph (stateful graph, supervisor-router)</w:t>
            </w:r>
          </w:p>
        </w:tc>
        <w:tc>
          <w:tcPr>
            <w:tcW w:type="dxa" w:w="46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Framework-agnostic; divisions are prompts + tool scopes, portable.</w:t>
            </w:r>
          </w:p>
        </w:tc>
      </w:tr>
      <w:t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Agent memory</w:t>
            </w:r>
          </w:p>
        </w:tc>
        <w:tc>
          <w:tcPr>
            <w:tcW w:type="dxa" w:w="3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Letta (MemGPT lineage) over Postgres/pgvector</w:t>
            </w:r>
          </w:p>
        </w:tc>
        <w:tc>
          <w:tcPr>
            <w:tcW w:type="dxa" w:w="46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Memory is SQL. pg_dump is the exit. This is the point of §3.3.</w:t>
            </w:r>
          </w:p>
        </w:tc>
      </w:tr>
      <w:t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Retrieval</w:t>
            </w:r>
          </w:p>
        </w:tc>
        <w:tc>
          <w:tcPr>
            <w:tcW w:type="dxa" w:w="3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Kiwix ZIM + nomic-embed-text + local vector store</w:t>
            </w:r>
          </w:p>
        </w:tc>
        <w:tc>
          <w:tcPr>
            <w:tcW w:type="dxa" w:w="46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ZIM is an open format; embeddings recomputable from source.</w:t>
            </w:r>
          </w:p>
        </w:tc>
      </w:tr>
      <w:t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Mesh</w:t>
            </w:r>
          </w:p>
        </w:tc>
        <w:tc>
          <w:tcPr>
            <w:tcW w:type="dxa" w:w="3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Tailscale, role-scoped ACLs</w:t>
            </w:r>
          </w:p>
        </w:tc>
        <w:tc>
          <w:tcPr>
            <w:tcW w:type="dxa" w:w="46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WireGuard directly; Tailscale is a control plane over it.</w:t>
            </w:r>
          </w:p>
        </w:tc>
      </w:tr>
      <w:t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Sandboxing</w:t>
            </w:r>
          </w:p>
        </w:tc>
        <w:tc>
          <w:tcPr>
            <w:tcW w:type="dxa" w:w="38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Docker per division</w:t>
            </w:r>
          </w:p>
        </w:tc>
        <w:tc>
          <w:tcPr>
            <w:tcW w:type="dxa" w:w="46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Standard. Portable.</w:t>
            </w:r>
          </w:p>
        </w:tc>
      </w:tr>
      <w:tr>
        <w:tc>
          <w:tcPr>
            <w:tcW w:type="dxa" w:w="19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Provenance</w:t>
            </w:r>
          </w:p>
        </w:tc>
        <w:tc>
          <w:tcPr>
            <w:tcW w:type="dxa" w:w="38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C2PA content credentials</w:t>
            </w:r>
          </w:p>
        </w:tc>
        <w:tc>
          <w:tcPr>
            <w:tcW w:type="dxa" w:w="46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Open standard, multiple implementations.</w:t>
            </w:r>
          </w:p>
        </w:tc>
      </w:tr>
    </w:tbl>
    <w:p>
      <w:pPr>
        <w:pStyle w:val="Heading2"/>
      </w:pPr>
      <w:r>
        <w:t xml:space="preserve">A.3 What Is Not Reproducible</w:t>
      </w:r>
    </w:p>
    <w:p>
      <w:pPr>
        <w:spacing w:after="140" w:before="0" w:line="300" w:lineRule="auto"/>
        <w:jc w:val="both"/>
      </w:pPr>
      <w:r>
        <w:rPr>
          <w:rFonts w:ascii="Cambria" w:cs="Cambria" w:eastAsia="Cambria" w:hAnsi="Cambria"/>
          <w:color w:val="111111"/>
          <w:sz w:val="22"/>
          <w:szCs w:val="22"/>
        </w:rPr>
        <w:t xml:space="preserve">The sustained-use evidence (§5.2) is one person over eighteen months and cannot be re-run. The three rebuilds (§4.3) are history, not method. The interaction claims (§6.5) were never instrumented and so cannot be replicated — only tested for the first time, which is §9's argument. What a reader can reproduce is the arithmetic of Tables 1 and 4 on any 32 GB unified-memory host, and the architecture of §3 on any host that clears it.</w:t>
      </w:r>
    </w:p>
    <w:p>
      <w:pPr>
        <w:pStyle w:val="Heading1"/>
        <w:pageBreakBefore/>
        <w:spacing w:after="180" w:before="240"/>
      </w:pPr>
      <w:r>
        <w:t xml:space="preserve">Appendix B. Related-Work Synthesis</w:t>
      </w:r>
    </w:p>
    <w:p>
      <w:pPr>
        <w:spacing w:after="140" w:before="0" w:line="300" w:lineRule="auto"/>
        <w:jc w:val="both"/>
      </w:pPr>
      <w:r>
        <w:rPr>
          <w:rFonts w:ascii="Cambria" w:cs="Cambria" w:eastAsia="Cambria" w:hAnsi="Cambria"/>
          <w:color w:val="111111"/>
          <w:sz w:val="22"/>
          <w:szCs w:val="22"/>
        </w:rPr>
        <w:t xml:space="preserve">A compact map of §2. Each row states the foundational citation, the current state of the art, and the evidence that complicates our thesis — the third column being the one that matters, since a related-work section that surfaces no tension is advocacy.</w:t>
      </w:r>
    </w:p>
    <w:p>
      <w:pPr>
        <w:spacing w:after="60"/>
      </w:pPr>
      <w:r>
        <w:rPr>
          <w:rFonts w:ascii="Cambria" w:cs="Cambria" w:eastAsia="Cambria" w:hAnsi="Cambria"/>
          <w:color w:val="111111"/>
          <w:sz w:val="22"/>
          <w:szCs w:val="22"/>
        </w:rPr>
        <w:t xml:space="preserve"/>
      </w:r>
    </w:p>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1700"/>
        <w:gridCol w:w="3500"/>
        <w:gridCol w:w="5160"/>
      </w:tblGrid>
      <w:tr>
        <w:trPr>
          <w:tblHeader/>
        </w:trPr>
        <w:tc>
          <w:tcPr>
            <w:tcW w:type="dxa" w:w="17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Domain</w:t>
            </w:r>
          </w:p>
        </w:tc>
        <w:tc>
          <w:tcPr>
            <w:tcW w:type="dxa" w:w="35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Foundational</w:t>
            </w:r>
          </w:p>
        </w:tc>
        <w:tc>
          <w:tcPr>
            <w:tcW w:type="dxa" w:w="51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Counter-evidence for §7</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On-device inference</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Vaswani [163]; Chinchilla [65]; phi-3 [2]</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Small models have thin parametric knowledge; retrieval is mandatory, not optional [2]</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Quantization</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LLM.int8() [33]; GPTQ [46]; 4-bit case [34]</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Nonlinear degradation below 3-bit; sweet spot is model-specific; reasoning suffers [34]</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Multi-agent</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Generative Agents [131]; AutoGen [175]; MetaGPT [66]</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Error propagation compounds through chains; topologies are constrained [54]</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Memory &amp; RAG</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RAG [91]; MemGPT [127]</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Rolling summarization drifts over long horizons [179]; retrieval fails silently</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HMI · social response</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CASA [118]; Media Equation [140]; anthropomorphism [41]</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All CASA results study a singular machine; plurality is untested (§6.5.1)</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HMI · embodiment</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Wainer [164]; meta-analysis [144]</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 positive effect for safety, empathy, or task performance; many contrary results [144]</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HMI · trust</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Lee &amp; See [89]; Parasuraman &amp; Riley [129]</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Over-trust survives demonstrated failure [143, 147]; explanations raise reliance not accuracy [11]</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Local-first</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Kleppmann et al. [87]</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Concedes real usability and engineering costs; our three rebuilds are evidence for that concern</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Agent security</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Indirect prompt injection [53]; least privilege [148]</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 structural fix exists; instruction hierarchy [166] mitigates, does not solve</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Embodied AI</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SayCan [4]; PaLM-E [37]; RT-2 [189]</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Frontier VLAs are off-board: 55B on multi-TPU at 1–3 Hz [189]. Contradicts local-first at the edge.</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Financial agents</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Kelly [82]; growth-vs-security [104]</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Full Kelly over-aggressive under estimation error; LLM edge estimates are badly estimated</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Offline knowledge</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Digital divide [63, 162]; RAG's Wikipedia index [91]</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No peer-reviewed Kiwix evaluation located; scholarly base is thin and we mark it (§7.8)</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Sustainability</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Strubell et al. [157]; Green AI [150]</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Figure concerns training, not inference. Local systems free-ride on datacenter training (§7.6).</w:t>
            </w:r>
          </w:p>
        </w:tc>
      </w:tr>
      <w:tr>
        <w:tc>
          <w:tcPr>
            <w:tcW w:type="dxa" w:w="17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Orchestration / MoA</w:t>
            </w:r>
          </w:p>
        </w:tc>
        <w:tc>
          <w:tcPr>
            <w:tcW w:type="dxa" w:w="3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Mixture-of-Agents [169]; RouteLLM [124]; Sakana Fugu [47]</w:t>
            </w:r>
          </w:p>
        </w:tc>
        <w:tc>
          <w:tcPr>
            <w:tcW w:type="dxa" w:w="51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Frontier-parity is vendor-reported; orchestrating rented models is still rented intelligence (§6.8, §7.1)</w:t>
            </w:r>
          </w:p>
        </w:tc>
      </w:tr>
      <w:tr>
        <w:tc>
          <w:tcPr>
            <w:tcW w:type="dxa" w:w="17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Methodology</w:t>
            </w:r>
          </w:p>
        </w:tc>
        <w:tc>
          <w:tcPr>
            <w:tcW w:type="dxa" w:w="35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Design science [61]; autobiographical design [119]</w:t>
            </w:r>
          </w:p>
        </w:tc>
        <w:tc>
          <w:tcPr>
            <w:tcW w:type="dxa" w:w="51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Legitimizes the method without neutralizing N=1, confirmation bias, or sunk cost (§7.5)</w:t>
            </w:r>
          </w:p>
        </w:tc>
      </w:tr>
    </w:tbl>
    <w:p>
      <w:pPr>
        <w:spacing w:after="200" w:before="60" w:line="260" w:lineRule="auto"/>
        <w:jc w:val="left"/>
      </w:pPr>
      <w:r>
        <w:rPr>
          <w:rFonts w:ascii="Cambria" w:cs="Cambria" w:eastAsia="Cambria" w:hAnsi="Cambria"/>
          <w:i/>
          <w:iCs/>
          <w:color w:val="6E6E6E"/>
          <w:sz w:val="19"/>
          <w:szCs w:val="19"/>
        </w:rPr>
        <w:t xml:space="preserve">Table 7. The fourteen domains and their tensions. Read the right-hand column first.</w:t>
      </w:r>
    </w:p>
    <w:p>
      <w:pPr>
        <w:pStyle w:val="Heading1"/>
        <w:pageBreakBefore/>
        <w:spacing w:after="180" w:before="240"/>
      </w:pPr>
      <w:r>
        <w:t xml:space="preserve">Appendix C. The July 2026 Model Landscape (Verification-Tiered)</w:t>
      </w:r>
    </w:p>
    <w:p>
      <w:pPr>
        <w:spacing w:after="140" w:before="0" w:line="300" w:lineRule="auto"/>
        <w:jc w:val="both"/>
      </w:pPr>
      <w:r>
        <w:rPr>
          <w:rFonts w:ascii="Cambria" w:cs="Cambria" w:eastAsia="Cambria" w:hAnsi="Cambria"/>
          <w:color w:val="111111"/>
          <w:sz w:val="22"/>
          <w:szCs w:val="22"/>
        </w:rPr>
        <w:t xml:space="preserve">A dated snapshot of the models this paper's capability-gap and orchestration arguments reference (§7.1, §6.8), tiered per Rule IX (§4.4.4). “Existence” was checked against a primary source; “benchmarks” are almost universally vendor-reported and are NOT independently reproduced. Parameter counts are as claimed. This table will age; it is accurate as of July 2026 and no longer.</w:t>
      </w:r>
    </w:p>
    <w:p>
      <w:pPr>
        <w:spacing w:after="60"/>
      </w:pPr>
      <w:r>
        <w:rPr>
          <w:rFonts w:ascii="Cambria" w:cs="Cambria" w:eastAsia="Cambria" w:hAnsi="Cambria"/>
          <w:color w:val="111111"/>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3200"/>
        <w:gridCol w:w="3760"/>
      </w:tblGrid>
      <w:tr>
        <w:trPr>
          <w:tblHeader/>
        </w:trPr>
        <w:tc>
          <w:tcPr>
            <w:tcW w:type="dxa" w:w="24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Model</w:t>
            </w:r>
          </w:p>
        </w:tc>
        <w:tc>
          <w:tcPr>
            <w:tcW w:type="dxa" w:w="320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Class / scale (claimed)</w:t>
            </w:r>
          </w:p>
        </w:tc>
        <w:tc>
          <w:tcPr>
            <w:tcW w:type="dxa" w:w="3760"/>
            <w:tcBorders>
              <w:top w:val="single" w:color="111111" w:sz="8"/>
              <w:left w:val="none" w:color="FFFFFF" w:sz="0"/>
              <w:bottom w:val="single" w:color="C8CFD6" w:sz="3"/>
              <w:right w:val="none" w:color="FFFFFF" w:sz="0"/>
            </w:tcBorders>
            <w:tcMar>
              <w:top w:type="dxa" w:w="90"/>
              <w:left w:type="dxa" w:w="100"/>
              <w:bottom w:type="dxa" w:w="90"/>
              <w:right w:type="dxa" w:w="100"/>
            </w:tcMar>
            <w:vAlign w:val="bottom"/>
          </w:tcPr>
          <w:p>
            <w:pPr>
              <w:spacing w:after="0" w:line="240"/>
            </w:pPr>
            <w:r>
              <w:rPr>
                <w:rFonts w:ascii="Cambria" w:cs="Cambria" w:eastAsia="Cambria" w:hAnsi="Cambria"/>
                <w:b/>
                <w:bCs/>
                <w:color w:val="111111"/>
                <w:sz w:val="19"/>
                <w:szCs w:val="19"/>
              </w:rPr>
              <w:t xml:space="preserve">Verification status</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Claude Fable 5 / Opus 4.8</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Closed frontier (Anthropic)</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verified; benchmarks vendor/aggregator-reported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GPT-5.6 Sol</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Closed frontier, multi-agent 'ultra' mode</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verified (OpenAI); benchmarks vendor-reported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Gemini 3.1 Pro</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Closed frontier, Transformer-MoE</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verified; ARC-AGI-2 independently scored, rest vendor-reported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Grok 4.5</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Closed frontier, V9 MoE (count unconfirmed)</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verified (xAI); benchmarks vendor-reported; contamination caveat noted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Kimi K3</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Open-weight, 2.8T MoE, 1M ctx</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verified (Moonshot); numbers unverifiable until weights ship</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DeepSeek V4-Pro</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Open-weight, 1.6T MoE, MIT</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 open weights verified; benchmarks vendor-reported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GLM-5.2</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Open-weight, ~753B MoE, MIT</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 open weights verified; benchmarks vendor-reported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MiniMax M3</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Open-weight, 428B MoE, 1M ctx</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verified; license terms vendor-dependent</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Qwen3.8-Max-Preview</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Claimed ~2.4T; preview only</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Preview verified; NO model card / license / specs — UNCONFIRMED</w:t>
            </w:r>
          </w:p>
        </w:tc>
      </w:tr>
      <w:tr>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Sakana Fugu / Fugu Ultra</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Learned orchestrator (not a base model)</w:t>
            </w:r>
          </w:p>
        </w:tc>
        <w:tc>
          <w:tcPr>
            <w:tcW w:type="dxa" w:w="376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Existence + technical report + grounding papers verified; parity vendor-reported</w:t>
            </w:r>
          </w:p>
        </w:tc>
      </w:tr>
      <w:tr>
        <w:tc>
          <w:tcPr>
            <w:tcW w:type="dxa" w:w="24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'Cognitive Anti-Aliasing'</w:t>
            </w:r>
          </w:p>
        </w:tc>
        <w:tc>
          <w:tcPr>
            <w:tcW w:type="dxa" w:w="320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Attributed technique</w:t>
            </w:r>
          </w:p>
        </w:tc>
        <w:tc>
          <w:tcPr>
            <w:tcW w:type="dxa" w:w="3760"/>
            <w:tcBorders>
              <w:top w:val="none" w:color="FFFFFF" w:sz="0"/>
              <w:left w:val="none" w:color="FFFFFF" w:sz="0"/>
              <w:bottom w:val="single" w:color="111111" w:sz="8"/>
              <w:right w:val="none" w:color="FFFFFF" w:sz="0"/>
            </w:tcBorders>
            <w:tcMar>
              <w:top w:type="dxa" w:w="70"/>
              <w:left w:type="dxa" w:w="100"/>
              <w:bottom w:type="dxa" w:w="70"/>
              <w:right w:type="dxa" w:w="100"/>
            </w:tcMar>
            <w:vAlign w:val="top"/>
          </w:tcPr>
          <w:p>
            <w:pPr>
              <w:spacing w:after="0" w:line="250" w:lineRule="auto"/>
            </w:pPr>
            <w:r>
              <w:rPr>
                <w:rFonts w:ascii="Cambria" w:cs="Cambria" w:eastAsia="Cambria" w:hAnsi="Cambria"/>
                <w:color w:val="111111"/>
                <w:sz w:val="19"/>
                <w:szCs w:val="19"/>
              </w:rPr>
              <w:t xml:space="preserve">UNVERIFIED — no primary source; appears fabricated</w:t>
            </w:r>
          </w:p>
        </w:tc>
      </w:tr>
    </w:tbl>
    <w:p>
      <w:pPr>
        <w:spacing w:after="200" w:before="60" w:line="260" w:lineRule="auto"/>
        <w:jc w:val="left"/>
      </w:pPr>
      <w:r>
        <w:rPr>
          <w:rFonts w:ascii="Cambria" w:cs="Cambria" w:eastAsia="Cambria" w:hAnsi="Cambria"/>
          <w:i/>
          <w:iCs/>
          <w:color w:val="6E6E6E"/>
          <w:sz w:val="19"/>
          <w:szCs w:val="19"/>
        </w:rPr>
        <w:t xml:space="preserve">Table 8. Verification tiering of the 2026 landscape. The bottom row is the fabrication this revision's Rule IX pass caught; the deployability point of §7.1 is that the open-weight rows, real as they are, do not fit on the machine this paper describes.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mbria" w:cs="Cambria" w:eastAsia="Cambria" w:hAnsi="Cambria"/>
        <w:color w:val="6E6E6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mbria" w:cs="Cambria" w:eastAsia="Cambria" w:hAnsi="Cambria"/>
        <w:color w:val="111111"/>
        <w:sz w:val="22"/>
        <w:szCs w:val="2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FD6" w:sz="4" w:space="6"/>
      </w:pBdr>
      <w:spacing w:after="90"/>
      <w:jc w:val="right"/>
    </w:pPr>
    <w:r>
      <w:rPr>
        <w:rFonts w:ascii="Cambria" w:cs="Cambria" w:eastAsia="Cambria" w:hAnsi="Cambria"/>
        <w:i/>
        <w:iCs/>
        <w:color w:val="6E6E6E"/>
        <w:sz w:val="16"/>
        <w:szCs w:val="16"/>
      </w:rPr>
      <w:t xml:space="preserve">Garcia · The Council in the Basement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mbria" w:cs="Cambria" w:eastAsia="Cambria" w:hAnsi="Cambria"/>
        <w:color w:val="111111"/>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40" w:hanging="260"/>
      </w:pPr>
    </w:lvl>
  </w:abstractNum>
  <w:abstractNum w:abstractNumId="3" w15:restartNumberingAfterBreak="0">
    <w:multiLevelType w:val="hybridMultilevel"/>
    <w:lvl w:ilvl="0" w15:tentative="1">
      <w:start w:val="1"/>
      <w:numFmt w:val="decimal"/>
      <w:lvlText w:val="(%1)"/>
      <w:lvlJc w:val="left"/>
      <w:pPr>
        <w:ind w:left="560" w:hanging="340"/>
      </w:pPr>
    </w:lvl>
    <w:lvl w:ilvl="1" w15:tentative="1">
      <w:start w:val="1"/>
      <w:numFmt w:val="lowerLetter"/>
      <w:lvlText w:val="(%2)"/>
      <w:lvlJc w:val="left"/>
      <w:pPr>
        <w:ind w:left="100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11111"/>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00"/>
      <w:outlineLvl w:val="0"/>
    </w:pPr>
    <w:rPr>
      <w:rFonts w:ascii="Cambria" w:cs="Cambria" w:eastAsia="Cambria" w:hAnsi="Cambria"/>
      <w:b/>
      <w:bCs/>
      <w:color w:val="1A3A5C"/>
      <w:sz w:val="30"/>
      <w:szCs w:val="30"/>
    </w:rPr>
  </w:style>
  <w:style w:type="paragraph" w:styleId="Heading2">
    <w:name w:val="Heading 2"/>
    <w:basedOn w:val="Normal"/>
    <w:next w:val="Normal"/>
    <w:qFormat/>
    <w:pPr>
      <w:spacing w:after="110" w:before="250"/>
      <w:outlineLvl w:val="1"/>
    </w:pPr>
    <w:rPr>
      <w:rFonts w:ascii="Cambria" w:cs="Cambria" w:eastAsia="Cambria" w:hAnsi="Cambria"/>
      <w:b/>
      <w:bCs/>
      <w:color w:val="111111"/>
      <w:sz w:val="25"/>
      <w:szCs w:val="25"/>
    </w:rPr>
  </w:style>
  <w:style w:type="paragraph" w:styleId="Heading3">
    <w:name w:val="Heading 3"/>
    <w:basedOn w:val="Normal"/>
    <w:next w:val="Normal"/>
    <w:qFormat/>
    <w:pPr>
      <w:spacing w:after="90" w:before="190"/>
      <w:outlineLvl w:val="2"/>
    </w:pPr>
    <w:rPr>
      <w:rFonts w:ascii="Cambria" w:cs="Cambria" w:eastAsia="Cambria" w:hAnsi="Cambria"/>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Council in the Basement: Local-First, Embodied, Multi-Agent AI on Commodity Hardware</dc:title>
  <dc:creator>Max Garcia</dc:creator>
  <dc:description>A design-science case study in human-machine interaction, data sovereignty, and the honest ceiling.</dc:description>
  <cp:lastModifiedBy>Un-named</cp:lastModifiedBy>
  <cp:revision>1</cp:revision>
  <dcterms:created xsi:type="dcterms:W3CDTF">2026-07-20T15:56:42.061Z</dcterms:created>
  <dcterms:modified xsi:type="dcterms:W3CDTF">2026-07-20T15:56:42.077Z</dcterms:modified>
</cp:coreProperties>
</file>

<file path=docProps/custom.xml><?xml version="1.0" encoding="utf-8"?>
<Properties xmlns="http://schemas.openxmlformats.org/officeDocument/2006/custom-properties" xmlns:vt="http://schemas.openxmlformats.org/officeDocument/2006/docPropsVTypes"/>
</file>