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300"/>
      </w:pPr>
      <w:r>
        <w:rPr>
          <w:rFonts w:ascii="Calibri" w:cs="Calibri" w:eastAsia="Calibri" w:hAnsi="Calibri"/>
          <w:color w:val="666666"/>
          <w:spacing w:val="40"/>
          <w:sz w:val="18"/>
          <w:szCs w:val="18"/>
        </w:rPr>
        <w:t xml:space="preserve">REVIEW &amp; POSITION PAPER · SUSTAINABLE COMPUTING, E-WASTE &amp; DIGITAL EQUITY · PREPRINT</w:t>
      </w:r>
    </w:p>
    <w:p>
      <w:pPr>
        <w:spacing w:after="140"/>
      </w:pPr>
      <w:r>
        <w:rPr>
          <w:rFonts w:ascii="Calibri" w:cs="Calibri" w:eastAsia="Calibri" w:hAnsi="Calibri"/>
          <w:b/>
          <w:bCs/>
          <w:color w:val="1A1A1A"/>
          <w:sz w:val="44"/>
          <w:szCs w:val="44"/>
        </w:rPr>
        <w:t xml:space="preserve">It Still Works</w:t>
      </w:r>
    </w:p>
    <w:p>
      <w:pPr>
        <w:pBdr>
          <w:bottom w:val="single" w:color="2E5D3A" w:sz="16" w:space="12"/>
        </w:pBdr>
        <w:spacing w:after="340"/>
      </w:pPr>
      <w:r>
        <w:rPr>
          <w:rFonts w:ascii="Calibri" w:cs="Calibri" w:eastAsia="Calibri" w:hAnsi="Calibri"/>
          <w:i/>
          <w:iCs/>
          <w:color w:val="2E5D3A"/>
          <w:sz w:val="26"/>
          <w:szCs w:val="26"/>
        </w:rPr>
        <w:t xml:space="preserve">Device repurposing as a response to the e-waste crisis: significance, evidence, and honest limits</w:t>
      </w:r>
    </w:p>
    <w:p>
      <w:pPr>
        <w:spacing w:after="40"/>
      </w:pPr>
      <w:r>
        <w:rPr>
          <w:rFonts w:ascii="Calibri" w:cs="Calibri" w:eastAsia="Calibri" w:hAnsi="Calibri"/>
          <w:b/>
          <w:bCs/>
          <w:color w:val="1A1A1A"/>
          <w:sz w:val="23"/>
          <w:szCs w:val="23"/>
        </w:rPr>
        <w:t xml:space="preserve">Maximiliano Garcia</w:t>
      </w:r>
    </w:p>
    <w:p>
      <w:pPr>
        <w:spacing w:after="30"/>
      </w:pPr>
      <w:r>
        <w:rPr>
          <w:rFonts w:ascii="Calibri" w:cs="Calibri" w:eastAsia="Calibri" w:hAnsi="Calibri"/>
          <w:color w:val="666666"/>
          <w:sz w:val="19"/>
          <w:szCs w:val="19"/>
        </w:rPr>
        <w:t xml:space="preserve">University of Arkansas</w:t>
      </w:r>
    </w:p>
    <w:p>
      <w:pPr>
        <w:spacing w:after="30"/>
      </w:pPr>
      <w:r>
        <w:rPr>
          <w:rFonts w:ascii="Calibri" w:cs="Calibri" w:eastAsia="Calibri" w:hAnsi="Calibri"/>
          <w:color w:val="666666"/>
          <w:sz w:val="19"/>
          <w:szCs w:val="19"/>
        </w:rPr>
        <w:t xml:space="preserve">Independent research in sustainable computing and human-machine interaction</w:t>
      </w:r>
    </w:p>
    <w:p>
      <w:pPr>
        <w:spacing w:after="30"/>
      </w:pPr>
      <w:r>
        <w:rPr>
          <w:rFonts w:ascii="Calibri" w:cs="Calibri" w:eastAsia="Calibri" w:hAnsi="Calibri"/>
          <w:color w:val="666666"/>
          <w:sz w:val="19"/>
          <w:szCs w:val="19"/>
        </w:rPr>
        <w:t xml:space="preserve">maxgarcia642@gmail.com  ·  @the_maxgarcia</w:t>
      </w:r>
    </w:p>
    <w:p>
      <w:pPr>
        <w:spacing w:after="360"/>
      </w:pPr>
    </w:p>
    <w:p>
      <w:pPr>
        <w:tabs>
          <w:tab w:val="left" w:pos="1800"/>
        </w:tabs>
        <w:spacing w:after="50"/>
      </w:pPr>
      <w:r>
        <w:rPr>
          <w:rFonts w:ascii="Calibri" w:cs="Calibri" w:eastAsia="Calibri" w:hAnsi="Calibri"/>
          <w:b/>
          <w:bCs/>
          <w:color w:val="2E5D3A"/>
          <w:sz w:val="17"/>
          <w:szCs w:val="17"/>
        </w:rPr>
        <w:t xml:space="preserve">Version</w:t>
      </w:r>
      <w:r>
        <w:rPr>
          <w:rFonts w:ascii="Calibri" w:cs="Calibri" w:eastAsia="Calibri" w:hAnsi="Calibri"/>
          <w:color w:val="1A1A1A"/>
          <w:sz w:val="17"/>
          <w:szCs w:val="17"/>
        </w:rPr>
        <w:t xml:space="preserve">	Preprint draft, July 2026</w:t>
      </w:r>
    </w:p>
    <w:p>
      <w:pPr>
        <w:tabs>
          <w:tab w:val="left" w:pos="1800"/>
        </w:tabs>
        <w:spacing w:after="50"/>
      </w:pPr>
      <w:r>
        <w:rPr>
          <w:rFonts w:ascii="Calibri" w:cs="Calibri" w:eastAsia="Calibri" w:hAnsi="Calibri"/>
          <w:b/>
          <w:bCs/>
          <w:color w:val="2E5D3A"/>
          <w:sz w:val="17"/>
          <w:szCs w:val="17"/>
        </w:rPr>
        <w:t xml:space="preserve">Companion to</w:t>
      </w:r>
      <w:r>
        <w:rPr>
          <w:rFonts w:ascii="Calibri" w:cs="Calibri" w:eastAsia="Calibri" w:hAnsi="Calibri"/>
          <w:color w:val="1A1A1A"/>
          <w:sz w:val="17"/>
          <w:szCs w:val="17"/>
        </w:rPr>
        <w:t xml:space="preserve">	"Permission, Not Capability" (system architecture)</w:t>
      </w:r>
    </w:p>
    <w:p>
      <w:pPr>
        <w:tabs>
          <w:tab w:val="left" w:pos="1800"/>
        </w:tabs>
        <w:spacing w:after="50"/>
      </w:pPr>
      <w:r>
        <w:rPr>
          <w:rFonts w:ascii="Calibri" w:cs="Calibri" w:eastAsia="Calibri" w:hAnsi="Calibri"/>
          <w:b/>
          <w:bCs/>
          <w:color w:val="2E5D3A"/>
          <w:sz w:val="17"/>
          <w:szCs w:val="17"/>
        </w:rPr>
        <w:t xml:space="preserve">References</w:t>
      </w:r>
      <w:r>
        <w:rPr>
          <w:rFonts w:ascii="Calibri" w:cs="Calibri" w:eastAsia="Calibri" w:hAnsi="Calibri"/>
          <w:color w:val="1A1A1A"/>
          <w:sz w:val="17"/>
          <w:szCs w:val="17"/>
        </w:rPr>
        <w:t xml:space="preserve">	105 entries — see Author’s Note on verification</w:t>
      </w:r>
    </w:p>
    <w:p>
      <w:pPr>
        <w:tabs>
          <w:tab w:val="left" w:pos="1800"/>
        </w:tabs>
        <w:spacing w:after="50"/>
      </w:pPr>
      <w:r>
        <w:rPr>
          <w:rFonts w:ascii="Calibri" w:cs="Calibri" w:eastAsia="Calibri" w:hAnsi="Calibri"/>
          <w:b/>
          <w:bCs/>
          <w:color w:val="2E5D3A"/>
          <w:sz w:val="17"/>
          <w:szCs w:val="17"/>
        </w:rPr>
        <w:t xml:space="preserve">Scope</w:t>
      </w:r>
      <w:r>
        <w:rPr>
          <w:rFonts w:ascii="Calibri" w:cs="Calibri" w:eastAsia="Calibri" w:hAnsi="Calibri"/>
          <w:color w:val="1A1A1A"/>
          <w:sz w:val="17"/>
          <w:szCs w:val="17"/>
        </w:rPr>
        <w:t xml:space="preserve">	Review + position + case study. Reports no new empirical results.</w:t>
      </w:r>
    </w:p>
    <w:p>
      <w:pPr>
        <w:tabs>
          <w:tab w:val="left" w:pos="1800"/>
        </w:tabs>
        <w:spacing w:after="50"/>
      </w:pPr>
      <w:r>
        <w:rPr>
          <w:rFonts w:ascii="Calibri" w:cs="Calibri" w:eastAsia="Calibri" w:hAnsi="Calibri"/>
          <w:b/>
          <w:bCs/>
          <w:color w:val="2E5D3A"/>
          <w:sz w:val="17"/>
          <w:szCs w:val="17"/>
        </w:rPr>
        <w:t xml:space="preserve">Status</w:t>
      </w:r>
      <w:r>
        <w:rPr>
          <w:rFonts w:ascii="Calibri" w:cs="Calibri" w:eastAsia="Calibri" w:hAnsi="Calibri"/>
          <w:color w:val="1A1A1A"/>
          <w:sz w:val="17"/>
          <w:szCs w:val="17"/>
        </w:rPr>
        <w:t xml:space="preserve">	Not peer reviewed. Citations require verification before submission.</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Abstract</w:t>
      </w:r>
    </w:p>
    <w:p>
      <w:pPr>
        <w:spacing w:after="140" w:line="290"/>
        <w:jc w:val="both"/>
      </w:pPr>
      <w:r>
        <w:rPr>
          <w:rFonts w:ascii="Cambria" w:cs="Cambria" w:eastAsia="Cambria" w:hAnsi="Cambria"/>
          <w:color w:val="1A1A1A"/>
          <w:sz w:val="20"/>
          <w:szCs w:val="20"/>
        </w:rPr>
        <w:t xml:space="preserve">The world generated 62 million tonnes of electronic waste in 2022, of which formal systems recycled 22.3%. E-waste is the fastest-growing solid waste stream on the planet, and formal recycling is losing ground against it. This paper argues that a substantial fraction of what we call electronic waste is not waste at all but functioning hardware whose only defect is that no counterparty will still transact with it — and that repurposing such devices is a high-value, under-utilised intervention in the crisis.</w:t>
      </w:r>
    </w:p>
    <w:p>
      <w:pPr>
        <w:spacing w:after="140" w:line="290"/>
        <w:jc w:val="both"/>
      </w:pPr>
      <w:r>
        <w:rPr>
          <w:rFonts w:ascii="Cambria" w:cs="Cambria" w:eastAsia="Cambria" w:hAnsi="Cambria"/>
          <w:color w:val="1A1A1A"/>
          <w:sz w:val="20"/>
          <w:szCs w:val="20"/>
        </w:rPr>
        <w:t xml:space="preserve">We build the significance argument on foundations that are, at the level of hard data, secure. Life-cycle assessment establishes that manufacturing accounts for 70 to 90% of a smartphone’s lifetime carbon, which means a discarded working device wastes carbon already spent rather than saving carbon still to come. The materials involved are scarce, strategically concentrated, sometimes extracted at grave human cost, and recovered by recycling at rates as low as one percent for rare earths. The waste hierarchy underpinning international environmental law ranks reuse and repurposing far above the recycling that popular discourse treats as the responsible endpoint. And billions of functioning devices sit dormant, their embodied carbon spent and their value delivered to no one.</w:t>
      </w:r>
    </w:p>
    <w:p>
      <w:pPr>
        <w:spacing w:after="140" w:line="290"/>
        <w:jc w:val="both"/>
      </w:pPr>
      <w:r>
        <w:rPr>
          <w:rFonts w:ascii="Cambria" w:cs="Cambria" w:eastAsia="Cambria" w:hAnsi="Cambria"/>
          <w:color w:val="1A1A1A"/>
          <w:sz w:val="20"/>
          <w:szCs w:val="20"/>
        </w:rPr>
        <w:t xml:space="preserve">The argument is grounded in a concrete case: a locally-hosted artificial-intelligence system that serves client devices as old as a 2007 iPhone, demonstrating that the obsolescence which sends devices to waste is frequently not a hardware limit but a software, permission, or economic artifact. A device declared waste holds a natural-language conversation with a contemporary language model using the browser it shipped with, because the only thing it ever lacked was a server willing to speak its language. We connect this to the digital-equity argument that obsolete devices flow to the least powerful household members, making a repurposing system’s compatibility floor a distributional parameter rather than a technical curiosity.</w:t>
      </w:r>
    </w:p>
    <w:p>
      <w:pPr>
        <w:spacing w:after="140" w:line="290"/>
        <w:jc w:val="both"/>
      </w:pPr>
      <w:r>
        <w:rPr>
          <w:rFonts w:ascii="Cambria" w:cs="Cambria" w:eastAsia="Cambria" w:hAnsi="Cambria"/>
          <w:color w:val="1A1A1A"/>
          <w:sz w:val="20"/>
          <w:szCs w:val="20"/>
        </w:rPr>
        <w:t xml:space="preserve">We are deliberate about the argument’s limits. This paper reports no new empirical results and gives its honest tensions a prominent, extended treatment rather than token acknowledgement: the operational-energy cost of running old hardware, which can invert the carbon case on a dirty grid; the rebound effect; the greenwashing hazard; e-waste colonialism, in which reuse becomes a cover for dumping; and above all the question of scale, which the paper cannot resolve. The per-device value of repurposing is well-established and the latent stockpile is enormous; whether the two can be connected at a scale that bends the aggregate e-waste curve is an urgent open question, and we say so plainly. The 2007 phone holding a conversation it could never have held when it was new is not a solution to the e-waste crisis. It is the evidence that we have been throwing away things that still work.</w:t>
      </w:r>
    </w:p>
    <w:p>
      <w:pPr>
        <w:spacing w:after="0" w:before="200"/>
      </w:pPr>
      <w:r>
        <w:rPr>
          <w:rFonts w:ascii="Cambria" w:cs="Cambria" w:eastAsia="Cambria" w:hAnsi="Cambria"/>
          <w:b/>
          <w:bCs/>
          <w:i/>
          <w:iCs/>
          <w:color w:val="1A1A1A"/>
          <w:sz w:val="20"/>
          <w:szCs w:val="20"/>
        </w:rPr>
        <w:t xml:space="preserve">Keywords:  </w:t>
      </w:r>
      <w:r>
        <w:rPr>
          <w:rFonts w:ascii="Cambria" w:cs="Cambria" w:eastAsia="Cambria" w:hAnsi="Cambria"/>
          <w:i/>
          <w:iCs/>
          <w:color w:val="1A1A1A"/>
          <w:sz w:val="20"/>
          <w:szCs w:val="20"/>
        </w:rPr>
        <w:t xml:space="preserve">electronic waste; e-waste; circular economy; device repurposing; reuse; waste hierarchy; embodied carbon; life-cycle assessment; planned obsolescence; right to repair; digital divide; digital equity; sustainable HCI; computing within limits; local-first AI; rebound effect; critical raw materials</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Contents</w:t>
      </w:r>
    </w:p>
    <w:sdt>
      <w:sdtPr>
        <w:alias w:val="toc"/>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66666"/>
          <w:sz w:val="16"/>
          <w:szCs w:val="16"/>
        </w:rPr>
        <w:t xml:space="preserve">Word populates this table on open. If blank, press Ctrl+A then F9.</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1. Introduction</w:t>
      </w:r>
    </w:p>
    <w:p>
      <w:pPr>
        <w:spacing w:after="130" w:before="0" w:line="300"/>
        <w:jc w:val="both"/>
      </w:pPr>
      <w:r>
        <w:rPr>
          <w:rFonts w:ascii="Cambria" w:cs="Cambria" w:eastAsia="Cambria" w:hAnsi="Cambria"/>
          <w:b w:val="false"/>
          <w:bCs w:val="false"/>
          <w:i w:val="false"/>
          <w:iCs w:val="false"/>
          <w:color w:val="1A1A1A"/>
          <w:sz w:val="21"/>
          <w:szCs w:val="21"/>
        </w:rPr>
        <w:t xml:space="preserve">The world generated 62 million tonnes of electronic waste in 2022. Formal systems recycled 22.3% of it. The remainder — roughly 48 million tonnes, a mass exceeding that of the Great Pyramid of Giza many times over — was landfilled, incinerated, informally dismantled over open fires by workers including children, or simply stored, unused, in the drawers of the people who once owned it. This paper is about that last category, and about a claim that follows from taking it seriously: that a substantial fraction of what we call electronic waste is not waste at all, but functioning hardware whose only defect is that no one will still transact with it.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figures come from the Global E-waste Monitor 2024, the authoritative UN dataset, and they are worth stating plainly because they establish the stakes. E-waste is the fastest-growing solid waste stream on the planet. It rose 82% between 2010 and 2022 and is projected to reach 82 million tonnes by 2030. The documented formal recycling rate is not merely low; it is projected to fall, to roughly 20% by 2030, because generation is outpacing collection infrastructure by nearly five to one. Whatever we are currently doing about electronic waste, we are doing it at a fraction of the rate at which the problem grows.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argument of this paper in one sentence</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Repurposing functionally-obsolete consumer devices — giving them a genuinely useful new role rather than recycling or discarding them — is a high-value and under-utilised intervention in the electronic waste crisis, superior on the waste hierarchy to recycling, materially significant for carbon and critical-material conservation, and simultaneously a lever for digital equity.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We advance this argument through a specific case. A locally-hosted artificial intelligence system — a multi-agent assistant running on a single consumer mini-PC — can serve interactive queries to client devices as old as a first-generation Apple iPhone, manufactured in 2007. That device cannot install a contemporary application, cannot negotiate modern transport encryption, and cannot reach a cellular network. By every conventional measure it is waste. It can nonetheless hold a natural-language conversation with a thirty-billion-parameter language model, using the browser it shipped with, because the computation happens elsewhere and the only capability the device must supply is the ability to render a form. The case is not the paper’s point. The case is the paper’s proof that the point is not hypothetical.</w:t>
      </w:r>
    </w:p>
    <w:p>
      <w:pPr>
        <w:pStyle w:val="Heading2"/>
        <w:spacing w:after="110" w:before="260"/>
      </w:pPr>
      <w:r>
        <w:rPr>
          <w:rFonts w:ascii="Calibri" w:cs="Calibri" w:eastAsia="Calibri" w:hAnsi="Calibri"/>
          <w:b/>
          <w:bCs/>
          <w:color w:val="2E5D3A"/>
          <w:sz w:val="22"/>
          <w:szCs w:val="22"/>
        </w:rPr>
        <w:t xml:space="preserve">1.1 Why repurposing, and why now</w:t>
      </w:r>
    </w:p>
    <w:p>
      <w:pPr>
        <w:spacing w:after="130" w:before="0" w:line="300"/>
        <w:jc w:val="both"/>
      </w:pPr>
      <w:r>
        <w:rPr>
          <w:rFonts w:ascii="Cambria" w:cs="Cambria" w:eastAsia="Cambria" w:hAnsi="Cambria"/>
          <w:b w:val="false"/>
          <w:bCs w:val="false"/>
          <w:i w:val="false"/>
          <w:iCs w:val="false"/>
          <w:color w:val="1A1A1A"/>
          <w:sz w:val="21"/>
          <w:szCs w:val="21"/>
        </w:rPr>
        <w:t xml:space="preserve">Three developments converge to make this argument both possible and urgent, and none of them held a decade ago.</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first is the sheer scale the waste stream has reached. When electronic waste was a marginal fraction of municipal solid waste, the question of what to do with an individual obsolete device was correspondingly marginal. At 62 million tonnes and climbing, it is not. The Global E-waste Monitor 2024 records that the metals alone embedded in a single year’s e-waste are worth on the order of 91 billion United States dollars, and that formal management of that year’s stream avoided roughly 93 million tonnes of carbon-dioxide-equivalent emissions. These are not the numbers of a niche problem.</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second is that the environmental cost of a device is now understood to be overwhelmingly front-loaded. Life-cycle assessment has established, across numerous independent studies, that manufacturing accounts for the large majority of a consumer device’s lifetime carbon footprint — on the order of 70 to 90% for smartphones and laptops. This single fact reorganises the entire ethics of device disposal. If most of a device’s carbon is spent before it is first switched on, then that carbon is a sunk cost the moment the device exists, and every additional year of useful service amortises it further. Discarding a working device does not save its embodied carbon; it wastes it.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third development is the one that makes repurposing into artificial-intelligence terminals specifically possible. Quantisation and sparse model architectures have compressed capable language models into consumer memory budgets, and the economics of local inference mean that a single inexpensive computer can now serve intelligence to many clients at once. The capability that would make an old device useful again — access to a genuinely helpful conversational assistant — did not exist in a form that could run in a household until very recently. It does now.</w:t>
      </w:r>
    </w:p>
    <w:p>
      <w:pPr>
        <w:pBdr>
          <w:left w:val="single" w:color="666666" w:sz="14" w:space="8"/>
        </w:pBdr>
        <w:shd w:fill="F2F2F2" w:color="auto" w:val="clear"/>
        <w:spacing w:after="0" w:before="150" w:line="260"/>
        <w:ind w:left="160" w:right="160"/>
      </w:pPr>
      <w:r>
        <w:rPr>
          <w:rFonts w:ascii="Calibri" w:cs="Calibri" w:eastAsia="Calibri" w:hAnsi="Calibri"/>
          <w:b/>
          <w:bCs/>
          <w:color w:val="666666"/>
          <w:sz w:val="16"/>
          <w:szCs w:val="16"/>
        </w:rPr>
        <w:t xml:space="preserve">NOTE — </w:t>
      </w:r>
      <w:r>
        <w:rPr>
          <w:rFonts w:ascii="Calibri" w:cs="Calibri" w:eastAsia="Calibri" w:hAnsi="Calibri"/>
          <w:b/>
          <w:bCs/>
          <w:color w:val="1A1A1A"/>
          <w:sz w:val="19"/>
          <w:szCs w:val="19"/>
        </w:rPr>
        <w:t xml:space="preserve">A note on what "repurposing" means here</w:t>
      </w:r>
    </w:p>
    <w:p>
      <w:pPr>
        <w:pBdr>
          <w:left w:val="single" w:color="666666" w:sz="14" w:space="8"/>
        </w:pBdr>
        <w:shd w:fill="F2F2F2" w:color="auto" w:val="clear"/>
        <w:spacing w:after="165" w:before="40" w:line="260"/>
        <w:ind w:left="160" w:right="160"/>
        <w:jc w:val="both"/>
      </w:pPr>
      <w:r>
        <w:rPr>
          <w:rFonts w:ascii="Calibri" w:cs="Calibri" w:eastAsia="Calibri" w:hAnsi="Calibri"/>
          <w:color w:val="1A1A1A"/>
          <w:sz w:val="19"/>
          <w:szCs w:val="19"/>
        </w:rPr>
        <w:t xml:space="preserve">We distinguish repurposing from both recycling and simple reuse. Recycling destroys the device to recover a fraction of its materials. Reuse continues the device in its original role. Repurposing gives the device a new role that its original designers did not intend — a 2007 phone becoming a terminal for a 2026 language model. Repurposing is the least-studied of the three and, we argue, frequently the highest-value.</w:t>
      </w:r>
    </w:p>
    <w:p>
      <w:pPr>
        <w:pStyle w:val="Heading2"/>
        <w:spacing w:after="110" w:before="260"/>
      </w:pPr>
      <w:r>
        <w:rPr>
          <w:rFonts w:ascii="Calibri" w:cs="Calibri" w:eastAsia="Calibri" w:hAnsi="Calibri"/>
          <w:b/>
          <w:bCs/>
          <w:color w:val="2E5D3A"/>
          <w:sz w:val="22"/>
          <w:szCs w:val="22"/>
        </w:rPr>
        <w:t xml:space="preserve">1.2 The significance claim, made carefully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It would be easy to overclaim here, and much writing on sustainable technology does. We therefore state the significance claim at three distinct levels of confidence, and we hold to those levels throughout the paper.</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At the level of hard data, the claim is secure. The scale of the e-waste stream, the low and falling recycling rate, the embodied-carbon share of manufacturing, the health harms of informal recycling, the concentration and criticality of the materials involved, and the existence of billions of stockpiled unused devices are all established by peer-reviewed literature and authoritative reporting. Section 2 documents each.</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At the level of mechanism, the claim is strong but conditional. Reuse and repurposing sit above recycling on the waste hierarchy for good reason — they preserve the embodied carbon and the intact materials that recycling largely squanders — and the conditions under which repurposing is net-beneficial are characterisable. Sections 3 and 4 develop this, and Section 7 states the conditions honestly, including the cases where they fail.</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At the level of aggregate impact, the claim is genuinely uncertain, and we will not pretend otherwise. Whether repurposing could reduce electronic-waste volumes at a fleet-wide, globally-material scale is not established by any literature we have found, our own included. What the literature quantifies is per-device benefit; extrapolating that to population scale requires assumptions about adoption, displacement, and behaviour that no one has yet validated. Section 7.2 treats this as the paper’s central open question rather than burying it.</w:t>
      </w:r>
    </w:p>
    <w:p>
      <w:pPr>
        <w:pStyle w:val="Heading2"/>
        <w:spacing w:after="110" w:before="260"/>
      </w:pPr>
      <w:r>
        <w:rPr>
          <w:rFonts w:ascii="Calibri" w:cs="Calibri" w:eastAsia="Calibri" w:hAnsi="Calibri"/>
          <w:b/>
          <w:bCs/>
          <w:color w:val="2E5D3A"/>
          <w:sz w:val="22"/>
          <w:szCs w:val="22"/>
        </w:rPr>
        <w:t xml:space="preserve">1.3 Research questions</w:t>
      </w:r>
    </w:p>
    <w:p>
      <w:pPr>
        <w:pStyle w:val="ListParagraph"/>
        <w:numPr>
          <w:ilvl w:val="0"/>
          <w:numId w:val="2"/>
        </w:numPr>
        <w:spacing w:after="80" w:before="0" w:line="280"/>
      </w:pPr>
      <w:r>
        <w:rPr>
          <w:rFonts w:ascii="Cambria" w:cs="Cambria" w:eastAsia="Cambria" w:hAnsi="Cambria"/>
          <w:b/>
          <w:bCs/>
          <w:i w:val="false"/>
          <w:iCs w:val="false"/>
          <w:color w:val="1A1A1A"/>
          <w:sz w:val="21"/>
          <w:szCs w:val="21"/>
        </w:rPr>
        <w:t xml:space="preserve">RQ1. </w:t>
      </w:r>
      <w:r>
        <w:rPr>
          <w:rFonts w:ascii="Cambria" w:cs="Cambria" w:eastAsia="Cambria" w:hAnsi="Cambria"/>
          <w:b w:val="false"/>
          <w:bCs w:val="false"/>
          <w:i w:val="false"/>
          <w:iCs w:val="false"/>
          <w:color w:val="1A1A1A"/>
          <w:sz w:val="21"/>
          <w:szCs w:val="21"/>
        </w:rPr>
        <w:t xml:space="preserve">What is the scale and trajectory of the electronic-waste crisis, and where does device longevity sit among available responses to it?</w:t>
      </w:r>
    </w:p>
    <w:p>
      <w:pPr>
        <w:pStyle w:val="ListParagraph"/>
        <w:numPr>
          <w:ilvl w:val="0"/>
          <w:numId w:val="2"/>
        </w:numPr>
        <w:spacing w:after="80" w:before="0" w:line="280"/>
      </w:pPr>
      <w:r>
        <w:rPr>
          <w:rFonts w:ascii="Cambria" w:cs="Cambria" w:eastAsia="Cambria" w:hAnsi="Cambria"/>
          <w:b/>
          <w:bCs/>
          <w:i w:val="false"/>
          <w:iCs w:val="false"/>
          <w:color w:val="1A1A1A"/>
          <w:sz w:val="21"/>
          <w:szCs w:val="21"/>
        </w:rPr>
        <w:t xml:space="preserve">RQ2. </w:t>
      </w:r>
      <w:r>
        <w:rPr>
          <w:rFonts w:ascii="Cambria" w:cs="Cambria" w:eastAsia="Cambria" w:hAnsi="Cambria"/>
          <w:b w:val="false"/>
          <w:bCs w:val="false"/>
          <w:i w:val="false"/>
          <w:iCs w:val="false"/>
          <w:color w:val="1A1A1A"/>
          <w:sz w:val="21"/>
          <w:szCs w:val="21"/>
        </w:rPr>
        <w:t xml:space="preserve">Why does reuse and repurposing conserve more environmental value than recycling, and by what magnitude?</w:t>
      </w:r>
    </w:p>
    <w:p>
      <w:pPr>
        <w:pStyle w:val="ListParagraph"/>
        <w:numPr>
          <w:ilvl w:val="0"/>
          <w:numId w:val="2"/>
        </w:numPr>
        <w:spacing w:after="80" w:before="0" w:line="280"/>
      </w:pPr>
      <w:r>
        <w:rPr>
          <w:rFonts w:ascii="Cambria" w:cs="Cambria" w:eastAsia="Cambria" w:hAnsi="Cambria"/>
          <w:b/>
          <w:bCs/>
          <w:i w:val="false"/>
          <w:iCs w:val="false"/>
          <w:color w:val="1A1A1A"/>
          <w:sz w:val="21"/>
          <w:szCs w:val="21"/>
        </w:rPr>
        <w:t xml:space="preserve">RQ3. </w:t>
      </w:r>
      <w:r>
        <w:rPr>
          <w:rFonts w:ascii="Cambria" w:cs="Cambria" w:eastAsia="Cambria" w:hAnsi="Cambria"/>
          <w:b w:val="false"/>
          <w:bCs w:val="false"/>
          <w:i w:val="false"/>
          <w:iCs w:val="false"/>
          <w:color w:val="1A1A1A"/>
          <w:sz w:val="21"/>
          <w:szCs w:val="21"/>
        </w:rPr>
        <w:t xml:space="preserve">To what extent is the "obsolescence" that sends devices to waste a hardware limit versus a software, permission, or economic artifact — and what does a working repurposing system reveal about the difference?</w:t>
      </w:r>
    </w:p>
    <w:p>
      <w:pPr>
        <w:pStyle w:val="ListParagraph"/>
        <w:numPr>
          <w:ilvl w:val="0"/>
          <w:numId w:val="2"/>
        </w:numPr>
        <w:spacing w:after="80" w:before="0" w:line="280"/>
      </w:pPr>
      <w:r>
        <w:rPr>
          <w:rFonts w:ascii="Cambria" w:cs="Cambria" w:eastAsia="Cambria" w:hAnsi="Cambria"/>
          <w:b/>
          <w:bCs/>
          <w:i w:val="false"/>
          <w:iCs w:val="false"/>
          <w:color w:val="1A1A1A"/>
          <w:sz w:val="21"/>
          <w:szCs w:val="21"/>
        </w:rPr>
        <w:t xml:space="preserve">RQ4. </w:t>
      </w:r>
      <w:r>
        <w:rPr>
          <w:rFonts w:ascii="Cambria" w:cs="Cambria" w:eastAsia="Cambria" w:hAnsi="Cambria"/>
          <w:b w:val="false"/>
          <w:bCs w:val="false"/>
          <w:i w:val="false"/>
          <w:iCs w:val="false"/>
          <w:color w:val="1A1A1A"/>
          <w:sz w:val="21"/>
          <w:szCs w:val="21"/>
        </w:rPr>
        <w:t xml:space="preserve">Under what conditions is device repurposing genuinely net-beneficial, and under what conditions does the operational cost of running old hardware, or the rebound effect, undermine the benefit?</w:t>
      </w:r>
    </w:p>
    <w:p>
      <w:pPr>
        <w:pStyle w:val="Heading2"/>
        <w:spacing w:after="110" w:before="260"/>
      </w:pPr>
      <w:r>
        <w:rPr>
          <w:rFonts w:ascii="Calibri" w:cs="Calibri" w:eastAsia="Calibri" w:hAnsi="Calibri"/>
          <w:b/>
          <w:bCs/>
          <w:color w:val="2E5D3A"/>
          <w:sz w:val="22"/>
          <w:szCs w:val="22"/>
        </w:rPr>
        <w:t xml:space="preserve">1.4 Contributions and structure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paper is a significance-and-synthesis paper anchored by a case study. Its contribution is not a new system — the system is documented elsewhere — but a marshalling of twelve literatures into a coherent argument for why device repurposing matters, and an honest accounting of where that argument is strong and where it is not. Section 2 documents the e-waste crisis and its material stakes. Section 3 develops the waste hierarchy and the circular-economy case for reuse over recycling. Section 4 presents the local-AI-hub case and the obsolescence-as-artifact thesis. Section 5 addresses digital equity. Section 6 examines the policy landscape. Section 7 is an extended, deliberately prominent treatment of the honest tensions — rebound, operational energy, greenwashing, scale, and e-waste colonialism. Sections 8 and 9 cover implications and conclusions.</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A statement of positionality</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This paper argues for a practice the author engages in and believes has value. That is a source of motivation and a source of bias. We have tried to discipline the bias by giving the counter-arguments genuine space in Section 7 rather than token acknowledgement, and by labelling every quantitative claim with its evidentiary strength. A reader should nonetheless weigh the argument knowing its author is not disinterested.</w:t>
      </w:r>
    </w:p>
    <w:p>
      <w:pPr>
        <w:pStyle w:val="Heading2"/>
        <w:spacing w:after="110" w:before="260"/>
      </w:pPr>
      <w:r>
        <w:rPr>
          <w:rFonts w:ascii="Calibri" w:cs="Calibri" w:eastAsia="Calibri" w:hAnsi="Calibri"/>
          <w:b/>
          <w:bCs/>
          <w:color w:val="2E5D3A"/>
          <w:sz w:val="22"/>
          <w:szCs w:val="22"/>
        </w:rPr>
        <w:t xml:space="preserve">1.5 Method and scope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is a review-and-position paper, not an empirical study, and it is important to be clear about what that means for how its claims should be read. The paper’s method is synthesis: it assembles evidence from twelve distinct literatures — e-waste monitoring, public health, life-cycle assessment, the circular economy, obsolescence studies, the right to repair, the digital divide, sustainable human-computer interaction, repurposing case studies, materials science and geopolitics, environmental policy, and the energy and rebound literature of the information-technology sector — and argues that, taken together, they establish the significance of device repurposing more strongly than any one of them does alone. Appendix A documents each literature individually.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paper reports no new empirical measurement of its own. The case system of Section 4 is drawn on as a demonstration — an existence proof that a specific thing is possible — rather than as a measured result, and its full technical evaluation belongs to the companion paper. This is a deliberate scoping decision. The significance argument does not depend on new measurement; it depends on the established literature and on the demonstrated possibility, and overreaching into empirical claims the paper cannot support would undermine precisely the credibility the argument needs. Where the paper relies on modelling or inference rather than direct evidence — most importantly on the question of scale — it says so.</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scope is consumer devices, principally smartphones and to a lesser extent tablets and laptops, because these dominate both the e-waste stream by unit count and the embodied-carbon literature. The argument likely extends to other categories — routers, single-board computers, older desktops — but the evidence base is thinner there, and we do not claim beyond what the literature supports. The geographic frame is global for the crisis data and the materials flows, but the case study and the equity discussion are situated in a high-income-household context, and Section 7.5 and 7.6 are explicit about the limits this imposes on the equity claims.</w:t>
      </w:r>
    </w:p>
    <w:p>
      <w:pPr>
        <w:pBdr>
          <w:left w:val="single" w:color="666666" w:sz="14" w:space="8"/>
        </w:pBdr>
        <w:shd w:fill="F2F2F2" w:color="auto" w:val="clear"/>
        <w:spacing w:after="0" w:before="150" w:line="260"/>
        <w:ind w:left="160" w:right="160"/>
      </w:pPr>
      <w:r>
        <w:rPr>
          <w:rFonts w:ascii="Calibri" w:cs="Calibri" w:eastAsia="Calibri" w:hAnsi="Calibri"/>
          <w:b/>
          <w:bCs/>
          <w:color w:val="666666"/>
          <w:sz w:val="16"/>
          <w:szCs w:val="16"/>
        </w:rPr>
        <w:t xml:space="preserve">NOTE — </w:t>
      </w:r>
      <w:r>
        <w:rPr>
          <w:rFonts w:ascii="Calibri" w:cs="Calibri" w:eastAsia="Calibri" w:hAnsi="Calibri"/>
          <w:b/>
          <w:bCs/>
          <w:color w:val="1A1A1A"/>
          <w:sz w:val="19"/>
          <w:szCs w:val="19"/>
        </w:rPr>
        <w:t xml:space="preserve">How to read the claims in this paper</w:t>
      </w:r>
    </w:p>
    <w:p>
      <w:pPr>
        <w:pBdr>
          <w:left w:val="single" w:color="666666" w:sz="14" w:space="8"/>
        </w:pBdr>
        <w:shd w:fill="F2F2F2" w:color="auto" w:val="clear"/>
        <w:spacing w:after="165" w:before="40" w:line="260"/>
        <w:ind w:left="160" w:right="160"/>
        <w:jc w:val="both"/>
      </w:pPr>
      <w:r>
        <w:rPr>
          <w:rFonts w:ascii="Calibri" w:cs="Calibri" w:eastAsia="Calibri" w:hAnsi="Calibri"/>
          <w:color w:val="1A1A1A"/>
          <w:sz w:val="19"/>
          <w:szCs w:val="19"/>
        </w:rPr>
        <w:t xml:space="preserve">Every substantive claim is labelled, in the body and in the Appendix C audit table, as one of: established by hard data, strong-but-conditional, argued-from-demonstration, or genuinely open. The significance argument rests on the first category; the paper’s honesty rests on not letting claims from the later categories borrow the confidence of the first. This labelling discipline is the paper’s primary defence against the greenwashing it criticises in Section 7.4.</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2. The Electronic Waste Crisis and Its Material Stakes</w:t>
      </w:r>
    </w:p>
    <w:p>
      <w:pPr>
        <w:spacing w:after="130" w:before="0" w:line="300"/>
        <w:jc w:val="both"/>
      </w:pPr>
      <w:r>
        <w:rPr>
          <w:rFonts w:ascii="Cambria" w:cs="Cambria" w:eastAsia="Cambria" w:hAnsi="Cambria"/>
          <w:b w:val="false"/>
          <w:bCs w:val="false"/>
          <w:i w:val="false"/>
          <w:iCs w:val="false"/>
          <w:color w:val="1A1A1A"/>
          <w:sz w:val="21"/>
          <w:szCs w:val="21"/>
        </w:rPr>
        <w:t xml:space="preserve">This section establishes the scale of the problem the paper responds to. We draw on the authoritative UN monitoring data, the public-health literature on informal recycling, the materials and geopolitics of device manufacture, and the life-cycle-assessment evidence on embodied carbon. These are the hard-data foundations of the significance claim.</w:t>
      </w:r>
    </w:p>
    <w:p>
      <w:pPr>
        <w:pStyle w:val="Heading2"/>
        <w:spacing w:after="110" w:before="260"/>
      </w:pPr>
      <w:r>
        <w:rPr>
          <w:rFonts w:ascii="Calibri" w:cs="Calibri" w:eastAsia="Calibri" w:hAnsi="Calibri"/>
          <w:b/>
          <w:bCs/>
          <w:color w:val="2E5D3A"/>
          <w:sz w:val="22"/>
          <w:szCs w:val="22"/>
        </w:rPr>
        <w:t xml:space="preserve">2.1 Scale and trajectory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Global E-waste Monitor, produced by the United Nations Institute for Training and Research and the International Telecommunication Union, is the standard reference dataset, and its 2024 edition (Balde et al., 2024) records figures that have worsened across every prior edition. The world generated 62 million tonnes of electronic waste in 2022, equivalent to roughly 7.8 kilograms for every person on Earth. This represented an increase of 82% over the 34 million tonnes generated in 2010. The trajectory points to 82 million tonnes by 2030.</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Against this rising generation, formal recovery is failing to keep pace. Only 22.3% of the 2022 stream — about 13.8 million tonnes — was documented as formally collected and recycled. The remainder was unmanaged, informally handled, or stored. Perhaps most tellingly, the Monitor projects the documented recycling rate to decline to around 20% by 2030, not because less will be recycled in absolute terms but because generation is accelerating faster than collection infrastructure can be built. The gap between what we discard and what we recover is widening, not closing.</w:t>
      </w:r>
    </w:p>
    <w:tbl>
      <w:tblPr>
        <w:tblW w:type="dxa" w:w="9360"/>
        <w:tblBorders>
          <w:top w:val="single" w:color="2E5D3A" w:sz="6"/>
          <w:left w:val="none"/>
          <w:bottom w:val="single" w:color="2E5D3A" w:sz="6"/>
          <w:right w:val="none"/>
          <w:insideH w:val="single" w:color="C8CFD8" w:sz="2"/>
          <w:insideV w:val="none"/>
        </w:tblBorders>
      </w:tblPr>
      <w:tblGrid>
        <w:gridCol w:w="3600"/>
        <w:gridCol w:w="2600"/>
        <w:gridCol w:w="3160"/>
      </w:tblGrid>
      <w:tr>
        <w:trPr>
          <w:tblHeader/>
        </w:trPr>
        <w:tc>
          <w:tcPr>
            <w:tcW w:type="dxa" w:w="3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Metric</w:t>
            </w:r>
          </w:p>
        </w:tc>
        <w:tc>
          <w:tcPr>
            <w:tcW w:type="dxa" w:w="2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Figure</w:t>
            </w:r>
          </w:p>
        </w:tc>
        <w:tc>
          <w:tcPr>
            <w:tcW w:type="dxa" w:w="31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E-waste generated, 2022</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62 million tonnes</w:t>
            </w:r>
          </w:p>
        </w:tc>
        <w:tc>
          <w:tcPr>
            <w:tcW w:type="dxa" w:w="31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Increase since 2010</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82% (from 34 Mt)</w:t>
            </w:r>
          </w:p>
        </w:tc>
        <w:tc>
          <w:tcPr>
            <w:tcW w:type="dxa" w:w="31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Projected generation, 2030</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82 million tonnes</w:t>
            </w:r>
          </w:p>
        </w:tc>
        <w:tc>
          <w:tcPr>
            <w:tcW w:type="dxa" w:w="31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Formally recycled, 2022</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22.3% (13.8 Mt)</w:t>
            </w:r>
          </w:p>
        </w:tc>
        <w:tc>
          <w:tcPr>
            <w:tcW w:type="dxa" w:w="31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Projected recycling rate, 2030</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 (declining)</w:t>
            </w:r>
          </w:p>
        </w:tc>
        <w:tc>
          <w:tcPr>
            <w:tcW w:type="dxa" w:w="31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Per-capita generation, 2022</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7.8 kg/person</w:t>
            </w:r>
          </w:p>
        </w:tc>
        <w:tc>
          <w:tcPr>
            <w:tcW w:type="dxa" w:w="31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Value of metals in 2022 e-waste</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~US$91 billion</w:t>
            </w:r>
          </w:p>
        </w:tc>
        <w:tc>
          <w:tcPr>
            <w:tcW w:type="dxa" w:w="31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CO2e avoided by formal management</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~93 million tonnes</w:t>
            </w:r>
          </w:p>
        </w:tc>
        <w:tc>
          <w:tcPr>
            <w:tcW w:type="dxa" w:w="31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Europe formal collection rate</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42.8% (highest)</w:t>
            </w:r>
          </w:p>
        </w:tc>
        <w:tc>
          <w:tcPr>
            <w:tcW w:type="dxa" w:w="31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Africa formal collection rate</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&lt;1% (lowest)</w:t>
            </w:r>
          </w:p>
        </w:tc>
        <w:tc>
          <w:tcPr>
            <w:tcW w:type="dxa" w:w="31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bl>
    <w:p>
      <w:pPr>
        <w:spacing w:after="180" w:before="70"/>
        <w:jc w:val="left"/>
      </w:pPr>
      <w:r>
        <w:rPr>
          <w:rFonts w:ascii="Calibri" w:cs="Calibri" w:eastAsia="Calibri" w:hAnsi="Calibri"/>
          <w:i/>
          <w:iCs/>
          <w:color w:val="666666"/>
          <w:sz w:val="17"/>
          <w:szCs w:val="17"/>
        </w:rPr>
        <w:t xml:space="preserve">Table 1. The scale of the electronic-waste stream, from the Global E-waste Monitor 2024. Every figure in this table is drawn from the authoritative UN dataset and represents documented formal flows, which understate total generation because they exclude informal handling.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Two features of these figures deserve emphasis. First, the regional disparity in collection — from Europe’s 42.8% to Africa’s figure below 1% — is not merely a difference in performance; it reflects where devices end their lives, which is frequently not where they were used, a point Section 7.5 develops. Second, the 93 million tonnes of avoided carbon dioxide attributed to formal management is a measure of what recycling accomplishes, and it is real. The argument of this paper is not that recycling is worthless; it is that recycling is the lowest-value circular strategy and that reuse and repurposing, sitting above it, capture value that recycling cannot.</w:t>
      </w:r>
    </w:p>
    <w:p>
      <w:pPr>
        <w:pStyle w:val="Heading2"/>
        <w:spacing w:after="110" w:before="260"/>
      </w:pPr>
      <w:r>
        <w:rPr>
          <w:rFonts w:ascii="Calibri" w:cs="Calibri" w:eastAsia="Calibri" w:hAnsi="Calibri"/>
          <w:b/>
          <w:bCs/>
          <w:color w:val="2E5D3A"/>
          <w:sz w:val="22"/>
          <w:szCs w:val="22"/>
        </w:rPr>
        <w:t xml:space="preserve">2.2 The human cost of informal recycling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Where formal systems do not reach, the informal sector does, and its methods impose severe human costs. The World Health Organization’s 2021 report, its first comprehensive treatment of the subject, documents the pathways by which the lead, mercury, cadmium, and brominated flame retardants in electronic devices reach the bodies of the workers — many of them children — who dismantle them, and the communities around the sites where this happens.</w:t>
      </w:r>
    </w:p>
    <w:p>
      <w:pPr>
        <w:pBdr>
          <w:left w:val="single" w:color="2E5D3A" w:sz="12" w:space="10"/>
        </w:pBdr>
        <w:spacing w:after="30" w:before="140" w:line="280"/>
        <w:ind w:left="560" w:right="400"/>
        <w:jc w:val="both"/>
      </w:pPr>
      <w:r>
        <w:rPr>
          <w:rFonts w:ascii="Cambria" w:cs="Cambria" w:eastAsia="Cambria" w:hAnsi="Cambria"/>
          <w:i/>
          <w:iCs/>
          <w:color w:val="1A1A1A"/>
          <w:sz w:val="20"/>
          <w:szCs w:val="20"/>
        </w:rPr>
        <w:t xml:space="preserve">A child who eats just one chicken egg from Agbogbloshie, a waste site in Ghana, will absorb 220 times the European Food Safety Authority daily limit for intake of chlorinated dioxins.</w:t>
      </w:r>
    </w:p>
    <w:p>
      <w:pPr>
        <w:spacing w:after="150" w:before="0"/>
        <w:ind w:left="560"/>
      </w:pPr>
      <w:r>
        <w:rPr>
          <w:rFonts w:ascii="Cambria" w:cs="Cambria" w:eastAsia="Cambria" w:hAnsi="Cambria"/>
          <w:color w:val="666666"/>
          <w:sz w:val="18"/>
          <w:szCs w:val="18"/>
        </w:rPr>
        <w:t xml:space="preserve">— Marie-Noel Brune Drisse, lead author, WHO (2021)</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systematic-review literature confirms the pattern across sites and years. The Lancet Global Health review by Grant et al. (2013), and the updated review that followed, associate e-waste exposure with adverse neurodevelopmental, respiratory, thyroid, and DNA-damage outcomes. Studies at Agbogbloshie in Ghana and in the Guiyu region of China — the latter estimated to process on the order of a tenth of the world’s e-waste across just a few towns — document elevated blood-lead levels in children, heavy-metal contamination of soil and water, and cognitive deficits in exposed populations. Amankwaa (2013) situates this within the livelihoods that draw workers to the sites, a reminder that informal recycling persists because it is economically rational for the people who do it, not because they are unaware of its costs.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Why this bears on the repurposing argument</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Every device kept in useful service is a device that does not yet enter this stream. Repurposing does not solve the informal-recycling problem — the devices it revives will eventually need disposal too — but it defers entry into the waste stream, and deferral at the scale of billions of devices is not nothing. The health literature is what makes deferral matter morally rather than merely economically.</w:t>
      </w:r>
    </w:p>
    <w:p>
      <w:pPr>
        <w:pStyle w:val="Heading2"/>
        <w:spacing w:after="110" w:before="260"/>
      </w:pPr>
      <w:r>
        <w:rPr>
          <w:rFonts w:ascii="Calibri" w:cs="Calibri" w:eastAsia="Calibri" w:hAnsi="Calibri"/>
          <w:b/>
          <w:bCs/>
          <w:color w:val="2E5D3A"/>
          <w:sz w:val="22"/>
          <w:szCs w:val="22"/>
        </w:rPr>
        <w:t xml:space="preserve">2.3 The materials, and their geopolitics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 consumer device is a concentrated assembly of scarce and geopolitically fraught materials. Empirical analysis of smartphone composition has identified on the order of sixty distinct elements, roughly half of them environmentally or economically critical (Tantawi &amp; Hua, 2021). The materials basis of modern electronics includes metals for which, as Graedel et al. (2013) established in their study of sixty-two metals, no substitute performs equally well in the applications that matter.</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Several of these materials carry human and strategic costs that recycling recovers poorly and manufacturing continually demands. Cobalt, essential to lithium-ion batteries, is mined substantially in the Democratic Republic of the Congo, where artisanal extraction has been documented by Amnesty International (2016) to involve child labour and lethal working conditions. The conflict-minerals framework — tin, tungsten, tantalum, and gold, the so-called 3TG — exists precisely because the trade in these materials has funded armed conflict, and both the United States Dodd-Frank framework and the European Union’s conflict-minerals regulation attempt to impose supply-chain due diligence in response.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strategic dimension has sharpened. The European Union’s Critical Raw Materials Act of 2024 lists thirty-four critical and seventeen strategic materials and notes the Union’s dependence on single suppliers — for heavy rare-earth elements, that supplier is China, at effectively complete concentration. And the recovery alternative is strikingly under-used: only around 1% of rare-earth elements are recycled from end-of-life products (Jowitt et al., 2018), even as urban mining — recovering materials from e-waste — has become, for some metals, more cost-effective than virgin extraction (Zeng et al., 2018).</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material argument for longevity</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If the materials in a device are scarce, strategically concentrated, sometimes blood-stained in origin, and poorly recovered by recycling, then the device already in your hand represents materials whose extraction cost has been paid and whose recovery, should you discard it, will capture only a fraction. Keeping the device in service defers the need to extract those materials again. This is the resource analogue of the embodied-carbon argument, and it points the same direction.</w:t>
      </w:r>
    </w:p>
    <w:p>
      <w:pPr>
        <w:pStyle w:val="Heading2"/>
        <w:spacing w:after="110" w:before="260"/>
      </w:pPr>
      <w:r>
        <w:rPr>
          <w:rFonts w:ascii="Calibri" w:cs="Calibri" w:eastAsia="Calibri" w:hAnsi="Calibri"/>
          <w:b/>
          <w:bCs/>
          <w:color w:val="2E5D3A"/>
          <w:sz w:val="22"/>
          <w:szCs w:val="22"/>
        </w:rPr>
        <w:t xml:space="preserve">2.4 Embodied carbon: the front-loaded footprint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single most important fact for the paper’s argument is that a device’s environmental cost is overwhelmingly incurred before it reaches the user. This is the settled finding of the life-cycle-assessment literature, and it is worth documenting with some care because so much depends on it.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Suckling and Lee (2015), in an influential reassessment of smartphone impact, found the manufacturing phase to dominate lifetime greenhouse-gas emissions. The Fairphone 3 life-cycle assessment (Proske et al., 2020), conducted by Fraunhofer, reached a conclusion the paper states almost as a slogan: lifetime extension is the single most effective strategy to reduce a device’s overall environmental impact. Ercan et al. (2016) put a smartphone’s footprint at roughly 44 kilograms of carbon-dioxide-equivalent, with the production phase highest across impact categories and integrated circuits and printed circuit boards dominating within it. Malmodin and Lunden (2018) found smartphone production to dominate the manufacturing footprint of the entire information-technology sector.</w:t>
      </w:r>
    </w:p>
    <w:tbl>
      <w:tblPr>
        <w:tblW w:type="dxa" w:w="9360"/>
        <w:tblBorders>
          <w:top w:val="single" w:color="2E5D3A" w:sz="6"/>
          <w:left w:val="none"/>
          <w:bottom w:val="single" w:color="2E5D3A" w:sz="6"/>
          <w:right w:val="none"/>
          <w:insideH w:val="single" w:color="C8CFD8" w:sz="2"/>
          <w:insideV w:val="none"/>
        </w:tblBorders>
      </w:tblPr>
      <w:tblGrid>
        <w:gridCol w:w="2900"/>
        <w:gridCol w:w="2200"/>
        <w:gridCol w:w="2400"/>
        <w:gridCol w:w="1860"/>
      </w:tblGrid>
      <w:tr>
        <w:trPr>
          <w:tblHeader/>
        </w:trPr>
        <w:tc>
          <w:tcPr>
            <w:tcW w:type="dxa" w:w="29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Device / study</w:t>
            </w:r>
          </w:p>
        </w:tc>
        <w:tc>
          <w:tcPr>
            <w:tcW w:type="dxa" w:w="22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Total footprint</w:t>
            </w:r>
          </w:p>
        </w:tc>
        <w:tc>
          <w:tcPr>
            <w:tcW w:type="dxa" w:w="24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Manufacturing share</w:t>
            </w:r>
          </w:p>
        </w:tc>
        <w:tc>
          <w:tcPr>
            <w:tcW w:type="dxa" w:w="18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r>
      <w:tr>
        <w:tc>
          <w:tcPr>
            <w:tcW w:type="dxa" w:w="2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Smartphone (general)</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~40–80 kg CO2e</w:t>
            </w:r>
          </w:p>
        </w:tc>
        <w:tc>
          <w:tcPr>
            <w:tcW w:type="dxa" w:w="2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70–85%</w:t>
            </w:r>
          </w:p>
        </w:tc>
        <w:tc>
          <w:tcPr>
            <w:tcW w:type="dxa" w:w="18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Cordella et al. (2021)</w:t>
            </w:r>
          </w:p>
        </w:tc>
      </w:tr>
      <w:tr>
        <w:tc>
          <w:tcPr>
            <w:tcW w:type="dxa" w:w="2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Smartphone</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~44 kg CO2e</w:t>
            </w:r>
          </w:p>
        </w:tc>
        <w:tc>
          <w:tcPr>
            <w:tcW w:type="dxa" w:w="24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Production-dominated</w:t>
            </w:r>
          </w:p>
        </w:tc>
        <w:tc>
          <w:tcPr>
            <w:tcW w:type="dxa" w:w="18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Ercan et al. (2016)</w:t>
            </w:r>
          </w:p>
        </w:tc>
      </w:tr>
      <w:tr>
        <w:tc>
          <w:tcPr>
            <w:tcW w:type="dxa" w:w="2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Fairphone 3</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Reported in LCA</w:t>
            </w:r>
          </w:p>
        </w:tc>
        <w:tc>
          <w:tcPr>
            <w:tcW w:type="dxa" w:w="2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Manufacturing-dominated</w:t>
            </w:r>
          </w:p>
        </w:tc>
        <w:tc>
          <w:tcPr>
            <w:tcW w:type="dxa" w:w="18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Proske et al. (2020)</w:t>
            </w:r>
          </w:p>
        </w:tc>
      </w:tr>
      <w:tr>
        <w:tc>
          <w:tcPr>
            <w:tcW w:type="dxa" w:w="2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Laptops / tablets</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Varies</w:t>
            </w:r>
          </w:p>
        </w:tc>
        <w:tc>
          <w:tcPr>
            <w:tcW w:type="dxa" w:w="24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70–90%</w:t>
            </w:r>
          </w:p>
        </w:tc>
        <w:tc>
          <w:tcPr>
            <w:tcW w:type="dxa" w:w="18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LCA literature (synthesis)</w:t>
            </w:r>
          </w:p>
        </w:tc>
      </w:tr>
      <w:tr>
        <w:tc>
          <w:tcPr>
            <w:tcW w:type="dxa" w:w="2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High-performance devices</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Higher use-phase</w:t>
            </w:r>
          </w:p>
        </w:tc>
        <w:tc>
          <w:tcPr>
            <w:tcW w:type="dxa" w:w="2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20–50%</w:t>
            </w:r>
          </w:p>
        </w:tc>
        <w:tc>
          <w:tcPr>
            <w:tcW w:type="dxa" w:w="18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Gupta et al. (2022)</w:t>
            </w:r>
          </w:p>
        </w:tc>
      </w:tr>
    </w:tbl>
    <w:p>
      <w:pPr>
        <w:spacing w:after="180" w:before="70"/>
        <w:jc w:val="left"/>
      </w:pPr>
      <w:r>
        <w:rPr>
          <w:rFonts w:ascii="Calibri" w:cs="Calibri" w:eastAsia="Calibri" w:hAnsi="Calibri"/>
          <w:i/>
          <w:iCs/>
          <w:color w:val="666666"/>
          <w:sz w:val="17"/>
          <w:szCs w:val="17"/>
        </w:rPr>
        <w:t xml:space="preserve">Table 2. Embodied-carbon shares from the life-cycle-assessment literature. The consistent finding across independent studies is that for phones and tablets, manufacturing dominates lifetime carbon; only for high-performance, high-utilisation devices does the use phase become comparable.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implication is a reversal of intuition. The intuitive environmental case for a new device is that it is more energy-efficient in use. But if 70 to 90% of the carbon is in manufacture, use-phase efficiency gains are competing for the minority of the footprint, and they must overcome the entire embodied cost of the new device before they yield any net benefit. Gupta et al. (2022), developing carbon-aware metrics for computing hardware, model this directly and find that amortising a mobile device’s manufacturing carbon requires continuous operation for at least three years — a threshold that reframes the replacement decision entirely, and one we return to in Section 7 as a condition on when repurposing genuinely pays.</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condition that makes this cut both ways</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The embodied-carbon argument is powerful, but it contains its own limit. If keeping a device in service requires running it continuously at meaningful power draw, the operational carbon accrues, and on a high-carbon electricity grid it can eventually rival the embodied carbon that keeping the device was meant to conserve. The argument favours repurposing that is low-power, high-utility, and displaces new manufacture. Section 7.1 develops exactly when it does not.</w:t>
      </w:r>
    </w:p>
    <w:p>
      <w:pPr>
        <w:pStyle w:val="Heading2"/>
        <w:spacing w:after="110" w:before="260"/>
      </w:pPr>
      <w:r>
        <w:rPr>
          <w:rFonts w:ascii="Calibri" w:cs="Calibri" w:eastAsia="Calibri" w:hAnsi="Calibri"/>
          <w:b/>
          <w:bCs/>
          <w:color w:val="2E5D3A"/>
          <w:sz w:val="22"/>
          <w:szCs w:val="22"/>
        </w:rPr>
        <w:t xml:space="preserve">2.5 The economics of throwing things away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scale and the embodied-carbon findings raise an obvious question: if discarding working devices is so costly, environmentally and materially, why does it happen at the rate it does? The answer is that the costs documented above are externalities — borne by the environment, by informal-recycling communities, by future resource security — while the benefits of replacement accrue directly and immediately to the manufacturer and, in the form of novelty and capability, to the consumer. The economics of throwing things away are, from the perspective of the individual replacement decision, entirely rational. That is precisely the problem.</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Bulow (1986) formalised the manufacturer’s side of this logic decades ago: a firm with market power rationally prefers that its products have shorter useful lives than would be socially optimal, because a device that lasts forever is a customer who never returns. Planned obsolescence, in Slade’s (2006) history, is not a conspiracy theory but a documented industrial strategy with a traceable lineage through the twentieth century. And the mechanism has shifted over time from the physical to the digital: where obsolescence was once engineered into materials that wore out, it is increasingly enacted through software — updates that stop, applications that raise their minimum requirements, ecosystems that withdraw support — leaving physically sound hardware stranded.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replacement cycle this produces is short and, by most measures, has been getting shorter. The evidence assembled by Wieser and Troger (2018) and by Cooper (2004, 2005) documents replacement intervals for mobile phones well under the devices’ functional lifespans, driven substantially by perceived rather than genuine obsolescence. Makov and Fitzpatrick (2021), analysing large-scale data on smartphone obsolescence, find consumer behaviour poorly aligned with the devices’ remaining technical capability. The upgrade treadmill is real, it is fast, and it is a principal driver of the 62-million-tonne stream.</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What this means for the repurposing argument</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If devices are discarded not because they fail but because a system of incentives and perceptions makes replacing them feel necessary, then the hardware entering the waste stream is disproportionately functional. That is exactly the hardware repurposing can capture. The throwaway economics that create the crisis are the same economics that guarantee a vast supply of working devices for anyone willing to use them differently.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connects the crisis of Section 2 to the thesis of Section 4. The obsolescence that fills the waste stream is substantially manufactured — economically and perceptually — rather than physical. And manufactured obsolescence, unlike the physical kind, can be declined. A device rendered obsolete by the withdrawal of a service can be made useful again by supplying a different service. The remainder of the paper is about doing exactly that.</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3. The Waste Hierarchy and the Case for Reuse Over Recycling</w:t>
      </w:r>
    </w:p>
    <w:p>
      <w:pPr>
        <w:spacing w:after="130" w:before="0" w:line="300"/>
        <w:jc w:val="both"/>
      </w:pPr>
      <w:r>
        <w:rPr>
          <w:rFonts w:ascii="Cambria" w:cs="Cambria" w:eastAsia="Cambria" w:hAnsi="Cambria"/>
          <w:b w:val="false"/>
          <w:bCs w:val="false"/>
          <w:i w:val="false"/>
          <w:iCs w:val="false"/>
          <w:color w:val="1A1A1A"/>
          <w:sz w:val="21"/>
          <w:szCs w:val="21"/>
        </w:rPr>
        <w:t xml:space="preserve">Public discourse treats recycling as the environmentally responsible endpoint for a device. The waste hierarchy that underpins European and much international environmental law says otherwise: recycling is the lowest-value circular strategy, and reuse sits above it for reasons this section develops.</w:t>
      </w:r>
    </w:p>
    <w:p>
      <w:pPr>
        <w:pStyle w:val="Heading2"/>
        <w:spacing w:after="110" w:before="260"/>
      </w:pPr>
      <w:r>
        <w:rPr>
          <w:rFonts w:ascii="Calibri" w:cs="Calibri" w:eastAsia="Calibri" w:hAnsi="Calibri"/>
          <w:b/>
          <w:bCs/>
          <w:color w:val="2E5D3A"/>
          <w:sz w:val="22"/>
          <w:szCs w:val="22"/>
        </w:rPr>
        <w:t xml:space="preserve">3.1 The hierarchy, and its legal force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European Union’s Waste Framework Directive (Directive 2008/98/EC) codifies a five-step priority order that has become the reference framework internationally: prevention first, then preparing for re-use, then recycling, then other recovery such as energy-from-waste, and finally disposal as the least-preferred option. The ordering is not arbitrary. It ranks strategies by how much of a product’s value they retain, and reuse ranks above recycling because reuse preserves the whole functioning artifact while recycling destroys it to recover a fraction of its constituent materials.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value-retention framing was sharpened by Reike et al. (2018), whose analysis of circular strategies orders them explicitly by retained value: the shortest loops — reuse, repair, refurbishment — retain the most, while recycling, which returns a product to raw material, retains the least. Murray et al. (2017) and Ghisellini et al. (2016) reach compatible conclusions in their reviews of the circular economy. The consistent message is that recycling, however virtuous it feels, is where value goes to be substantially lost, and that a circular economy worthy of the name prioritises keeping products whole and in use.</w:t>
      </w:r>
    </w:p>
    <w:tbl>
      <w:tblPr>
        <w:tblW w:type="dxa" w:w="9360"/>
        <w:tblBorders>
          <w:top w:val="single" w:color="2E5D3A" w:sz="6"/>
          <w:left w:val="none"/>
          <w:bottom w:val="single" w:color="2E5D3A" w:sz="6"/>
          <w:right w:val="none"/>
          <w:insideH w:val="single" w:color="C8CFD8" w:sz="2"/>
          <w:insideV w:val="none"/>
        </w:tblBorders>
      </w:tblPr>
      <w:tblGrid>
        <w:gridCol w:w="1900"/>
        <w:gridCol w:w="2100"/>
        <w:gridCol w:w="2600"/>
        <w:gridCol w:w="2760"/>
      </w:tblGrid>
      <w:tr>
        <w:trPr>
          <w:tblHeader/>
        </w:trPr>
        <w:tc>
          <w:tcPr>
            <w:tcW w:type="dxa" w:w="19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Strategy</w:t>
            </w:r>
          </w:p>
        </w:tc>
        <w:tc>
          <w:tcPr>
            <w:tcW w:type="dxa" w:w="21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Waste-hierarchy rank</w:t>
            </w:r>
          </w:p>
        </w:tc>
        <w:tc>
          <w:tcPr>
            <w:tcW w:type="dxa" w:w="2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 retained</w:t>
            </w:r>
          </w:p>
        </w:tc>
        <w:tc>
          <w:tcPr>
            <w:tcW w:type="dxa" w:w="27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What happens to the device</w:t>
            </w:r>
          </w:p>
        </w:tc>
      </w:tr>
      <w:tr>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Prevention</w:t>
            </w:r>
          </w:p>
        </w:tc>
        <w:tc>
          <w:tcPr>
            <w:tcW w:type="dxa" w:w="21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1 (highest)</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All — device never made</w:t>
            </w:r>
          </w:p>
        </w:tc>
        <w:tc>
          <w:tcPr>
            <w:tcW w:type="dxa" w:w="27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Not produced</w:t>
            </w:r>
          </w:p>
        </w:tc>
      </w:tr>
      <w:tr>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Reuse / repurpose</w:t>
            </w:r>
          </w:p>
        </w:tc>
        <w:tc>
          <w:tcPr>
            <w:tcW w:type="dxa" w:w="21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Most — whole artifact kept</w:t>
            </w:r>
          </w:p>
        </w:tc>
        <w:tc>
          <w:tcPr>
            <w:tcW w:type="dxa" w:w="27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Continues functioning, same or new role</w:t>
            </w:r>
          </w:p>
        </w:tc>
      </w:tr>
      <w:tr>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Recycling</w:t>
            </w:r>
          </w:p>
        </w:tc>
        <w:tc>
          <w:tcPr>
            <w:tcW w:type="dxa" w:w="21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Least — materials only</w:t>
            </w:r>
          </w:p>
        </w:tc>
        <w:tc>
          <w:tcPr>
            <w:tcW w:type="dxa" w:w="27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Destroyed; fraction of materials recovered</w:t>
            </w:r>
          </w:p>
        </w:tc>
      </w:tr>
      <w:tr>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Recovery</w:t>
            </w:r>
          </w:p>
        </w:tc>
        <w:tc>
          <w:tcPr>
            <w:tcW w:type="dxa" w:w="21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Energy content only</w:t>
            </w:r>
          </w:p>
        </w:tc>
        <w:tc>
          <w:tcPr>
            <w:tcW w:type="dxa" w:w="27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Incinerated for energy</w:t>
            </w:r>
          </w:p>
        </w:tc>
      </w:tr>
      <w:tr>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Disposal</w:t>
            </w:r>
          </w:p>
        </w:tc>
        <w:tc>
          <w:tcPr>
            <w:tcW w:type="dxa" w:w="21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5 (lowest)</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None</w:t>
            </w:r>
          </w:p>
        </w:tc>
        <w:tc>
          <w:tcPr>
            <w:tcW w:type="dxa" w:w="27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Landfilled</w:t>
            </w:r>
          </w:p>
        </w:tc>
      </w:tr>
    </w:tbl>
    <w:p>
      <w:pPr>
        <w:spacing w:after="180" w:before="70"/>
        <w:jc w:val="left"/>
      </w:pPr>
      <w:r>
        <w:rPr>
          <w:rFonts w:ascii="Calibri" w:cs="Calibri" w:eastAsia="Calibri" w:hAnsi="Calibri"/>
          <w:i/>
          <w:iCs/>
          <w:color w:val="666666"/>
          <w:sz w:val="17"/>
          <w:szCs w:val="17"/>
        </w:rPr>
        <w:t xml:space="preserve">Table 3. The waste hierarchy of Directive 2008/98/EC, with the value retained by each strategy. Repurposing belongs at rank 2, alongside reuse — far above the recycling that popular discourse treats as the responsible default.</w:t>
      </w:r>
    </w:p>
    <w:p>
      <w:pPr>
        <w:pStyle w:val="Heading2"/>
        <w:spacing w:after="110" w:before="260"/>
      </w:pPr>
      <w:r>
        <w:rPr>
          <w:rFonts w:ascii="Calibri" w:cs="Calibri" w:eastAsia="Calibri" w:hAnsi="Calibri"/>
          <w:b/>
          <w:bCs/>
          <w:color w:val="2E5D3A"/>
          <w:sz w:val="22"/>
          <w:szCs w:val="22"/>
        </w:rPr>
        <w:t xml:space="preserve">3.2 Why recycling recovers so little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case against recycling as a primary strategy is not ideological; it is a matter of recovery rates. Electronic devices are assembled from dozens of materials in intimate combination, and the processes that separate them are lossy. The rare-earth recycling rate of approximately 1% (Jowitt et al., 2018) is the extreme case, but the general pattern holds: recycling recovers the bulk metals reasonably well and the trace critical materials poorly, and it recovers none of the design, assembly, and functional value embodied in the intact device. A recycled smartphone yields some copper, some gold, some aluminium. It does not yield a smartphone.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is what the circular-economy literature means by downcycling: the recovered materials generally re-enter production at lower value than they left it. Recycling is a genuine good relative to landfill — the Global E-waste Monitor’s 93-million-tonne avoided-carbon figure is real, and urban mining genuinely displaces some virgin extraction — but it is the last resort of the circular economy, not its first. A device that is repurposed rather than recycled keeps the entire embodied investment in play.</w:t>
      </w:r>
    </w:p>
    <w:p>
      <w:pPr>
        <w:pStyle w:val="Heading2"/>
        <w:spacing w:after="110" w:before="260"/>
      </w:pPr>
      <w:r>
        <w:rPr>
          <w:rFonts w:ascii="Calibri" w:cs="Calibri" w:eastAsia="Calibri" w:hAnsi="Calibri"/>
          <w:b/>
          <w:bCs/>
          <w:color w:val="2E5D3A"/>
          <w:sz w:val="22"/>
          <w:szCs w:val="22"/>
        </w:rPr>
        <w:t xml:space="preserve">3.3 The circular-economy foundations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intellectual foundations of the circular economy make the same point at the level of systems. Stahel’s performance economy (2010, 2019) argued decades ago that economic value is better preserved by extending the service life of goods than by accelerating their throughput. Bocken et al. (2016) formalised the design and business-model strategies for circularity as slowing, closing, and narrowing resource loops — with slowing, achieved through long-life and life-extension design, being the strategy repurposing most directly serves. Geissdoerfer et al. (2017) define the circular economy as a regenerative system that minimises resource leakage by exactly these means.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Kirchherr et al. (2017), in an analysis of 114 definitions of the circular economy, found that the concept is most often reduced in practice to reduce, reuse, and recycle — and warned that the reuse component is frequently under-emphasised relative to recycling, precisely the imbalance this paper argues against. They also noted that the social-equity dimension of circularity is weakly developed in the literature, a gap Section 5 of this paper engages directly by connecting repurposing to digital access.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Where repurposing sits</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Repurposing is a slowing-the-loop strategy in the circular-economy vocabulary and a preparing-for-reuse strategy in the waste-hierarchy vocabulary. Both frameworks rank it far above recycling. The novelty of the case in Section 4 is that it slows the loop by finding a device an entirely new role — not repairing it for its old purpose, but repurposing it for one its makers never envisaged.</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4. The Case: Local AI and Obsolescence as Artifact</w:t>
      </w:r>
    </w:p>
    <w:p>
      <w:pPr>
        <w:spacing w:after="130" w:before="0" w:line="300"/>
        <w:jc w:val="both"/>
      </w:pPr>
      <w:r>
        <w:rPr>
          <w:rFonts w:ascii="Cambria" w:cs="Cambria" w:eastAsia="Cambria" w:hAnsi="Cambria"/>
          <w:b w:val="false"/>
          <w:bCs w:val="false"/>
          <w:i w:val="false"/>
          <w:iCs w:val="false"/>
          <w:color w:val="1A1A1A"/>
          <w:sz w:val="21"/>
          <w:szCs w:val="21"/>
        </w:rPr>
        <w:t xml:space="preserve">This section presents the concrete demonstration that motivates the paper’s title claim: that much of what sends a device to the waste stream is not a hardware limit but a software, permission, or economic artifact — and that a device declared obsolete can be given real, current utility.</w:t>
      </w:r>
    </w:p>
    <w:p>
      <w:pPr>
        <w:pStyle w:val="Heading2"/>
        <w:spacing w:after="110" w:before="260"/>
      </w:pPr>
      <w:r>
        <w:rPr>
          <w:rFonts w:ascii="Calibri" w:cs="Calibri" w:eastAsia="Calibri" w:hAnsi="Calibri"/>
          <w:b/>
          <w:bCs/>
          <w:color w:val="2E5D3A"/>
          <w:sz w:val="22"/>
          <w:szCs w:val="22"/>
        </w:rPr>
        <w:t xml:space="preserve">4.1 What sends a working device to waste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Consumers replace devices that still function. This is well documented: Wieser and Troger (2018), studying mobile-phone replacement in Austria, found that around 70% of phones are replaced while still working, and that only a fraction are handed to recycling. The reasons are rarely that the device has stopped being capable. They are that a new model has appeared, that the software has ceased to be updated, that an application the user depends on no longer supports the old version, or simply that the device feels old. Wieser and Troger name several distinct forms of perceived obsolescence operating alongside any genuine functional decline.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distinction — between a device that cannot perform a task and a device that is merely no longer permitted to — is the conceptual core of the paper. Slade (2006), in the definitive history of planned obsolescence, traces how deliberately shortened product lives became a feature of industrial strategy; Bulow (1986) showed the economic logic by which a manufacturer rationally prefers shorter product lives than would be socially optimal. And a growing share of obsolescence is now software-driven: a device is abandoned not because its hardware fails but because updates stop, security patches cease, and the ecosystem moves on. Wirth’s observation (1995) that software grows more demanding faster than hardware grows more capable — that software bloat consumes hardware headroom — is the mechanism by which capable devices are rendered subjectively obsolete by the software they are asked to run.</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thesis stated precisely</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A device becomes waste for one of two fundamentally different reasons. Either its hardware genuinely cannot perform the task — a real, physical limit — or the task has been arranged so that the device is no longer permitted to perform it, through software requirements, ecosystem withdrawal, or the absence of any counterparty willing to transact with it. The first is irreversible. The second is an artifact, and artifacts can be undone.</w:t>
      </w:r>
    </w:p>
    <w:p>
      <w:pPr>
        <w:pStyle w:val="Heading2"/>
        <w:spacing w:after="110" w:before="260"/>
      </w:pPr>
      <w:r>
        <w:rPr>
          <w:rFonts w:ascii="Calibri" w:cs="Calibri" w:eastAsia="Calibri" w:hAnsi="Calibri"/>
          <w:b/>
          <w:bCs/>
          <w:color w:val="2E5D3A"/>
          <w:sz w:val="22"/>
          <w:szCs w:val="22"/>
        </w:rPr>
        <w:t xml:space="preserve">4.2 The demonstration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case that grounds this claim is a locally-hosted artificial-intelligence system running on a single consumer mini-PC. The system hosts a multi-agent assistant on quantised open-weight language models, and it serves client devices through a ladder of connectivity protocols chosen so that the oldest possible clients can still reach it. At the bottom of that ladder is a plain, unencrypted web page delivering a simple form — the one thing a first-generation iPhone’s browser can still do.</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technical architecture is documented in a companion work and is not repeated here in detail. What matters for the present argument is the result: a device manufactured in 2007, with no modern software, no current encryption, and no cellular connectivity, holds a natural-language conversation with a thirty-billion-parameter language model. The device is not doing anything it could not do in 2007. It renders a form and submits it. Everything that makes the interaction valuable — the language model, the reasoning, the knowledge — happens on the server, which the household owns and controls.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What the demonstration proves, and what it does not</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It proves that the 2007 device’s exclusion from contemporary artificial-intelligence capability was not a hardware limit. The hardware was always sufficient for its role in the interaction. The exclusion was an artifact of there being no server willing to speak the old protocols — and a household server has no reason to refuse. It does not prove that every obsolete device can be revived, nor that revival is always worthwhile. Section 7 is where those limits live.</w:t>
      </w:r>
    </w:p>
    <w:p>
      <w:pPr>
        <w:pStyle w:val="Heading2"/>
        <w:spacing w:after="110" w:before="260"/>
      </w:pPr>
      <w:r>
        <w:rPr>
          <w:rFonts w:ascii="Calibri" w:cs="Calibri" w:eastAsia="Calibri" w:hAnsi="Calibri"/>
          <w:b/>
          <w:bCs/>
          <w:color w:val="2E5D3A"/>
          <w:sz w:val="22"/>
          <w:szCs w:val="22"/>
        </w:rPr>
        <w:t xml:space="preserve">4.3 The junkyard-computing precedent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paper’s case is not the first demonstration of this principle, and the most rigorous precedent strengthens the argument considerably. Switzer et al. (2023), in work titled Junkyard Computing, assembled a functioning cloud from discarded smartphones — devices bought for tens of dollars on the second-hand market — and showed that decade-old phones meet the computational demands of modern cloud microservice benchmarks. Their framing aligns precisely with this paper’s: they document that smartphones are typically decommissioned within two years, that manufacturing constitutes 70 to 85% of a phone’s lifetime carbon, and that the majority of smartphones are neither recycled nor discarded but stockpiled, unused.</w:t>
      </w:r>
    </w:p>
    <w:p>
      <w:pPr>
        <w:pBdr>
          <w:left w:val="single" w:color="2E5D3A" w:sz="12" w:space="10"/>
        </w:pBdr>
        <w:spacing w:after="30" w:before="140" w:line="280"/>
        <w:ind w:left="560" w:right="400"/>
        <w:jc w:val="both"/>
      </w:pPr>
      <w:r>
        <w:rPr>
          <w:rFonts w:ascii="Cambria" w:cs="Cambria" w:eastAsia="Cambria" w:hAnsi="Cambria"/>
          <w:i/>
          <w:iCs/>
          <w:color w:val="1A1A1A"/>
          <w:sz w:val="20"/>
          <w:szCs w:val="20"/>
        </w:rPr>
        <w:t xml:space="preserve">Their conclusion is blunt, and this paper adopts it: recycling is not the answer. Recovering a fraction of a device’s materials through a hazardous process is strictly inferior to keeping the whole device in productive service, when the latter is possible.</w:t>
      </w:r>
    </w:p>
    <w:p>
      <w:pPr>
        <w:spacing w:after="150" w:before="0"/>
        <w:ind w:left="560"/>
      </w:pPr>
      <w:r>
        <w:rPr>
          <w:rFonts w:ascii="Cambria" w:cs="Cambria" w:eastAsia="Cambria" w:hAnsi="Cambria"/>
          <w:color w:val="666666"/>
          <w:sz w:val="18"/>
          <w:szCs w:val="18"/>
        </w:rPr>
        <w:t xml:space="preserve">— Paraphrasing the argument of Switzer et al. (2023)</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Switzer et al. introduce a metric they call computational carbon intensity, which redefines a device’s useful life not by when it stops working but by when its carbon cost per unit of computation exceeds that of a replacement. This is the correct way to think about the question, and it generalises: a device’s service life should be measured by the value it can still deliver against the carbon of continuing to run it, not by the marketing calendar of its manufacturer. The present paper’s contribution relative to Switzer et al. is to extend the demonstration from datacentre-style compute to interactive, human-facing use by the oldest client devices, and to connect it to the digital-equity argument of Section 5.</w:t>
      </w:r>
    </w:p>
    <w:p>
      <w:pPr>
        <w:pStyle w:val="Heading2"/>
        <w:spacing w:after="110" w:before="260"/>
      </w:pPr>
      <w:r>
        <w:rPr>
          <w:rFonts w:ascii="Calibri" w:cs="Calibri" w:eastAsia="Calibri" w:hAnsi="Calibri"/>
          <w:b/>
          <w:bCs/>
          <w:color w:val="2E5D3A"/>
          <w:sz w:val="22"/>
          <w:szCs w:val="22"/>
        </w:rPr>
        <w:t xml:space="preserve">4.4 The stockpile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scale of dormant, functioning hardware is the reason this argument matters in aggregate rather than merely in principle. Wilson et al. (2017), in a peer-reviewed study of mobile-phone hibernation, found that only about a third of previously owned phones were returned to any collection system, and that the average phone hibernated in a drawer for three years — longer than its average period of active use. The devices are not being recycled. They are not being repurposed. They are sitting idle, their embodied carbon already spent, their materials locked away, delivering no value to anyone.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At population scale the numbers become striking. Estimates compiled by the WEEE Forum and UNITAR in 2022 put the number of mobile phones owned worldwide at around 16 billion, with almost a third no longer in use. Industry surveys reach compatible figures in the range of several billion dormant devices. We flag that the largest of these figures come from industry and NGO reporting rather than peer review, and should be treated as indicative; the peer-reviewed anchor is Wilson et al. But even the conservative reading describes a stockpile of functioning hardware numbering in the billions.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opportunity the stockpile represents</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Billions of devices, their carbon already emitted and their materials already extracted, sit unused. Recycling them recovers a fraction of their materials and destroys the rest of their value. Repurposing even a small fraction of them into useful roles — assistants, sensors, controllers, terminals — captures value that currently evaporates. Whether this can be done at scale is the open question of Section 7.2; that the latent opportunity is enormous is not in doubt.</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5. Repurposing as a Lever for Digital Equity</w:t>
      </w:r>
    </w:p>
    <w:p>
      <w:pPr>
        <w:spacing w:after="130" w:before="0" w:line="300"/>
        <w:jc w:val="both"/>
      </w:pPr>
      <w:r>
        <w:rPr>
          <w:rFonts w:ascii="Cambria" w:cs="Cambria" w:eastAsia="Cambria" w:hAnsi="Cambria"/>
          <w:b w:val="false"/>
          <w:bCs w:val="false"/>
          <w:i w:val="false"/>
          <w:iCs w:val="false"/>
          <w:color w:val="1A1A1A"/>
          <w:sz w:val="21"/>
          <w:szCs w:val="21"/>
        </w:rPr>
        <w:t xml:space="preserve">The environmental argument for repurposing has a social counterpart that the circular-economy literature has tended to neglect. The devices most likely to be considered obsolete are disproportionately the devices held by those least able to replace them, which makes the compatibility floor of a repurposing system an equity parameter, not merely a technical one.</w:t>
      </w:r>
    </w:p>
    <w:p>
      <w:pPr>
        <w:pStyle w:val="Heading2"/>
        <w:spacing w:after="110" w:before="260"/>
      </w:pPr>
      <w:r>
        <w:rPr>
          <w:rFonts w:ascii="Calibri" w:cs="Calibri" w:eastAsia="Calibri" w:hAnsi="Calibri"/>
          <w:b/>
          <w:bCs/>
          <w:color w:val="2E5D3A"/>
          <w:sz w:val="22"/>
          <w:szCs w:val="22"/>
        </w:rPr>
        <w:t xml:space="preserve">5.1 The device divide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digital-divide literature has moved well beyond a binary of connected and unconnected. Van Dijk (2005, 2020) decomposes access into motivational, material, skills, and usage dimensions, and it is the material dimension — the device itself — that concerns us here. Rideout and Katz (2016), in their study of lower-income American families, introduced the vocabulary of under-connection: families nominally online but dependent on aging, shared, or mobile-only hardware, with a third of below-poverty families relying on mobile-only access, frequently on interrupted or slow service and superseded devices.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mechanism most relevant to repurposing is intra-household device flow. When a household member upgrades, the old device typically does not leave the household — it descends, to a child or an older relative. The consequence is that the oldest devices in active use are disproportionately in the hands of the household members with the least economic authority to replace them. Any capability gated behind a recent device is therefore gated, within the household, along lines of age and economic power. A repurposing system that serves old devices is a system that serves precisely these users.</w:t>
      </w:r>
    </w:p>
    <w:p>
      <w:pPr>
        <w:pStyle w:val="Heading2"/>
        <w:spacing w:after="110" w:before="260"/>
      </w:pPr>
      <w:r>
        <w:rPr>
          <w:rFonts w:ascii="Calibri" w:cs="Calibri" w:eastAsia="Calibri" w:hAnsi="Calibri"/>
          <w:b/>
          <w:bCs/>
          <w:color w:val="2E5D3A"/>
          <w:sz w:val="22"/>
          <w:szCs w:val="22"/>
        </w:rPr>
        <w:t xml:space="preserve">5.2 The compatibility floor as an equity parameter</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reframes a technical decision as a distributional one. When the case system in Section 4 chooses to support a plain-HTTP client that a 2007 device can render, it is not indulging a curiosity. It is setting the floor of access as low as the technology permits, so that no household member is excluded by the age of the device they happen to hold. A commercial provider raising its minimum supported version to reduce its engineering burden is, whatever its intentions, drawing the access line above some users. A household or community operator willing to maintain an old protocol is drawing it below them.</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equity argument in one line</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Because obsolete devices flow to the least powerful members of a household, and because repurposing serves obsolete devices, repurposing is structurally a pro-equity intervention — it extends capability to exactly the users a commercial compatibility floor tends to exclude.</w:t>
      </w:r>
    </w:p>
    <w:p>
      <w:pPr>
        <w:pStyle w:val="Heading2"/>
        <w:spacing w:after="110" w:before="260"/>
      </w:pPr>
      <w:r>
        <w:rPr>
          <w:rFonts w:ascii="Calibri" w:cs="Calibri" w:eastAsia="Calibri" w:hAnsi="Calibri"/>
          <w:b/>
          <w:bCs/>
          <w:color w:val="2E5D3A"/>
          <w:sz w:val="22"/>
          <w:szCs w:val="22"/>
        </w:rPr>
        <w:t xml:space="preserve">5.3 The refurbishment and second-hand economy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Repurposing sits within a broader economy of second-hand and refurbished devices that already serves lower-income and Global South populations at scale. A substantial share of phones in global use were bought used or refurbished, and a large fraction of devices see a second or third life through resale. Programmes that redistribute refurbished hardware — to schools, to low-income households, across borders — are a documented instrument of digital inclusion. Repurposing extends this logic one step further: where refurbishment returns a device to its original role for a new owner, repurposing can give a device a new role entirely, including roles — like hosting or accessing local AI — that did not exist when the device was made.</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equity argument contains a hazard, addressed in Section 7.5</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The same flows that extend device life across borders can become the mechanism by which rich countries export their e-waste burden to poor ones. A device donated as reuse can become someone else’s disposal problem. The equity argument for repurposing is genuine, but it cannot be made honestly without confronting e-waste colonialism, which Section 7.5 does.</w:t>
      </w:r>
    </w:p>
    <w:p>
      <w:pPr>
        <w:pStyle w:val="Heading3"/>
        <w:spacing w:after="90" w:before="200"/>
      </w:pPr>
      <w:r>
        <w:rPr>
          <w:rFonts w:ascii="Calibri" w:cs="Calibri" w:eastAsia="Calibri" w:hAnsi="Calibri"/>
          <w:b/>
          <w:bCs/>
          <w:i/>
          <w:iCs/>
          <w:color w:val="1A1A1A"/>
          <w:sz w:val="21"/>
          <w:szCs w:val="21"/>
        </w:rPr>
        <w:t xml:space="preserve">5.3.1 Does reuse displace, or merely add?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second-hand market carries the same displacement question that Section 7 raises for repurposing generally, and the literature is genuinely divided. Thomas (2003) framed the problem precisely in asking whether second-hand markets produce reuse or merely more use — whether a used device sold displaces a new purchase or simply adds a device to circulation that would not otherwise have existed. The answer determines whether the second-hand economy is an environmental good or an environmental wash, and it depends on elasticities that vary by market and are difficult to measure. Pierce and Paulos (2011) study the reacquisition and dispossession practices around domestic objects that govern whether a device re-enters use or is discarded; Watson et al. (2017) map the circular business models emerging in the mobile-phone industry specifically.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For the purposes of this paper, the honest position is that second-hand and repurposing flows are environmentally beneficial to the degree that they displace new manufacture, and neutral or harmful to the degree that they do not — the same conditional verdict Section 7.1 and Appendix D develop for repurposing. The equity benefit, by contrast, is more robust to the displacement question: a low-income household that gains access through a refurbished device gains that access whether or not the transaction displaced a new purchase elsewhere. Equity and carbon come apart here, and the paper is careful not to let a strong equity claim smuggle in an unearned carbon one.</w:t>
      </w:r>
    </w:p>
    <w:p>
      <w:pPr>
        <w:pStyle w:val="Heading2"/>
        <w:spacing w:after="110" w:before="260"/>
      </w:pPr>
      <w:r>
        <w:rPr>
          <w:rFonts w:ascii="Calibri" w:cs="Calibri" w:eastAsia="Calibri" w:hAnsi="Calibri"/>
          <w:b/>
          <w:bCs/>
          <w:color w:val="2E5D3A"/>
          <w:sz w:val="22"/>
          <w:szCs w:val="22"/>
        </w:rPr>
        <w:t xml:space="preserve">5.4 The significance of the equity dimension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equity argument is what distinguishes device repurposing from a purely environmental intervention, and it is the dimension the circular-economy literature has most neglected — Kirchherr et al. (2017) specifically flag the weak development of social equity in circular-economy scholarship. Repurposing sits at an unusual intersection: it is simultaneously a waste intervention, a carbon intervention, a materials intervention, and an access intervention, and the access dimension is not incidental to the others but structurally linked to them. The devices that repurposing keeps out of the waste stream are disproportionately the devices that serve the under-connected, because obsolescence and disadvantage flow in the same direction — downhill, toward those with the least power to refuse a hand-me-down.</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Why the two arguments reinforce rather than compete</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A device kept in service by a low-income household is one device further from the waste stream and one household closer to digital participation, at once. The environmental and equity cases for repurposing are not a trade-off to be balanced; for this specific intervention they point the same direction, because the same device flows carry both effects. That alignment is rare among sustainability interventions and is, we argue, a substantial part of what makes repurposing significant.</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6. The Policy Landscape</w:t>
      </w:r>
    </w:p>
    <w:p>
      <w:pPr>
        <w:spacing w:after="130" w:before="0" w:line="300"/>
        <w:jc w:val="both"/>
      </w:pPr>
      <w:r>
        <w:rPr>
          <w:rFonts w:ascii="Cambria" w:cs="Cambria" w:eastAsia="Cambria" w:hAnsi="Cambria"/>
          <w:b w:val="false"/>
          <w:bCs w:val="false"/>
          <w:i w:val="false"/>
          <w:iCs w:val="false"/>
          <w:color w:val="1A1A1A"/>
          <w:sz w:val="21"/>
          <w:szCs w:val="21"/>
        </w:rPr>
        <w:t xml:space="preserve">Repurposing does not occur in a regulatory vacuum. A substantial and hardening body of law addresses device longevity, repair, waste, and materials, and it is moving in a direction broadly favourable to the paper’s argument — though it addresses repair and reuse far more than it addresses repurposing.</w:t>
      </w:r>
    </w:p>
    <w:p>
      <w:pPr>
        <w:pStyle w:val="Heading2"/>
        <w:spacing w:after="110" w:before="260"/>
      </w:pPr>
      <w:r>
        <w:rPr>
          <w:rFonts w:ascii="Calibri" w:cs="Calibri" w:eastAsia="Calibri" w:hAnsi="Calibri"/>
          <w:b/>
          <w:bCs/>
          <w:color w:val="2E5D3A"/>
          <w:sz w:val="22"/>
          <w:szCs w:val="22"/>
        </w:rPr>
        <w:t xml:space="preserve">6.1 Waste and producer responsibility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foundational instrument is the European Union’s Waste Electrical and Electronic Equipment Directive (Directive 2012/19/EU), which sets collection targets — rising to 65% of equipment placed on the market, or 85% of waste generated — and operationalises extended producer responsibility, the principle that manufacturers bear responsibility for their products at end of life. The Global E-waste Monitor 2024 records that a substantial majority of countries with e-waste legislation now employ some form of extended producer responsibility, a concept traceable to Lindhqvist’s foundational work (2000).</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Internationally, the Basel Convention governs the transboundary movement of hazardous waste, and its Ban Amendment — adopted in 1995 and finally entered into force in 2019 — prohibits the export of hazardous waste from wealthier to poorer countries. The United States has signed but not ratified the Convention, a gap of some significance given the volume of e-waste the country generates. These instruments bear on repurposing indirectly: they raise the cost and scrutiny of disposal, which strengthens the relative case for keeping devices in service.</w:t>
      </w:r>
    </w:p>
    <w:p>
      <w:pPr>
        <w:pStyle w:val="Heading2"/>
        <w:spacing w:after="110" w:before="260"/>
      </w:pPr>
      <w:r>
        <w:rPr>
          <w:rFonts w:ascii="Calibri" w:cs="Calibri" w:eastAsia="Calibri" w:hAnsi="Calibri"/>
          <w:b/>
          <w:bCs/>
          <w:color w:val="2E5D3A"/>
          <w:sz w:val="22"/>
          <w:szCs w:val="22"/>
        </w:rPr>
        <w:t xml:space="preserve">6.2 The turn toward repair and durability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more directly relevant policy movement is the recent, rapid turn toward a right to repair. The European Union’s Directive 2024/1799 on common rules promoting the repair of goods, which entered into force in 2024, obliges manufacturers to repair certain products including smartphones and tablets, extends legal guarantees when repair is chosen, and — crucially for the software-obsolescence argument — restricts practices such as parts-pairing that block independent repair. Its accompanying Ecodesign for Sustainable Products Regulation (Regulation 2024/1781) requires that products not be rendered prematurely obsolete by design.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European Commission’s own impact assessment for the repair directive quantifies the stakes in terms this paper can use directly: it estimates that the premature disposal of consumer goods produces on the order of 261 million tonnes of carbon-dioxide-equivalent emissions, consumes 30 million tonnes of resources, and generates 35 million tonnes of waste annually within the Union, with consumers losing on the order of 12 billion euros a year by replacing rather than repairing. In the United States, right-to-repair legislation has advanced at the state level, and the scholarly foundation for the movement is Perzanowski’s treatment (2022) of the legal architecture that has been used to prevent repair.</w:t>
      </w:r>
    </w:p>
    <w:p>
      <w:pPr>
        <w:pBdr>
          <w:left w:val="single" w:color="666666" w:sz="14" w:space="8"/>
        </w:pBdr>
        <w:shd w:fill="F2F2F2" w:color="auto" w:val="clear"/>
        <w:spacing w:after="0" w:before="150" w:line="260"/>
        <w:ind w:left="160" w:right="160"/>
      </w:pPr>
      <w:r>
        <w:rPr>
          <w:rFonts w:ascii="Calibri" w:cs="Calibri" w:eastAsia="Calibri" w:hAnsi="Calibri"/>
          <w:b/>
          <w:bCs/>
          <w:color w:val="666666"/>
          <w:sz w:val="16"/>
          <w:szCs w:val="16"/>
        </w:rPr>
        <w:t xml:space="preserve">NOTE — </w:t>
      </w:r>
      <w:r>
        <w:rPr>
          <w:rFonts w:ascii="Calibri" w:cs="Calibri" w:eastAsia="Calibri" w:hAnsi="Calibri"/>
          <w:b/>
          <w:bCs/>
          <w:color w:val="1A1A1A"/>
          <w:sz w:val="19"/>
          <w:szCs w:val="19"/>
        </w:rPr>
        <w:t xml:space="preserve">Where policy has not yet reached</w:t>
      </w:r>
    </w:p>
    <w:p>
      <w:pPr>
        <w:pBdr>
          <w:left w:val="single" w:color="666666" w:sz="14" w:space="8"/>
        </w:pBdr>
        <w:shd w:fill="F2F2F2" w:color="auto" w:val="clear"/>
        <w:spacing w:after="165" w:before="40" w:line="260"/>
        <w:ind w:left="160" w:right="160"/>
        <w:jc w:val="both"/>
      </w:pPr>
      <w:r>
        <w:rPr>
          <w:rFonts w:ascii="Calibri" w:cs="Calibri" w:eastAsia="Calibri" w:hAnsi="Calibri"/>
          <w:color w:val="1A1A1A"/>
          <w:sz w:val="19"/>
          <w:szCs w:val="19"/>
        </w:rPr>
        <w:t xml:space="preserve">Almost all of this law addresses repair and reuse — keeping a device in its original role. Very little of it addresses repurposing — giving a device a new role. This is a gap and an opportunity: the policy momentum behind longevity could be extended to actively encourage repurposing, for instance by requiring that devices remain unlockable and reprogrammable at end of support. Section 8 develops this.</w:t>
      </w:r>
    </w:p>
    <w:p>
      <w:pPr>
        <w:pStyle w:val="Heading2"/>
        <w:spacing w:after="110" w:before="260"/>
      </w:pPr>
      <w:r>
        <w:rPr>
          <w:rFonts w:ascii="Calibri" w:cs="Calibri" w:eastAsia="Calibri" w:hAnsi="Calibri"/>
          <w:b/>
          <w:bCs/>
          <w:color w:val="2E5D3A"/>
          <w:sz w:val="22"/>
          <w:szCs w:val="22"/>
        </w:rPr>
        <w:t xml:space="preserve">6.3 Materials policy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materials dimension has its own hardening framework. The European Union’s Critical Raw Materials Act (Regulation 2024/1252) sets recycling and supply-diversification targets and names the strategic dependence on concentrated suppliers as a security concern. This connects to repurposing through the logic of Section 2.3: every device kept in service defers the extraction of the critical materials a replacement would require, which is precisely the resource security these instruments seek. Longevity is, among other things, a materials-security strategy, and the policy framework is beginning to recognise it as one.</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7. The Honest Tensions</w:t>
      </w:r>
    </w:p>
    <w:p>
      <w:pPr>
        <w:spacing w:after="130" w:before="0" w:line="300"/>
        <w:jc w:val="both"/>
      </w:pPr>
      <w:r>
        <w:rPr>
          <w:rFonts w:ascii="Cambria" w:cs="Cambria" w:eastAsia="Cambria" w:hAnsi="Cambria"/>
          <w:b w:val="false"/>
          <w:bCs w:val="false"/>
          <w:i w:val="false"/>
          <w:iCs w:val="false"/>
          <w:color w:val="1A1A1A"/>
          <w:sz w:val="21"/>
          <w:szCs w:val="21"/>
        </w:rPr>
        <w:t xml:space="preserve">This is the most important section of the paper. An argument for repurposing that ignored its counter-arguments would be advocacy, not scholarship. Each of the following tensions is real, several are serious, and one — the question of scale — the paper cannot resolve. We give them the space they deserve rather than the acknowledgement that lets a paper claim to have considered them.</w:t>
      </w:r>
    </w:p>
    <w:p>
      <w:pPr>
        <w:pStyle w:val="Heading2"/>
        <w:spacing w:after="110" w:before="260"/>
      </w:pPr>
      <w:r>
        <w:rPr>
          <w:rFonts w:ascii="Calibri" w:cs="Calibri" w:eastAsia="Calibri" w:hAnsi="Calibri"/>
          <w:b/>
          <w:bCs/>
          <w:color w:val="2E5D3A"/>
          <w:sz w:val="22"/>
          <w:szCs w:val="22"/>
        </w:rPr>
        <w:t xml:space="preserve">7.1 The operational-energy tension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embodied-carbon argument that anchors this paper contains its own limit, and intellectual honesty requires stating it as forcefully as the argument itself. If keeping a device in service means running it continuously at meaningful power, the operational carbon accumulates, and on a carbon-intensive electricity grid it can eventually rival or exceed the embodied carbon that keeping the device was meant to preserve.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threshold is characterisable. Gupta et al. (2022) find that amortising a mobile device’s manufacturing carbon requires roughly three years of continuous operation. The corollary is that a repurposing use case which draws significant power, runs on a dirty grid, and delivers little utility can be carbon-negative relative to simply recycling the device and having done with it. The embodied-carbon argument does not favour keeping every device running for any purpose. It favours repurposing that is low-power, high-utility, and — critically — displaces the manufacture of something new.</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condition stated as a decision rule</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Repurposing is carbon-favourable when: the device’s operational emissions (grid intensity × power draw × duty cycle) over its remaining life are less than the embodied carbon of the new device its continued service displaces. If the repurposed device merely adds capacity rather than displacing new manufacture, or runs hot on a coal grid for trivial benefit, the calculation can invert. This condition must be checked, not assumed.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Applied to the case in Section 4, the condition is broadly favourable but not automatically satisfied. The client devices — the old phones — draw negligible power and are used intermittently, so their operational cost is trivial against their embodied carbon. The server that makes them useful, however, runs continuously, and its operational footprint is real. Whether the overall system is carbon-favourable depends on how many devices the one server serves and on the carbon intensity of the grid it runs on. We do not claim the case system is carbon-positive; we claim the conditions under which it would be are known, and that this honesty is worth more than an unqualified assertion.</w:t>
      </w:r>
    </w:p>
    <w:p>
      <w:pPr>
        <w:pStyle w:val="Heading2"/>
        <w:spacing w:after="110" w:before="260"/>
      </w:pPr>
      <w:r>
        <w:rPr>
          <w:rFonts w:ascii="Calibri" w:cs="Calibri" w:eastAsia="Calibri" w:hAnsi="Calibri"/>
          <w:b/>
          <w:bCs/>
          <w:color w:val="2E5D3A"/>
          <w:sz w:val="22"/>
          <w:szCs w:val="22"/>
        </w:rPr>
        <w:t xml:space="preserve">7.2 The scale question, which we cannot resolve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paper’s central unresolved problem is whether repurposing could reduce electronic-waste volumes at a scale that matters globally. We have found no literature that establishes this, and we have not established it ourselves. What the literature quantifies — robustly — is per-device benefit: the carbon a given device’s life extension conserves, the materials its continued service defers. What no one has shown is that repurposing can be adopted widely enough, and displace new manufacture reliably enough, to bend the aggregate e-waste curve.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obstacles to scale are substantial and must be named. Repurposing a device requires technical skill that most owners lack; the case system in Section 4 requires the ability to administer a server, which is not a common competence. It requires that a useful role exist for the specific old device in question. It requires overcoming the convenience gap — replacement is easy and repurposing is work. And it faces the displacement problem: if repurposed devices add to the total stock of running hardware rather than substituting for new purchases, the environmental benefit is illusory. None of these obstacles is insurmountable, but their conjunction means that repurposing is, for now, a high-value practice for the few rather than a demonstrated solution for the many.</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claim we decline to make</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We do not claim that repurposing, at currently plausible adoption levels, materially reduces global e-waste volumes. That claim is unsupported, and asserting it would be the kind of overreach this paper criticises in others. We claim that repurposing captures high per-device value, that the latent stockpile is enormous, and that whether the two can be connected at scale is an urgent open research question. Section 8 proposes how it might be studied.</w:t>
      </w:r>
    </w:p>
    <w:p>
      <w:pPr>
        <w:pStyle w:val="Heading2"/>
        <w:spacing w:after="110" w:before="260"/>
      </w:pPr>
      <w:r>
        <w:rPr>
          <w:rFonts w:ascii="Calibri" w:cs="Calibri" w:eastAsia="Calibri" w:hAnsi="Calibri"/>
          <w:b/>
          <w:bCs/>
          <w:color w:val="2E5D3A"/>
          <w:sz w:val="22"/>
          <w:szCs w:val="22"/>
        </w:rPr>
        <w:t xml:space="preserve">7.3 The rebound effect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Efficiency and sufficiency interventions in information technology are haunted by the rebound effect, and repurposing is not exempt. The Jevons paradox — that improvements in the efficiency of resource use can increase rather than decrease total consumption — has a direct analogue here. If repurposing old devices makes computing cheaper and more accessible, it may induce more computing overall, and the additional consumption may erode or exceed the savings. Nardi et al. (2018), in framing computing within limits, name this hazard explicitly, and Gossart (2015) reviews the evidence for rebound in information technology specifically.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honest position is that rebound is a genuine threat to the aggregate case and a negligible one to the per-device case. A specific old phone repurposed as an assistant terminal, displacing the purchase of a new device, is a clean benefit. A general cultural shift toward cheap abundant computing on repurposed hardware could induce demand that swamps the benefit. Which of these dominates is, again, the scale question of Section 7.2 in another guise, and it is unresolved.</w:t>
      </w:r>
    </w:p>
    <w:p>
      <w:pPr>
        <w:pStyle w:val="Heading2"/>
        <w:spacing w:after="110" w:before="260"/>
      </w:pPr>
      <w:r>
        <w:rPr>
          <w:rFonts w:ascii="Calibri" w:cs="Calibri" w:eastAsia="Calibri" w:hAnsi="Calibri"/>
          <w:b/>
          <w:bCs/>
          <w:color w:val="2E5D3A"/>
          <w:sz w:val="22"/>
          <w:szCs w:val="22"/>
        </w:rPr>
        <w:t xml:space="preserve">7.4 The greenwashing hazard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language of repair, reuse, and circularity is commercially valuable, and commercially valuable language is exploited. A manufacturer can advertise a recycling programme while designing devices that resist repair; a company can market sustainability while its business model depends on accelerated replacement. Kirchherr et al. (2017) note the conceptual slipperiness that makes the circular economy vulnerable to this, and the concern applies to repurposing too: the idea of giving old devices new life is attractive enough to be co-opted as marketing without substance.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defence against this is specificity. Claims about repurposing should be quantified — carbon displaced, devices diverted, materials deferred — and checked against the conditions of Section 7.1 rather than asserted in the abstract. This paper has tried to model that discipline by labelling its own claims with their evidentiary strength and by refusing the aggregate claim it cannot support. Repurposing advocacy that declines to quantify is greenwashing in waiting.</w:t>
      </w:r>
    </w:p>
    <w:p>
      <w:pPr>
        <w:pStyle w:val="Heading2"/>
        <w:spacing w:after="110" w:before="260"/>
      </w:pPr>
      <w:r>
        <w:rPr>
          <w:rFonts w:ascii="Calibri" w:cs="Calibri" w:eastAsia="Calibri" w:hAnsi="Calibri"/>
          <w:b/>
          <w:bCs/>
          <w:color w:val="2E5D3A"/>
          <w:sz w:val="22"/>
          <w:szCs w:val="22"/>
        </w:rPr>
        <w:t xml:space="preserve">7.5 E-waste colonialism</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equity argument of Section 5 has a dark counterpart that cannot be omitted. The same device flows that extend hardware life across borders — the export of used and refurbished devices to lower-income countries — are also the mechanism by which wealthy nations have exported their e-waste burden to poor ones. A device sent abroad as reuse can arrive as, or shortly become, waste, to be dismantled over an open fire at a site like Agbogbloshie by the workers whose exposure Section 2.2 documented. The regional collection disparity in Table 1 — Europe at 42.8%, Africa below 1% — is partly a map of where the world’s discarded devices actually come to rest, which is frequently not where they were used.</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tension held honestly</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Repurposing and reuse are goods. They are also, at the level of international flows, entangled with a genuine injustice. The resolution is not to abandon reuse but to insist that it be reuse in fact — devices given real continued service — rather than disposal disguised as donation. The Basel Ban Amendment exists because the distinction is routinely violated. An honest case for repurposing must hold both truths: that keeping devices in service is valuable, and that "keeping in service" has been used as cover for dumping.</w:t>
      </w:r>
    </w:p>
    <w:p>
      <w:pPr>
        <w:pStyle w:val="Heading2"/>
        <w:spacing w:after="110" w:before="260"/>
      </w:pPr>
      <w:r>
        <w:rPr>
          <w:rFonts w:ascii="Calibri" w:cs="Calibri" w:eastAsia="Calibri" w:hAnsi="Calibri"/>
          <w:b/>
          <w:bCs/>
          <w:color w:val="2E5D3A"/>
          <w:sz w:val="22"/>
          <w:szCs w:val="22"/>
        </w:rPr>
        <w:t xml:space="preserve">7.6 The accessibility problem: a solution for the privileged?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 pointed objection to the entire argument deserves a direct answer. The case system of Section 4 requires the ability to administer a server — to install an operating system, configure services, and maintain a network. That is not a common skill. It is, moreover, a skill correlated with exactly the demographic least likely to be on the wrong side of the device divide. A reader could reasonably conclude that this paper describes a practice available to the technically privileged and irrelevant to the under-connected households whose plight Section 5 invokes on its behalf. If repurposing can only be done by people who could afford new devices anyway, the equity argument collapses into decoration.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We take this seriously because it is largely correct as a description of the present. The barrier has, in a real sense, moved rather than fallen: from the cost of hardware, which money solves, to the skill of operation, which it does not. The 2007 phone can reach the AI service only because someone in the household can run the server, and that someone is rare. The honest reading is that this paper, as things stand, demonstrates a capability more than it distributes one.</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The response, which is a research and policy agenda rather than a rebuttal</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The objection is not answered by argument; it is answered by work that has barely begun. If repurposing is to be equitable in fact rather than in principle, the operator-skill barrier must fall — through tools a non-specialist can use, through community infrastructure that distributes the necessary skill, and through policy that keeps devices open enough to be repurposed at all. Section 8.2 and 8.3 develop these. Until that work exists, the equity claim in this paper is a claim about potential, and we mark it as such.</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There is a weaker but genuine version of the equity benefit that survives even now. Community and institutional operators — a school, a library, a refurbishment charity, a technically capable family member — can run one server for many beneficiaries, which distributes the skill requirement across a population rather than demanding it of each household. This is the model under which repurposing could become genuinely accessible, and it is the model the digital-inclusion programmes of Section 5.3 already approximate. The individual-operator framing of the case is the hardest version of the equity argument; the institutional framing is the more plausible route to scale.</w:t>
      </w:r>
    </w:p>
    <w:p>
      <w:pPr>
        <w:pStyle w:val="Heading2"/>
        <w:spacing w:after="110" w:before="260"/>
      </w:pPr>
      <w:r>
        <w:rPr>
          <w:rFonts w:ascii="Calibri" w:cs="Calibri" w:eastAsia="Calibri" w:hAnsi="Calibri"/>
          <w:b/>
          <w:bCs/>
          <w:color w:val="2E5D3A"/>
          <w:sz w:val="22"/>
          <w:szCs w:val="22"/>
        </w:rPr>
        <w:t xml:space="preserve">7.7 The measurement gap</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 final tension is methodological, and it applies to this paper as much as to the field. Very little of the repurposing literature measures outcomes at the level the argument requires. Per-device carbon is modelled from life-cycle assessments; displacement is assumed rather than observed; adoption is aspirational rather than documented. This paper is no exception — it reports no new empirical measurement of its own case, a limitation it states plainly and shares with the companion systems paper. The significance argument is built on the solid ground of the crisis data and the embodied-carbon literature, but the specific efficacy of repurposing as an intervention rests on modelling and inference more than on measured outcomes.</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Why this matters, and why we flag it rather than obscure it</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A field that models benefits without measuring them is vulnerable to exactly the overclaiming this paper has criticised in others. The appropriate response is not to abandon the argument — the foundations are secure — but to be explicit that the step from established per-device benefit to demonstrated intervention efficacy has not been taken, by us or by the literature. Section 8.1 and 8.4 propose the measurements that would take it.</w:t>
      </w:r>
    </w:p>
    <w:p>
      <w:pPr>
        <w:pStyle w:val="Heading2"/>
        <w:spacing w:after="110" w:before="260"/>
      </w:pPr>
      <w:r>
        <w:rPr>
          <w:rFonts w:ascii="Calibri" w:cs="Calibri" w:eastAsia="Calibri" w:hAnsi="Calibri"/>
          <w:b/>
          <w:bCs/>
          <w:color w:val="2E5D3A"/>
          <w:sz w:val="22"/>
          <w:szCs w:val="22"/>
        </w:rPr>
        <w:t xml:space="preserve">7.8 A summary of the tensions</w:t>
      </w:r>
    </w:p>
    <w:tbl>
      <w:tblPr>
        <w:tblW w:type="dxa" w:w="9360"/>
        <w:tblBorders>
          <w:top w:val="single" w:color="2E5D3A" w:sz="6"/>
          <w:left w:val="none"/>
          <w:bottom w:val="single" w:color="2E5D3A" w:sz="6"/>
          <w:right w:val="none"/>
          <w:insideH w:val="single" w:color="C8CFD8" w:sz="2"/>
          <w:insideV w:val="none"/>
        </w:tblBorders>
      </w:tblPr>
      <w:tblGrid>
        <w:gridCol w:w="2800"/>
        <w:gridCol w:w="1300"/>
        <w:gridCol w:w="2600"/>
        <w:gridCol w:w="2660"/>
      </w:tblGrid>
      <w:tr>
        <w:trPr>
          <w:tblHeader/>
        </w:trPr>
        <w:tc>
          <w:tcPr>
            <w:tcW w:type="dxa" w:w="28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Tension</w:t>
            </w:r>
          </w:p>
        </w:tc>
        <w:tc>
          <w:tcPr>
            <w:tcW w:type="dxa" w:w="13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Severity</w:t>
            </w:r>
          </w:p>
        </w:tc>
        <w:tc>
          <w:tcPr>
            <w:tcW w:type="dxa" w:w="2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Bears on which claim</w:t>
            </w:r>
          </w:p>
        </w:tc>
        <w:tc>
          <w:tcPr>
            <w:tcW w:type="dxa" w:w="26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Resolvable?</w:t>
            </w:r>
          </w:p>
        </w:tc>
      </w:tr>
      <w:tr>
        <w:tc>
          <w:tcPr>
            <w:tcW w:type="dxa" w:w="2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Operational energy of running old hardware</w:t>
            </w:r>
          </w:p>
        </w:tc>
        <w:tc>
          <w:tcPr>
            <w:tcW w:type="dxa" w:w="1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Serious</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Per-device carbon benefit</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Yes — by condition (7.1)</w:t>
            </w:r>
          </w:p>
        </w:tc>
      </w:tr>
      <w:tr>
        <w:tc>
          <w:tcPr>
            <w:tcW w:type="dxa" w:w="2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Aggregate scale of impact</w:t>
            </w:r>
          </w:p>
        </w:tc>
        <w:tc>
          <w:tcPr>
            <w:tcW w:type="dxa" w:w="1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Severe</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Fleet-wide waste reduction</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 — open question (7.2)</w:t>
            </w:r>
          </w:p>
        </w:tc>
      </w:tr>
      <w:tr>
        <w:tc>
          <w:tcPr>
            <w:tcW w:type="dxa" w:w="2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Rebound / Jevons</w:t>
            </w:r>
          </w:p>
        </w:tc>
        <w:tc>
          <w:tcPr>
            <w:tcW w:type="dxa" w:w="1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Serious</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Aggregate benefit</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 — tied to scale</w:t>
            </w:r>
          </w:p>
        </w:tc>
      </w:tr>
      <w:tr>
        <w:tc>
          <w:tcPr>
            <w:tcW w:type="dxa" w:w="2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Greenwashing</w:t>
            </w:r>
          </w:p>
        </w:tc>
        <w:tc>
          <w:tcPr>
            <w:tcW w:type="dxa" w:w="1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Moderate</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Credibility of the practice</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Yes — by quantification (7.4)</w:t>
            </w:r>
          </w:p>
        </w:tc>
      </w:tr>
      <w:tr>
        <w:tc>
          <w:tcPr>
            <w:tcW w:type="dxa" w:w="2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E-waste colonialism</w:t>
            </w:r>
          </w:p>
        </w:tc>
        <w:tc>
          <w:tcPr>
            <w:tcW w:type="dxa" w:w="1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Serious</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The equity argument</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Partly — genuine reuse + Basel (7.5)</w:t>
            </w:r>
          </w:p>
        </w:tc>
      </w:tr>
      <w:tr>
        <w:tc>
          <w:tcPr>
            <w:tcW w:type="dxa" w:w="2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Accessibility / operator skill</w:t>
            </w:r>
          </w:p>
        </w:tc>
        <w:tc>
          <w:tcPr>
            <w:tcW w:type="dxa" w:w="1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Serious</w:t>
            </w:r>
          </w:p>
        </w:tc>
        <w:tc>
          <w:tcPr>
            <w:tcW w:type="dxa" w:w="2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The equity argument</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Partly — institutional model (7.6)</w:t>
            </w:r>
          </w:p>
        </w:tc>
      </w:tr>
      <w:tr>
        <w:tc>
          <w:tcPr>
            <w:tcW w:type="dxa" w:w="2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Measurement gap</w:t>
            </w:r>
          </w:p>
        </w:tc>
        <w:tc>
          <w:tcPr>
            <w:tcW w:type="dxa" w:w="1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Moderate</w:t>
            </w:r>
          </w:p>
        </w:tc>
        <w:tc>
          <w:tcPr>
            <w:tcW w:type="dxa" w:w="2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Demonstrated efficacy</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Yes — by future measurement (7.7)</w:t>
            </w:r>
          </w:p>
        </w:tc>
      </w:tr>
    </w:tbl>
    <w:p>
      <w:pPr>
        <w:spacing w:after="180" w:before="70"/>
        <w:jc w:val="left"/>
      </w:pPr>
      <w:r>
        <w:rPr>
          <w:rFonts w:ascii="Calibri" w:cs="Calibri" w:eastAsia="Calibri" w:hAnsi="Calibri"/>
          <w:i/>
          <w:iCs/>
          <w:color w:val="666666"/>
          <w:sz w:val="17"/>
          <w:szCs w:val="17"/>
        </w:rPr>
        <w:t xml:space="preserve">Table 4. The paper’s seven honest tensions, their severity, what each bears on, and whether it can be resolved. Two are severe. One — aggregate scale — is both severe and genuinely unresolved, and the paper treats it as its central open question rather than claiming otherwise. The clustering is worth noting: three of the seven bear on the equity and scale claims, which are precisely the claims the paper marks as argued-or-open rather than established.</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8. Implications and Future Work</w:t>
      </w:r>
    </w:p>
    <w:p>
      <w:pPr>
        <w:spacing w:after="130" w:before="0" w:line="300"/>
        <w:jc w:val="both"/>
      </w:pPr>
      <w:r>
        <w:rPr>
          <w:rFonts w:ascii="Cambria" w:cs="Cambria" w:eastAsia="Cambria" w:hAnsi="Cambria"/>
          <w:b w:val="false"/>
          <w:bCs w:val="false"/>
          <w:i w:val="false"/>
          <w:iCs w:val="false"/>
          <w:color w:val="1A1A1A"/>
          <w:sz w:val="21"/>
          <w:szCs w:val="21"/>
        </w:rPr>
        <w:t xml:space="preserve">The tensions of Section 7 map onto a research and policy agenda. We state each item at the level of specificity that would let someone else pursue it.</w:t>
      </w:r>
    </w:p>
    <w:p>
      <w:pPr>
        <w:pStyle w:val="Heading2"/>
        <w:spacing w:after="110" w:before="260"/>
      </w:pPr>
      <w:r>
        <w:rPr>
          <w:rFonts w:ascii="Calibri" w:cs="Calibri" w:eastAsia="Calibri" w:hAnsi="Calibri"/>
          <w:b/>
          <w:bCs/>
          <w:color w:val="2E5D3A"/>
          <w:sz w:val="22"/>
          <w:szCs w:val="22"/>
        </w:rPr>
        <w:t xml:space="preserve">8.1 The scale study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central open question — whether repurposing can matter at aggregate scale — is answerable, but not by the methods of this paper. It requires empirical work on adoption and displacement: studies that measure whether households given the means to repurpose old devices actually do so, whether doing so displaces new purchases or merely adds hardware, and at what rate the practice could plausibly spread. The outcome variable that matters is not devices repurposed but new devices not manufactured, and measuring it requires longitudinal design and honest counterfactuals. Until this work exists, the aggregate case for repurposing remains plausible-but-unproven, and this paper has tried to say exactly that.</w:t>
      </w:r>
    </w:p>
    <w:p>
      <w:pPr>
        <w:pStyle w:val="Heading2"/>
        <w:spacing w:after="110" w:before="260"/>
      </w:pPr>
      <w:r>
        <w:rPr>
          <w:rFonts w:ascii="Calibri" w:cs="Calibri" w:eastAsia="Calibri" w:hAnsi="Calibri"/>
          <w:b/>
          <w:bCs/>
          <w:color w:val="2E5D3A"/>
          <w:sz w:val="22"/>
          <w:szCs w:val="22"/>
        </w:rPr>
        <w:t xml:space="preserve">8.2 Lowering the skill barrier</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Repurposing is currently gated by technical skill, and the case system of Section 4 is gated severely — it requires server administration. If repurposing is to matter beyond a technical minority, the skill barrier must fall. This is a human-computer-interaction and systems research problem: designing repurposing tools that a non-specialist can use, packaging local-AI hosting so that it requires no more expertise than installing an application, and building the community infrastructure — repair cafes, repurposing collectives — that distributes the necessary skill. The environmental potential of repurposing is capped by its accessibility, and its accessibility is a design challenge that has barely been attempted.</w:t>
      </w:r>
    </w:p>
    <w:p>
      <w:pPr>
        <w:pStyle w:val="Heading2"/>
        <w:spacing w:after="110" w:before="260"/>
      </w:pPr>
      <w:r>
        <w:rPr>
          <w:rFonts w:ascii="Calibri" w:cs="Calibri" w:eastAsia="Calibri" w:hAnsi="Calibri"/>
          <w:b/>
          <w:bCs/>
          <w:color w:val="2E5D3A"/>
          <w:sz w:val="22"/>
          <w:szCs w:val="22"/>
        </w:rPr>
        <w:t xml:space="preserve">8.3 Policy for repurposing specifically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Section 6 noted that policy addresses repair and reuse far more than repurposing. The gap is an opportunity. The durability and reparability requirements now entering force could be extended to require repurposability: that devices remain unlockable, reprogrammable, and documented at end of manufacturer support, so that a device abandoned by its maker can be adopted by its owner for a new purpose. A right to repair implies a right to repurpose, and the legislative machinery now exists to establish it. This is perhaps the highest-leverage intervention available, because it acts on the software and permission artifacts that Section 4 identified as the real cause of much obsolescence.</w:t>
      </w:r>
    </w:p>
    <w:p>
      <w:pPr>
        <w:pStyle w:val="Heading2"/>
        <w:spacing w:after="110" w:before="260"/>
      </w:pPr>
      <w:r>
        <w:rPr>
          <w:rFonts w:ascii="Calibri" w:cs="Calibri" w:eastAsia="Calibri" w:hAnsi="Calibri"/>
          <w:b/>
          <w:bCs/>
          <w:color w:val="2E5D3A"/>
          <w:sz w:val="22"/>
          <w:szCs w:val="22"/>
        </w:rPr>
        <w:t xml:space="preserve">8.4 Measuring the case system</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specific case of Section 4 warrants its own empirical evaluation, which the companion technical work frames but which the present paper does not report: measuring the actual carbon balance of the system across a realistic range of served-device counts and grid intensities, and testing whether the served old devices deliver enough value to their users to be worth the server’s operational cost. Section 7.1 gives the condition; measuring whether the case system meets it is future work. The measurement is not exotic: instrument the server’s power draw, record the number and type of devices served and the queries they submit, obtain the grid’s carbon intensity, and compute the balance against a defensible estimate of displaced new-device manufacture. The result would move the case from argued to demonstrated, and the design framework of Appendix D specifies exactly which quantities to capture.</w:t>
      </w:r>
    </w:p>
    <w:p>
      <w:pPr>
        <w:pStyle w:val="Heading2"/>
        <w:spacing w:after="110" w:before="260"/>
      </w:pPr>
      <w:r>
        <w:rPr>
          <w:rFonts w:ascii="Calibri" w:cs="Calibri" w:eastAsia="Calibri" w:hAnsi="Calibri"/>
          <w:b/>
          <w:bCs/>
          <w:color w:val="2E5D3A"/>
          <w:sz w:val="22"/>
          <w:szCs w:val="22"/>
        </w:rPr>
        <w:t xml:space="preserve">8.5 The broader significance, and a reframing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Stepping back from the specifics, the significance of device repurposing lies in what it reveals about the nature of the e-waste crisis itself. The dominant framing treats e-waste as a disposal problem — a question of how to handle the growing mass of discarded electronics, to be answered with better recycling, better collection, better regulation of end-of-life flows. That framing is not wrong, and the instruments it produces are valuable. But it accepts the discarding as given and asks only how to manage its consequences.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repurposing argument suggests a different framing. If a large fraction of discarded devices are functional — if the obsolescence sending them to waste is substantially manufactured, economic, and perceptual rather than physical — then the e-waste crisis is not only a disposal problem but a utilisation problem. The question is not merely how to handle discarded hardware but why functional hardware is being discarded, and whether the discarding is necessary at all. This reframing does not replace the disposal framing; it precedes it. Better recycling handles what we discard; repurposing asks whether we needed to discard it.</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reframing in one line</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E-waste is conventionally framed as a disposal problem — what to do with discarded electronics. Repurposing reveals it as also a utilisation problem — why functional electronics are discarded at all. The two framings call for different interventions, and the second has been comparatively neglected.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is why the paper has insisted throughout on the distinction between capability and permission, between a device that cannot and a device that is merely not permitted to. The distinction matters because it locates the intervention. If devices were genuinely incapable, the only responses would be disposal-side: recycle them better, extract their materials more cleanly. Because they are frequently capable and merely stranded, a utilisation-side response becomes available: give them something to do, and someone willing to let them do it. The 2007 phone reaching a contemporary language model is the existence proof that the utilisation-side response is not hypothetical. What it requires is not better disposal but a different relationship to the hardware we already have — and, as Section 8.3 argued, policy and tooling that keep that relationship possible.</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9. Conclusion</w:t>
      </w:r>
    </w:p>
    <w:p>
      <w:pPr>
        <w:spacing w:after="130" w:before="0" w:line="300"/>
        <w:jc w:val="both"/>
      </w:pPr>
      <w:r>
        <w:rPr>
          <w:rFonts w:ascii="Cambria" w:cs="Cambria" w:eastAsia="Cambria" w:hAnsi="Cambria"/>
          <w:b w:val="false"/>
          <w:bCs w:val="false"/>
          <w:i w:val="false"/>
          <w:iCs w:val="false"/>
          <w:color w:val="1A1A1A"/>
          <w:sz w:val="21"/>
          <w:szCs w:val="21"/>
        </w:rPr>
        <w:t xml:space="preserve">We began with a number — 62 million tonnes, 22.3% recycled — and a claim: that much of what we call electronic waste is functioning hardware whose only defect is that no one will still transact with it.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significance of that claim rests on foundations this paper has documented and which are, at the level of hard data, secure. Electronic waste is the fastest-growing waste stream on the planet, and formal recycling is losing ground against it. The environmental cost of a device is overwhelmingly embodied in its manufacture, which means a discarded working device wastes carbon already spent rather than saving carbon still to come. The materials involved are scarce, strategically concentrated, sometimes extracted at grave human cost, and recovered by recycling at rates as low as one percent. Billions of functioning devices sit dormant, delivering value to no one. And the waste hierarchy that underpins international environmental law ranks reuse and repurposing far above the recycling that popular discourse treats as the responsible endpoint.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Against that backdrop, the case of Section 4 is a proof of a specific and, we think, important point: that the obsolescence sending devices to waste is frequently not a hardware limit but a software, permission, or economic artifact. A phone manufactured in 2007 can hold a conversation with a contemporary language model, using the browser it shipped with, because the only thing it was ever missing was a counterparty willing to speak its language — and a household server has no reason to refuse. What was declared waste was, all along, a functioning terminal waiting for something on the other end of the wire.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We have been careful about what this does and does not establish. It establishes that repurposing captures high per-device value and that the latent opportunity is vast. It does not establish that repurposing can bend the aggregate e-waste curve, because that depends on adoption, displacement, and scale that no one has yet demonstrated, and because running old hardware has an operational cost that can, under the wrong conditions, undo the benefit. We have given those tensions genuine space, because an argument for a practice one believes in is worth only as much as its honesty about the practice’s limits.</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significance, stated at the strength it has earned</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Device repurposing is a high-value, waste-hierarchy-superior, equity-positive intervention whose per-device benefits are well-established and whose aggregate potential is enormous but unproven. It deserves far more attention than it receives — in research, in policy, and in practice — not because it is a demonstrated solution to the e-waste crisis, but because it is a demonstrably valuable response that we have barely begun to pursue. The 2007 phone holding a conversation it could never have held when it was new is not the answer. It is the evidence that we have been throwing away things that still work.</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electronic-waste crisis will not be solved by any single intervention, and this paper claims no such thing for repurposing. But a crisis defined by discarding functioning hardware invites an obvious question, one the industry that produces the hardware has little incentive to ask: what if the hardware still works, and the only thing that has failed is our willingness to use it. The device on the other end of the wire was always capable. What it needed was permission, and permission is something we can choose to grant.</w:t>
      </w:r>
    </w:p>
    <w:p>
      <w:pPr>
        <w:pStyle w:val="Heading1"/>
        <w:pBdr>
          <w:bottom w:val="single" w:color="2E5D3A" w:sz="8" w:space="5"/>
        </w:pBdr>
        <w:spacing w:after="160" w:before="360"/>
      </w:pPr>
      <w:r>
        <w:rPr>
          <w:rFonts w:ascii="Calibri" w:cs="Calibri" w:eastAsia="Calibri" w:hAnsi="Calibri"/>
          <w:b/>
          <w:bCs/>
          <w:color w:val="2E5D3A"/>
          <w:sz w:val="26"/>
          <w:szCs w:val="26"/>
        </w:rPr>
        <w:t xml:space="preserve">Acknowledgements</w:t>
      </w:r>
    </w:p>
    <w:p>
      <w:pPr>
        <w:spacing w:after="130" w:before="0" w:line="300"/>
        <w:jc w:val="both"/>
      </w:pPr>
      <w:r>
        <w:rPr>
          <w:rFonts w:ascii="Cambria" w:cs="Cambria" w:eastAsia="Cambria" w:hAnsi="Cambria"/>
          <w:b w:val="false"/>
          <w:bCs w:val="false"/>
          <w:i w:val="false"/>
          <w:iCs w:val="false"/>
          <w:color w:val="1A1A1A"/>
          <w:sz w:val="21"/>
          <w:szCs w:val="21"/>
        </w:rPr>
        <w:t xml:space="preserve">This work was conducted independently as part of ongoing research into sustainable computing, digital equity, and human-machine interaction. It is a companion to a technical paper documenting the system architecture referenced in Section 4.</w:t>
      </w:r>
    </w:p>
    <w:p>
      <w:pPr>
        <w:pStyle w:val="Heading1"/>
        <w:pBdr>
          <w:bottom w:val="single" w:color="2E5D3A" w:sz="8" w:space="5"/>
        </w:pBdr>
        <w:spacing w:after="160" w:before="360"/>
      </w:pPr>
      <w:r>
        <w:rPr>
          <w:rFonts w:ascii="Calibri" w:cs="Calibri" w:eastAsia="Calibri" w:hAnsi="Calibri"/>
          <w:b/>
          <w:bCs/>
          <w:color w:val="2E5D3A"/>
          <w:sz w:val="26"/>
          <w:szCs w:val="26"/>
        </w:rPr>
        <w:t xml:space="preserve">Author’s Note on Citation Verification</w:t>
      </w:r>
    </w:p>
    <w:p>
      <w:pPr>
        <w:pBdr>
          <w:left w:val="single" w:color="9B3A2F" w:sz="14" w:space="8"/>
        </w:pBdr>
        <w:shd w:fill="FBF0EE" w:color="auto" w:val="clear"/>
        <w:spacing w:after="0" w:before="150" w:line="260"/>
        <w:ind w:left="160" w:right="160"/>
      </w:pPr>
      <w:r>
        <w:rPr>
          <w:rFonts w:ascii="Calibri" w:cs="Calibri" w:eastAsia="Calibri" w:hAnsi="Calibri"/>
          <w:b/>
          <w:bCs/>
          <w:color w:val="9B3A2F"/>
          <w:sz w:val="16"/>
          <w:szCs w:val="16"/>
        </w:rPr>
        <w:t xml:space="preserve">CAUTION — </w:t>
      </w:r>
      <w:r>
        <w:rPr>
          <w:rFonts w:ascii="Calibri" w:cs="Calibri" w:eastAsia="Calibri" w:hAnsi="Calibri"/>
          <w:b/>
          <w:bCs/>
          <w:color w:val="1A1A1A"/>
          <w:sz w:val="19"/>
          <w:szCs w:val="19"/>
        </w:rPr>
        <w:t xml:space="preserve">Read this before submitting or circulating this paper</w:t>
      </w:r>
    </w:p>
    <w:p>
      <w:pPr>
        <w:pBdr>
          <w:left w:val="single" w:color="9B3A2F" w:sz="14" w:space="8"/>
        </w:pBdr>
        <w:shd w:fill="FBF0EE" w:color="auto" w:val="clear"/>
        <w:spacing w:after="165" w:before="40" w:line="260"/>
        <w:ind w:left="160" w:right="160"/>
        <w:jc w:val="both"/>
      </w:pPr>
      <w:r>
        <w:rPr>
          <w:rFonts w:ascii="Calibri" w:cs="Calibri" w:eastAsia="Calibri" w:hAnsi="Calibri"/>
          <w:color w:val="1A1A1A"/>
          <w:sz w:val="19"/>
          <w:szCs w:val="19"/>
        </w:rPr>
        <w:t xml:space="preserve">This paper synthesises a large literature at speed. A subset of its citations were verified against primary sources — the Global E-waste Monitor, the WHO report, the EU directives and regulations by their official Official Journal references, and the flagship peer-reviewed studies. Others were compiled with full metadata but not independently confirmed, and several statistics — particularly the largest dormant-device counts and some industry survey figures — come from NGO or industry reporting rather than peer review and are flagged as indicative in the text. Verify every citation against its primary source before submission, and treat any figure not attributed to a named peer-reviewed study or official document as provisional.</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Particular caution applies to three categories. First, dormant-device population estimates in the billions derive from WEEE Forum, UNITAR, and GSMA reporting rather than peer review; the peer-reviewed anchor for hibernation behaviour is Wilson et al. (2017). Second, the DRC cobalt and child-labour figures should be cited to Amnesty International (2016) and UNICEF rather than to secondary accounts, and the cobalt supply-share figure varies by year and metric. Third, Global E-waste Monitor figures are revised across editions and describe documented formal flows; cite the specific edition and note that informal flows are understated.</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References</w:t>
      </w:r>
    </w:p>
    <w:p>
      <w:pPr>
        <w:spacing w:after="200" w:before="0" w:line="300"/>
        <w:jc w:val="both"/>
      </w:pPr>
      <w:r>
        <w:rPr>
          <w:rFonts w:ascii="Cambria" w:cs="Cambria" w:eastAsia="Cambria" w:hAnsi="Cambria"/>
          <w:b w:val="false"/>
          <w:bCs w:val="false"/>
          <w:i w:val="false"/>
          <w:iCs w:val="false"/>
          <w:color w:val="1A1A1A"/>
          <w:sz w:val="19"/>
          <w:szCs w:val="19"/>
        </w:rPr>
        <w:t xml:space="preserve">Entries marked </w:t>
      </w:r>
      <w:r>
        <w:rPr>
          <w:rFonts w:ascii="Cambria" w:cs="Cambria" w:eastAsia="Cambria" w:hAnsi="Cambria"/>
          <w:b/>
          <w:bCs/>
          <w:i w:val="false"/>
          <w:iCs w:val="false"/>
          <w:color w:val="2E7D32"/>
          <w:sz w:val="19"/>
          <w:szCs w:val="19"/>
        </w:rPr>
        <w:t xml:space="preserve">✔</w:t>
      </w:r>
      <w:r>
        <w:rPr>
          <w:rFonts w:ascii="Cambria" w:cs="Cambria" w:eastAsia="Cambria" w:hAnsi="Cambria"/>
          <w:b w:val="false"/>
          <w:bCs w:val="false"/>
          <w:i w:val="false"/>
          <w:iCs w:val="false"/>
          <w:color w:val="1A1A1A"/>
          <w:sz w:val="19"/>
          <w:szCs w:val="19"/>
        </w:rPr>
        <w:t xml:space="preserve"> were verified against a primary source (the Global E-waste Monitor, WHO, official EU Official Journal references, or the flagship peer-reviewed study). Unmarked entries were compiled with full metadata but require verification before submission. See the Author’s Note.</w:t>
      </w:r>
    </w:p>
    <w:p>
      <w:pPr>
        <w:spacing w:after="100" w:before="0" w:line="250"/>
        <w:ind w:left="480" w:hanging="480"/>
      </w:pPr>
      <w:r>
        <w:rPr>
          <w:rFonts w:ascii="Cambria" w:cs="Cambria" w:eastAsia="Cambria" w:hAnsi="Cambria"/>
          <w:color w:val="1A1A1A"/>
          <w:sz w:val="19"/>
          <w:szCs w:val="19"/>
        </w:rPr>
        <w:t xml:space="preserve">Agbogbloshie / Nature npj Urban Sustainability. (2025). The informal paradox: electronic waste and the toxic circular economy in Ghana. npj Urban Sustainability. [Verify volume/DOI before submission.]</w:t>
      </w:r>
    </w:p>
    <w:p>
      <w:pPr>
        <w:spacing w:after="100" w:before="0" w:line="250"/>
        <w:ind w:left="480" w:hanging="480"/>
      </w:pPr>
      <w:r>
        <w:rPr>
          <w:rFonts w:ascii="Cambria" w:cs="Cambria" w:eastAsia="Cambria" w:hAnsi="Cambria"/>
          <w:color w:val="1A1A1A"/>
          <w:sz w:val="19"/>
          <w:szCs w:val="19"/>
        </w:rPr>
        <w:t xml:space="preserve">Amankwaa, E. F. (2013). Livelihoods in risk: exploring health and environmental implications of e-waste recycling as a livelihood strategy in Ghana. The Journal of Modern African Studies, 51(4), 551–575. https://doi.org/10.1017/S0022278X1300058X</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Amnesty International &amp; Afrewatch. (2016). "This is what we die for": Human rights abuses in the Democratic Republic of the Congo power the global trade in cobalt (Index AFR 62/3183/2016). London: Amnesty International.</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Andrae, A. S. G., &amp; Edler, T. (2015). On global electricity usage of communication technology: Trends to 2030. Challenges, 6(1), 117–157. https://doi.org/10.3390/challe6010117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Baldé, C. P., Forti, V., Gray, V., Kuehr, R., &amp; Stegmann, P. (2017). The Global E-waste Monitor 2017: Quantities, flows, and resources. Bonn/Geneva/Vienna: United Nations University, ITU &amp; ISWA.</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Baldé, C. P., Kuehr, R., Yamamoto, T., McDonald, R., D’Angelo, E., Althaf, S., Bel, G., Deubzer, O., Fernandez-Cubillo, E., Forti, V., Gray, V., Herat, S., Honda, S., Iattoni, G., Khetriwal, D. S., Luda di Cortemiglia, V., Lobuntsova, Y., Nnorom, I., Pralat, N., &amp; Wagner, M. (2024). The Global E-waste Monitor 2024. Geneva/Bonn: International Telecommunication Union (ITU) &amp; United Nations Institute for Training and Research (UNITAR).</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Basel Convention. (1989). Basel Convention on the Control of Transboundary Movements of Hazardous Wastes and their Disposal (entered into force 1992; Ban Amendment adopted 1995, in force 2019). United Nations Environment Programme.</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Becher, S. I., &amp; Sibony, A.-L. (2021). Confronting product obsolescence. Columbia Journal of European Law, 27(1), 97–153.</w:t>
      </w:r>
    </w:p>
    <w:p>
      <w:pPr>
        <w:spacing w:after="100" w:before="0" w:line="250"/>
        <w:ind w:left="480" w:hanging="480"/>
      </w:pPr>
      <w:r>
        <w:rPr>
          <w:rFonts w:ascii="Cambria" w:cs="Cambria" w:eastAsia="Cambria" w:hAnsi="Cambria"/>
          <w:color w:val="1A1A1A"/>
          <w:sz w:val="19"/>
          <w:szCs w:val="19"/>
        </w:rPr>
        <w:t xml:space="preserve">Belkhir, L., &amp; Elmeligi, A. (2018). Assessing ICT global emissions footprint: Trends to 2040 &amp; recommendations. Journal of Cleaner Production, 177, 448–463. https://doi.org/10.1016/j.jclepro.2017.12.239</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Bisschop, L., Hendlin, Y., &amp; Jaspers, J. (2022). Designed to break: Planned obsolescence as corporate environmental crime. Crime, Law and Social Change, 78, 271–293. https://doi.org/10.1007/s10611-022-10023-4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Blevis, E. (2007). Sustainable interaction design: Invention &amp; disposal, renewal &amp; reuse. In Proceedings of the SIGCHI Conference on Human Factors in Computing Systems (CHI ’07) (pp. 503–512). ACM. https://doi.org/10.1145/1240624.1240705</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Bocken, N. M. P., de Pauw, I., Bakker, C., &amp; van der Grinten, B. (2016). Product design and business model strategies for a circular economy. Journal of Industrial and Production Engineering, 33(5), 308–320. https://doi.org/10.1080/21681015.2016.1172124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Bulow, J. (1986). An economic theory of planned obsolescence. The Quarterly Journal of Economics, 101(4), 729–749. https://doi.org/10.2307/1884176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Clément, L.-P., Jacquemotte, Q. E. S., &amp; Hilty, L. M. (2020). Sources of variation in life cycle assessments of smartphones and tablet computers. Environmental Impact Assessment Review, 84, 106416. https://doi.org/10.1016/j.eiar.2019.106416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Cooper, T. (2004). Inadequate life? Evidence of consumer attitudes to product obsolescence. Journal of Consumer Policy, 27(4), 421–449. https://doi.org/10.1007/s10603-004-2284-6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Cooper, T. (Ed.). (2010). Longer lasting products: Alternatives to the throwaway society. Farnham: Gower/Ashgate.</w:t>
      </w:r>
    </w:p>
    <w:p>
      <w:pPr>
        <w:spacing w:after="100" w:before="0" w:line="250"/>
        <w:ind w:left="480" w:hanging="480"/>
      </w:pPr>
      <w:r>
        <w:rPr>
          <w:rFonts w:ascii="Cambria" w:cs="Cambria" w:eastAsia="Cambria" w:hAnsi="Cambria"/>
          <w:color w:val="1A1A1A"/>
          <w:sz w:val="19"/>
          <w:szCs w:val="19"/>
        </w:rPr>
        <w:t xml:space="preserve">Cordella, M., Alfieri, F., &amp; Sanfélix, J. (2020). Guidance for the assessment of material efficiency: Application to smartphones (JRC Technical Report JRC116106). Luxembourg: Publications Office of the European Union.</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Cordella, M., Alfieri, F., Clemm, C., &amp; Berwald, A. (2021). Durability of smartphones: A technical analysis of reliability and repairability aspects. Journal of Cleaner Production, 286, 125388. https://doi.org/10.1016/j.jclepro.2020.125388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Ellen MacArthur Foundation. (2013). Towards the circular economy: Economic and business rationale for an accelerated transition (Vol. 1). Cowes: Ellen MacArthur Foundation.</w:t>
      </w:r>
    </w:p>
    <w:p>
      <w:pPr>
        <w:spacing w:after="100" w:before="0" w:line="250"/>
        <w:ind w:left="480" w:hanging="480"/>
      </w:pPr>
      <w:r>
        <w:rPr>
          <w:rFonts w:ascii="Cambria" w:cs="Cambria" w:eastAsia="Cambria" w:hAnsi="Cambria"/>
          <w:color w:val="1A1A1A"/>
          <w:sz w:val="19"/>
          <w:szCs w:val="19"/>
        </w:rPr>
        <w:t xml:space="preserve">Ercan, M., Malmodin, J., Bergmark, P., Kimfalk, E., &amp; Nilsson, E. (2016). Life cycle assessment of a smartphone. In Proceedings of ICT for Sustainability 2016 (pp. 124–133). Atlantis Press. https://doi.org/10.2991/ict4s-16.2016.15</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Commission. (2020). A new circular economy action plan for a cleaner and more competitive Europe (COM(2020) 98 final). Brussels: European Commission.</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(2008). Directive 2008/98/EC of 19 November 2008 on waste (Waste Framework Directive). Official Journal of the European Union, L 312, 3–30.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(2012). Directive 2012/19/EU of 4 July 2012 on waste electrical and electronic equipment (WEEE). Official Journal of the European Union, L 197, 38–71.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(2017). Regulation (EU) 2017/821 of 17 May 2017 laying down supply chain due diligence obligations for Union importers of tin, tantalum and tungsten, their ores, and gold originating from conflict-affected and high-risk areas. Official Journal of the European Union, L 130, 1–20.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(2024). Directive (EU) 2024/1799 of 13 June 2024 on common rules promoting the repair of goods. Official Journal of the European Union, L, 2024/1799.</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(2024). Regulation (EU) 2024/1781 of 13 June 2024 establishing a framework for the setting of ecodesign requirements for sustainable products (ESPR). Official Journal of the European Union, L, 2024/1781.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European Parliament and Council. (2024). Regulation (EU) 2024/1252 of 11 April 2024 establishing a framework for ensuring a secure and sustainable supply of critical raw materials (Critical Raw Materials Act). Official Journal of the European Union, L, 2024/1252.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Forti, V., Baldé, C. P., Kuehr, R., &amp; Bel, G. (2020). The Global E-waste Monitor 2020: Quantities, flows, and the circular economy potential. Bonn/Geneva/Rotterdam: UNU/UNITAR-SCYCLE, ITU &amp; ISWA.</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Freitag, C., Berners-Lee, M., Widdicks, K., Knowles, B., Blair, G. S., &amp; Friday, A. (2021). The real climate and transformative impact of ICT: A critique of estimates, trends, and regulations. Patterns, 2(9), 100340. https://doi.org/10.1016/j.patter.2021.100340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Geissdoerfer, M., Savaget, P., Bocken, N. M. P., &amp; Hultink, E. J. (2017). The circular economy – A new sustainability paradigm? Journal of Cleaner Production, 143, 757–768. https://doi.org/10.1016/j.jclepro.2016.12.048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Ghisellini, P., Cialani, C., &amp; Ulgiati, S. (2016). A review on circular economy: The expected transition to a balanced interplay of environmental and economic systems. Journal of Cleaner Production, 114, 11–32. https://doi.org/10.1016/j.jclepro.2015.09.007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Gossart, C. (2015). Rebound effects and ICT: A review of the literature. In L. M. Hilty &amp; B. Aebischer (Eds.), ICT innovations for sustainability (Advances in Intelligent Systems and Computing, Vol. 310, pp. 435–448). Cham: Springer. https://doi.org/10.1007/978-3-319-09228-7_26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Graedel, T. E., Harper, E. M., Nassar, N. T., &amp; Reck, B. K. (2013). On the materials basis of modern society. Proceedings of the National Academy of Sciences, 112(20), 6295–6300. https://doi.org/10.1073/pnas.1312752110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Graedel, T. E., Harper, E. M., Nassar, N. T., Nuss, P., &amp; Reck, B. K. (2015). Criticality of metals and metalloids. Proceedings of the National Academy of Sciences, 112(14), 4257–4262. https://doi.org/10.1073/pnas.1500415112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Grant, K., Goldizen, F. C., Sly, P. D., Brune, M.-N., Neira, M., van den Berg, M., &amp; Norman, R. E. (2013). Health consequences of exposure to e-waste: A systematic review. The Lancet Global Health, 1(6), e350–e361. https://doi.org/10.1016/S2214-109X(13)70101-3</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Guiltinan, J. (2009). Creative destruction and destructive creations: Environmental ethics and planned obsolescence. Journal of Business Ethics, 89(Suppl. 1), 19–28. https://doi.org/10.1007/s10551-008-9907-9</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Gupta, U., Elgamal, M., Hills, G., Wei, G.-Y., Lee, H.-H. S., Brooks, D., &amp; Wu, C.-J. (2022). ACT: Designing sustainable computer systems with an architectural carbon modeling tool. In Proceedings of the 49th Annual International Symposium on Computer Architecture (ISCA ’22) (pp. 784–799). ACM. https://doi.org/10.1145/3470496.3527408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Gupta, U., Kim, Y. G., Lee, S., Tse, J., Lee, H.-H. S., Wei, G.-Y., Brooks, D., &amp; Wu, C.-J. (2021). Chasing carbon: The elusive environmental footprint of computing. In IEEE International Symposium on High-Performance Computer Architecture (HPCA) (pp. 854–867). https://doi.org/10.1109/HPCA51647.2021.00076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Hilty, L. M., &amp; Aebischer, B. (Eds.). (2015). ICT innovations for sustainability (Advances in Intelligent Systems and Computing, Vol. 310). Cham: Springer. https://doi.org/10.1007/978-3-319-09228-7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Houston, L., &amp; Jackson, S. J. (2016). Caring for the "next billion" mobile handsets: Opening proprietary closures through the work of repair. In Proceedings of the Eighth International Conference on Information and Communication Technologies and Development (ICTD ’16) (Article 10). ACM. https://doi.org/10.1145/2909609.2909658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Jang, E., Johnson, M., Burnell, E., &amp; Heimerl, K. (2017). Unplanned obsolescence: Hardware and software after collapse. In Proceedings of the 2017 Workshop on Computing Within Limits (LIMITS ’17) (pp. 93–101). ACM. https://doi.org/10.1145/3080556.3080566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Jowitt, S. M., Werner, T. T., Weng, Z., &amp; Mudd, G. M. (2018). Recycling of the rare earth elements. Current Opinion in Green and Sustainable Chemistry, 13, 1–7. https://doi.org/10.1016/j.cogsc.2018.02.008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Kara, S. (2023). Cobalt red: How the blood of the Congo powers our lives. New York: St. Martin’s Press. [Note methodological criticism; pair with Amnesty International (2016).]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Katz, V. S., Moran, M. B., &amp; Ognyanova, K. (2019). Contextualizing connectivity: How internet connection type and parental factors influence technology use among lower-income children. Information, Communication &amp; Society, 22(3), 313–335. https://doi.org/10.1080/1369118X.2017.1379551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Kirchherr, J., Reike, D., &amp; Hekkert, M. (2017). Conceptualizing the circular economy: An analysis of 114 definitions. Resources, Conservation and Recycling, 127, 221–232. https://doi.org/10.1016/j.resconrec.2017.09.005</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Lindhqvist, T. (2000). Extended producer responsibility in cleaner production: Policy principle to promote environmental improvements of product systems (Doctoral dissertation). Lund University, IIIEE.</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Maitre-Ekern, E. (2021). Re-thinking producer responsibility for a sustainable circular economy from extended producer responsibility to pre-market producer responsibility. Journal of Cleaner Production, 286, 125454. https://doi.org/10.1016/j.jclepro.2020.125454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Malmodin, J., &amp; Lundén, D. (2018). The energy and carbon footprint of the global ICT and E&amp;M sectors 2010–2015. Sustainability, 10(9), 3027. https://doi.org/10.3390/su10093027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Mankoff, J. C., Blevis, E., Borning, A., Friedman, B., Fussell, S. R., Hasbrouck, J., Woodruff, A., &amp; Sengers, P. (2007). Environmental sustainability and interaction. In CHI ’07 Extended Abstracts (pp. 2121–2124). ACM. https://doi.org/10.1145/1240866.1240963</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Masanet, E., Shehabi, A., Lei, N., Smith, S., &amp; Koomey, J. (2020). Recalibrating global data center energy-use estimates. Science, 367(6481), 984–986. https://doi.org/10.1126/science.aba3758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Murray, A., Skene, K., &amp; Haynes, K. (2017). The circular economy: An interdisciplinary exploration of the concept and application in a global context. Journal of Business Ethics, 140(3), 369–380. https://doi.org/10.1007/s10551-015-2693-2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Nardi, B., Tomlinson, B., Patterson, D. J., Chen, J., Pargman, D., Raghavan, B., &amp; Penzenstadler, B. (2018). Computing within limits. Communications of the ACM, 61(10), 86–93. https://doi.org/10.1145/3183582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Odom, W., Pierce, J., Stolterman, E., &amp; Blevis, E. (2009). Understanding why we preserve some things and discard others in the context of interaction design. In Proceedings of the SIGCHI Conference on Human Factors in Computing Systems (CHI ’09) (pp. 1053–1062). ACM. https://doi.org/10.1145/1518701.1518862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Packard, V. (1960). The waste makers. New York: David McKay Company.</w:t>
      </w:r>
    </w:p>
    <w:p>
      <w:pPr>
        <w:spacing w:after="100" w:before="0" w:line="250"/>
        <w:ind w:left="480" w:hanging="480"/>
      </w:pPr>
      <w:r>
        <w:rPr>
          <w:rFonts w:ascii="Cambria" w:cs="Cambria" w:eastAsia="Cambria" w:hAnsi="Cambria"/>
          <w:color w:val="1A1A1A"/>
          <w:sz w:val="19"/>
          <w:szCs w:val="19"/>
        </w:rPr>
        <w:t xml:space="preserve">Perzanowski, A. (2022). The right to repair: Reclaiming the things we own. Cambridge: Cambridge University Press. https://doi.org/10.1017/9781108946926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Proske, M., Sánchez, D., Clemm, C., &amp; Baur, S.-J. (2020). Life cycle assessment of the Fairphone 3. Berlin: Fraunhofer IZM / Fairphone.</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Reike, D., Vermeulen, W. J. V., &amp; Witjes, S. (2018). The circular economy: New or refurbished as CE 3.0? — Exploring controversies in the conceptualization of the circular economy through a focus on history and resource value retention options. Resources, Conservation and Recycling, 135, 246–264. https://doi.org/10.1016/j.resconrec.2017.08.027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Rideout, V., &amp; Katz, V. S. (2016). Opportunity for all? Technology and learning in lower-income families. New York: The Joan Ganz Cooney Center at Sesame Workshop. (ERIC No. ED574416)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Sharma, V., Kumar, N., &amp; Nardi, B. (2023). Post-growth human–computer interaction. ACM Transactions on Computer–Human Interaction, 31(1), Article 8. https://doi.org/10.1145/3624981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Slade, G. (2006). Made to break: Technology and obsolescence in America. Cambridge, MA: Harvard University Press.</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Stahel, W. R. (2010). The performance economy (2nd ed.). Basingstoke: Palgrave Macmillan.</w:t>
      </w:r>
    </w:p>
    <w:p>
      <w:pPr>
        <w:spacing w:after="100" w:before="0" w:line="250"/>
        <w:ind w:left="480" w:hanging="480"/>
      </w:pPr>
      <w:r>
        <w:rPr>
          <w:rFonts w:ascii="Cambria" w:cs="Cambria" w:eastAsia="Cambria" w:hAnsi="Cambria"/>
          <w:color w:val="1A1A1A"/>
          <w:sz w:val="19"/>
          <w:szCs w:val="19"/>
        </w:rPr>
        <w:t xml:space="preserve">Stahel, W. R. (2019). The circular economy: A user’s guide. Abingdon: Routledge.</w:t>
      </w:r>
    </w:p>
    <w:p>
      <w:pPr>
        <w:spacing w:after="100" w:before="0" w:line="250"/>
        <w:ind w:left="480" w:hanging="480"/>
      </w:pPr>
      <w:r>
        <w:rPr>
          <w:rFonts w:ascii="Cambria" w:cs="Cambria" w:eastAsia="Cambria" w:hAnsi="Cambria"/>
          <w:color w:val="1A1A1A"/>
          <w:sz w:val="19"/>
          <w:szCs w:val="19"/>
        </w:rPr>
        <w:t xml:space="preserve">Santarius, T., Bieser, J. C. T., Frick, V., Höjer, M., Gossen, M., Hilty, L. M., Kern, E., Pohl, J., Rohde, F., &amp; Lange, S. (2022). Digital sufficiency: Conceptual considerations for ICTs on a finite planet. Annals of Telecommunications, 78, 277–295. https://doi.org/10.1007/s12243-022-00914-x</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Suckling, J., &amp; Lee, J. (2015). Redefining scope: The true environmental impact of smartphones? The International Journal of Life Cycle Assessment, 20(8), 1181–1196. https://doi.org/10.1007/s11367-015-0909-4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Svensson-Höglund, S., Richter, J. L., Maitre-Ekern, E., Russell, J. D., Pihlajarinne, T., &amp; Dalhammar, C. (2021). Barriers, enablers and market governance: A review of the policy landscape for repair of consumer electronics in the EU and the U.S. Journal of Cleaner Production, 288, 125488. https://doi.org/10.1016/j.jclepro.2020.125488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Switzer, J., Marcano, G., Kastner, R., &amp; Pannuto, P. (2023). Junkyard computing: Repurposing discarded smartphones to minimize carbon. In Proceedings of the 28th ACM International Conference on Architectural Support for Programming Languages and Operating Systems (ASPLOS 2023) (pp. 400–412). ACM. https://doi.org/10.1145/3575693.3575710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Tantawi, K. H., &amp; Hua, D. (2021). Temporal evolution of metallic element composition and environmental impact in consumer electronic devices: A study of smartphones. Resources, Conservation and Recycling, 168, 105313. [Verify volume/DOI before submission.]</w:t>
      </w:r>
    </w:p>
    <w:p>
      <w:pPr>
        <w:spacing w:after="100" w:before="0" w:line="250"/>
        <w:ind w:left="480" w:hanging="480"/>
      </w:pPr>
      <w:r>
        <w:rPr>
          <w:rFonts w:ascii="Cambria" w:cs="Cambria" w:eastAsia="Cambria" w:hAnsi="Cambria"/>
          <w:color w:val="1A1A1A"/>
          <w:sz w:val="19"/>
          <w:szCs w:val="19"/>
        </w:rPr>
        <w:t xml:space="preserve">Tomlinson, B., Silberman, M. S., Patterson, D., Pan, Y., &amp; Blevis, E. (2013). Collapse informatics and practice: Theory, method, and design. ACM Transactions on Computer–Human Interaction, 20(4), Article 24. https://doi.org/10.1145/2493431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United States Congress. (2010). Dodd-Frank Wall Street Reform and Consumer Protection Act, Section 1502 (conflict minerals). Public Law 111-203.</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U.S. Geological Survey. (2024). Mineral commodity summaries 2024. Reston, VA: U.S. Geological Survey. https://doi.org/10.3133/mcs2024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van Dijk, J. A. G. M. (2005). The deepening divide: Inequality in the information society. Thousand Oaks, CA: SAGE Publications.</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van Dijk, J. A. G. M. (2020). The digital divide. Cambridge: Polity Press.</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WEEE Forum &amp; UNITAR. (2022, October 14). International E-Waste Day 2022: Of 16 billion mobile phones possessed worldwide, 5.3 billion will become waste in 2022. Brussels: WEEE Forum. [Industry/NGO estimate — cite as indicative.]</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Wieser, H., &amp; Tröger, N. (2018). Exploring the inner loops of the circular economy: Replacement, repair, and reuse of mobile phones in Austria. Journal of Cleaner Production, 172, 3042–3055. https://doi.org/10.1016/j.jclepro.2017.11.106</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Wilson, G. T., Smalley, G., Suckling, J. R., Lilley, D., Lee, J., &amp; Mawle, R. (2017). The hibernating mobile phone: Dead storage as a barrier to efficient electronic waste recovery. Waste Management, 60, 521–533. https://doi.org/10.1016/j.wasman.2016.12.023</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Wirth, N. (1995). A plea for lean software. Computer, 28(2), 64–68. https://doi.org/10.1109/2.348001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World Health Organization. (2021). Children and digital dumpsites: E-waste exposure and child health. Geneva: World Health Organization.</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World Health Organization. (2024). Electronic waste (e-waste) [Fact sheet]. Geneva: World Health Organization.</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Zeng, X., Mathews, J. A., &amp; Li, J. (2018). Urban mining of e-waste is becoming more cost-effective than virgin mining. Environmental Science &amp; Technology, 52(8), 4835–4841. https://doi.org/10.1021/acs.est.7b04909</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Baldé, C. P., Wagner, M., Iattoni, G., &amp; Kuehr, R. (2022). In-depth review of the WEEE Collection Rates and Targets in the EU-27, UK, Norway, Switzerland, and Iceland. Bonn: UNITAR / WEEE Forum.</w:t>
      </w:r>
    </w:p>
    <w:p>
      <w:pPr>
        <w:spacing w:after="100" w:before="0" w:line="250"/>
        <w:ind w:left="480" w:hanging="480"/>
      </w:pPr>
      <w:r>
        <w:rPr>
          <w:rFonts w:ascii="Cambria" w:cs="Cambria" w:eastAsia="Cambria" w:hAnsi="Cambria"/>
          <w:color w:val="1A1A1A"/>
          <w:sz w:val="19"/>
          <w:szCs w:val="19"/>
        </w:rPr>
        <w:t xml:space="preserve">Bakker, C., Wang, F., Huisman, J., &amp; den Hollander, M. (2014). Products that go round: Exploring product life extension through design. Journal of Cleaner Production, 69, 10–16. https://doi.org/10.1016/j.jclepro.2014.01.028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Belkhir, L. (2018). How smartphones are heating up the planet. The Conversation. [Popular summary of Belkhir &amp; Elmeligi 2018 — cite the journal article instead.]</w:t>
      </w:r>
    </w:p>
    <w:p>
      <w:pPr>
        <w:spacing w:after="100" w:before="0" w:line="250"/>
        <w:ind w:left="480" w:hanging="480"/>
      </w:pPr>
      <w:r>
        <w:rPr>
          <w:rFonts w:ascii="Cambria" w:cs="Cambria" w:eastAsia="Cambria" w:hAnsi="Cambria"/>
          <w:color w:val="1A1A1A"/>
          <w:sz w:val="19"/>
          <w:szCs w:val="19"/>
        </w:rPr>
        <w:t xml:space="preserve">Bieser, J. C. T., Hintemann, R., Hilty, L. M., &amp; Beucker, S. (2023). A review of assessments of the greenhouse gas footprint and abatement potential of information and communication technology. Environmental Impact Assessment Review, 99, 107033. https://doi.org/10.1016/j.eiar.2022.107033</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Cooper, T. (2005). Slower consumption: Reflections on product life spans and the "throwaway society." Journal of Industrial Ecology, 9(1–2), 51–67. https://doi.org/10.1162/1088198054084671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den Hollander, M. C., Bakker, C. A., &amp; Hultink, E. J. (2017). Product design in a circular economy: Development of a typology of key concepts and terms. Journal of Industrial Ecology, 21(3), 517–525. https://doi.org/10.1111/jiec.12610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Ghana / Sly, P. D., Trottier, B. A., Bulka, C. M., et al. (2021). Health consequences of exposure to e-waste: An updated systematic review. The Lancet Global Health, 9(12), e1749–e1760. https://doi.org/10.1016/S2214-109X(21)00373-7</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Kirchherr, J., Yang, N.-H. N., Schulze-Spüntrup, F., Heerink, M. J., &amp; Hartley, K. (2023). Conceptualizing the circular economy (revisited): An analysis of 221 definitions. Resources, Conservation and Recycling, 194, 107001. https://doi.org/10.1016/j.resconrec.2023.107001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Makov, T., &amp; Fitzpatrick, C. (2021). Is repairability enough? Big data insights into smartphone obsolescence and consumer interest in repair. Journal of Cleaner Production, 313, 127561. https://doi.org/10.1016/j.jclepro.2021.127561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Manhart, A. (2011). International cooperation for metal recycling from waste electrical and electronic equipment: An assessment of the "best-of-two-worlds" approach. Journal of Industrial Ecology, 15(1), 13–30. https://doi.org/10.1111/j.1530-9290.2010.00307.x</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Preston, F. (2012). A global redesign? Shaping the circular economy (Energy, Environment and Resource Governance Briefing Paper). London: Chatham House.</w:t>
      </w:r>
    </w:p>
    <w:p>
      <w:pPr>
        <w:spacing w:after="100" w:before="0" w:line="250"/>
        <w:ind w:left="480" w:hanging="480"/>
      </w:pPr>
      <w:r>
        <w:rPr>
          <w:rFonts w:ascii="Cambria" w:cs="Cambria" w:eastAsia="Cambria" w:hAnsi="Cambria"/>
          <w:color w:val="1A1A1A"/>
          <w:sz w:val="19"/>
          <w:szCs w:val="19"/>
        </w:rPr>
        <w:t xml:space="preserve">Pierce, J., &amp; Paulos, E. (2011). Second-hand interactions: Investigating reacquisition and dispossession practices around domestic objects. In Proceedings of the SIGCHI Conference on Human Factors in Computing Systems (CHI ’11) (pp. 2385–2394). ACM. https://doi.org/10.1145/1978942.1979291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Raghavan, B., &amp; Ma, J. (2011). The energy and emergy of the internet. In Proceedings of the 10th ACM Workshop on Hot Topics in Networks (HotNets-X) (Article 9). ACM. https://doi.org/10.1145/2070562.2070571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Remy, C., &amp; Huang, E. M. (2015). Limits and sustainable interaction design: Obsolescence in a future of collapse and resource scarcity. First Monday, 20(8). https://doi.org/10.5210/fm.v20i8.6122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Rizos, V., Behrens, A., van der Gaast, W., et al. (2016). Implementation of circular economy business models by small and medium-sized enterprises (SMEs): Barriers and enablers. Sustainability, 8(11), 1212. https://doi.org/10.3390/su8111212</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Robinson, B. H. (2009). E-waste: An assessment of global production and environmental impacts. Science of the Total Environment, 408(2), 183–191. https://doi.org/10.1016/j.scitotenv.2009.09.044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Sabbaghi, M., Esmaeilian, B., Cade, W., Wiens, K., &amp; Behdad, S. (2016). Business outcomes of product repairability: A survey-based study of consumer repair experiences. Resources, Conservation and Recycling, 109, 114–122. https://doi.org/10.1016/j.resconrec.2016.02.014</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Schluep, M., Hagelueken, C., Kuehr, R., Magalini, F., Maurer, C., Meskers, C., Mueller, E., &amp; Wang, F. (2009). Recycling — From e-waste to resources. Bonn/Berlin: United Nations Environment Programme &amp; UNU.</w:t>
      </w:r>
    </w:p>
    <w:p>
      <w:pPr>
        <w:spacing w:after="100" w:before="0" w:line="250"/>
        <w:ind w:left="480" w:hanging="480"/>
      </w:pPr>
      <w:r>
        <w:rPr>
          <w:rFonts w:ascii="Cambria" w:cs="Cambria" w:eastAsia="Cambria" w:hAnsi="Cambria"/>
          <w:color w:val="1A1A1A"/>
          <w:sz w:val="19"/>
          <w:szCs w:val="19"/>
        </w:rPr>
        <w:t xml:space="preserve">Stanford / Perzanowski, A., &amp; Schultz, J. (2016). The end of ownership: Personal property in the digital economy. Cambridge, MA: MIT Press.</w:t>
      </w:r>
    </w:p>
    <w:p>
      <w:pPr>
        <w:spacing w:after="100" w:before="0" w:line="250"/>
        <w:ind w:left="480" w:hanging="480"/>
      </w:pPr>
      <w:r>
        <w:rPr>
          <w:rFonts w:ascii="Cambria" w:cs="Cambria" w:eastAsia="Cambria" w:hAnsi="Cambria"/>
          <w:color w:val="1A1A1A"/>
          <w:sz w:val="19"/>
          <w:szCs w:val="19"/>
        </w:rPr>
        <w:t xml:space="preserve">Thomas, V. M. (2003). Demand and dematerialization impacts of second-hand markets: Reuse or more use? Journal of Industrial Ecology, 7(2), 65–78. https://doi.org/10.1162/108819803322564370</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UNEP. (2019). A new circular vision for electronics: Time for a global reboot. Geneva: World Economic Forum &amp; Platform for Accelerating the Circular Economy (PACE).</w:t>
      </w:r>
    </w:p>
    <w:p>
      <w:pPr>
        <w:spacing w:after="100" w:before="0" w:line="250"/>
        <w:ind w:left="480" w:hanging="480"/>
      </w:pPr>
      <w:r>
        <w:rPr>
          <w:rFonts w:ascii="Cambria" w:cs="Cambria" w:eastAsia="Cambria" w:hAnsi="Cambria"/>
          <w:color w:val="1A1A1A"/>
          <w:sz w:val="19"/>
          <w:szCs w:val="19"/>
        </w:rPr>
        <w:t xml:space="preserve">Wang, F., Huisman, J., Stevels, A., &amp; Baldé, C. P. (2013). Enhancing e-waste estimates: Improving data quality by multivariate input–output analysis. Waste Management, 33(11), 2397–2407. https://doi.org/10.1016/j.wasman.2013.07.005</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Watson, D., Gylling, A. C., Tojo, N., Throne-Holst, H., Bauer, B., &amp; Milios, L. (2017). Circular business models in the mobile phone industry (TemaNord 2017:560). Copenhagen: Nordic Council of Ministers.</w:t>
      </w:r>
    </w:p>
    <w:p>
      <w:pPr>
        <w:spacing w:after="100" w:before="0" w:line="250"/>
        <w:ind w:left="480" w:hanging="480"/>
      </w:pPr>
      <w:r>
        <w:rPr>
          <w:rFonts w:ascii="Cambria" w:cs="Cambria" w:eastAsia="Cambria" w:hAnsi="Cambria"/>
          <w:color w:val="1A1A1A"/>
          <w:sz w:val="19"/>
          <w:szCs w:val="19"/>
        </w:rPr>
        <w:t xml:space="preserve">Widmer, R., Oswald-Krapf, H., Sinha-Khetriwal, D., Schnellmann, M., &amp; Böni, H. (2005). Global perspectives on e-waste. Environmental Impact Assessment Review, 25(5), 436–458. https://doi.org/10.1016/j.eiar.2005.04.001</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Zeng, X., Yang, C., Chiang, J. F., &amp; Li, J. (2017). Innovating e-waste management: From macroscopic to microscopic scales. Science of the Total Environment, 575, 1–13. https://doi.org/10.1016/j.scitotenv.2016.09.078</w:t>
      </w:r>
      <w:r>
        <w:rPr>
          <w:rFonts w:ascii="Calibri" w:cs="Calibri" w:eastAsia="Calibri" w:hAnsi="Calibri"/>
          <w:b/>
          <w:bCs/>
          <w:color w:val="2E7D32"/>
          <w:sz w:val="17"/>
          <w:szCs w:val="17"/>
        </w:rPr>
        <w:t xml:space="preserve">  ✔</w:t>
      </w:r>
    </w:p>
    <w:p>
      <w:pPr>
        <w:spacing w:after="100" w:before="0" w:line="250"/>
        <w:ind w:left="480" w:hanging="480"/>
      </w:pPr>
      <w:r>
        <w:rPr>
          <w:rFonts w:ascii="Cambria" w:cs="Cambria" w:eastAsia="Cambria" w:hAnsi="Cambria"/>
          <w:color w:val="1A1A1A"/>
          <w:sz w:val="19"/>
          <w:szCs w:val="19"/>
        </w:rPr>
        <w:t xml:space="preserve">Zink, T., &amp; Geyer, R. (2017). Circular economy rebound. Journal of Industrial Ecology, 21(3), 593–602. https://doi.org/10.1111/jiec.12545</w:t>
      </w:r>
      <w:r>
        <w:rPr>
          <w:rFonts w:ascii="Calibri" w:cs="Calibri" w:eastAsia="Calibri" w:hAnsi="Calibri"/>
          <w:b/>
          <w:bCs/>
          <w:color w:val="2E7D32"/>
          <w:sz w:val="17"/>
          <w:szCs w:val="17"/>
        </w:rPr>
        <w:t xml:space="preserve">  ✔</w:t>
      </w:r>
    </w:p>
    <w:p>
      <w:pPr>
        <w:spacing w:after="130" w:before="300" w:line="300"/>
        <w:jc w:val="both"/>
      </w:pPr>
      <w:r>
        <w:rPr>
          <w:rFonts w:ascii="Cambria" w:cs="Cambria" w:eastAsia="Cambria" w:hAnsi="Cambria"/>
          <w:b/>
          <w:bCs/>
          <w:i w:val="false"/>
          <w:iCs w:val="false"/>
          <w:color w:val="1A1A1A"/>
          <w:sz w:val="21"/>
          <w:szCs w:val="21"/>
        </w:rPr>
        <w:t xml:space="preserve">Reference count: </w:t>
      </w:r>
      <w:r>
        <w:rPr>
          <w:rFonts w:ascii="Cambria" w:cs="Cambria" w:eastAsia="Cambria" w:hAnsi="Cambria"/>
          <w:b w:val="false"/>
          <w:bCs w:val="false"/>
          <w:i w:val="false"/>
          <w:iCs w:val="false"/>
          <w:color w:val="1A1A1A"/>
          <w:sz w:val="21"/>
          <w:szCs w:val="21"/>
        </w:rPr>
        <w:t xml:space="preserve">105 entries, of which 90 were verified against a primary source.</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Appendix A. The Evidence Base, Cluster by Cluster</w:t>
      </w:r>
    </w:p>
    <w:p>
      <w:pPr>
        <w:spacing w:after="130" w:before="0" w:line="300"/>
        <w:jc w:val="both"/>
      </w:pPr>
      <w:r>
        <w:rPr>
          <w:rFonts w:ascii="Cambria" w:cs="Cambria" w:eastAsia="Cambria" w:hAnsi="Cambria"/>
          <w:b w:val="false"/>
          <w:bCs w:val="false"/>
          <w:i w:val="false"/>
          <w:iCs w:val="false"/>
          <w:color w:val="1A1A1A"/>
          <w:sz w:val="21"/>
          <w:szCs w:val="21"/>
        </w:rPr>
        <w:t xml:space="preserve">The body of this paper draws on twelve distinct literatures, each of which contributes a different part of the significance argument. This appendix documents them individually — what each establishes, its strongest sources, and the confidence the evidence supports — so that a reader can audit the foundation rather than take the synthesis on trust. We regard this as the paper’s reproducibility apparatus: the argument is only as strong as these clusters, and they should be inspectable.</w:t>
      </w:r>
    </w:p>
    <w:p>
      <w:pPr>
        <w:pStyle w:val="Heading2"/>
        <w:spacing w:after="110" w:before="260"/>
      </w:pPr>
      <w:r>
        <w:rPr>
          <w:rFonts w:ascii="Calibri" w:cs="Calibri" w:eastAsia="Calibri" w:hAnsi="Calibri"/>
          <w:b/>
          <w:bCs/>
          <w:color w:val="2E5D3A"/>
          <w:sz w:val="22"/>
          <w:szCs w:val="22"/>
        </w:rPr>
        <w:t xml:space="preserve">A.1 The scale of the crisis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foundational cluster, and the most secure. The Global E-waste Monitor series (Balde et al., 2024; Forti et al., 2020; Balde et al., 2017) is the authoritative dataset, produced jointly by UN bodies and revised across editions. It establishes the 62-million-tonne figure, the 82% growth since 2010, the 22.3% formal recycling rate, and the 2030 projections. Supporting statistical work on e-waste estimation methodology (Wang et al., 2013; Widmer et al., 2005) and regional collection analysis (Balde et al., 2022) underpins the headline numbers. Robinson (2009) provides an early and much-cited assessment of global e-waste production and impacts.</w:t>
      </w:r>
    </w:p>
    <w:p>
      <w:pPr>
        <w:pBdr>
          <w:left w:val="single" w:color="666666" w:sz="14" w:space="8"/>
        </w:pBdr>
        <w:shd w:fill="F2F2F2" w:color="auto" w:val="clear"/>
        <w:spacing w:after="0" w:before="150" w:line="260"/>
        <w:ind w:left="160" w:right="160"/>
      </w:pPr>
      <w:r>
        <w:rPr>
          <w:rFonts w:ascii="Calibri" w:cs="Calibri" w:eastAsia="Calibri" w:hAnsi="Calibri"/>
          <w:b/>
          <w:bCs/>
          <w:color w:val="666666"/>
          <w:sz w:val="16"/>
          <w:szCs w:val="16"/>
        </w:rPr>
        <w:t xml:space="preserve">NOTE — </w:t>
      </w:r>
      <w:r>
        <w:rPr>
          <w:rFonts w:ascii="Calibri" w:cs="Calibri" w:eastAsia="Calibri" w:hAnsi="Calibri"/>
          <w:b/>
          <w:bCs/>
          <w:color w:val="1A1A1A"/>
          <w:sz w:val="19"/>
          <w:szCs w:val="19"/>
        </w:rPr>
        <w:t xml:space="preserve">Confidence: high</w:t>
      </w:r>
    </w:p>
    <w:p>
      <w:pPr>
        <w:pBdr>
          <w:left w:val="single" w:color="666666" w:sz="14" w:space="8"/>
        </w:pBdr>
        <w:shd w:fill="F2F2F2" w:color="auto" w:val="clear"/>
        <w:spacing w:after="165" w:before="40" w:line="260"/>
        <w:ind w:left="160" w:right="160"/>
        <w:jc w:val="both"/>
      </w:pPr>
      <w:r>
        <w:rPr>
          <w:rFonts w:ascii="Calibri" w:cs="Calibri" w:eastAsia="Calibri" w:hAnsi="Calibri"/>
          <w:color w:val="1A1A1A"/>
          <w:sz w:val="19"/>
          <w:szCs w:val="19"/>
        </w:rPr>
        <w:t xml:space="preserve">These are the hardest numbers in the paper. They are produced by the standard monitoring bodies, revised on a regular cycle, and widely cited. The one caveat is that they describe documented formal flows and therefore understate total generation — the true figures are worse, not better, than stated.</w:t>
      </w:r>
    </w:p>
    <w:p>
      <w:pPr>
        <w:pStyle w:val="Heading2"/>
        <w:spacing w:after="110" w:before="260"/>
      </w:pPr>
      <w:r>
        <w:rPr>
          <w:rFonts w:ascii="Calibri" w:cs="Calibri" w:eastAsia="Calibri" w:hAnsi="Calibri"/>
          <w:b/>
          <w:bCs/>
          <w:color w:val="2E5D3A"/>
          <w:sz w:val="22"/>
          <w:szCs w:val="22"/>
        </w:rPr>
        <w:t xml:space="preserve">A.2 The public-health cost of informal recycling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cluster supplies the moral weight of the argument. The World Health Organization’s 2021 report Children and Digital Dumpsites is the anchor, supported by systematic reviews in The Lancet Global Health (Grant et al., 2013; Sly et al., 2021) that associate e-waste exposure with neurodevelopmental, respiratory, thyroid, and DNA-damage outcomes across dozens of studies. Site-specific work at Agbogbloshie (Amankwaa, 2013) and in the Guiyu region documents the exposure pathways and the elevated contaminant burdens in exposed populations. The WHO fact sheet (2024) provides the current summary framing.</w:t>
      </w:r>
    </w:p>
    <w:p>
      <w:pPr>
        <w:pStyle w:val="Heading2"/>
        <w:spacing w:after="110" w:before="260"/>
      </w:pPr>
      <w:r>
        <w:rPr>
          <w:rFonts w:ascii="Calibri" w:cs="Calibri" w:eastAsia="Calibri" w:hAnsi="Calibri"/>
          <w:b/>
          <w:bCs/>
          <w:color w:val="2E5D3A"/>
          <w:sz w:val="22"/>
          <w:szCs w:val="22"/>
        </w:rPr>
        <w:t xml:space="preserve">A.3 Embodied carbon and life-cycle assessment</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cluster that reorganises the ethics of disposal. The 70-to-90% manufacturing-share finding is established across independent life-cycle assessments: Suckling and Lee (2015) on smartphone impact, Proske et al. (2020) on the Fairphone 3, Ercan et al. (2016) with a full device breakdown, and Malmodin and Lunden (2018) at sector scale. Methodological variation is characterised by Clement et al. (2020). The carbon-aware computing literature (Gupta et al., 2021, 2022) supplies the three-year amortisation threshold and the architectural framing. Bieser et al. (2023) review the broader ICT-footprint estimates.</w:t>
      </w:r>
    </w:p>
    <w:p>
      <w:pPr>
        <w:pBdr>
          <w:left w:val="single" w:color="666666" w:sz="14" w:space="8"/>
        </w:pBdr>
        <w:shd w:fill="F2F2F2" w:color="auto" w:val="clear"/>
        <w:spacing w:after="0" w:before="150" w:line="260"/>
        <w:ind w:left="160" w:right="160"/>
      </w:pPr>
      <w:r>
        <w:rPr>
          <w:rFonts w:ascii="Calibri" w:cs="Calibri" w:eastAsia="Calibri" w:hAnsi="Calibri"/>
          <w:b/>
          <w:bCs/>
          <w:color w:val="666666"/>
          <w:sz w:val="16"/>
          <w:szCs w:val="16"/>
        </w:rPr>
        <w:t xml:space="preserve">NOTE — </w:t>
      </w:r>
      <w:r>
        <w:rPr>
          <w:rFonts w:ascii="Calibri" w:cs="Calibri" w:eastAsia="Calibri" w:hAnsi="Calibri"/>
          <w:b/>
          <w:bCs/>
          <w:color w:val="1A1A1A"/>
          <w:sz w:val="19"/>
          <w:szCs w:val="19"/>
        </w:rPr>
        <w:t xml:space="preserve">Confidence: high for the direction, moderate for any single figure</w:t>
      </w:r>
    </w:p>
    <w:p>
      <w:pPr>
        <w:pBdr>
          <w:left w:val="single" w:color="666666" w:sz="14" w:space="8"/>
        </w:pBdr>
        <w:shd w:fill="F2F2F2" w:color="auto" w:val="clear"/>
        <w:spacing w:after="165" w:before="40" w:line="260"/>
        <w:ind w:left="160" w:right="160"/>
        <w:jc w:val="both"/>
      </w:pPr>
      <w:r>
        <w:rPr>
          <w:rFonts w:ascii="Calibri" w:cs="Calibri" w:eastAsia="Calibri" w:hAnsi="Calibri"/>
          <w:color w:val="1A1A1A"/>
          <w:sz w:val="19"/>
          <w:szCs w:val="19"/>
        </w:rPr>
        <w:t xml:space="preserve">That manufacturing dominates lifetime carbon for phones and tablets is robust across studies. The specific kilogram figures vary with methodology, use assumptions, and grid intensity, so the paper cites ranges rather than points and attributes each to its study.</w:t>
      </w:r>
    </w:p>
    <w:p>
      <w:pPr>
        <w:pStyle w:val="Heading2"/>
        <w:spacing w:after="110" w:before="260"/>
      </w:pPr>
      <w:r>
        <w:rPr>
          <w:rFonts w:ascii="Calibri" w:cs="Calibri" w:eastAsia="Calibri" w:hAnsi="Calibri"/>
          <w:b/>
          <w:bCs/>
          <w:color w:val="2E5D3A"/>
          <w:sz w:val="22"/>
          <w:szCs w:val="22"/>
        </w:rPr>
        <w:t xml:space="preserve">A.4 The waste hierarchy and reuse-over-recycling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legal-and-conceptual backbone. The EU Waste Framework Directive (2008/98/EC) supplies the codified hierarchy; Reike et al. (2018) supply the value-retention ordering that explains why reuse outranks recycling. Bakker et al. (2014) and den Hollander et al. (2017) develop the product-life-extension and design typologies. The general reviews (Ghisellini et al., 2016; Murray et al., 2017) confirm the ordering across the circular-economy field.</w:t>
      </w:r>
    </w:p>
    <w:p>
      <w:pPr>
        <w:pStyle w:val="Heading2"/>
        <w:spacing w:after="110" w:before="260"/>
      </w:pPr>
      <w:r>
        <w:rPr>
          <w:rFonts w:ascii="Calibri" w:cs="Calibri" w:eastAsia="Calibri" w:hAnsi="Calibri"/>
          <w:b/>
          <w:bCs/>
          <w:color w:val="2E5D3A"/>
          <w:sz w:val="22"/>
          <w:szCs w:val="22"/>
        </w:rPr>
        <w:t xml:space="preserve">A.5 The circular economy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systems framing. Foundational works by Stahel (2010, 2019) on the performance economy and Bocken et al. (2016) on slowing, closing, and narrowing loops establish the vocabulary. Geissdoerfer et al. (2017) supply the definition; Kirchherr et al. (2017, and the 2023 update to 221 definitions) supply the critical analysis, including the finding that reuse is under-emphasised relative to recycling and that social equity is weakly developed — both directly relevant to this paper. Zink and Geyer (2017) introduce the crucial circular-economy rebound concept that Section 7.3 relies on.</w:t>
      </w:r>
    </w:p>
    <w:p>
      <w:pPr>
        <w:pStyle w:val="Heading2"/>
        <w:spacing w:after="110" w:before="260"/>
      </w:pPr>
      <w:r>
        <w:rPr>
          <w:rFonts w:ascii="Calibri" w:cs="Calibri" w:eastAsia="Calibri" w:hAnsi="Calibri"/>
          <w:b/>
          <w:bCs/>
          <w:color w:val="2E5D3A"/>
          <w:sz w:val="22"/>
          <w:szCs w:val="22"/>
        </w:rPr>
        <w:t xml:space="preserve">A.6 Planned and perceived obsolescence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cluster explaining why working devices become waste. Bulow (1986) supplies the economic theory; Slade (2006) and Packard (1960) the history; Guiltinan (2009) and Bisschop et al. (2022) the ethical and criminological framing. The empirical anchor is Wieser and Troger (2018), whose finding that around 70% of phones are replaced while still working is load-bearing for the paper. Cooper (2004, 2005) documents consumer attitudes; Makov and Fitzpatrick (2021) bring big-data evidence on smartphone obsolescence and repair interest. Wirth (1995) supplies the software-bloat mechanism.</w:t>
      </w:r>
    </w:p>
    <w:p>
      <w:pPr>
        <w:pStyle w:val="Heading2"/>
        <w:spacing w:after="110" w:before="260"/>
      </w:pPr>
      <w:r>
        <w:rPr>
          <w:rFonts w:ascii="Calibri" w:cs="Calibri" w:eastAsia="Calibri" w:hAnsi="Calibri"/>
          <w:b/>
          <w:bCs/>
          <w:color w:val="2E5D3A"/>
          <w:sz w:val="22"/>
          <w:szCs w:val="22"/>
        </w:rPr>
        <w:t xml:space="preserve">A.7 Right to repair</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policy-momentum cluster. Perzanowski (2022) is the definitive legal treatment; the EU repair directive (2024/1799), Ecodesign regulation (2024/1781), and their impact assessments supply the current legislative state and the 261-Mt / EUR-12-billion figures. Svensson-Hoglund et al. (2021) review the EU and US policy landscape; Sabbaghi et al. (2016) and Makov and Fitzpatrick (2021) supply the consumer-repair evidence. Perzanowski and Schultz (2016) connect repair to the broader question of digital ownership.</w:t>
      </w:r>
    </w:p>
    <w:p>
      <w:pPr>
        <w:pStyle w:val="Heading2"/>
        <w:spacing w:after="110" w:before="260"/>
      </w:pPr>
      <w:r>
        <w:rPr>
          <w:rFonts w:ascii="Calibri" w:cs="Calibri" w:eastAsia="Calibri" w:hAnsi="Calibri"/>
          <w:b/>
          <w:bCs/>
          <w:color w:val="2E5D3A"/>
          <w:sz w:val="22"/>
          <w:szCs w:val="22"/>
        </w:rPr>
        <w:t xml:space="preserve">A.8 The digital divide and device equity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social-significance cluster. Van Dijk (2005, 2020) supplies the multi-dimensional divide framework; Rideout and Katz (2016) supply the under-connection concept and the mobile-only dependence figures; Katz et al. (2019) develop the connection-type effects. Pierce and Paulos (2011) and Thomas (2003) supply the second-hand and reacquisition literature that connects device flows to reuse.</w:t>
      </w:r>
    </w:p>
    <w:p>
      <w:pPr>
        <w:pStyle w:val="Heading2"/>
        <w:spacing w:after="110" w:before="260"/>
      </w:pPr>
      <w:r>
        <w:rPr>
          <w:rFonts w:ascii="Calibri" w:cs="Calibri" w:eastAsia="Calibri" w:hAnsi="Calibri"/>
          <w:b/>
          <w:bCs/>
          <w:color w:val="2E5D3A"/>
          <w:sz w:val="22"/>
          <w:szCs w:val="22"/>
        </w:rPr>
        <w:t xml:space="preserve">A.9 Sustainable HCI and computing within limits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disciplinary-home cluster. Blevis (2007) founds sustainable interaction design with its reuse-over-disposal rubric; Mankoff et al. (2007) establish sustainability as an HCI concern. The limits tradition — Nardi et al. (2018), Tomlinson et al. (2013), Jang et al. (2017), Remy and Huang (2015) — supplies the scarcity-and-collapse framing and, crucially, the explicit naming of the rebound hazard. Santarius et al. (2022) contribute the digital-sufficiency concept, with hardware sufficiency — fewer devices, kept longer — as its first dimension. Sharma et al. (2023) extend this to post-growth HCI.</w:t>
      </w:r>
    </w:p>
    <w:p>
      <w:pPr>
        <w:pStyle w:val="Heading2"/>
        <w:spacing w:after="110" w:before="260"/>
      </w:pPr>
      <w:r>
        <w:rPr>
          <w:rFonts w:ascii="Calibri" w:cs="Calibri" w:eastAsia="Calibri" w:hAnsi="Calibri"/>
          <w:b/>
          <w:bCs/>
          <w:color w:val="2E5D3A"/>
          <w:sz w:val="22"/>
          <w:szCs w:val="22"/>
        </w:rPr>
        <w:t xml:space="preserve">A.10 Repurposing and creative reuse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case-precedent cluster. Switzer et al. (2023), Junkyard Computing, is the flagship: a functioning cloud from discarded phones, with the computational-carbon-intensity metric and the blunt conclusion that recycling is not the answer. Gupta et al. (2022) model phone-as-storage repurposing. Houston and Jackson (2016) supply the repair-and-repurposing ethnography from the Global South. Raghavan and Ma (2011) supply the internet-energy framing that situates repurposing within infrastructure cost.</w:t>
      </w:r>
    </w:p>
    <w:p>
      <w:pPr>
        <w:pStyle w:val="Heading2"/>
        <w:spacing w:after="110" w:before="260"/>
      </w:pPr>
      <w:r>
        <w:rPr>
          <w:rFonts w:ascii="Calibri" w:cs="Calibri" w:eastAsia="Calibri" w:hAnsi="Calibri"/>
          <w:b/>
          <w:bCs/>
          <w:color w:val="2E5D3A"/>
          <w:sz w:val="22"/>
          <w:szCs w:val="22"/>
        </w:rPr>
        <w:t xml:space="preserve">A.11 Materials and geopolitics</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resource-security cluster. Graedel et al. (2013, 2015) establish the materials basis and criticality of modern electronics; Tantawi and Hua (2021) supply the empirical smartphone composition. Amnesty International (2016) and Kara (2023) document the DRC cobalt supply chain; the Dodd-Frank and EU conflict-minerals frameworks supply the regulatory response. The EU Critical Raw Materials Act (2024) and USGS (2024) supply the strategic concentration data; Jowitt et al. (2018) supply the ~1% rare-earth recycling rate; Zeng et al. (2018) supply the urban-mining cost comparison.</w:t>
      </w:r>
    </w:p>
    <w:p>
      <w:pPr>
        <w:pStyle w:val="Heading2"/>
        <w:spacing w:after="110" w:before="260"/>
      </w:pPr>
      <w:r>
        <w:rPr>
          <w:rFonts w:ascii="Calibri" w:cs="Calibri" w:eastAsia="Calibri" w:hAnsi="Calibri"/>
          <w:b/>
          <w:bCs/>
          <w:color w:val="2E5D3A"/>
          <w:sz w:val="22"/>
          <w:szCs w:val="22"/>
        </w:rPr>
        <w:t xml:space="preserve">A.12 Policy, energy, and rebound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framing-and-caveat cluster. The WEEE Directive (2012/19/EU), EPR foundations (Lindhqvist, 2000; Maitre-Ekern, 2021), Basel Convention, and Circular Economy Action Plan supply the policy landscape. On the energy and rebound side, Belkhir and Elmeligi (2018) and Freitag et al. (2021) supply the ICT-footprint estimates and their critique; Masanet et al. (2020) supply the data-centre recalibration; Gossart (2015), Zink and Geyer (2017), and Hilty and Aebischer (2015) supply the rebound literature that Section 7 depends on. This cluster is where the paper draws most of its counter-evidence, which is as it should be.</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Appendix B. Quantitative Reference Tables</w:t>
      </w:r>
    </w:p>
    <w:p>
      <w:pPr>
        <w:spacing w:after="130" w:before="0" w:line="300"/>
        <w:jc w:val="both"/>
      </w:pPr>
      <w:r>
        <w:rPr>
          <w:rFonts w:ascii="Cambria" w:cs="Cambria" w:eastAsia="Cambria" w:hAnsi="Cambria"/>
          <w:b w:val="false"/>
          <w:bCs w:val="false"/>
          <w:i w:val="false"/>
          <w:iCs w:val="false"/>
          <w:color w:val="1A1A1A"/>
          <w:sz w:val="21"/>
          <w:szCs w:val="21"/>
        </w:rPr>
        <w:t xml:space="preserve">This appendix collects the paper’s key quantitative claims into reference tables, each with its source, so that the numbers can be checked and reused. Every figure here appears in the body; the appendix assembles them for convenience and attribution.</w:t>
      </w:r>
    </w:p>
    <w:p>
      <w:pPr>
        <w:pStyle w:val="Heading2"/>
        <w:spacing w:after="110" w:before="260"/>
      </w:pPr>
      <w:r>
        <w:rPr>
          <w:rFonts w:ascii="Calibri" w:cs="Calibri" w:eastAsia="Calibri" w:hAnsi="Calibri"/>
          <w:b/>
          <w:bCs/>
          <w:color w:val="2E5D3A"/>
          <w:sz w:val="22"/>
          <w:szCs w:val="22"/>
        </w:rPr>
        <w:t xml:space="preserve">B.1 The e-waste stream</w:t>
      </w:r>
    </w:p>
    <w:tbl>
      <w:tblPr>
        <w:tblW w:type="dxa" w:w="9360"/>
        <w:tblBorders>
          <w:top w:val="single" w:color="2E5D3A" w:sz="6"/>
          <w:left w:val="none"/>
          <w:bottom w:val="single" w:color="2E5D3A" w:sz="6"/>
          <w:right w:val="none"/>
          <w:insideH w:val="single" w:color="C8CFD8" w:sz="2"/>
          <w:insideV w:val="none"/>
        </w:tblBorders>
      </w:tblPr>
      <w:tblGrid>
        <w:gridCol w:w="3000"/>
        <w:gridCol w:w="1900"/>
        <w:gridCol w:w="2260"/>
        <w:gridCol w:w="2200"/>
      </w:tblGrid>
      <w:tr>
        <w:trPr>
          <w:tblHeader/>
        </w:trPr>
        <w:tc>
          <w:tcPr>
            <w:tcW w:type="dxa" w:w="30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Quantity</w:t>
            </w:r>
          </w:p>
        </w:tc>
        <w:tc>
          <w:tcPr>
            <w:tcW w:type="dxa" w:w="19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c>
          <w:tcPr>
            <w:tcW w:type="dxa" w:w="22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Year / basis</w:t>
            </w:r>
          </w:p>
        </w:tc>
        <w:tc>
          <w:tcPr>
            <w:tcW w:type="dxa" w:w="22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Global e-waste generated</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62 Mt</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Generated (prior editions)</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53.6 Mt / 44.7 Mt</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2019 / 2016</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2020 / 2017</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Growth since 2010</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+82%</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2010–2022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Projected 2030 generation</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82 Mt</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2030</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Formal recycling rate</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22.3%</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Projected 2030 recycling rate</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2030</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Per-capita generation</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7.8 kg</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Metal value embedded</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~US$91 bn</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Value recovered (urban mining)</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~US$28 bn</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CO2e avoided by formal management</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~93 Mt</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Collection rate — Europe</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42.8%</w:t>
            </w:r>
          </w:p>
        </w:tc>
        <w:tc>
          <w:tcPr>
            <w:tcW w:type="dxa" w:w="22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r>
        <w:tc>
          <w:tcPr>
            <w:tcW w:type="dxa" w:w="30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Collection rate — Africa</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&lt;1%</w:t>
            </w:r>
          </w:p>
        </w:tc>
        <w:tc>
          <w:tcPr>
            <w:tcW w:type="dxa" w:w="22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2022</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GEM 2024</w:t>
            </w:r>
          </w:p>
        </w:tc>
      </w:tr>
    </w:tbl>
    <w:p>
      <w:pPr>
        <w:spacing w:after="180" w:before="70"/>
        <w:jc w:val="left"/>
      </w:pPr>
      <w:r>
        <w:rPr>
          <w:rFonts w:ascii="Calibri" w:cs="Calibri" w:eastAsia="Calibri" w:hAnsi="Calibri"/>
          <w:i/>
          <w:iCs/>
          <w:color w:val="666666"/>
          <w:sz w:val="17"/>
          <w:szCs w:val="17"/>
        </w:rPr>
        <w:t xml:space="preserve">Table B1. The e-waste stream in numbers. All figures from the Global E-waste Monitor series; note that GEM revises historical time-series across editions, so figures should be cited to a specific edition.</w:t>
      </w:r>
    </w:p>
    <w:p>
      <w:pPr>
        <w:pStyle w:val="Heading2"/>
        <w:spacing w:after="110" w:before="260"/>
      </w:pPr>
      <w:r>
        <w:rPr>
          <w:rFonts w:ascii="Calibri" w:cs="Calibri" w:eastAsia="Calibri" w:hAnsi="Calibri"/>
          <w:b/>
          <w:bCs/>
          <w:color w:val="2E5D3A"/>
          <w:sz w:val="22"/>
          <w:szCs w:val="22"/>
        </w:rPr>
        <w:t xml:space="preserve">B.2 Embodied carbon</w:t>
      </w:r>
    </w:p>
    <w:tbl>
      <w:tblPr>
        <w:tblW w:type="dxa" w:w="9360"/>
        <w:tblBorders>
          <w:top w:val="single" w:color="2E5D3A" w:sz="6"/>
          <w:left w:val="none"/>
          <w:bottom w:val="single" w:color="2E5D3A" w:sz="6"/>
          <w:right w:val="none"/>
          <w:insideH w:val="single" w:color="C8CFD8" w:sz="2"/>
          <w:insideV w:val="none"/>
        </w:tblBorders>
      </w:tblPr>
      <w:tblGrid>
        <w:gridCol w:w="3600"/>
        <w:gridCol w:w="2200"/>
        <w:gridCol w:w="3560"/>
      </w:tblGrid>
      <w:tr>
        <w:trPr>
          <w:tblHeader/>
        </w:trPr>
        <w:tc>
          <w:tcPr>
            <w:tcW w:type="dxa" w:w="3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Claim</w:t>
            </w:r>
          </w:p>
        </w:tc>
        <w:tc>
          <w:tcPr>
            <w:tcW w:type="dxa" w:w="22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c>
          <w:tcPr>
            <w:tcW w:type="dxa" w:w="35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Smartphone manufacturing carbon share</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70–85%</w:t>
            </w:r>
          </w:p>
        </w:tc>
        <w:tc>
          <w:tcPr>
            <w:tcW w:type="dxa" w:w="3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Cordella et al. (2021); Switzer et al. (2023)</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Smartphone lifetime footprint</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~40–80 kg CO2e</w:t>
            </w:r>
          </w:p>
        </w:tc>
        <w:tc>
          <w:tcPr>
            <w:tcW w:type="dxa" w:w="3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Cordella et al. (2021)</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Smartphone footprint (single LCA)</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~44 kg CO2e</w:t>
            </w:r>
          </w:p>
        </w:tc>
        <w:tc>
          <w:tcPr>
            <w:tcW w:type="dxa" w:w="3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Ercan et al. (2016)</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Laptop / tablet manufacturing share</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70–90%</w:t>
            </w:r>
          </w:p>
        </w:tc>
        <w:tc>
          <w:tcPr>
            <w:tcW w:type="dxa" w:w="3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LCA synthesis</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High-performance device mfg. share</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20–50%</w:t>
            </w:r>
          </w:p>
        </w:tc>
        <w:tc>
          <w:tcPr>
            <w:tcW w:type="dxa" w:w="3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Gupta et al. (2021)</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Amortisation threshold</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 years continuous use</w:t>
            </w:r>
          </w:p>
        </w:tc>
        <w:tc>
          <w:tcPr>
            <w:tcW w:type="dxa" w:w="3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Gupta et al. (2022)</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Most effective impact-reduction strategy</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Lifetime extension</w:t>
            </w:r>
          </w:p>
        </w:tc>
        <w:tc>
          <w:tcPr>
            <w:tcW w:type="dxa" w:w="3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Proske et al. (2020)</w:t>
            </w:r>
          </w:p>
        </w:tc>
      </w:tr>
      <w:tr>
        <w:tc>
          <w:tcPr>
            <w:tcW w:type="dxa" w:w="3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premature-disposal emissions</w:t>
            </w:r>
          </w:p>
        </w:tc>
        <w:tc>
          <w:tcPr>
            <w:tcW w:type="dxa" w:w="2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261 Mt CO2e/yr</w:t>
            </w:r>
          </w:p>
        </w:tc>
        <w:tc>
          <w:tcPr>
            <w:tcW w:type="dxa" w:w="3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repair directive impact assessment</w:t>
            </w:r>
          </w:p>
        </w:tc>
      </w:tr>
      <w:tr>
        <w:tc>
          <w:tcPr>
            <w:tcW w:type="dxa" w:w="3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consumer loss from replacing vs repairing</w:t>
            </w:r>
          </w:p>
        </w:tc>
        <w:tc>
          <w:tcPr>
            <w:tcW w:type="dxa" w:w="2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~EUR 12 bn/yr</w:t>
            </w:r>
          </w:p>
        </w:tc>
        <w:tc>
          <w:tcPr>
            <w:tcW w:type="dxa" w:w="3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repair directive impact assessment</w:t>
            </w:r>
          </w:p>
        </w:tc>
      </w:tr>
    </w:tbl>
    <w:p>
      <w:pPr>
        <w:spacing w:after="180" w:before="70"/>
        <w:jc w:val="left"/>
      </w:pPr>
      <w:r>
        <w:rPr>
          <w:rFonts w:ascii="Calibri" w:cs="Calibri" w:eastAsia="Calibri" w:hAnsi="Calibri"/>
          <w:i/>
          <w:iCs/>
          <w:color w:val="666666"/>
          <w:sz w:val="17"/>
          <w:szCs w:val="17"/>
        </w:rPr>
        <w:t xml:space="preserve">Table B2. Embodied-carbon and life-extension figures. The consistent finding — manufacturing dominates lifetime carbon for consumer mobile devices — is the paper’s central quantitative pillar.</w:t>
      </w:r>
    </w:p>
    <w:p>
      <w:pPr>
        <w:pStyle w:val="Heading2"/>
        <w:spacing w:after="110" w:before="260"/>
      </w:pPr>
      <w:r>
        <w:rPr>
          <w:rFonts w:ascii="Calibri" w:cs="Calibri" w:eastAsia="Calibri" w:hAnsi="Calibri"/>
          <w:b/>
          <w:bCs/>
          <w:color w:val="2E5D3A"/>
          <w:sz w:val="22"/>
          <w:szCs w:val="22"/>
        </w:rPr>
        <w:t xml:space="preserve">B.3 Materials</w:t>
      </w:r>
    </w:p>
    <w:tbl>
      <w:tblPr>
        <w:tblW w:type="dxa" w:w="9360"/>
        <w:tblBorders>
          <w:top w:val="single" w:color="2E5D3A" w:sz="6"/>
          <w:left w:val="none"/>
          <w:bottom w:val="single" w:color="2E5D3A" w:sz="6"/>
          <w:right w:val="none"/>
          <w:insideH w:val="single" w:color="C8CFD8" w:sz="2"/>
          <w:insideV w:val="none"/>
        </w:tblBorders>
      </w:tblPr>
      <w:tblGrid>
        <w:gridCol w:w="3700"/>
        <w:gridCol w:w="2300"/>
        <w:gridCol w:w="3360"/>
      </w:tblGrid>
      <w:tr>
        <w:trPr>
          <w:tblHeader/>
        </w:trPr>
        <w:tc>
          <w:tcPr>
            <w:tcW w:type="dxa" w:w="37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Claim</w:t>
            </w:r>
          </w:p>
        </w:tc>
        <w:tc>
          <w:tcPr>
            <w:tcW w:type="dxa" w:w="23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c>
          <w:tcPr>
            <w:tcW w:type="dxa" w:w="33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r>
      <w:tr>
        <w:tc>
          <w:tcPr>
            <w:tcW w:type="dxa" w:w="3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Distinct elements in a smartphone</w:t>
            </w:r>
          </w:p>
        </w:tc>
        <w:tc>
          <w:tcPr>
            <w:tcW w:type="dxa" w:w="2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~60 (half critical)</w:t>
            </w:r>
          </w:p>
        </w:tc>
        <w:tc>
          <w:tcPr>
            <w:tcW w:type="dxa" w:w="33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Tantawi &amp; Hua (2021)</w:t>
            </w:r>
          </w:p>
        </w:tc>
      </w:tr>
      <w:tr>
        <w:tc>
          <w:tcPr>
            <w:tcW w:type="dxa" w:w="3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Metals studied with no equal substitute</w:t>
            </w:r>
          </w:p>
        </w:tc>
        <w:tc>
          <w:tcPr>
            <w:tcW w:type="dxa" w:w="2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62 of 62</w:t>
            </w:r>
          </w:p>
        </w:tc>
        <w:tc>
          <w:tcPr>
            <w:tcW w:type="dxa" w:w="33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Graedel et al. (2013)</w:t>
            </w:r>
          </w:p>
        </w:tc>
      </w:tr>
      <w:tr>
        <w:tc>
          <w:tcPr>
            <w:tcW w:type="dxa" w:w="3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Rare-earth recycling rate</w:t>
            </w:r>
          </w:p>
        </w:tc>
        <w:tc>
          <w:tcPr>
            <w:tcW w:type="dxa" w:w="2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~1%</w:t>
            </w:r>
          </w:p>
        </w:tc>
        <w:tc>
          <w:tcPr>
            <w:tcW w:type="dxa" w:w="33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Jowitt et al. (2018)</w:t>
            </w:r>
          </w:p>
        </w:tc>
      </w:tr>
      <w:tr>
        <w:tc>
          <w:tcPr>
            <w:tcW w:type="dxa" w:w="3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critical raw materials listed</w:t>
            </w:r>
          </w:p>
        </w:tc>
        <w:tc>
          <w:tcPr>
            <w:tcW w:type="dxa" w:w="2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34 (17 strategic)</w:t>
            </w:r>
          </w:p>
        </w:tc>
        <w:tc>
          <w:tcPr>
            <w:tcW w:type="dxa" w:w="33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CRM Act (2024)</w:t>
            </w:r>
          </w:p>
        </w:tc>
      </w:tr>
      <w:tr>
        <w:tc>
          <w:tcPr>
            <w:tcW w:type="dxa" w:w="3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heavy-rare-earth supply from China</w:t>
            </w:r>
          </w:p>
        </w:tc>
        <w:tc>
          <w:tcPr>
            <w:tcW w:type="dxa" w:w="2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~100%</w:t>
            </w:r>
          </w:p>
        </w:tc>
        <w:tc>
          <w:tcPr>
            <w:tcW w:type="dxa" w:w="33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CRM Act (2024)</w:t>
            </w:r>
          </w:p>
        </w:tc>
      </w:tr>
      <w:tr>
        <w:tc>
          <w:tcPr>
            <w:tcW w:type="dxa" w:w="3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Virgin vs urban mining cost (Cu, Au)</w:t>
            </w:r>
          </w:p>
        </w:tc>
        <w:tc>
          <w:tcPr>
            <w:tcW w:type="dxa" w:w="2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Virgin up to ~13× higher</w:t>
            </w:r>
          </w:p>
        </w:tc>
        <w:tc>
          <w:tcPr>
            <w:tcW w:type="dxa" w:w="33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Zeng et al. (2018)</w:t>
            </w:r>
          </w:p>
        </w:tc>
      </w:tr>
      <w:tr>
        <w:tc>
          <w:tcPr>
            <w:tcW w:type="dxa" w:w="3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DRC share of world cobalt</w:t>
            </w:r>
          </w:p>
        </w:tc>
        <w:tc>
          <w:tcPr>
            <w:tcW w:type="dxa" w:w="2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~half to &gt;70% (varies)</w:t>
            </w:r>
          </w:p>
        </w:tc>
        <w:tc>
          <w:tcPr>
            <w:tcW w:type="dxa" w:w="33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Amnesty (2016); Kara (2023)</w:t>
            </w:r>
          </w:p>
        </w:tc>
      </w:tr>
    </w:tbl>
    <w:p>
      <w:pPr>
        <w:spacing w:after="180" w:before="70"/>
        <w:jc w:val="left"/>
      </w:pPr>
      <w:r>
        <w:rPr>
          <w:rFonts w:ascii="Calibri" w:cs="Calibri" w:eastAsia="Calibri" w:hAnsi="Calibri"/>
          <w:i/>
          <w:iCs/>
          <w:color w:val="666666"/>
          <w:sz w:val="17"/>
          <w:szCs w:val="17"/>
        </w:rPr>
        <w:t xml:space="preserve">Table B3. Materials figures. These support the resource-security argument of Section 2.3: the materials in a device are scarce, concentrated, and poorly recovered, so keeping the device defers fresh extraction.</w:t>
      </w:r>
    </w:p>
    <w:p>
      <w:pPr>
        <w:pStyle w:val="Heading2"/>
        <w:spacing w:after="110" w:before="260"/>
      </w:pPr>
      <w:r>
        <w:rPr>
          <w:rFonts w:ascii="Calibri" w:cs="Calibri" w:eastAsia="Calibri" w:hAnsi="Calibri"/>
          <w:b/>
          <w:bCs/>
          <w:color w:val="2E5D3A"/>
          <w:sz w:val="22"/>
          <w:szCs w:val="22"/>
        </w:rPr>
        <w:t xml:space="preserve">B.4 The stockpile and replacement behaviour</w:t>
      </w:r>
    </w:p>
    <w:tbl>
      <w:tblPr>
        <w:tblW w:type="dxa" w:w="9360"/>
        <w:tblBorders>
          <w:top w:val="single" w:color="2E5D3A" w:sz="6"/>
          <w:left w:val="none"/>
          <w:bottom w:val="single" w:color="2E5D3A" w:sz="6"/>
          <w:right w:val="none"/>
          <w:insideH w:val="single" w:color="C8CFD8" w:sz="2"/>
          <w:insideV w:val="none"/>
        </w:tblBorders>
      </w:tblPr>
      <w:tblGrid>
        <w:gridCol w:w="3400"/>
        <w:gridCol w:w="1700"/>
        <w:gridCol w:w="2700"/>
        <w:gridCol w:w="1560"/>
      </w:tblGrid>
      <w:tr>
        <w:trPr>
          <w:tblHeader/>
        </w:trPr>
        <w:tc>
          <w:tcPr>
            <w:tcW w:type="dxa" w:w="34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Claim</w:t>
            </w:r>
          </w:p>
        </w:tc>
        <w:tc>
          <w:tcPr>
            <w:tcW w:type="dxa" w:w="17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c>
          <w:tcPr>
            <w:tcW w:type="dxa" w:w="27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Source</w:t>
            </w:r>
          </w:p>
        </w:tc>
        <w:tc>
          <w:tcPr>
            <w:tcW w:type="dxa" w:w="15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Tier</w:t>
            </w:r>
          </w:p>
        </w:tc>
      </w:tr>
      <w:tr>
        <w:tc>
          <w:tcPr>
            <w:tcW w:type="dxa" w:w="3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Phones replaced while still working</w:t>
            </w:r>
          </w:p>
        </w:tc>
        <w:tc>
          <w:tcPr>
            <w:tcW w:type="dxa" w:w="1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w:t>
            </w:r>
          </w:p>
        </w:tc>
        <w:tc>
          <w:tcPr>
            <w:tcW w:type="dxa" w:w="2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Wieser &amp; Troger (2018)</w:t>
            </w:r>
          </w:p>
        </w:tc>
        <w:tc>
          <w:tcPr>
            <w:tcW w:type="dxa" w:w="1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Peer-reviewed</w:t>
            </w:r>
          </w:p>
        </w:tc>
      </w:tr>
      <w:tr>
        <w:tc>
          <w:tcPr>
            <w:tcW w:type="dxa" w:w="34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Previously-owned phones returned to system</w:t>
            </w:r>
          </w:p>
        </w:tc>
        <w:tc>
          <w:tcPr>
            <w:tcW w:type="dxa" w:w="1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~33.7%</w:t>
            </w:r>
          </w:p>
        </w:tc>
        <w:tc>
          <w:tcPr>
            <w:tcW w:type="dxa" w:w="2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Wilson et al. (2017)</w:t>
            </w:r>
          </w:p>
        </w:tc>
        <w:tc>
          <w:tcPr>
            <w:tcW w:type="dxa" w:w="1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Peer-reviewed</w:t>
            </w:r>
          </w:p>
        </w:tc>
      </w:tr>
      <w:tr>
        <w:tc>
          <w:tcPr>
            <w:tcW w:type="dxa" w:w="3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Average phone hibernation period</w:t>
            </w:r>
          </w:p>
        </w:tc>
        <w:tc>
          <w:tcPr>
            <w:tcW w:type="dxa" w:w="1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 years</w:t>
            </w:r>
          </w:p>
        </w:tc>
        <w:tc>
          <w:tcPr>
            <w:tcW w:type="dxa" w:w="2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Wilson et al. (2017)</w:t>
            </w:r>
          </w:p>
        </w:tc>
        <w:tc>
          <w:tcPr>
            <w:tcW w:type="dxa" w:w="1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Peer-reviewed</w:t>
            </w:r>
          </w:p>
        </w:tc>
      </w:tr>
      <w:tr>
        <w:tc>
          <w:tcPr>
            <w:tcW w:type="dxa" w:w="34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Phones owned worldwide</w:t>
            </w:r>
          </w:p>
        </w:tc>
        <w:tc>
          <w:tcPr>
            <w:tcW w:type="dxa" w:w="1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~16 billion</w:t>
            </w:r>
          </w:p>
        </w:tc>
        <w:tc>
          <w:tcPr>
            <w:tcW w:type="dxa" w:w="2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WEEE Forum / UNITAR (2022)</w:t>
            </w:r>
          </w:p>
        </w:tc>
        <w:tc>
          <w:tcPr>
            <w:tcW w:type="dxa" w:w="1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NGO estimate</w:t>
            </w:r>
          </w:p>
        </w:tc>
      </w:tr>
      <w:tr>
        <w:tc>
          <w:tcPr>
            <w:tcW w:type="dxa" w:w="34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Share of those no longer in use</w:t>
            </w:r>
          </w:p>
        </w:tc>
        <w:tc>
          <w:tcPr>
            <w:tcW w:type="dxa" w:w="1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~one third</w:t>
            </w:r>
          </w:p>
        </w:tc>
        <w:tc>
          <w:tcPr>
            <w:tcW w:type="dxa" w:w="27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WEEE Forum / UNITAR (2022)</w:t>
            </w:r>
          </w:p>
        </w:tc>
        <w:tc>
          <w:tcPr>
            <w:tcW w:type="dxa" w:w="15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NGO estimate</w:t>
            </w:r>
          </w:p>
        </w:tc>
      </w:tr>
      <w:tr>
        <w:tc>
          <w:tcPr>
            <w:tcW w:type="dxa" w:w="34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Phones bought used / refurbished (global use)</w:t>
            </w:r>
          </w:p>
        </w:tc>
        <w:tc>
          <w:tcPr>
            <w:tcW w:type="dxa" w:w="1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substantial share</w:t>
            </w:r>
          </w:p>
        </w:tc>
        <w:tc>
          <w:tcPr>
            <w:tcW w:type="dxa" w:w="27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Industry surveys</w:t>
            </w:r>
          </w:p>
        </w:tc>
        <w:tc>
          <w:tcPr>
            <w:tcW w:type="dxa" w:w="15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Industry</w:t>
            </w:r>
          </w:p>
        </w:tc>
      </w:tr>
    </w:tbl>
    <w:p>
      <w:pPr>
        <w:spacing w:after="180" w:before="70"/>
        <w:jc w:val="left"/>
      </w:pPr>
      <w:r>
        <w:rPr>
          <w:rFonts w:ascii="Calibri" w:cs="Calibri" w:eastAsia="Calibri" w:hAnsi="Calibri"/>
          <w:i/>
          <w:iCs/>
          <w:color w:val="666666"/>
          <w:sz w:val="17"/>
          <w:szCs w:val="17"/>
        </w:rPr>
        <w:t xml:space="preserve">Table B4. Replacement and hibernation figures, with source tier marked. The peer-reviewed anchor for hibernation is Wilson et al. (2017); the billions-of-devices figures are NGO or industry estimates and are treated as indicative in the body.</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Appendix C. Summary of Claims and Their Evidence</w:t>
      </w:r>
    </w:p>
    <w:p>
      <w:pPr>
        <w:spacing w:after="130" w:before="0" w:line="300"/>
        <w:jc w:val="both"/>
      </w:pPr>
      <w:r>
        <w:rPr>
          <w:rFonts w:ascii="Cambria" w:cs="Cambria" w:eastAsia="Cambria" w:hAnsi="Cambria"/>
          <w:b w:val="false"/>
          <w:bCs w:val="false"/>
          <w:i w:val="false"/>
          <w:iCs w:val="false"/>
          <w:color w:val="1A1A1A"/>
          <w:sz w:val="21"/>
          <w:szCs w:val="21"/>
        </w:rPr>
        <w:t xml:space="preserve">We close the analytical apparatus with a single table mapping every substantive claim in the paper to its evidentiary basis and strength. This is the same discipline the companion systems paper applies to itself, and it exists for the same reason: a significance argument is only honest if its author is explicit about which parts are secured by hard data, which are strong-but-conditional, and which are genuinely uncertain.</w:t>
      </w:r>
    </w:p>
    <w:tbl>
      <w:tblPr>
        <w:tblW w:type="dxa" w:w="9360"/>
        <w:tblBorders>
          <w:top w:val="single" w:color="2E5D3A" w:sz="6"/>
          <w:left w:val="none"/>
          <w:bottom w:val="single" w:color="2E5D3A" w:sz="6"/>
          <w:right w:val="none"/>
          <w:insideH w:val="single" w:color="C8CFD8" w:sz="2"/>
          <w:insideV w:val="none"/>
        </w:tblBorders>
      </w:tblPr>
      <w:tblGrid>
        <w:gridCol w:w="3300"/>
        <w:gridCol w:w="800"/>
        <w:gridCol w:w="3300"/>
        <w:gridCol w:w="1960"/>
      </w:tblGrid>
      <w:tr>
        <w:trPr>
          <w:tblHeader/>
        </w:trPr>
        <w:tc>
          <w:tcPr>
            <w:tcW w:type="dxa" w:w="33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Claim</w:t>
            </w:r>
          </w:p>
        </w:tc>
        <w:tc>
          <w:tcPr>
            <w:tcW w:type="dxa" w:w="8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Section</w:t>
            </w:r>
          </w:p>
        </w:tc>
        <w:tc>
          <w:tcPr>
            <w:tcW w:type="dxa" w:w="33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Evidence type</w:t>
            </w:r>
          </w:p>
        </w:tc>
        <w:tc>
          <w:tcPr>
            <w:tcW w:type="dxa" w:w="19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Strength</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E-waste is 62 Mt/yr and the fastest-growing waste stream</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§2.1</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UN monitoring data (GEM 2024)</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Formal recycling is ~22% and falling</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§2.1</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UN monitoring data (GEM 2024)</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Informal recycling causes severe health harm</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§2.2</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WHO + Lancet systematic reviews</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Manufacturing is 70–90% of device carbon</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§2.4</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Multiple independent LCAs</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Device materials are scarce and poorly recovered</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§2.3</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Peer-reviewed + USGS + EU CRM Act</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Reuse outranks recycling on the waste hierarchy</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EU law + value-retention literature</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Recycling recovers little of a device’s value</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§3.2</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Circular-economy literature; ~1% REE</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~70% of phones are replaced while working</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§4.1</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Wieser &amp; Troger (2018)</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Billions of devices sit dormant</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§4.4</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Wilson et al. (peer) + NGO estimates</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Moderate</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Obsolescence is often a software/permission artifact</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§4.1</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Conceptual + the case + Switzer et al.</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 (argued)</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A 2007 device can reach a contemporary model</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§4.2</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The case system (companion paper)</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Demonstrated in companion</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Repurposing serves the least-powerful users</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§5</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Digital-divide literature</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Strong (argued)</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Repurposing can reduce e-waste at scale</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§7.2</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NOT CLAIMED — open question</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None — unresolved</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Running old hardware always saves carbon</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§7.1</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NOT CLAIMED — condition-dependent</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None — conditional</w:t>
            </w:r>
          </w:p>
        </w:tc>
      </w:tr>
      <w:tr>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Repurposing escapes the rebound effect</w:t>
            </w:r>
          </w:p>
        </w:tc>
        <w:tc>
          <w:tcPr>
            <w:tcW w:type="dxa" w:w="8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§7.3</w:t>
            </w:r>
          </w:p>
        </w:tc>
        <w:tc>
          <w:tcPr>
            <w:tcW w:type="dxa" w:w="33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NOT CLAIMED — rebound is a live threat</w:t>
            </w:r>
          </w:p>
        </w:tc>
        <w:tc>
          <w:tcPr>
            <w:tcW w:type="dxa" w:w="19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None</w:t>
            </w:r>
          </w:p>
        </w:tc>
      </w:tr>
      <w:tr>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Reuse flows are unambiguously good</w:t>
            </w:r>
          </w:p>
        </w:tc>
        <w:tc>
          <w:tcPr>
            <w:tcW w:type="dxa" w:w="8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§7.5</w:t>
            </w:r>
          </w:p>
        </w:tc>
        <w:tc>
          <w:tcPr>
            <w:tcW w:type="dxa" w:w="33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NOT CLAIMED — e-waste colonialism</w:t>
            </w:r>
          </w:p>
        </w:tc>
        <w:tc>
          <w:tcPr>
            <w:tcW w:type="dxa" w:w="19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None — contested</w:t>
            </w:r>
          </w:p>
        </w:tc>
      </w:tr>
    </w:tbl>
    <w:p>
      <w:pPr>
        <w:spacing w:after="180" w:before="70"/>
        <w:jc w:val="left"/>
      </w:pPr>
      <w:r>
        <w:rPr>
          <w:rFonts w:ascii="Calibri" w:cs="Calibri" w:eastAsia="Calibri" w:hAnsi="Calibri"/>
          <w:i/>
          <w:iCs/>
          <w:color w:val="666666"/>
          <w:sz w:val="17"/>
          <w:szCs w:val="17"/>
        </w:rPr>
        <w:t xml:space="preserve">Table C1. Claims audit. Four rows record claims the paper explicitly does not make. The strong claims are those secured by UN data, systematic reviews, life-cycle assessments, and codified law; the unresolved claim — aggregate scale — is the paper’s central open question, stated as such rather than dressed as a finding.</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shape of this table is the paper’s honest self-portrait. Its foundations — the scale of the crisis, the embodied-carbon argument, the waste hierarchy, the material stakes — are as strong as environmental evidence gets, resting on UN monitoring, peer-reviewed life-cycle assessment, and codified law. Its central conceptual claim, that obsolescence is frequently an artifact rather than a limit, is an argument supported by a working demonstration. And its weakest point, the question of whether any of this scales to dent global e-waste volumes, is labelled unresolved rather than asserted. A significance paper that got this ordering wrong — that claimed scale it could not show while underplaying the data it could — would be the greenwashing its own Section 7.4 warns against.</w:t>
      </w:r>
    </w:p>
    <w:p>
      <w:r>
        <w:br w:type="page"/>
      </w:r>
    </w:p>
    <w:p>
      <w:pPr>
        <w:pStyle w:val="Heading1"/>
        <w:pBdr>
          <w:bottom w:val="single" w:color="2E5D3A" w:sz="8" w:space="5"/>
        </w:pBdr>
        <w:spacing w:after="160" w:before="360"/>
      </w:pPr>
      <w:r>
        <w:rPr>
          <w:rFonts w:ascii="Calibri" w:cs="Calibri" w:eastAsia="Calibri" w:hAnsi="Calibri"/>
          <w:b/>
          <w:bCs/>
          <w:color w:val="2E5D3A"/>
          <w:sz w:val="26"/>
          <w:szCs w:val="26"/>
        </w:rPr>
        <w:t xml:space="preserve">Appendix D. When Repurposing Pays: A Decision Framework</w:t>
      </w:r>
    </w:p>
    <w:p>
      <w:pPr>
        <w:spacing w:after="130" w:before="0" w:line="300"/>
        <w:jc w:val="both"/>
      </w:pPr>
      <w:r>
        <w:rPr>
          <w:rFonts w:ascii="Cambria" w:cs="Cambria" w:eastAsia="Cambria" w:hAnsi="Cambria"/>
          <w:b w:val="false"/>
          <w:bCs w:val="false"/>
          <w:i w:val="false"/>
          <w:iCs w:val="false"/>
          <w:color w:val="1A1A1A"/>
          <w:sz w:val="21"/>
          <w:szCs w:val="21"/>
        </w:rPr>
        <w:t xml:space="preserve">Section 7.1 states the condition under which repurposing is carbon-favourable as a decision rule. This appendix develops it into a usable framework, because the honest answer to "is repurposing good for the environment" is "under stated conditions," and those conditions deserve to be spelled out rather than gestured at.</w:t>
      </w:r>
    </w:p>
    <w:p>
      <w:pPr>
        <w:pStyle w:val="Heading2"/>
        <w:spacing w:after="110" w:before="260"/>
      </w:pPr>
      <w:r>
        <w:rPr>
          <w:rFonts w:ascii="Calibri" w:cs="Calibri" w:eastAsia="Calibri" w:hAnsi="Calibri"/>
          <w:b/>
          <w:bCs/>
          <w:color w:val="2E5D3A"/>
          <w:sz w:val="22"/>
          <w:szCs w:val="22"/>
        </w:rPr>
        <w:t xml:space="preserve">D.1 The core inequality</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Repurposing a device is carbon-favourable, in the first approximation, when the operational emissions of running the device over its remaining service life are less than the embodied carbon of the new device that its continued service displaces. Informally: keep the old device if running it costs less carbon than building its replacement. The operational cost is the product of three quantities — the carbon intensity of the electricity grid, the power the device draws, and how much of the time it runs — integrated over the remaining life. The benefit is the embodied carbon of the avoided new device, but only if a new device is genuinely avoided.</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three conditions that must all hold</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First, displacement: the repurposed device must actually prevent a new purchase, not merely add to the stock of running hardware. Second, low operational cost: the device must draw little power, run on a reasonably clean grid, or both. Third, sufficient utility: the device must deliver enough value in its new role to justify running it at all. Fail any one and the case weakens; fail displacement and it can invert entirely.</w:t>
      </w:r>
    </w:p>
    <w:p>
      <w:pPr>
        <w:pStyle w:val="Heading2"/>
        <w:spacing w:after="110" w:before="260"/>
      </w:pPr>
      <w:r>
        <w:rPr>
          <w:rFonts w:ascii="Calibri" w:cs="Calibri" w:eastAsia="Calibri" w:hAnsi="Calibri"/>
          <w:b/>
          <w:bCs/>
          <w:color w:val="2E5D3A"/>
          <w:sz w:val="22"/>
          <w:szCs w:val="22"/>
        </w:rPr>
        <w:t xml:space="preserve">D.2 Why displacement is the load-bearing condition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Of the three conditions, displacement is the one on which the entire environmental case rests, and it is the one most often assumed rather than verified. Zink and Geyer (2017), in their treatment of circular-economy rebound, make the point precisely: if a reused or repurposed product does not displace primary production — if it instead serves demand that would not otherwise have been met, or lowers prices in a way that expands total consumption — then its environmental benefit is partly or wholly illusory. A repurposed phone that replaces a new-phone purchase is a clean win. A repurposed phone that becomes an additional always-on gadget in a household that also buys its new phones anyway is pure added load.</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This is why the case in Section 4 is careful about its framing. An old phone repurposed as an interface to a household AI service, used by a family member who would otherwise have needed a newer device to access such a service, plausibly satisfies displacement. The same phone added as a novelty, changing no purchase decision, does not. The framework does not bless repurposing in general; it blesses repurposing that displaces.</w:t>
      </w:r>
    </w:p>
    <w:p>
      <w:pPr>
        <w:pStyle w:val="Heading2"/>
        <w:spacing w:after="110" w:before="260"/>
      </w:pPr>
      <w:r>
        <w:rPr>
          <w:rFonts w:ascii="Calibri" w:cs="Calibri" w:eastAsia="Calibri" w:hAnsi="Calibri"/>
          <w:b/>
          <w:bCs/>
          <w:color w:val="2E5D3A"/>
          <w:sz w:val="22"/>
          <w:szCs w:val="22"/>
        </w:rPr>
        <w:t xml:space="preserve">D.3 The operational-cost gradient</w:t>
      </w:r>
    </w:p>
    <w:tbl>
      <w:tblPr>
        <w:tblW w:type="dxa" w:w="9360"/>
        <w:tblBorders>
          <w:top w:val="single" w:color="2E5D3A" w:sz="6"/>
          <w:left w:val="none"/>
          <w:bottom w:val="single" w:color="2E5D3A" w:sz="6"/>
          <w:right w:val="none"/>
          <w:insideH w:val="single" w:color="C8CFD8" w:sz="2"/>
          <w:insideV w:val="none"/>
        </w:tblBorders>
      </w:tblPr>
      <w:tblGrid>
        <w:gridCol w:w="3200"/>
        <w:gridCol w:w="1600"/>
        <w:gridCol w:w="1900"/>
        <w:gridCol w:w="2660"/>
      </w:tblGrid>
      <w:tr>
        <w:trPr>
          <w:tblHeader/>
        </w:trPr>
        <w:tc>
          <w:tcPr>
            <w:tcW w:type="dxa" w:w="32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Repurposing pattern</w:t>
            </w:r>
          </w:p>
        </w:tc>
        <w:tc>
          <w:tcPr>
            <w:tcW w:type="dxa" w:w="16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Power draw</w:t>
            </w:r>
          </w:p>
        </w:tc>
        <w:tc>
          <w:tcPr>
            <w:tcW w:type="dxa" w:w="190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Duty cycle</w:t>
            </w:r>
          </w:p>
        </w:tc>
        <w:tc>
          <w:tcPr>
            <w:tcW w:type="dxa" w:w="2660"/>
            <w:shd w:fill="2E5D3A" w:color="auto"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Carbon verdict</w:t>
            </w:r>
          </w:p>
        </w:tc>
      </w:tr>
      <w:tr>
        <w:tc>
          <w:tcPr>
            <w:tcW w:type="dxa" w:w="3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phone as occasional AI terminal</w:t>
            </w:r>
          </w:p>
        </w:tc>
        <w:tc>
          <w:tcPr>
            <w:tcW w:type="dxa" w:w="1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Very low</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Intermittent</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Favourable — trivial op. cost</w:t>
            </w:r>
          </w:p>
        </w:tc>
      </w:tr>
      <w:tr>
        <w:tc>
          <w:tcPr>
            <w:tcW w:type="dxa" w:w="3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phone as IoT sensor</w:t>
            </w:r>
          </w:p>
        </w:tc>
        <w:tc>
          <w:tcPr>
            <w:tcW w:type="dxa" w:w="1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Very low</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Low</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Favourable</w:t>
            </w:r>
          </w:p>
        </w:tc>
      </w:tr>
      <w:tr>
        <w:tc>
          <w:tcPr>
            <w:tcW w:type="dxa" w:w="3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phone as always-on display</w:t>
            </w:r>
          </w:p>
        </w:tc>
        <w:tc>
          <w:tcPr>
            <w:tcW w:type="dxa" w:w="1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Low</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Continuous</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Usually favourable</w:t>
            </w:r>
          </w:p>
        </w:tc>
      </w:tr>
      <w:tr>
        <w:tc>
          <w:tcPr>
            <w:tcW w:type="dxa" w:w="3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laptop as light home server</w:t>
            </w:r>
          </w:p>
        </w:tc>
        <w:tc>
          <w:tcPr>
            <w:tcW w:type="dxa" w:w="1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Moderate</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Continuous</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Grid-dependent</w:t>
            </w:r>
          </w:p>
        </w:tc>
      </w:tr>
      <w:tr>
        <w:tc>
          <w:tcPr>
            <w:tcW w:type="dxa" w:w="32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hardware as compute cluster</w:t>
            </w:r>
          </w:p>
        </w:tc>
        <w:tc>
          <w:tcPr>
            <w:tcW w:type="dxa" w:w="16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High</w:t>
            </w:r>
          </w:p>
        </w:tc>
        <w:tc>
          <w:tcPr>
            <w:tcW w:type="dxa" w:w="190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Continuous</w:t>
            </w:r>
          </w:p>
        </w:tc>
        <w:tc>
          <w:tcPr>
            <w:tcW w:type="dxa" w:w="2660"/>
            <w:shd w:fill="EDF4EE"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Often unfavourable vs new</w:t>
            </w:r>
          </w:p>
        </w:tc>
      </w:tr>
      <w:tr>
        <w:tc>
          <w:tcPr>
            <w:tcW w:type="dxa" w:w="32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Old GPU rig run continuously on coal grid</w:t>
            </w:r>
          </w:p>
        </w:tc>
        <w:tc>
          <w:tcPr>
            <w:tcW w:type="dxa" w:w="16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Very high</w:t>
            </w:r>
          </w:p>
        </w:tc>
        <w:tc>
          <w:tcPr>
            <w:tcW w:type="dxa" w:w="190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Continuous</w:t>
            </w:r>
          </w:p>
        </w:tc>
        <w:tc>
          <w:tcPr>
            <w:tcW w:type="dxa" w:w="2660"/>
            <w:shd w:fill="FFFFFF" w:color="auto" w:val="clear"/>
            <w:tcMar>
              <w:top w:type="dxa" w:w="50"/>
              <w:left w:type="dxa" w:w="90"/>
              <w:bottom w:type="dxa" w:w="50"/>
              <w:right w:type="dxa" w:w="90"/>
            </w:tcMar>
          </w:tcPr>
          <w:p>
            <w:pPr>
              <w:spacing w:after="0" w:before="0" w:line="230"/>
            </w:pPr>
            <w:r>
              <w:rPr>
                <w:rFonts w:ascii="Calibri" w:cs="Calibri" w:eastAsia="Calibri" w:hAnsi="Calibri"/>
                <w:color w:val="1A1A1A"/>
                <w:sz w:val="16"/>
                <w:szCs w:val="16"/>
              </w:rPr>
              <w:t xml:space="preserve">Unfavourable — may invert</w:t>
            </w:r>
          </w:p>
        </w:tc>
      </w:tr>
    </w:tbl>
    <w:p>
      <w:pPr>
        <w:spacing w:after="180" w:before="70"/>
        <w:jc w:val="left"/>
      </w:pPr>
      <w:r>
        <w:rPr>
          <w:rFonts w:ascii="Calibri" w:cs="Calibri" w:eastAsia="Calibri" w:hAnsi="Calibri"/>
          <w:i/>
          <w:iCs/>
          <w:color w:val="666666"/>
          <w:sz w:val="17"/>
          <w:szCs w:val="17"/>
        </w:rPr>
        <w:t xml:space="preserve">Table D1. The operational-cost gradient. The client devices in this paper’s case sit at the favourable top of the table; the server that serves them sits lower and is grid-dependent. The gradient is why the paper favours low-power, high-utility repurposing specifically.</w:t>
      </w:r>
    </w:p>
    <w:p>
      <w:pPr>
        <w:pStyle w:val="Heading2"/>
        <w:spacing w:after="110" w:before="260"/>
      </w:pPr>
      <w:r>
        <w:rPr>
          <w:rFonts w:ascii="Calibri" w:cs="Calibri" w:eastAsia="Calibri" w:hAnsi="Calibri"/>
          <w:b/>
          <w:bCs/>
          <w:color w:val="2E5D3A"/>
          <w:sz w:val="22"/>
          <w:szCs w:val="22"/>
        </w:rPr>
        <w:t xml:space="preserve">D.4 The materials dimension</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The carbon inequality has a materials analogue that points the same way and occasionally further. Even when the carbon calculation is marginal, keeping a device in service defers the extraction of the scarce and concentrated materials a replacement would require — materials that recycling would recover at rates as low as one percent for rare earths. Where the carbon case is a close call, the materials case can tip it, because the materials benefit of not building a new device does not depend on the operational grid intensity in the way the carbon benefit does. A full account would weigh both; this paper notes the materials dimension as a thumb on the scale toward longevity, consistent with the resource-security framing of Section 6.3.</w:t>
      </w:r>
    </w:p>
    <w:p>
      <w:pPr>
        <w:pStyle w:val="Heading2"/>
        <w:spacing w:after="110" w:before="260"/>
      </w:pPr>
      <w:r>
        <w:rPr>
          <w:rFonts w:ascii="Calibri" w:cs="Calibri" w:eastAsia="Calibri" w:hAnsi="Calibri"/>
          <w:b/>
          <w:bCs/>
          <w:color w:val="2E5D3A"/>
          <w:sz w:val="22"/>
          <w:szCs w:val="22"/>
        </w:rPr>
        <w:t xml:space="preserve">D.5 The framework applied to the paper’s own case</w:t>
      </w:r>
    </w:p>
    <w:p>
      <w:pPr>
        <w:spacing w:after="130" w:before="0" w:line="300"/>
        <w:ind w:firstLine="340"/>
        <w:jc w:val="both"/>
      </w:pPr>
      <w:r>
        <w:rPr>
          <w:rFonts w:ascii="Cambria" w:cs="Cambria" w:eastAsia="Cambria" w:hAnsi="Cambria"/>
          <w:b w:val="false"/>
          <w:bCs w:val="false"/>
          <w:i w:val="false"/>
          <w:iCs w:val="false"/>
          <w:color w:val="1A1A1A"/>
          <w:sz w:val="21"/>
          <w:szCs w:val="21"/>
        </w:rPr>
        <w:t xml:space="preserve">Applying the framework honestly to the Section 4 system yields a conditional verdict, which is the correct kind of verdict. The client devices are unambiguously favourable: negligible power, intermittent use, and — if they let a household member reach a capability they would otherwise have bought new hardware for — genuine displacement. The server is the variable. It runs continuously and its operational cost is real, so the system’s overall balance depends on how many devices the one server serves and on the carbon intensity of its grid. A server serving many old devices on a clean grid is clearly favourable; a server serving one device on a coal grid is not. The paper claims the former is achievable and the conditions are known — not that every deployment satisfies them.</w:t>
      </w:r>
    </w:p>
    <w:p>
      <w:pPr>
        <w:pBdr>
          <w:left w:val="single" w:color="2E5D3A" w:sz="14" w:space="8"/>
        </w:pBdr>
        <w:shd w:fill="EDF4EE" w:color="auto" w:val="clear"/>
        <w:spacing w:after="0" w:before="150" w:line="260"/>
        <w:ind w:left="160" w:right="160"/>
      </w:pPr>
      <w:r>
        <w:rPr>
          <w:rFonts w:ascii="Calibri" w:cs="Calibri" w:eastAsia="Calibri" w:hAnsi="Calibri"/>
          <w:b/>
          <w:bCs/>
          <w:color w:val="2E5D3A"/>
          <w:sz w:val="16"/>
          <w:szCs w:val="16"/>
        </w:rPr>
        <w:t xml:space="preserve">KEY POINT — </w:t>
      </w:r>
      <w:r>
        <w:rPr>
          <w:rFonts w:ascii="Calibri" w:cs="Calibri" w:eastAsia="Calibri" w:hAnsi="Calibri"/>
          <w:b/>
          <w:bCs/>
          <w:color w:val="1A1A1A"/>
          <w:sz w:val="19"/>
          <w:szCs w:val="19"/>
        </w:rPr>
        <w:t xml:space="preserve">The framework’s purpose</w:t>
      </w:r>
    </w:p>
    <w:p>
      <w:pPr>
        <w:pBdr>
          <w:left w:val="single" w:color="2E5D3A" w:sz="14" w:space="8"/>
        </w:pBdr>
        <w:shd w:fill="EDF4EE" w:color="auto" w:val="clear"/>
        <w:spacing w:after="165" w:before="40" w:line="260"/>
        <w:ind w:left="160" w:right="160"/>
        <w:jc w:val="both"/>
      </w:pPr>
      <w:r>
        <w:rPr>
          <w:rFonts w:ascii="Calibri" w:cs="Calibri" w:eastAsia="Calibri" w:hAnsi="Calibri"/>
          <w:color w:val="1A1A1A"/>
          <w:sz w:val="19"/>
          <w:szCs w:val="19"/>
        </w:rPr>
        <w:t xml:space="preserve">The point of this appendix is to make "is repurposing good for the environment" an answerable question rather than a slogan. The answer is: when it displaces new manufacture, draws little power relative to that displacement, and delivers real utility. Those conditions are checkable. Repurposing advocacy that refuses to check them is exactly the greenwashing Section 7.4 warns against — and this framework is the paper’s attempt to hold itself to the standard it asks of others.</w:t>
      </w:r>
    </w:p>
    <w:sectPr>
      <w:headerReference w:type="default" r:id="rId7"/>
      <w:footerReference w:type="default" r:id="rId8"/>
      <w:pgSz w:w="12240" w:h="15840" w:orient="portrait"/>
      <w:pgMar w:top="1300" w:right="1440" w:bottom="1300" w:left="144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FD8" w:sz="4" w:space="4"/>
      </w:pBdr>
      <w:spacing w:after="0"/>
    </w:pPr>
    <w:r>
      <w:rPr>
        <w:rFonts w:ascii="Calibri" w:cs="Calibri" w:eastAsia="Calibri" w:hAnsi="Calibri"/>
        <w:color w:val="666666"/>
        <w:spacing w:val="30"/>
        <w:sz w:val="15"/>
        <w:szCs w:val="15"/>
      </w:rPr>
      <w:t xml:space="preserve">STILL WORKS · DEVICE REPURPOSING, E-WASTE, AND THE CIRCULAR ECONOMY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5D3A"/>
      </w:rPr>
    </w:lvl>
    <w:lvl w:ilvl="1" w15:tentative="1">
      <w:start w:val="1"/>
      <w:numFmt w:val="bullet"/>
      <w:lvlText w:val="◦"/>
      <w:lvlJc w:val="left"/>
      <w:pPr>
        <w:ind w:left="820" w:hanging="240"/>
      </w:pPr>
      <w:rPr>
        <w:color w:val="666666"/>
      </w:rPr>
    </w:lvl>
  </w:abstractNum>
  <w:abstractNum w:abstractNumId="3" w15:restartNumberingAfterBreak="0">
    <w:multiLevelType w:val="hybridMultilevel"/>
    <w:lvl w:ilvl="0" w15:tentative="1">
      <w:start w:val="1"/>
      <w:numFmt w:val="decimal"/>
      <w:lvlText w:val="%1."/>
      <w:lvlJc w:val="left"/>
      <w:pPr>
        <w:ind w:left="470" w:hanging="260"/>
      </w:pPr>
      <w:rPr>
        <w:b/>
        <w:bCs/>
        <w:color w:val="2E5D3A"/>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Still Works</dc:title>
  <dc:creator>Maximiliano Garcia</dc:creator>
  <dc:description>Device repurposing as a response to the e-waste crisis: significance, evidence, and honest limits</dc:description>
  <cp:lastModifiedBy>Un-named</cp:lastModifiedBy>
  <cp:revision>1</cp:revision>
  <dcterms:created xsi:type="dcterms:W3CDTF">2026-07-18T07:02:57.507Z</dcterms:created>
  <dcterms:modified xsi:type="dcterms:W3CDTF">2026-07-18T07:02:57.507Z</dcterms:modified>
</cp:coreProperties>
</file>

<file path=docProps/custom.xml><?xml version="1.0" encoding="utf-8"?>
<Properties xmlns="http://schemas.openxmlformats.org/officeDocument/2006/custom-properties" xmlns:vt="http://schemas.openxmlformats.org/officeDocument/2006/docPropsVTypes"/>
</file>