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Georgia" w:cs="Georgia" w:eastAsia="Georgia" w:hAnsi="Georgia"/>
          <w:b/>
          <w:bCs/>
          <w:color w:val="2C1810"/>
          <w:sz w:val="44"/>
          <w:szCs w:val="44"/>
        </w:rPr>
      </w:r>
    </w:p>
    <w:p>
      <w:pPr>
        <w:spacing w:after="160"/>
        <w:jc w:val="center"/>
      </w:pPr>
      <w:r>
        <w:rPr>
          <w:rFonts w:ascii="Georgia" w:cs="Georgia" w:eastAsia="Georgia" w:hAnsi="Georgia"/>
          <w:b/>
          <w:bCs/>
          <w:color w:val="8B4513"/>
          <w:sz w:val="48"/>
          <w:szCs w:val="48"/>
        </w:rPr>
        <w:t xml:space="preserve">TAX LEGAL MINIMIZATION</w:t>
      </w:r>
    </w:p>
    <w:p>
      <w:pPr>
        <w:spacing w:after="200"/>
        <w:jc w:val="center"/>
      </w:pPr>
      <w:r>
        <w:rPr>
          <w:rFonts w:ascii="Georgia" w:cs="Georgia" w:eastAsia="Georgia" w:hAnsi="Georgia"/>
          <w:b/>
          <w:bCs/>
          <w:color w:val="8B4513"/>
          <w:sz w:val="48"/>
          <w:szCs w:val="48"/>
        </w:rPr>
        <w:t xml:space="preserve">STRATEGY EXTENSION</w:t>
      </w:r>
    </w:p>
    <w:p>
      <w:pPr>
        <w:spacing w:after="360" w:before="200"/>
        <w:jc w:val="center"/>
      </w:pPr>
      <w:r>
        <w:rPr>
          <w:rFonts w:ascii="Calibri" w:cs="Calibri" w:eastAsia="Calibri" w:hAnsi="Calibri"/>
          <w:color w:val="D4A574"/>
          <w:sz w:val="22"/>
          <w:szCs w:val="22"/>
        </w:rPr>
        <w:t xml:space="preserve">━━━━━━━━━━━━━━━━━━</w:t>
      </w:r>
    </w:p>
    <w:p>
      <w:pPr>
        <w:spacing w:after="200"/>
        <w:jc w:val="center"/>
      </w:pPr>
      <w:r>
        <w:rPr>
          <w:rFonts w:ascii="Georgia" w:cs="Georgia" w:eastAsia="Georgia" w:hAnsi="Georgia"/>
          <w:color w:val="A0522D"/>
          <w:sz w:val="25"/>
          <w:szCs w:val="25"/>
        </w:rPr>
        <w:t xml:space="preserve">Income, Capital Gains, Depreciation, and Transfer-Tax Strategy</w:t>
      </w:r>
    </w:p>
    <w:p>
      <w:pPr>
        <w:spacing w:after="200"/>
        <w:jc w:val="center"/>
      </w:pPr>
      <w:r>
        <w:rPr>
          <w:rFonts w:ascii="Georgia" w:cs="Georgia" w:eastAsia="Georgia" w:hAnsi="Georgia"/>
          <w:color w:val="8D6E63"/>
          <w:sz w:val="22"/>
          <w:szCs w:val="22"/>
        </w:rPr>
        <w:t xml:space="preserve">Built Around the Section 1014 Basis Step-Up</w:t>
      </w:r>
    </w:p>
    <w:p>
      <w:pPr>
        <w:spacing w:after="140" w:before="420"/>
        <w:jc w:val="center"/>
      </w:pPr>
      <w:r>
        <w:rPr>
          <w:rFonts w:ascii="Calibri" w:cs="Calibri" w:eastAsia="Calibri" w:hAnsi="Calibri"/>
          <w:color w:val="8D6E63"/>
          <w:sz w:val="21"/>
          <w:szCs w:val="21"/>
        </w:rPr>
        <w:t>A Companion to a Two-Phase Domestic Trust Architecture</w:t>
      </w:r>
    </w:p>
    <w:p>
      <w:pPr>
        <w:spacing w:after="140" w:before="520"/>
        <w:jc w:val="center"/>
      </w:pPr>
      <w:r>
        <w:rPr>
          <w:rFonts w:ascii="Calibri" w:cs="Calibri" w:eastAsia="Calibri" w:hAnsi="Calibri"/>
          <w:b/>
          <w:bCs/>
          <w:color w:val="2C1810"/>
          <w:sz w:val="22"/>
          <w:szCs w:val="22"/>
        </w:rPr>
        <w:t>A general educational reference — not tax or legal advice</w:t>
      </w:r>
    </w:p>
    <w:p>
      <w:pPr>
        <w:spacing w:after="400"/>
        <w:jc w:val="center"/>
      </w:pPr>
      <w:r>
        <w:rPr>
          <w:rFonts w:ascii="Calibri" w:cs="Calibri" w:eastAsia="Calibri" w:hAnsi="Calibri"/>
          <w:color w:val="8D6E63"/>
          <w:sz w:val="22"/>
          <w:szCs w:val="22"/>
        </w:rPr>
        <w:t>Reflecting Federal and Arkansas Law as of Mid-2026</w:t>
      </w:r>
    </w:p>
    <w:p>
      <w:pPr>
        <w:spacing w:after="100" w:before="600"/>
        <w:jc w:val="center"/>
      </w:pPr>
      <w:r>
        <w:rPr>
          <w:rFonts w:ascii="Calibri" w:cs="Calibri" w:eastAsia="Calibri" w:hAnsi="Calibri"/>
          <w:color w:val="8D6E63"/>
          <w:sz w:val="22"/>
          <w:szCs w:val="22"/>
        </w:rPr>
      </w:r>
    </w:p>
    <w:p>
      <w:pPr>
        <w:spacing w:after="100"/>
        <w:jc w:val="center"/>
      </w:pPr>
      <w:r>
        <w:rPr>
          <w:rFonts w:ascii="Calibri" w:cs="Calibri" w:eastAsia="Calibri" w:hAnsi="Calibri"/>
          <w:color w:val="8D6E63"/>
          <w:sz w:val="22"/>
          <w:szCs w:val="22"/>
        </w:rPr>
        <w:t>June 2026 · Reflects Law as of Mid-2026</w:t>
      </w:r>
    </w:p>
    <w:p>
      <w:pPr>
        <w:spacing w:after="0" w:before="360"/>
        <w:jc w:val="center"/>
      </w:pPr>
      <w:r>
        <w:rPr>
          <w:rFonts w:ascii="Georgia" w:cs="Georgia" w:eastAsia="Georgia" w:hAnsi="Georgia"/>
          <w:b/>
          <w:bCs/>
          <w:color w:val="8B4513"/>
          <w:sz w:val="24"/>
          <w:szCs w:val="24"/>
        </w:rPr>
        <w:t xml:space="preserve">Patience pays. 🦞</w:t>
      </w:r>
    </w:p>
    <w:p>
      <w:r>
        <w:br w:type="page"/>
      </w:r>
    </w:p>
    <w:p>
      <w:pPr>
        <w:pStyle w:val="Heading1"/>
        <w:pBdr>
          <w:bottom w:val="single" w:color="8B4513" w:sz="16" w:space="4"/>
        </w:pBdr>
        <w:spacing w:after="240" w:before="240"/>
      </w:pPr>
      <w:r>
        <w:rPr>
          <w:rFonts w:ascii="Georgia" w:cs="Georgia" w:eastAsia="Georgia" w:hAnsi="Georgia"/>
          <w:b/>
          <w:bCs/>
          <w:color w:val="2C1810"/>
          <w:sz w:val="34"/>
          <w:szCs w:val="34"/>
        </w:rPr>
        <w:t xml:space="preserve">How to Read This Document</w:t>
      </w:r>
    </w:p>
    <w:p>
      <w:pPr>
        <w:spacing w:after="120" w:before="0" w:line="300"/>
        <w:jc w:val="both"/>
      </w:pPr>
      <w:r>
        <w:rPr>
          <w:rFonts w:ascii="Calibri" w:cs="Calibri" w:eastAsia="Calibri" w:hAnsi="Calibri"/>
          <w:color w:val="3E2723"/>
          <w:sz w:val="22"/>
          <w:szCs w:val="22"/>
        </w:rPr>
        <w:t>This document is a tax companion to the Phase One Arkansas Act 291 Trust materials. Where the Phase One documents describe the structure — the trust, the holding-company LLC, the life-estate sub-trust for the grantor’s spouse, the continuing trusts for the children — this document describes the tax strategy that operates on top of that structure. The asset-protection dimension is already covered in the Phase One materials and is not repeated here; this document is exclusively about minimizing income tax, capital gains tax, depreciation cost, and transfer tax, all within the bounds of the law.</w:t>
      </w:r>
    </w:p>
    <w:p>
      <w:pPr>
        <w:spacing w:after="120" w:before="0" w:line="300"/>
        <w:jc w:val="both"/>
      </w:pPr>
      <w:r>
        <w:rPr>
          <w:rFonts w:ascii="Calibri" w:cs="Calibri" w:eastAsia="Calibri" w:hAnsi="Calibri"/>
          <w:color w:val="3E2723"/>
          <w:sz w:val="22"/>
          <w:szCs w:val="22"/>
        </w:rPr>
        <w:t>Every strategy in this document is evaluated against the family's actual facts rather than presented as a generic menu. There is a genre of tax content — the family has read a great deal of it — that lists fifty strategies as though all fifty apply to everyone. They do not. A strategy that is brilliant for a family with a taxable estate of eighty million dollars can be actively harmful for a family below the exemption, and several of the most heavily promoted techniques fall into exactly that trap for the family. This document therefore does two things at once: it develops the strategies that genuinely fit, and it explains plainly why certain popular strategies do not fit and should be set aside.</w:t>
      </w:r>
    </w:p>
    <w:p>
      <w:pPr>
        <w:spacing w:after="120" w:before="0" w:line="300"/>
        <w:jc w:val="both"/>
      </w:pPr>
      <w:r>
        <w:rPr>
          <w:rFonts w:ascii="Calibri" w:cs="Calibri" w:eastAsia="Calibri" w:hAnsi="Calibri"/>
          <w:color w:val="3E2723"/>
          <w:sz w:val="22"/>
          <w:szCs w:val="22"/>
        </w:rPr>
        <w:t>To make the assessment easy to scan, each major strategy closes with a fit verdict in a colored banner. A green banner means a genuine win that advances the plan. An amber banner means the strategy is marginal, situational, or worth revisiting only if the circumstances change. A red banner means the strategy is counterproductive for the family, mismatched to the scale, or carries audit risk that outweighs any benefit. The verdicts are blunt on purpose. The whole value of this document is in the judgment, not in the length of the list.</w:t>
      </w:r>
    </w:p>
    <w:p>
      <w:pPr>
        <w:spacing w:after="120" w:before="0" w:line="300"/>
        <w:jc w:val="both"/>
      </w:pPr>
      <w:r>
        <w:rPr>
          <w:rFonts w:ascii="Calibri" w:cs="Calibri" w:eastAsia="Calibri" w:hAnsi="Calibri"/>
          <w:color w:val="3E2723"/>
          <w:sz w:val="22"/>
          <w:szCs w:val="22"/>
        </w:rPr>
        <w:t>Nothing here is tax advice, and none of it should be implemented without a qualified Arkansas CPA and counsel modeling the specific numbers against the actual basis, income, and projections. Tax law also changes; the strategies below reflect the law as of mid-2026, including the One Big Beautiful Bill Act signed in July 2025, and several of the provisions described as permanent are permanent only until a future Congress revisits them. This document is written to make the conversation with the professionals faster and sharper, not to replace it.</w:t>
      </w:r>
    </w:p>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The Through-Line: Everything Bends Toward the Step-Up</w:t>
      </w:r>
    </w:p>
    <w:p>
      <w:pPr>
        <w:spacing w:after="120" w:before="0" w:line="300"/>
        <w:jc w:val="both"/>
      </w:pPr>
      <w:r>
        <w:rPr>
          <w:rFonts w:ascii="Calibri" w:cs="Calibri" w:eastAsia="Calibri" w:hAnsi="Calibri"/>
          <w:color w:val="3E2723"/>
          <w:sz w:val="22"/>
          <w:szCs w:val="22"/>
        </w:rPr>
        <w:t>Before any individual strategy, it is worth stating the single idea that organizes all of them, because once it is clear, most of the specific verdicts follow almost automatically. The family's projected estate sits below the federal exemption. Under the One Big Beautiful Bill Act, that exemption is permanently set at fifteen million dollars per person, or thirty million for a married couple using portability, effective January 1, 2026, and indexed for inflation beginning in 2027. Because the estate fits comfortably under that threshold, the federal estate tax is simply not the problem the family is solving. The family will almost certainly never owe it.</w:t>
      </w:r>
    </w:p>
    <w:p>
      <w:pPr>
        <w:spacing w:after="120" w:before="0" w:line="300"/>
        <w:jc w:val="both"/>
      </w:pPr>
      <w:r>
        <w:rPr>
          <w:rFonts w:ascii="Calibri" w:cs="Calibri" w:eastAsia="Calibri" w:hAnsi="Calibri"/>
          <w:color w:val="3E2723"/>
          <w:sz w:val="22"/>
          <w:szCs w:val="22"/>
        </w:rPr>
        <w:t>That fact inverts the usual playbook. Most sophisticated estate planning is written for families who are over the exemption and are trying to get assets out of their estates to avoid a forty percent estate tax. For them, freezing the estate's value and pushing future appreciation to the next generation is the central move, and the tools that accomplish it — valuation discounts, grantor retained annuity trusts, aggressive gifting — are the heroes of the story. For the family, the estate tax the family would be avoiding is a tax the family will not owe anyway, so paying any price to avoid it is paying for nothing.</w:t>
      </w:r>
    </w:p>
    <w:p>
      <w:pPr>
        <w:spacing w:after="120" w:before="0" w:line="300"/>
        <w:jc w:val="both"/>
      </w:pPr>
      <w:r>
        <w:rPr>
          <w:rFonts w:ascii="Calibri" w:cs="Calibri" w:eastAsia="Calibri" w:hAnsi="Calibri"/>
          <w:color w:val="3E2723"/>
          <w:sz w:val="22"/>
          <w:szCs w:val="22"/>
        </w:rPr>
        <w:t>The tax the family will actually face is the income tax and the capital gains tax at the next generation. When the grantor dies, the assets he holds receive a step-up in basis to fair market value under Section 1014 of the Internal Revenue Code. That step-up erases every dollar of unrealized capital gain and every dollar of depreciation recapture that accumulated during his lifetime. If a rental property he bought for two hundred thousand dollars is worth five hundred thousand at his death, the three hundred thousand of gain simply vanishes for tax purposes, and the family inherit the property with a fresh basis of five hundred thousand. If the family sell the next day, the family owe essentially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DF8F0" w:val="clear"/>
            <w:tcMar>
              <w:top w:type="dxa" w:w="200"/>
              <w:left w:type="dxa" w:w="240"/>
              <w:bottom w:type="dxa" w:w="200"/>
              <w:right w:type="dxa" w:w="240"/>
            </w:tcMar>
          </w:tcPr>
          <w:p>
            <w:pPr>
              <w:spacing w:after="80" w:line="300"/>
              <w:jc w:val="left"/>
            </w:pPr>
            <w:r>
              <w:rPr>
                <w:rFonts w:ascii="Georgia" w:cs="Georgia" w:eastAsia="Georgia" w:hAnsi="Georgia"/>
                <w:b/>
                <w:bCs/>
                <w:color w:val="2C1810"/>
                <w:sz w:val="24"/>
                <w:szCs w:val="24"/>
              </w:rPr>
              <w:t xml:space="preserve">The One Sentence That Explains Most of This Document</w:t>
            </w:r>
          </w:p>
          <w:p>
            <w:pPr>
              <w:spacing w:after="0" w:line="300"/>
              <w:jc w:val="both"/>
            </w:pPr>
            <w:r>
              <w:rPr>
                <w:rFonts w:ascii="Calibri" w:cs="Calibri" w:eastAsia="Calibri" w:hAnsi="Calibri"/>
                <w:color w:val="3E2723"/>
                <w:sz w:val="22"/>
                <w:szCs w:val="22"/>
              </w:rPr>
              <w:t>Because the estate is below the exemption, the optimal tax strategy is to keep assets inside the grantor’s estate so they receive the Section 1014 step-up, minimize income and capital gains tax during his life through depreciation and tax-free borrowing, avoid every technique that freezes or discounts the estate, and set up the generational handoff through Roth conversions and proper GST planning. Any strategy that fights the step-up is fighting the own plan.</w:t>
            </w:r>
          </w:p>
        </w:tc>
      </w:tr>
    </w:tbl>
    <w:p>
      <w:pPr>
        <w:spacing w:after="120" w:before="0" w:line="300"/>
        <w:jc w:val="both"/>
      </w:pPr>
      <w:r>
        <w:rPr>
          <w:rFonts w:ascii="Calibri" w:cs="Calibri" w:eastAsia="Calibri" w:hAnsi="Calibri"/>
          <w:color w:val="3E2723"/>
          <w:sz w:val="22"/>
          <w:szCs w:val="22"/>
        </w:rPr>
        <w:t>This is why the Phase One trust is deliberately drafted to be included in the grantor’s estate rather than excluded from it. It is an intentionally defective grantor trust, which means that for income tax purposes during his life it is treated as if it does not exist and the grantor pays the tax on its income directly. But for estate tax purposes it is deliberately pulled back into his estate through retained powers, so that the step-up applies. This is the opposite of what most asset-protection trusts do, and it is the correct choice precisely because the family is below the exemption. The Internal Revenue Service confirmed in Revenue Ruling 2023-2 that assets sitting in a completed-gift grantor trust that has been excluded from the estate get no step-up at all; the structure deliberately walks the other road.</w:t>
      </w:r>
    </w:p>
    <w:p>
      <w:pPr>
        <w:spacing w:after="120" w:before="0" w:line="300"/>
        <w:jc w:val="both"/>
      </w:pPr>
      <w:r>
        <w:rPr>
          <w:rFonts w:ascii="Calibri" w:cs="Calibri" w:eastAsia="Calibri" w:hAnsi="Calibri"/>
          <w:color w:val="3E2723"/>
          <w:sz w:val="22"/>
          <w:szCs w:val="22"/>
        </w:rPr>
        <w:t>Hold that idea in mind as you read. When a strategy advances the step-up, preserves liquidity without triggering a sale, or reduces the income tax the grantor pays during life, it earns a green verdict. When a strategy reduces the value included in the estate — which sounds clever but actually shrinks the step-up the family wants — it earns a red verdict, even though the same strategy would be brilliant for a wealthier family. The facts make the difference, and the facts point in one direction.</w:t>
      </w:r>
    </w:p>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Part I — The Genuine Wins</w:t>
      </w:r>
    </w:p>
    <w:p>
      <w:pPr>
        <w:spacing w:after="120" w:before="0" w:line="300"/>
        <w:jc w:val="both"/>
      </w:pPr>
      <w:r>
        <w:rPr>
          <w:rFonts w:ascii="Calibri" w:cs="Calibri" w:eastAsia="Calibri" w:hAnsi="Calibri"/>
          <w:color w:val="3E2723"/>
          <w:sz w:val="22"/>
          <w:szCs w:val="22"/>
        </w:rPr>
        <w:t>This part develops the strategies that genuinely fit the situation. Each one either reduces the income or capital gains tax the family pays during the grantor’s life, preserves liquidity without forcing a taxable sale, or improves the efficiency of the handoff to the next generation. They are presented roughly in order of how much they matter to the family, and they are designed to work together rather than in isolation.</w:t>
      </w:r>
    </w:p>
    <w:p>
      <w:pPr>
        <w:pStyle w:val="Heading2"/>
        <w:spacing w:after="160" w:before="320"/>
      </w:pPr>
      <w:r>
        <w:rPr>
          <w:rFonts w:ascii="Georgia" w:cs="Georgia" w:eastAsia="Georgia" w:hAnsi="Georgia"/>
          <w:b/>
          <w:bCs/>
          <w:color w:val="8B4513"/>
          <w:sz w:val="27"/>
          <w:szCs w:val="27"/>
        </w:rPr>
        <w:t xml:space="preserve">1. Cost Segregation and 100% Bonus Depreciation</w:t>
      </w:r>
    </w:p>
    <w:p>
      <w:pPr>
        <w:spacing w:after="120" w:before="0" w:line="300"/>
        <w:jc w:val="both"/>
      </w:pPr>
      <w:r>
        <w:rPr>
          <w:rFonts w:ascii="Calibri" w:cs="Calibri" w:eastAsia="Calibri" w:hAnsi="Calibri"/>
          <w:color w:val="3E2723"/>
          <w:sz w:val="22"/>
          <w:szCs w:val="22"/>
        </w:rPr>
        <w:t xml:space="preserve">Depreciation is the quiet engine of real estate tax efficiency, and recent law has made it more powerful than it has been in years. When you own a rental property, the tax code lets you deduct a portion of the building's cost each year as it theoretically wears out, even though in practice the property is often appreciating. Residential rental buildings normally depreciate over twenty-seven and a half years on a straight-line basis, which produces a modest annual deduction. A cost segregation study changes that timing dramatically by having an engineer examine the property and reclassify its components into shorter-lived categories — five-year property for things like carpeting and appliances, seven-year for certain fixtures, fifteen-year for land improvements such as driveways, fences, and landscaping.</w:t>
      </w:r>
    </w:p>
    <w:p>
      <w:pPr>
        <w:spacing w:after="120" w:before="0" w:line="300"/>
        <w:jc w:val="both"/>
      </w:pPr>
      <w:r>
        <w:rPr>
          <w:rFonts w:ascii="Calibri" w:cs="Calibri" w:eastAsia="Calibri" w:hAnsi="Calibri"/>
          <w:color w:val="3E2723"/>
          <w:sz w:val="22"/>
          <w:szCs w:val="22"/>
        </w:rPr>
        <w:t xml:space="preserve">The reason this reclassification matters so much right now is bonus depreciation. The One Big Beautiful Bill Act, signed in July 2025, permanently restored one hundred percent bonus depreciation for qualifying property acquired and placed in service after January 19, 2025, with no scheduled phase-down, and the Internal Revenue Service issued interim guidance in Notice 2026-11 in January 2026. Qualifying property means property with a recovery period of twenty years or less — exactly the five, seven, and fifteen-year buckets that a cost segregation study creates. The combination means that the portion of a building reclassified into those short-lived categories can be deducted entirely in the first year rather than spread across decades.</w:t>
      </w:r>
    </w:p>
    <w:p>
      <w:pPr>
        <w:pStyle w:val="Heading3"/>
        <w:spacing w:after="120" w:before="240"/>
      </w:pPr>
      <w:r>
        <w:rPr>
          <w:rFonts w:ascii="Georgia" w:cs="Georgia" w:eastAsia="Georgia" w:hAnsi="Georgia"/>
          <w:b/>
          <w:bCs/>
          <w:color w:val="A0522D"/>
          <w:sz w:val="23"/>
          <w:szCs w:val="23"/>
        </w:rPr>
        <w:t>A realistic Arkansas example</w:t>
      </w:r>
    </w:p>
    <w:p>
      <w:pPr>
        <w:spacing w:after="120" w:before="0" w:line="300"/>
        <w:jc w:val="both"/>
      </w:pPr>
      <w:r>
        <w:rPr>
          <w:rFonts w:ascii="Calibri" w:cs="Calibri" w:eastAsia="Calibri" w:hAnsi="Calibri"/>
          <w:color w:val="3E2723"/>
          <w:sz w:val="22"/>
          <w:szCs w:val="22"/>
        </w:rPr>
        <w:t>Consider one of the rental properties purchased for roughly three hundred fifty thousand dollars. Land is not depreciable, so suppose seventy thousand of that is allocated to land, leaving two hundred eighty thousand of depreciable building basis. Without a cost segregation study, the annual straight-line deduction is around ten thousand dollars. With a study, an engineer might reclassify twenty to thirty percent of the building basis — somewhere between fifty-six and eighty-four thousand dollars — into the short-lived categories that qualify for one hundred percent bonus depreciation. That entire amount becomes a first-year deduction. Across the five properties, the first-year catch-up can reach well into six figures, sheltering rental income and, depending on the grantor’s tax posture, potentially other income as well.</w:t>
      </w:r>
    </w:p>
    <w:p>
      <w:pPr>
        <w:pStyle w:val="Heading3"/>
        <w:spacing w:after="120" w:before="240"/>
      </w:pPr>
      <w:r>
        <w:rPr>
          <w:rFonts w:ascii="Georgia" w:cs="Georgia" w:eastAsia="Georgia" w:hAnsi="Georgia"/>
          <w:b/>
          <w:bCs/>
          <w:color w:val="A0522D"/>
          <w:sz w:val="23"/>
          <w:szCs w:val="23"/>
        </w:rPr>
        <w:t xml:space="preserve">The tension every honest advisor must explain</w:t>
      </w:r>
    </w:p>
    <w:p>
      <w:pPr>
        <w:spacing w:after="120" w:before="0" w:line="300"/>
        <w:jc w:val="both"/>
      </w:pPr>
      <w:r>
        <w:rPr>
          <w:rFonts w:ascii="Calibri" w:cs="Calibri" w:eastAsia="Calibri" w:hAnsi="Calibri"/>
          <w:color w:val="3E2723"/>
          <w:sz w:val="22"/>
          <w:szCs w:val="22"/>
        </w:rPr>
        <w:t>Here is the part that the promotional content tends to skip. Depreciation is not free money; it reduces your basis in the property. When you later sell, the tax code recaptures that benefit. The portion attributable to the building itself is unrecaptured Section 1250 gain, taxed at rates up to twenty-five percent, and the portion attributable to the reclassified personal-property components is Section 1245 recapture, taxed as ordinary income at rates up to thirty-seven percent. So if the family takes aggressive depreciation now and then sell during the grantor’s lifetime, the family hand a meaningful slice of the benefit back to the government, and the reclassified components are the most expensive part to unwind.</w:t>
      </w:r>
    </w:p>
    <w:p>
      <w:pPr>
        <w:pBdr>
          <w:left w:val="single" w:color="8B4513" w:sz="24" w:space="12"/>
        </w:pBdr>
        <w:spacing w:after="200" w:before="200" w:line="300"/>
        <w:ind w:left="360"/>
        <w:jc w:val="left"/>
      </w:pPr>
      <w:r>
        <w:rPr>
          <w:rFonts w:ascii="Calibri" w:cs="Calibri" w:eastAsia="Calibri" w:hAnsi="Calibri"/>
          <w:color w:val="2C1810"/>
          <w:sz w:val="22"/>
          <w:szCs w:val="22"/>
        </w:rPr>
        <w:t xml:space="preserve">Aggressive depreciation during life plus a step-up at death is the rare combination where you keep the deduction and never pay the recapture. The step-up resets the basis to fair market value and the recapture simply ceases to exist, because there is no sale during life and the heirs take a fresh basis.</w:t>
      </w:r>
    </w:p>
    <w:p>
      <w:pPr>
        <w:spacing w:after="120" w:before="0" w:line="300"/>
        <w:jc w:val="both"/>
      </w:pPr>
      <w:r>
        <w:rPr>
          <w:rFonts w:ascii="Calibri" w:cs="Calibri" w:eastAsia="Calibri" w:hAnsi="Calibri"/>
          <w:color w:val="3E2723"/>
          <w:sz w:val="22"/>
          <w:szCs w:val="22"/>
        </w:rPr>
        <w:t>This is exactly why cost segregation fits the family specifically. The recapture is the price of the deduction only if there is a sale during the grantor’s life. The plan is to hold to death. At death, the Section 1014 step-up resets the basis of the property to fair market value, and the accumulated depreciation recapture is permanently erased — it is never recaptured because there is no lifetime sale and the basis the grantor’s estate passes to the family is the stepped-up figure. The family keeps every dollar of deduction taken during life and pay none of the recapture. A family that planned to flip these properties would have to weigh the recapture seriously; for a family holding to a step-up, the math is lopsided in the favor. After death, the continuing trusts can even commission a fresh cost segregation study on the stepped-up basis and begin the whole cycle again from the higher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Genuine win, because of the step-up</w:t>
            </w:r>
            <w:r>
              <w:rPr>
                <w:rFonts w:ascii="Calibri" w:cs="Calibri" w:eastAsia="Calibri" w:hAnsi="Calibri"/>
                <w:color w:val="8D6E63"/>
                <w:sz w:val="21"/>
                <w:szCs w:val="21"/>
              </w:rPr>
              <w:t xml:space="preserve"> · </w:t>
            </w:r>
            <w:r>
              <w:rPr>
                <w:rFonts w:ascii="Calibri" w:cs="Calibri" w:eastAsia="Calibri" w:hAnsi="Calibri"/>
                <w:color w:val="3E2723"/>
                <w:sz w:val="21"/>
                <w:szCs w:val="21"/>
              </w:rPr>
              <w:t>Run studies on the higher-basis properties and elect 100% bonus depreciation, but document the hold-to-death intent and model recapture before any lifetime sale. The deduction is kept and the recapture is erased only if the family holds.</w:t>
            </w:r>
          </w:p>
        </w:tc>
      </w:tr>
    </w:tbl>
    <w:p>
      <w:pPr>
        <w:pStyle w:val="Heading2"/>
        <w:spacing w:after="160" w:before="320"/>
      </w:pPr>
      <w:r>
        <w:rPr>
          <w:rFonts w:ascii="Georgia" w:cs="Georgia" w:eastAsia="Georgia" w:hAnsi="Georgia"/>
          <w:b/>
          <w:bCs/>
          <w:color w:val="8B4513"/>
          <w:sz w:val="27"/>
          <w:szCs w:val="27"/>
        </w:rPr>
        <w:t xml:space="preserve">2. Buy, Borrow, Die — Liquidity Without a Taxable Sale</w:t>
      </w:r>
    </w:p>
    <w:p>
      <w:pPr>
        <w:spacing w:after="120" w:before="0" w:line="300"/>
        <w:jc w:val="both"/>
      </w:pPr>
      <w:r>
        <w:rPr>
          <w:rFonts w:ascii="Calibri" w:cs="Calibri" w:eastAsia="Calibri" w:hAnsi="Calibri"/>
          <w:color w:val="3E2723"/>
          <w:sz w:val="22"/>
          <w:szCs w:val="22"/>
        </w:rPr>
        <w:t xml:space="preserve">The phrase sounds glib, but it names the single most important liquidity principle for a family whose plan is built on a step-up. The logic runs in three steps. You buy and hold appreciating assets. When you need cash, you borrow against them rather than selling them, because loan proceeds are not taxable income while a sale triggers capital gains tax. Then you hold to death, at which point the step-up lets the assets be sold with little or no gain to repay the loans. The strategy converts what would have been a lifetime of capital gains taxes into essentially nothing, because the only sales happen after the basis has been reset.</w:t>
      </w:r>
    </w:p>
    <w:p>
      <w:pPr>
        <w:spacing w:after="120" w:before="0" w:line="300"/>
        <w:jc w:val="both"/>
      </w:pPr>
      <w:r>
        <w:rPr>
          <w:rFonts w:ascii="Calibri" w:cs="Calibri" w:eastAsia="Calibri" w:hAnsi="Calibri"/>
          <w:color w:val="3E2723"/>
          <w:sz w:val="22"/>
          <w:szCs w:val="22"/>
        </w:rPr>
        <w:t>For the family this is not abstract. The father holds marketable securities at major brokerages, and the rental portfolio carries substantial equity. Rather than selling appreciated securities and paying gains, he can establish a securities-backed line of credit against the brokerage holdings, which typically allows borrowing against a meaningful percentage of the portfolio value at an interest-only rate priced off the Secured Overnight Financing Rate plus a spread. Against the rental properties, a cash-out refinance or a portfolio loan accomplishes the same thing. In both cases the cash is available for living expenses, new investments, or improvements, and no taxable event occurs.</w:t>
      </w:r>
    </w:p>
    <w:p>
      <w:pPr>
        <w:pStyle w:val="Heading3"/>
        <w:spacing w:after="120" w:before="240"/>
      </w:pPr>
      <w:r>
        <w:rPr>
          <w:rFonts w:ascii="Georgia" w:cs="Georgia" w:eastAsia="Georgia" w:hAnsi="Georgia"/>
          <w:b/>
          <w:bCs/>
          <w:color w:val="A0522D"/>
          <w:sz w:val="23"/>
          <w:szCs w:val="23"/>
        </w:rPr>
        <w:t xml:space="preserve">Interest deductibility depends on what you do with the money</w:t>
      </w:r>
    </w:p>
    <w:p>
      <w:pPr>
        <w:spacing w:after="120" w:before="0" w:line="300"/>
        <w:jc w:val="both"/>
      </w:pPr>
      <w:r>
        <w:rPr>
          <w:rFonts w:ascii="Calibri" w:cs="Calibri" w:eastAsia="Calibri" w:hAnsi="Calibri"/>
          <w:color w:val="3E2723"/>
          <w:sz w:val="22"/>
          <w:szCs w:val="22"/>
        </w:rPr>
        <w:t>Whether the interest on these loans is deductible turns entirely on how the borrowed money is used, not on what secures the loan. This is the tracing rule, and it matters. If the proceeds are used to acquire investment property, the interest is investment interest, deductible against net investment income. If the proceeds are used in the rental business, the interest is business interest, though the small portfolio is likely exempt from the business-interest limitation under the gross-receipts small-business test. If the proceeds are spent on personal consumption, the interest is personal and not deductible at all. A securities-backed line is not mortgage interest regardless of how it is used, and such lines generally cannot be used to buy more securities. The practical discipline is to trace and document the use of every draw so the deductibility is clear at tax time.</w:t>
      </w:r>
    </w:p>
    <w:p>
      <w:pPr>
        <w:pStyle w:val="Heading3"/>
        <w:spacing w:after="120" w:before="240"/>
      </w:pPr>
      <w:r>
        <w:rPr>
          <w:rFonts w:ascii="Georgia" w:cs="Georgia" w:eastAsia="Georgia" w:hAnsi="Georgia"/>
          <w:b/>
          <w:bCs/>
          <w:color w:val="A0522D"/>
          <w:sz w:val="23"/>
          <w:szCs w:val="23"/>
        </w:rPr>
        <w:t xml:space="preserve">The risks, stated plainly</w:t>
      </w:r>
    </w:p>
    <w:p>
      <w:pPr>
        <w:spacing w:after="120" w:before="0" w:line="300"/>
        <w:jc w:val="both"/>
      </w:pPr>
      <w:r>
        <w:rPr>
          <w:rFonts w:ascii="Calibri" w:cs="Calibri" w:eastAsia="Calibri" w:hAnsi="Calibri"/>
          <w:color w:val="3E2723"/>
          <w:sz w:val="22"/>
          <w:szCs w:val="22"/>
        </w:rPr>
        <w:t xml:space="preserve">Borrowing against assets is not without danger, and the danger is real enough that it deserves its own paragraph rather than a footnote. Securities-backed lines carry variable interest rates, so a rising-rate environment increases the carrying cost, and they are subject to maintenance requirements that can trigger a margin call forcing liquidation of the pledged securities at the worst possible moment, in a falling market. The discipline that makes this strategy safe is to borrow well below the maximum available, to keep a liquidity buffer in reserve, and to stress-test the plan against a significant market decline before relying on it. Used conservatively, it is the liquidity engine of the entire hold-to-death plan; used aggressively, it can force exactly the sale it was meant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Genuine win and the liquidity centerpiece</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Establish a conservative securities-backed line against the brokerage portfolio and trace draws for interest deductibility. Borrow below the maximum and keep a buffer; this is how a hold-to-death family accesses cash without breaking the step-up.</w:t>
            </w:r>
          </w:p>
        </w:tc>
      </w:tr>
    </w:tbl>
    <w:p>
      <w:pPr>
        <w:pStyle w:val="Heading2"/>
        <w:spacing w:after="160" w:before="320"/>
      </w:pPr>
      <w:r>
        <w:rPr>
          <w:rFonts w:ascii="Georgia" w:cs="Georgia" w:eastAsia="Georgia" w:hAnsi="Georgia"/>
          <w:b/>
          <w:bCs/>
          <w:color w:val="8B4513"/>
          <w:sz w:val="27"/>
          <w:szCs w:val="27"/>
        </w:rPr>
        <w:t xml:space="preserve">3. The Grantor-Trust Income-Tax Burn</w:t>
      </w:r>
    </w:p>
    <w:p>
      <w:pPr>
        <w:spacing w:after="120" w:before="0" w:line="300"/>
        <w:jc w:val="both"/>
      </w:pPr>
      <w:r>
        <w:rPr>
          <w:rFonts w:ascii="Calibri" w:cs="Calibri" w:eastAsia="Calibri" w:hAnsi="Calibri"/>
          <w:color w:val="3E2723"/>
          <w:sz w:val="22"/>
          <w:szCs w:val="22"/>
        </w:rPr>
        <w:t>This is the silent engine of the Phase One structure, and it works automatically once the trust is in place. Because the Phase One trust is an intentionally defective grantor trust, the grantor pays the income tax on the trust's earnings out of his own pocket. At first glance that sounds like a burden. It is in fact one of the most elegant tax-free wealth transfers available, and it is entirely sanctioned by the Internal Revenue Service. Revenue Ruling 2004-64 confirmed that when the grantor pays the income tax on a grantor trust's income, that payment is not treated as an additional gift to the trust's beneficiaries. He is simply discharging his own legal tax liability.</w:t>
      </w:r>
    </w:p>
    <w:p>
      <w:pPr>
        <w:spacing w:after="120" w:before="0" w:line="300"/>
        <w:jc w:val="both"/>
      </w:pPr>
      <w:r>
        <w:rPr>
          <w:rFonts w:ascii="Calibri" w:cs="Calibri" w:eastAsia="Calibri" w:hAnsi="Calibri"/>
          <w:color w:val="3E2723"/>
          <w:sz w:val="22"/>
          <w:szCs w:val="22"/>
        </w:rPr>
        <w:t>The consequence compounds quietly year after year. The trust grows on a pre-tax basis, because the income tax that would otherwise reduce its returns is being paid from outside the trust by the grantor. Meanwhile his own separate estate is steadily depleted by those tax payments. Every dollar of tax he pays on the trust's behalf is a dollar that leaves his taxable estate and effectively moves into the trust without using any gift exemption and without any gift tax. Over a long horizon the cumulative effect is substantial.</w:t>
      </w:r>
    </w:p>
    <w:p>
      <w:pPr>
        <w:spacing w:after="120" w:before="0" w:line="300"/>
        <w:jc w:val="both"/>
      </w:pPr>
      <w:r>
        <w:rPr>
          <w:rFonts w:ascii="Calibri" w:cs="Calibri" w:eastAsia="Calibri" w:hAnsi="Calibri"/>
          <w:color w:val="3E2723"/>
          <w:sz w:val="22"/>
          <w:szCs w:val="22"/>
        </w:rPr>
        <w:t>To put rough numbers on it, imagine the trust holds three million dollars and earns six percent in a year, generating roughly one hundred eighty thousand dollars of income. Depending on the character of that income — Arkansas tops out at four and four-tenths percent, and federal rates differ between ordinary income and qualified dividends or long-term gains — the grantor might pay somewhere between forty-five and sixty-five thousand dollars of tax on it. That full pre-tax return stays in the trust and compounds, while the tax he paid leaves his estate. Compounded across two decades, the cumulative tax he absorbs, and therefore the value he shifts into the trust while removing it from his own estate, can run from the high six figures into the low seven figures, all without touching his gift exemption.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DF8F0" w:val="clear"/>
            <w:tcMar>
              <w:top w:type="dxa" w:w="200"/>
              <w:left w:type="dxa" w:w="240"/>
              <w:bottom w:type="dxa" w:w="200"/>
              <w:right w:type="dxa" w:w="240"/>
            </w:tcMar>
          </w:tcPr>
          <w:p>
            <w:pPr>
              <w:spacing w:after="80" w:line="300"/>
              <w:jc w:val="left"/>
            </w:pPr>
            <w:r>
              <w:rPr>
                <w:rFonts w:ascii="Georgia" w:cs="Georgia" w:eastAsia="Georgia" w:hAnsi="Georgia"/>
                <w:b/>
                <w:bCs/>
                <w:color w:val="2C1810"/>
                <w:sz w:val="24"/>
                <w:szCs w:val="24"/>
              </w:rPr>
              <w:t>A drafting caution worth flagging to counsel</w:t>
            </w:r>
          </w:p>
          <w:p>
            <w:pPr>
              <w:spacing w:after="0" w:line="300"/>
              <w:jc w:val="both"/>
            </w:pPr>
            <w:r>
              <w:rPr>
                <w:rFonts w:ascii="Calibri" w:cs="Calibri" w:eastAsia="Calibri" w:hAnsi="Calibri"/>
                <w:color w:val="3E2723"/>
                <w:sz w:val="22"/>
                <w:szCs w:val="22"/>
              </w:rPr>
              <w:t>Any clause that lets the trustee reimburse the grantor for the income tax he pays must be discretionary and original to the trust instrument. Do not add a reimbursement clause by later amendment, and never make reimbursement mandatory. The IRS has signaled in CCA 202352018 that adding such a clause later can be treated as a taxable gift by the beneficiaries, and a mandatory reimbursement clause can pull the trust assets back into the estate under Section 2036 in a way the family does not want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Genuine win and essentially automatic</w:t>
            </w:r>
            <w:r>
              <w:rPr>
                <w:rFonts w:ascii="Calibri" w:cs="Calibri" w:eastAsia="Calibri" w:hAnsi="Calibri"/>
                <w:color w:val="8D6E63"/>
                <w:sz w:val="21"/>
                <w:szCs w:val="21"/>
              </w:rPr>
              <w:t xml:space="preserve"> · </w:t>
            </w:r>
            <w:r>
              <w:rPr>
                <w:rFonts w:ascii="Calibri" w:cs="Calibri" w:eastAsia="Calibri" w:hAnsi="Calibri"/>
                <w:color w:val="3E2723"/>
                <w:sz w:val="21"/>
                <w:szCs w:val="21"/>
              </w:rPr>
              <w:t>Let the grantor continue paying the trust's income tax. Keep any reimbursement clause discretionary and original to the instrument. Pair this with Roth conversions as the two great tax-free burns of the estate.</w:t>
            </w:r>
          </w:p>
        </w:tc>
      </w:tr>
    </w:tbl>
    <w:p>
      <w:pPr>
        <w:pStyle w:val="Heading2"/>
        <w:spacing w:after="160" w:before="320"/>
      </w:pPr>
      <w:r>
        <w:rPr>
          <w:rFonts w:ascii="Georgia" w:cs="Georgia" w:eastAsia="Georgia" w:hAnsi="Georgia"/>
          <w:b/>
          <w:bCs/>
          <w:color w:val="8B4513"/>
          <w:sz w:val="27"/>
          <w:szCs w:val="27"/>
        </w:rPr>
        <w:t xml:space="preserve">4. Roth Conversions Against the SECURE Act Ten-Year Rule</w:t>
      </w:r>
    </w:p>
    <w:p>
      <w:pPr>
        <w:spacing w:after="120" w:before="0" w:line="300"/>
        <w:jc w:val="both"/>
      </w:pPr>
      <w:r>
        <w:rPr>
          <w:rFonts w:ascii="Calibri" w:cs="Calibri" w:eastAsia="Calibri" w:hAnsi="Calibri"/>
          <w:color w:val="3E2723"/>
          <w:sz w:val="22"/>
          <w:szCs w:val="22"/>
        </w:rPr>
        <w:t>Retirement accounts are the one major asset class that the step-up cannot save, and understanding why explains why Roth conversions matter so much for the family. When the grantor dies holding a traditional IRA or 401(k), those accounts do not receive a step-up in basis. They are income in respect of a decedent, which means the income tax that was deferred during his life is still owed when the money comes out, and it comes out as ordinary income to whoever inherits. The step-up that erases the gain on his rental properties does nothing for his retirement accounts.</w:t>
      </w:r>
    </w:p>
    <w:p>
      <w:pPr>
        <w:spacing w:after="120" w:before="0" w:line="300"/>
        <w:jc w:val="both"/>
      </w:pPr>
      <w:r>
        <w:rPr>
          <w:rFonts w:ascii="Calibri" w:cs="Calibri" w:eastAsia="Calibri" w:hAnsi="Calibri"/>
          <w:color w:val="3E2723"/>
          <w:sz w:val="22"/>
          <w:szCs w:val="22"/>
        </w:rPr>
        <w:t>The SECURE Act of 2019 and the SECURE 2.0 Act of 2022 made this worse for adult children. Under the ten-year rule, a non-eligible designated beneficiary — which includes the two of the family as his sons — must fully empty an inherited traditional retirement account within ten years of his death, and the final regulations issued in July 2024 require annual distributions in years one through nine when the account owner died after his required beginning date, with the account fully drained by year ten. If those distributions land in the peak earning years, they stack on top of the own income and are taxed at the highest marginal rates. Worse, if the accounts are payable to an accumulation trust and the income is retained in the trust rather than distributed, it hits the compressed trust tax brackets, which reach the top thirty-seven percent rate at only sixteen thousand dollars of retained taxable income in 2026.</w:t>
      </w:r>
    </w:p>
    <w:p>
      <w:pPr>
        <w:pStyle w:val="Heading3"/>
        <w:spacing w:after="120" w:before="240"/>
      </w:pPr>
      <w:r>
        <w:rPr>
          <w:rFonts w:ascii="Georgia" w:cs="Georgia" w:eastAsia="Georgia" w:hAnsi="Georgia"/>
          <w:b/>
          <w:bCs/>
          <w:color w:val="A0522D"/>
          <w:sz w:val="23"/>
          <w:szCs w:val="23"/>
        </w:rPr>
        <w:t xml:space="preserve">The fix</w:t>
      </w:r>
    </w:p>
    <w:p>
      <w:pPr>
        <w:spacing w:after="120" w:before="0" w:line="300"/>
        <w:jc w:val="both"/>
      </w:pPr>
      <w:r>
        <w:rPr>
          <w:rFonts w:ascii="Calibri" w:cs="Calibri" w:eastAsia="Calibri" w:hAnsi="Calibri"/>
          <w:color w:val="3E2723"/>
          <w:sz w:val="22"/>
          <w:szCs w:val="22"/>
        </w:rPr>
        <w:t>The strategy is to convert traditional retirement balances to Roth during the grantor’s lifetime. He pays the conversion tax now, at his marginal rate, ideally from assets outside the retirement account, and the Roth balance then passes to the family tax-free. The Roth is still subject to the ten-year rule, but ten years of tax-free growth followed by a tax-free distribution is a completely different outcome than ordinary-income taxation at the peak rates or, worse, at compressed trust rates. The conversion is most valuable in years when the grantor’s own income is lower, so the conversion fills up his lower brackets rather than spilling into his highest ones, and it pairs naturally with the cost segregation deductions described earlier, which can offset the conversion income in the same year. Paying the conversion tax from outside assets is itself another tax-free burn of his estate, exactly like the grantor-trust tax payments.</w:t>
      </w:r>
    </w:p>
    <w:p>
      <w:pPr>
        <w:spacing w:after="120" w:before="0" w:line="300"/>
        <w:jc w:val="both"/>
      </w:pPr>
      <w:r>
        <w:rPr>
          <w:rFonts w:ascii="Calibri" w:cs="Calibri" w:eastAsia="Calibri" w:hAnsi="Calibri"/>
          <w:color w:val="3E2723"/>
          <w:sz w:val="22"/>
          <w:szCs w:val="22"/>
        </w:rPr>
        <w:t>Two further refinements matter. The continuing trusts that might receive any remaining retirement assets must be drafted as see-through accumulation trusts under the Treasury regulations so they preserve designated-beneficiary treatment rather than triggering an even faster payout. And the grantor’s spouse, as the grantor’s spouse, is an eligible designated beneficiary who can roll an inherited IRA into her own and defer distributions to her own required beginning date, which is a far gentler timeline than the ten-year rule the family faces. The beneficiary designations should be structured with these distinctions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Genuine win, high priority for the handoff</w:t>
            </w:r>
            <w:r>
              <w:rPr>
                <w:rFonts w:ascii="Calibri" w:cs="Calibri" w:eastAsia="Calibri" w:hAnsi="Calibri"/>
                <w:color w:val="8D6E63"/>
                <w:sz w:val="21"/>
                <w:szCs w:val="21"/>
              </w:rPr>
              <w:t xml:space="preserve"> · </w:t>
            </w:r>
            <w:r>
              <w:rPr>
                <w:rFonts w:ascii="Calibri" w:cs="Calibri" w:eastAsia="Calibri" w:hAnsi="Calibri"/>
                <w:color w:val="3E2723"/>
                <w:sz w:val="21"/>
                <w:szCs w:val="21"/>
              </w:rPr>
              <w:t>Begin a multi-year Roth conversion ladder sized to fill the grantor’s lower brackets, paying the tax from outside assets. This is one of the few moves that directly reduces the next generation's income tax, and it neutralizes the compressed-trust-bracket trap.</w:t>
            </w:r>
          </w:p>
        </w:tc>
      </w:tr>
    </w:tbl>
    <w:p>
      <w:pPr>
        <w:pStyle w:val="Heading2"/>
        <w:spacing w:after="160" w:before="320"/>
      </w:pPr>
      <w:r>
        <w:rPr>
          <w:rFonts w:ascii="Georgia" w:cs="Georgia" w:eastAsia="Georgia" w:hAnsi="Georgia"/>
          <w:b/>
          <w:bCs/>
          <w:color w:val="8B4513"/>
          <w:sz w:val="27"/>
          <w:szCs w:val="27"/>
        </w:rPr>
        <w:t xml:space="preserve">5. The Section 754 Election — Making the Step-Up Reach Depreciation</w:t>
      </w:r>
    </w:p>
    <w:p>
      <w:pPr>
        <w:spacing w:after="120" w:before="0" w:line="300"/>
        <w:jc w:val="both"/>
      </w:pPr>
      <w:r>
        <w:rPr>
          <w:rFonts w:ascii="Calibri" w:cs="Calibri" w:eastAsia="Calibri" w:hAnsi="Calibri"/>
          <w:color w:val="3E2723"/>
          <w:sz w:val="22"/>
          <w:szCs w:val="22"/>
        </w:rPr>
        <w:t>This is a technical point, but it is the difference between a step-up that works on paper and a step-up that actually reaches the depreciation schedule, so it is worth understanding clearly. The rental properties will be held inside a holding-company LLC that is taxed as a partnership. When the grantor dies, the trusts that inherit his interest get a step-up in their outside basis — their basis in the partnership interest itself — to fair market value under Section 1014. But the partnership's inside basis in the underlying real estate does not automatically change. Without further action, the trusts would own a partnership interest with a stepped-up outside basis while the partnership continued depreciating the properties from their old, much lower inside basis. That mismatch creates phantom gain on a later sale and wastes the depreciation benefit of the step-up.</w:t>
      </w:r>
    </w:p>
    <w:p>
      <w:pPr>
        <w:spacing w:after="120" w:before="0" w:line="300"/>
        <w:jc w:val="both"/>
      </w:pPr>
      <w:r>
        <w:rPr>
          <w:rFonts w:ascii="Calibri" w:cs="Calibri" w:eastAsia="Calibri" w:hAnsi="Calibri"/>
          <w:color w:val="3E2723"/>
          <w:sz w:val="22"/>
          <w:szCs w:val="22"/>
        </w:rPr>
        <w:t xml:space="preserve">The fix is a Section 754 election. When the partnership has a 754 election in place, the death of a partner triggers a Section 743(b) adjustment that pushes the outside-basis step-up down into the inside basis of the partnership's assets, but only for the benefit of the successor — here, the continuing trusts. The result is that the trusts get to re-depreciate the properties from their stepped-up fair market value going forward, and they recognize less gain on any eventual sale. The adjustment is spread across the asset classes under the Section 755 rules, and it can be paired with a fresh cost segregation study on the stepped-up basis to accelerate that new depreciation into the short-lived categories all over again.</w:t>
      </w:r>
    </w:p>
    <w:p>
      <w:pPr>
        <w:spacing w:after="120" w:before="0" w:line="300"/>
        <w:jc w:val="both"/>
      </w:pPr>
      <w:r>
        <w:rPr>
          <w:rFonts w:ascii="Calibri" w:cs="Calibri" w:eastAsia="Calibri" w:hAnsi="Calibri"/>
          <w:color w:val="3E2723"/>
          <w:sz w:val="22"/>
          <w:szCs w:val="22"/>
        </w:rPr>
        <w:t>The election is made by attaching a statement to a timely filed partnership return for the year of death, including extensions. It is close to mandatory planning whenever a partner dies holding appreciated, depreciable real estate inside a partnership, and forgetting it is one of the more common and most expensive oversights in exactly this kind of structure. counsel and the CPA should confirm either that the election is already standing or that it will be made in the year of the grantor’s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Genuine win and close to mandatory</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Confirm a Section 754 election is standing or will be filed on the partnership return for the year of death, so the step-up reaches the inside basis and the trusts re-depreciate from fair market value. Pair with a fresh cost segregation study on the stepped-up basis.</w:t>
            </w:r>
          </w:p>
        </w:tc>
      </w:tr>
    </w:tbl>
    <w:p>
      <w:pPr>
        <w:pStyle w:val="Heading2"/>
        <w:spacing w:after="160" w:before="320"/>
      </w:pPr>
      <w:r>
        <w:rPr>
          <w:rFonts w:ascii="Georgia" w:cs="Georgia" w:eastAsia="Georgia" w:hAnsi="Georgia"/>
          <w:b/>
          <w:bCs/>
          <w:color w:val="8B4513"/>
          <w:sz w:val="27"/>
          <w:szCs w:val="27"/>
        </w:rPr>
        <w:t xml:space="preserve">6. The Section 199A Qualified Business Income Deduction</w:t>
      </w:r>
    </w:p>
    <w:p>
      <w:pPr>
        <w:spacing w:after="120" w:before="0" w:line="300"/>
        <w:jc w:val="both"/>
      </w:pPr>
      <w:r>
        <w:rPr>
          <w:rFonts w:ascii="Calibri" w:cs="Calibri" w:eastAsia="Calibri" w:hAnsi="Calibri"/>
          <w:color w:val="3E2723"/>
          <w:sz w:val="22"/>
          <w:szCs w:val="22"/>
        </w:rPr>
        <w:t xml:space="preserve">The qualified business income deduction lets the owner of a pass-through business deduct up to twenty percent of qualified business income, and the One Big Beautiful Bill Act made it permanent for tax years beginning after December 31, 2025, widening the phase-in ranges and adding a minimum deduction for taxpayers with at least a thousand dollars of active qualified business income. For 2026 the threshold amounts are set at two hundred one thousand seven hundred fifty dollars for single filers and four hundred three thousand five hundred dollars for joint filers, with full phase-out of certain limitations well above those figures.</w:t>
      </w:r>
    </w:p>
    <w:p>
      <w:pPr>
        <w:spacing w:after="120" w:before="0" w:line="300"/>
        <w:jc w:val="both"/>
      </w:pPr>
      <w:r>
        <w:rPr>
          <w:rFonts w:ascii="Calibri" w:cs="Calibri" w:eastAsia="Calibri" w:hAnsi="Calibri"/>
          <w:color w:val="3E2723"/>
          <w:sz w:val="22"/>
          <w:szCs w:val="22"/>
        </w:rPr>
        <w:t>Rental real estate can qualify as a trade or business for this deduction in one of two ways. It can meet the rental real estate safe harbor under Revenue Procedure 2019-38, which requires at least two hundred fifty hours of rental services per year, separate books and records, and contemporaneous time logs, or it can qualify under the general trade-or-business standard if the rental activity rises to that level. A five-property portfolio, especially if the properties are treated as a single combined rental enterprise, plausibly clears the two hundred fifty hour threshold, which makes the deduction available against the net rental income.</w:t>
      </w:r>
    </w:p>
    <w:p>
      <w:pPr>
        <w:spacing w:after="120" w:before="0" w:line="300"/>
        <w:jc w:val="both"/>
      </w:pPr>
      <w:r>
        <w:rPr>
          <w:rFonts w:ascii="Calibri" w:cs="Calibri" w:eastAsia="Calibri" w:hAnsi="Calibri"/>
          <w:color w:val="3E2723"/>
          <w:sz w:val="22"/>
          <w:szCs w:val="22"/>
        </w:rPr>
        <w:t>The wrinkle is how the deduction works through the trust structure. During the grantor’s life the rental income flows to him as the grantor and he claims the deduction on his own return. After his death the continuing trusts are non-grantor trusts that can claim the deduction at the trust level, but they are tested against the same compressed top-bracket threshold of sixteen thousand dollars that makes retained trust income so expensive. As a practical matter the deduction is often captured most efficiently by distributing the income out to the beneficiaries, who then compute the deduction on their own returns at their own thresholds. This is a rate reduction on net rental income rather than a structural centerpiece, but it is low effort and worth positioning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Win, low effort</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Keep contemporaneous 250-hour logs and separate books so the rentals qualify under the Revenue Procedure 2019-38 safe harbor. Treat it as a modest rate reduction, not a centerpiece, and plan to capture it through beneficiary distributions after death.</w:t>
            </w:r>
          </w:p>
        </w:tc>
      </w:tr>
    </w:tbl>
    <w:p>
      <w:pPr>
        <w:pStyle w:val="Heading2"/>
        <w:spacing w:after="160" w:before="320"/>
      </w:pPr>
      <w:r>
        <w:rPr>
          <w:rFonts w:ascii="Georgia" w:cs="Georgia" w:eastAsia="Georgia" w:hAnsi="Georgia"/>
          <w:b/>
          <w:bCs/>
          <w:color w:val="8B4513"/>
          <w:sz w:val="27"/>
          <w:szCs w:val="27"/>
        </w:rPr>
        <w:t xml:space="preserve">7. The Section 121 Primary-Residence Exclusion</w:t>
      </w:r>
    </w:p>
    <w:p>
      <w:pPr>
        <w:spacing w:after="120" w:before="0" w:line="300"/>
        <w:jc w:val="both"/>
      </w:pPr>
      <w:r>
        <w:rPr>
          <w:rFonts w:ascii="Calibri" w:cs="Calibri" w:eastAsia="Calibri" w:hAnsi="Calibri"/>
          <w:color w:val="3E2723"/>
          <w:sz w:val="22"/>
          <w:szCs w:val="22"/>
        </w:rPr>
        <w:t>The parents' primary residence deserves separate handling from the rental portfolio, because it carries a tax benefit the rentals do not. Section 121 of the Internal Revenue Code excludes up to two hundred fifty thousand dollars of gain on the sale of a principal residence for a single filer, or five hundred thousand for a married couple, as long as the ownership and use tests are met over the relevant five-year window. This exclusion is valuable while the grantors are alive and might choose to sell and downsize.</w:t>
      </w:r>
    </w:p>
    <w:p>
      <w:pPr>
        <w:spacing w:after="120" w:before="0" w:line="300"/>
        <w:jc w:val="both"/>
      </w:pPr>
      <w:r>
        <w:rPr>
          <w:rFonts w:ascii="Calibri" w:cs="Calibri" w:eastAsia="Calibri" w:hAnsi="Calibri"/>
          <w:color w:val="3E2723"/>
          <w:sz w:val="22"/>
          <w:szCs w:val="22"/>
        </w:rPr>
        <w:t>The key planning point is how the residence is titled. A grantor trust qualifies for the Section 121 exclusion because the grantor is treated as the owner of the home, but a non-grantor trust does not, because a trust cannot satisfy the use test by living in the house. This means the residence should be kept out of any non-grantor irrevocable trust during the grantors’ lives. Keeping it in their personal names, or in a grantor-trust capacity, preserves both the Section 121 exclusion if they sell during life and the Section 1014 step-up at death, which by itself eliminates the gain for the family as heirs. The life-estate sub-trust that holds the residence for the grantor’s spouse after the grantor’s death should be drafted so that her use of the home is properly imputed and the residence remains includible for the step-up. The danger to avoid is inadvertently titling the home in a way that forfeits either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Win, with a titling caution</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Keep the residence out of any non-grantor trust during life to preserve both the Section 121 exclusion and the step-up. Draft the mother's life-estate sub-trust so her use is imputed and the residence stays includible.</w:t>
            </w:r>
          </w:p>
        </w:tc>
      </w:tr>
    </w:tbl>
    <w:p>
      <w:pPr>
        <w:pStyle w:val="Heading2"/>
        <w:spacing w:after="160" w:before="320"/>
      </w:pPr>
      <w:r>
        <w:rPr>
          <w:rFonts w:ascii="Georgia" w:cs="Georgia" w:eastAsia="Georgia" w:hAnsi="Georgia"/>
          <w:b/>
          <w:bCs/>
          <w:color w:val="8B4513"/>
          <w:sz w:val="27"/>
          <w:szCs w:val="27"/>
        </w:rPr>
        <w:t xml:space="preserve">8. Allocating GST Exemption for the Dynasty Phase</w:t>
      </w:r>
    </w:p>
    <w:p>
      <w:pPr>
        <w:spacing w:after="120" w:before="0" w:line="300"/>
        <w:jc w:val="both"/>
      </w:pPr>
      <w:r>
        <w:rPr>
          <w:rFonts w:ascii="Calibri" w:cs="Calibri" w:eastAsia="Calibri" w:hAnsi="Calibri"/>
          <w:color w:val="3E2723"/>
          <w:sz w:val="22"/>
          <w:szCs w:val="22"/>
        </w:rPr>
        <w:t xml:space="preserve">This strategy looks past Phase One toward the eventual South Dakota dynasty trust, but the groundwork is laid at the moment Phase One is funded, which is why it belongs here. The generation-skipping transfer tax is a separate forty percent tax that applies when wealth passes to grandchildren and more remote descendants, on top of any gift or estate tax. The way to neutralize it is to allocate generation-skipping transfer tax exemption — which tracks the same fifteen million dollar figure and is indexed — to the trust at funding, on a timely filed gift tax return, so that the trust carries a zero inclusion ratio. A zero inclusion ratio means that distributions to grandchildren and beyond pass free of the generation-skipping tax, forever.</w:t>
      </w:r>
    </w:p>
    <w:p>
      <w:pPr>
        <w:spacing w:after="120" w:before="0" w:line="300"/>
        <w:jc w:val="both"/>
      </w:pPr>
      <w:r>
        <w:rPr>
          <w:rFonts w:ascii="Calibri" w:cs="Calibri" w:eastAsia="Calibri" w:hAnsi="Calibri"/>
          <w:color w:val="3E2723"/>
          <w:sz w:val="22"/>
          <w:szCs w:val="22"/>
        </w:rPr>
        <w:t>Two technical points matter for the family. First, the generation-skipping exemption, unlike the basic estate and gift exemption, is not portable between spouses, so each spouse's exemption must be used affirmatively and deliberately rather than relying on a survivor to pick up an unused amount. Second, the zero inclusion ratio is preserved when the Arkansas trust is later decanted into the South Dakota dynasty trust, provided the decanting does not shift beneficial interests to a lower generation or extend the perpetuities period in a way that taints the grandfathered status. The private letter ruling line in this area supports the conclusion that a properly structured decanting of a zero-inclusion-ratio trust does not jeopardize its exempt status. The action item is simply to allocate the exemption at funding, document it carefully on the gift tax return, and draft the decanting and appointment powers to protect the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20"/>
              <w:bottom w:type="dxa" w:w="140"/>
              <w:right w:type="dxa" w:w="220"/>
            </w:tcMar>
          </w:tcPr>
          <w:p>
            <w:pPr>
              <w:spacing w:after="0" w:line="290"/>
              <w:jc w:val="left"/>
            </w:pPr>
            <w:r>
              <w:rPr>
                <w:rFonts w:ascii="Georgia" w:cs="Georgia" w:eastAsia="Georgia" w:hAnsi="Georgia"/>
                <w:b/>
                <w:bCs/>
                <w:color w:val="2E7D32"/>
                <w:sz w:val="21"/>
                <w:szCs w:val="21"/>
              </w:rPr>
              <w:t xml:space="preserve">FIT VERDICT — </w:t>
            </w:r>
            <w:r>
              <w:rPr>
                <w:rFonts w:ascii="Georgia" w:cs="Georgia" w:eastAsia="Georgia" w:hAnsi="Georgia"/>
                <w:b/>
                <w:bCs/>
                <w:color w:val="2C1810"/>
                <w:sz w:val="21"/>
                <w:szCs w:val="21"/>
              </w:rPr>
              <w:t xml:space="preserve">Win and essential for Phase Two</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Allocate generation-skipping transfer tax exemption on the gift tax return at funding to lock a zero inclusion ratio, using each spouse's exemption since it is not portable. Draft decanting and appointment powers to preserve the ratio into the South Dakota phase.</w:t>
            </w:r>
          </w:p>
        </w:tc>
      </w:tr>
    </w:tbl>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Part II — Strategies to Set Aside, and Why</w:t>
      </w:r>
    </w:p>
    <w:p>
      <w:pPr>
        <w:spacing w:after="120" w:before="0" w:line="300"/>
        <w:jc w:val="both"/>
      </w:pPr>
      <w:r>
        <w:rPr>
          <w:rFonts w:ascii="Calibri" w:cs="Calibri" w:eastAsia="Calibri" w:hAnsi="Calibri"/>
          <w:color w:val="3E2723"/>
          <w:sz w:val="22"/>
          <w:szCs w:val="22"/>
        </w:rPr>
        <w:t>This part is, in some ways, the more valuable half of the document, because it is the half that the promotional tax content never writes honestly. The strategies below are real, and several of them are genuinely powerful for the right family. They are simply the wrong fit for the family, either because they fight the step-up that anchors the plan, because they only pay off at a scale far above five rental properties, or because they carry audit risk that outweighs any benefit. The family includes them not to dismiss them carelessly but to explain, plainly, why the family is setting each one aside, so that when the family encounter them in an article or a sales pitch the family already understand why they do not apply.</w:t>
      </w:r>
    </w:p>
    <w:p>
      <w:pPr>
        <w:pStyle w:val="Heading2"/>
        <w:spacing w:after="160" w:before="320"/>
      </w:pPr>
      <w:r>
        <w:rPr>
          <w:rFonts w:ascii="Georgia" w:cs="Georgia" w:eastAsia="Georgia" w:hAnsi="Georgia"/>
          <w:b/>
          <w:bCs/>
          <w:color w:val="8B4513"/>
          <w:sz w:val="27"/>
          <w:szCs w:val="27"/>
        </w:rPr>
        <w:t xml:space="preserve">9. Valuation Discounts — Counterproductive When You Want Inclusion</w:t>
      </w:r>
    </w:p>
    <w:p>
      <w:pPr>
        <w:spacing w:after="120" w:before="0" w:line="300"/>
        <w:jc w:val="both"/>
      </w:pPr>
      <w:r>
        <w:rPr>
          <w:rFonts w:ascii="Calibri" w:cs="Calibri" w:eastAsia="Calibri" w:hAnsi="Calibri"/>
          <w:color w:val="3E2723"/>
          <w:sz w:val="22"/>
          <w:szCs w:val="22"/>
        </w:rPr>
        <w:t xml:space="preserve">Family limited partnerships and family LLCs are frequently promoted as a way to gift interests to the next generation at a discount. The idea is that a minority, non-controlling, hard-to-sell interest in a family entity is worth less than its proportionate share of the underlying assets, so appraisers apply discounts — commonly fifteen to forty percent — for lack of control and lack of marketability. For a family over the exemption, this is a powerful way to move value out of the estate at a reduced transfer-tax cost.</w:t>
      </w:r>
    </w:p>
    <w:p>
      <w:pPr>
        <w:spacing w:after="120" w:before="0" w:line="300"/>
        <w:jc w:val="both"/>
      </w:pPr>
      <w:r>
        <w:rPr>
          <w:rFonts w:ascii="Calibri" w:cs="Calibri" w:eastAsia="Calibri" w:hAnsi="Calibri"/>
          <w:color w:val="3E2723"/>
          <w:sz w:val="22"/>
          <w:szCs w:val="22"/>
        </w:rPr>
        <w:t>For the family it is exactly backwards. The family wants assets included in the grantor’s estate at full value so they receive the largest possible step-up. A discount reduces the value included in the estate, which directly reduces the basis step-up the family is counting on and can increase the taxable gain the family faces on a later sale. The family would be sacrificing the basis adjustment the family wants in order to avoid an estate tax the family will never owe. The discount only helps when the estate is large enough to face the forty percent estate tax; below the exemption it trades away something valuable to dodge something that does not exist. There is a further hazard: aggressive discount structures invite scrutiny under Section 2036, and the Tax Court has repeatedly pulled discounted assets back into estates at full value when the structure was thin, as it did in the Fields case in 2024. The holding-company LLC should exist for management and operational reasons, not to manufacture transfer-tax discounts.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D1F" w:sz="4"/>
              <w:left w:val="single" w:color="9B2D1F" w:sz="24"/>
              <w:bottom w:val="single" w:color="9B2D1F" w:sz="4"/>
              <w:right w:val="single" w:color="9B2D1F" w:sz="4"/>
            </w:tcBorders>
            <w:shd w:fill="F5E7E4" w:val="clear"/>
            <w:tcMar>
              <w:top w:type="dxa" w:w="140"/>
              <w:left w:type="dxa" w:w="220"/>
              <w:bottom w:type="dxa" w:w="140"/>
              <w:right w:type="dxa" w:w="220"/>
            </w:tcMar>
          </w:tcPr>
          <w:p>
            <w:pPr>
              <w:spacing w:after="0" w:line="290"/>
              <w:jc w:val="left"/>
            </w:pPr>
            <w:r>
              <w:rPr>
                <w:rFonts w:ascii="Georgia" w:cs="Georgia" w:eastAsia="Georgia" w:hAnsi="Georgia"/>
                <w:b/>
                <w:bCs/>
                <w:color w:val="9B2D1F"/>
                <w:sz w:val="21"/>
                <w:szCs w:val="21"/>
              </w:rPr>
              <w:t xml:space="preserve">FIT VERDICT — </w:t>
            </w:r>
            <w:r>
              <w:rPr>
                <w:rFonts w:ascii="Georgia" w:cs="Georgia" w:eastAsia="Georgia" w:hAnsi="Georgia"/>
                <w:b/>
                <w:bCs/>
                <w:color w:val="2C1810"/>
                <w:sz w:val="21"/>
                <w:szCs w:val="21"/>
              </w:rPr>
              <w:t xml:space="preserve">Counterproductive for a sub-exemption estate</w:t>
            </w:r>
            <w:r>
              <w:rPr>
                <w:rFonts w:ascii="Calibri" w:cs="Calibri" w:eastAsia="Calibri" w:hAnsi="Calibri"/>
                <w:color w:val="8D6E63"/>
                <w:sz w:val="21"/>
                <w:szCs w:val="21"/>
              </w:rPr>
              <w:t xml:space="preserve"> · </w:t>
            </w:r>
            <w:r>
              <w:rPr>
                <w:rFonts w:ascii="Calibri" w:cs="Calibri" w:eastAsia="Calibri" w:hAnsi="Calibri"/>
                <w:color w:val="3E2723"/>
                <w:sz w:val="21"/>
                <w:szCs w:val="21"/>
              </w:rPr>
              <w:t>Discounts shrink the very step-up the family wants and dodge an estate tax the family will not owe. Structure the holding company for management and protection, not for valuation discounts.</w:t>
            </w:r>
          </w:p>
        </w:tc>
      </w:tr>
    </w:tbl>
    <w:p>
      <w:pPr>
        <w:pStyle w:val="Heading2"/>
        <w:spacing w:after="160" w:before="320"/>
      </w:pPr>
      <w:r>
        <w:rPr>
          <w:rFonts w:ascii="Georgia" w:cs="Georgia" w:eastAsia="Georgia" w:hAnsi="Georgia"/>
          <w:b/>
          <w:bCs/>
          <w:color w:val="8B4513"/>
          <w:sz w:val="27"/>
          <w:szCs w:val="27"/>
        </w:rPr>
        <w:t>10. Grantor Retained Annuity Trusts — A Freeze The family Do Not Want</w:t>
      </w:r>
    </w:p>
    <w:p>
      <w:pPr>
        <w:spacing w:after="120" w:before="0" w:line="300"/>
        <w:jc w:val="both"/>
      </w:pPr>
      <w:r>
        <w:rPr>
          <w:rFonts w:ascii="Calibri" w:cs="Calibri" w:eastAsia="Calibri" w:hAnsi="Calibri"/>
          <w:color w:val="3E2723"/>
          <w:sz w:val="22"/>
          <w:szCs w:val="22"/>
        </w:rPr>
        <w:t xml:space="preserve">A grantor retained annuity trust is an estate-freeze tool. The grantor places appreciating assets into the trust, retains an annuity stream for a term of years, and at the end of the term whatever appreciation exceeded the assumed rate passes to the beneficiaries free of additional transfer tax. It is one of the most effective ways to push future appreciation out of a large estate. The entire purpose is to remove appreciation from the estate.</w:t>
      </w:r>
    </w:p>
    <w:p>
      <w:pPr>
        <w:spacing w:after="120" w:before="0" w:line="300"/>
        <w:jc w:val="both"/>
      </w:pPr>
      <w:r>
        <w:rPr>
          <w:rFonts w:ascii="Calibri" w:cs="Calibri" w:eastAsia="Calibri" w:hAnsi="Calibri"/>
          <w:color w:val="3E2723"/>
          <w:sz w:val="22"/>
          <w:szCs w:val="22"/>
        </w:rPr>
        <w:t>That purpose is the opposite of ours. The family is deliberately keeping assets in the grantor’s estate so they receive the step-up, and the family has exemption to spare, so there is no estate tax pressure that would justify freezing anything. Using a grantor retained annuity trust would push appreciation out of the estate and forfeit the step-up on that appreciation, in exchange for avoiding an estate tax the family will not pay. It is a sophisticated solution to a problem the family does not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D1F" w:sz="4"/>
              <w:left w:val="single" w:color="9B2D1F" w:sz="24"/>
              <w:bottom w:val="single" w:color="9B2D1F" w:sz="4"/>
              <w:right w:val="single" w:color="9B2D1F" w:sz="4"/>
            </w:tcBorders>
            <w:shd w:fill="F5E7E4" w:val="clear"/>
            <w:tcMar>
              <w:top w:type="dxa" w:w="140"/>
              <w:left w:type="dxa" w:w="220"/>
              <w:bottom w:type="dxa" w:w="140"/>
              <w:right w:type="dxa" w:w="220"/>
            </w:tcMar>
          </w:tcPr>
          <w:p>
            <w:pPr>
              <w:spacing w:after="0" w:line="290"/>
              <w:jc w:val="left"/>
            </w:pPr>
            <w:r>
              <w:rPr>
                <w:rFonts w:ascii="Georgia" w:cs="Georgia" w:eastAsia="Georgia" w:hAnsi="Georgia"/>
                <w:b/>
                <w:bCs/>
                <w:color w:val="9B2D1F"/>
                <w:sz w:val="21"/>
                <w:szCs w:val="21"/>
              </w:rPr>
              <w:t xml:space="preserve">FIT VERDICT — </w:t>
            </w:r>
            <w:r>
              <w:rPr>
                <w:rFonts w:ascii="Georgia" w:cs="Georgia" w:eastAsia="Georgia" w:hAnsi="Georgia"/>
                <w:b/>
                <w:bCs/>
                <w:color w:val="2C1810"/>
                <w:sz w:val="21"/>
                <w:szCs w:val="21"/>
              </w:rPr>
              <w:t>Counterproductive — it freezes an estate the family wants to keep whole</w:t>
            </w:r>
            <w:r>
              <w:rPr>
                <w:rFonts w:ascii="Calibri" w:cs="Calibri" w:eastAsia="Calibri" w:hAnsi="Calibri"/>
                <w:color w:val="8D6E63"/>
                <w:sz w:val="21"/>
                <w:szCs w:val="21"/>
              </w:rPr>
              <w:t xml:space="preserve"> · </w:t>
            </w:r>
            <w:r>
              <w:rPr>
                <w:rFonts w:ascii="Calibri" w:cs="Calibri" w:eastAsia="Calibri" w:hAnsi="Calibri"/>
                <w:color w:val="3E2723"/>
                <w:sz w:val="21"/>
                <w:szCs w:val="21"/>
              </w:rPr>
              <w:t>A GRAT removes appreciation from the estate and forfeits the step-up on it, to avoid an estate tax the family will never owe. No freeze is warranted for the family.</w:t>
            </w:r>
          </w:p>
        </w:tc>
      </w:tr>
    </w:tbl>
    <w:p>
      <w:pPr>
        <w:pStyle w:val="Heading2"/>
        <w:spacing w:after="160" w:before="320"/>
      </w:pPr>
      <w:r>
        <w:rPr>
          <w:rFonts w:ascii="Georgia" w:cs="Georgia" w:eastAsia="Georgia" w:hAnsi="Georgia"/>
          <w:b/>
          <w:bCs/>
          <w:color w:val="8B4513"/>
          <w:sz w:val="27"/>
          <w:szCs w:val="27"/>
        </w:rPr>
        <w:t xml:space="preserve">11. The S-Corp Management Company — Overengineered at Five Properties</w:t>
      </w:r>
    </w:p>
    <w:p>
      <w:pPr>
        <w:spacing w:after="120" w:before="0" w:line="300"/>
        <w:jc w:val="both"/>
      </w:pPr>
      <w:r>
        <w:rPr>
          <w:rFonts w:ascii="Calibri" w:cs="Calibri" w:eastAsia="Calibri" w:hAnsi="Calibri"/>
          <w:color w:val="3E2723"/>
          <w:sz w:val="22"/>
          <w:szCs w:val="22"/>
        </w:rPr>
        <w:t>A recurring suggestion in the material the family has read is to create a separate management LLC, taxed as an S-corporation, that charges the rental entities a management fee of ten to fifteen percent of rents, on the theory that this converts passive rental income into active income and saves self-employment tax. This sounds sophisticated and is largely misplaced at the scale, and the self-employment-tax framing is the part that is most misleading.</w:t>
      </w:r>
    </w:p>
    <w:p>
      <w:pPr>
        <w:spacing w:after="120" w:before="0" w:line="300"/>
        <w:jc w:val="both"/>
      </w:pPr>
      <w:r>
        <w:rPr>
          <w:rFonts w:ascii="Calibri" w:cs="Calibri" w:eastAsia="Calibri" w:hAnsi="Calibri"/>
          <w:color w:val="3E2723"/>
          <w:sz w:val="22"/>
          <w:szCs w:val="22"/>
        </w:rPr>
        <w:t>Start with the self-employment tax claim, because it is the crux. Rental income is not subject to self-employment tax in the first place. There is no self-employment tax to save on rents, so framing a management company as a self-employment-tax savings device is selling a solution to a cost that does not exist for a passive landlord. An S-corporation then introduces real burdens of its own: it requires paying a reasonable salary subject to payroll taxes, filing payroll returns, filing a separate corporate return, and bearing the administrative cost of all of it. And management fees paid between commonly controlled family entities draw scrutiny and must be genuinely arm's length. The only legitimate uses of such a structure are marginal for the family — generating W-2 wages to support the qualified business income wage limitation, which is irrelevant below the income thresholds the family is under, or building a genuine active-business platform the family does not currently need. For a five-property family below the relevant thresholds, the management S-corporation adds cost and audit exposure without delivering real tax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7F0DE" w:val="clear"/>
            <w:tcMar>
              <w:top w:type="dxa" w:w="140"/>
              <w:left w:type="dxa" w:w="220"/>
              <w:bottom w:type="dxa" w:w="140"/>
              <w:right w:type="dxa" w:w="220"/>
            </w:tcMar>
          </w:tcPr>
          <w:p>
            <w:pPr>
              <w:spacing w:after="0" w:line="290"/>
              <w:jc w:val="left"/>
            </w:pPr>
            <w:r>
              <w:rPr>
                <w:rFonts w:ascii="Georgia" w:cs="Georgia" w:eastAsia="Georgia" w:hAnsi="Georgia"/>
                <w:b/>
                <w:bCs/>
                <w:color w:val="B8860B"/>
                <w:sz w:val="21"/>
                <w:szCs w:val="21"/>
              </w:rPr>
              <w:t xml:space="preserve">FIT VERDICT — </w:t>
            </w:r>
            <w:r>
              <w:rPr>
                <w:rFonts w:ascii="Georgia" w:cs="Georgia" w:eastAsia="Georgia" w:hAnsi="Georgia"/>
                <w:b/>
                <w:bCs/>
                <w:color w:val="2C1810"/>
                <w:sz w:val="21"/>
                <w:szCs w:val="21"/>
              </w:rPr>
              <w:t xml:space="preserve">Overengineered at this scale — revisit only if the portfolio grows</w:t>
            </w:r>
            <w:r>
              <w:rPr>
                <w:rFonts w:ascii="Calibri" w:cs="Calibri" w:eastAsia="Calibri" w:hAnsi="Calibri"/>
                <w:color w:val="8D6E63"/>
                <w:sz w:val="21"/>
                <w:szCs w:val="21"/>
              </w:rPr>
              <w:t xml:space="preserve"> · </w:t>
            </w:r>
            <w:r>
              <w:rPr>
                <w:rFonts w:ascii="Calibri" w:cs="Calibri" w:eastAsia="Calibri" w:hAnsi="Calibri"/>
                <w:color w:val="3E2723"/>
                <w:sz w:val="21"/>
                <w:szCs w:val="21"/>
              </w:rPr>
              <w:t xml:space="preserve">Rental income is not subject to self-employment tax, so the headline savings are illusory, while the S-corp adds payroll, filings, and audit surface. Reconsider only if the portfolio grows substantially or income crosses the QBI wage-limit thresholds.</w:t>
            </w:r>
          </w:p>
        </w:tc>
      </w:tr>
    </w:tbl>
    <w:p>
      <w:pPr>
        <w:pStyle w:val="Heading2"/>
        <w:spacing w:after="160" w:before="320"/>
      </w:pPr>
      <w:r>
        <w:rPr>
          <w:rFonts w:ascii="Georgia" w:cs="Georgia" w:eastAsia="Georgia" w:hAnsi="Georgia"/>
          <w:b/>
          <w:bCs/>
          <w:color w:val="8B4513"/>
          <w:sz w:val="27"/>
          <w:szCs w:val="27"/>
        </w:rPr>
        <w:t xml:space="preserve">12. 1031 Exchanges — Redundant With the Step-Up, Useful Only to Reposition</w:t>
      </w:r>
    </w:p>
    <w:p>
      <w:pPr>
        <w:spacing w:after="120" w:before="0" w:line="300"/>
        <w:jc w:val="both"/>
      </w:pPr>
      <w:r>
        <w:rPr>
          <w:rFonts w:ascii="Calibri" w:cs="Calibri" w:eastAsia="Calibri" w:hAnsi="Calibri"/>
          <w:color w:val="3E2723"/>
          <w:sz w:val="22"/>
          <w:szCs w:val="22"/>
        </w:rPr>
        <w:t xml:space="preserve">A 1031 like-kind exchange lets you sell an investment property and reinvest the proceeds into another investment property without recognizing the gain, subject to strict timing rules — forty-five days to identify the replacement and one hundred eighty days to close, with a qualified intermediary holding the proceeds in between. It is a deferral tool, and it carries the old low basis forward into the new property. For an investor who plans to keep trading up over a lifetime and then die holding the final property, the deferred gains are all wiped out by the step-up — the so-called swap till you drop.</w:t>
      </w:r>
    </w:p>
    <w:p>
      <w:pPr>
        <w:spacing w:after="120" w:before="0" w:line="300"/>
        <w:jc w:val="both"/>
      </w:pPr>
      <w:r>
        <w:rPr>
          <w:rFonts w:ascii="Calibri" w:cs="Calibri" w:eastAsia="Calibri" w:hAnsi="Calibri"/>
          <w:color w:val="3E2723"/>
          <w:sz w:val="22"/>
          <w:szCs w:val="22"/>
        </w:rPr>
        <w:t>The subtlety for the family is that the family is already planning to hold to death, and the step-up already eliminates the gain on the properties the family holds. For assets the family intends to keep, a 1031 exchange adds nothing that the step-up does not already deliver. Where it earns its keep is purely as a repositioning tool during life: if the family wants to consolidate five scattered rentals into one better-located property, trade up into a stronger asset, or exit a problem property, a 1031 lets the family does that without triggering current tax. Running an exchange inside the grantor trust is fine, since the grantor is the taxpayer either way. The point is to use a 1031 when the family genuinely want to change what the family owns, not reflexively to defer a gain that the step-up will erase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7F0DE" w:val="clear"/>
            <w:tcMar>
              <w:top w:type="dxa" w:w="140"/>
              <w:left w:type="dxa" w:w="220"/>
              <w:bottom w:type="dxa" w:w="140"/>
              <w:right w:type="dxa" w:w="220"/>
            </w:tcMar>
          </w:tcPr>
          <w:p>
            <w:pPr>
              <w:spacing w:after="0" w:line="290"/>
              <w:jc w:val="left"/>
            </w:pPr>
            <w:r>
              <w:rPr>
                <w:rFonts w:ascii="Georgia" w:cs="Georgia" w:eastAsia="Georgia" w:hAnsi="Georgia"/>
                <w:b/>
                <w:bCs/>
                <w:color w:val="B8860B"/>
                <w:sz w:val="21"/>
                <w:szCs w:val="21"/>
              </w:rPr>
              <w:t xml:space="preserve">FIT VERDICT — </w:t>
            </w:r>
            <w:r>
              <w:rPr>
                <w:rFonts w:ascii="Georgia" w:cs="Georgia" w:eastAsia="Georgia" w:hAnsi="Georgia"/>
                <w:b/>
                <w:bCs/>
                <w:color w:val="2C1810"/>
                <w:sz w:val="21"/>
                <w:szCs w:val="21"/>
              </w:rPr>
              <w:t xml:space="preserve">Redundant for held assets; useful only to reposition during life</w:t>
            </w:r>
            <w:r>
              <w:rPr>
                <w:rFonts w:ascii="Calibri" w:cs="Calibri" w:eastAsia="Calibri" w:hAnsi="Calibri"/>
                <w:color w:val="8D6E63"/>
                <w:sz w:val="21"/>
                <w:szCs w:val="21"/>
              </w:rPr>
              <w:t xml:space="preserve"> · </w:t>
            </w:r>
            <w:r>
              <w:rPr>
                <w:rFonts w:ascii="Calibri" w:cs="Calibri" w:eastAsia="Calibri" w:hAnsi="Calibri"/>
                <w:color w:val="3E2723"/>
                <w:sz w:val="21"/>
                <w:szCs w:val="21"/>
              </w:rPr>
              <w:t>The step-up already eliminates the gain on assets the family holds to death, so do not 1031 merely to defer. Use it only when the family actually want to consolidate, trade up, or exit a property during life.</w:t>
            </w:r>
          </w:p>
        </w:tc>
      </w:tr>
    </w:tbl>
    <w:p>
      <w:pPr>
        <w:pStyle w:val="Heading2"/>
        <w:spacing w:after="160" w:before="320"/>
      </w:pPr>
      <w:r>
        <w:rPr>
          <w:rFonts w:ascii="Georgia" w:cs="Georgia" w:eastAsia="Georgia" w:hAnsi="Georgia"/>
          <w:b/>
          <w:bCs/>
          <w:color w:val="8B4513"/>
          <w:sz w:val="27"/>
          <w:szCs w:val="27"/>
        </w:rPr>
        <w:t xml:space="preserve">13. The Generic Noise — Opportunity Zones, Easements, Captives, and PPLI</w:t>
      </w:r>
    </w:p>
    <w:p>
      <w:pPr>
        <w:spacing w:after="120" w:before="0" w:line="300"/>
        <w:jc w:val="both"/>
      </w:pPr>
      <w:r>
        <w:rPr>
          <w:rFonts w:ascii="Calibri" w:cs="Calibri" w:eastAsia="Calibri" w:hAnsi="Calibri"/>
          <w:color w:val="3E2723"/>
          <w:sz w:val="22"/>
          <w:szCs w:val="22"/>
        </w:rPr>
        <w:t>Finally, a cluster of strategies appears on nearly every fifty-item list and fits almost no one who resembles the family. The family address them together because the reason to set each aside is similar: they are built for a different scale or a different problem, and several carry real penalty risk.</w:t>
      </w:r>
    </w:p>
    <w:p>
      <w:pPr>
        <w:pStyle w:val="Heading3"/>
        <w:spacing w:after="120" w:before="240"/>
      </w:pPr>
      <w:r>
        <w:rPr>
          <w:rFonts w:ascii="Georgia" w:cs="Georgia" w:eastAsia="Georgia" w:hAnsi="Georgia"/>
          <w:b/>
          <w:bCs/>
          <w:color w:val="A0522D"/>
          <w:sz w:val="23"/>
          <w:szCs w:val="23"/>
        </w:rPr>
        <w:t xml:space="preserve">Qualified Opportunity Zones</w:t>
      </w:r>
    </w:p>
    <w:p>
      <w:pPr>
        <w:spacing w:after="120" w:before="0" w:line="300"/>
        <w:jc w:val="both"/>
      </w:pPr>
      <w:r>
        <w:rPr>
          <w:rFonts w:ascii="Calibri" w:cs="Calibri" w:eastAsia="Calibri" w:hAnsi="Calibri"/>
          <w:color w:val="3E2723"/>
          <w:sz w:val="22"/>
          <w:szCs w:val="22"/>
        </w:rPr>
        <w:t>The Opportunity Zone program lets an investor defer a prior capital gain by rolling it into a qualified fund, and after a ten-year hold the appreciation on the new investment can escape tax. The One Big Beautiful Bill Act made the program permanent with rolling designations beginning in 2027. But the deferral requires a prior capital gain to roll in within one hundred eighty days, and a family not realizing large gains has nothing to defer. More to the point, the ten-year step-up the program offers requires a sale and is simply redundant with the Section 1014 death step-up the family already receives tax-free on all of the appreciated assets, with no decade-long illiquid lock-up, no substantial-improvement requirement, and no need for a triggering gain in the first place.</w:t>
      </w:r>
    </w:p>
    <w:p>
      <w:pPr>
        <w:pStyle w:val="Heading3"/>
        <w:spacing w:after="120" w:before="240"/>
      </w:pPr>
      <w:r>
        <w:rPr>
          <w:rFonts w:ascii="Georgia" w:cs="Georgia" w:eastAsia="Georgia" w:hAnsi="Georgia"/>
          <w:b/>
          <w:bCs/>
          <w:color w:val="A0522D"/>
          <w:sz w:val="23"/>
          <w:szCs w:val="23"/>
        </w:rPr>
        <w:t xml:space="preserve">Conservation easements</w:t>
      </w:r>
    </w:p>
    <w:p>
      <w:pPr>
        <w:spacing w:after="120" w:before="0" w:line="300"/>
        <w:jc w:val="both"/>
      </w:pPr>
      <w:r>
        <w:rPr>
          <w:rFonts w:ascii="Calibri" w:cs="Calibri" w:eastAsia="Calibri" w:hAnsi="Calibri"/>
          <w:color w:val="3E2723"/>
          <w:sz w:val="22"/>
          <w:szCs w:val="22"/>
        </w:rPr>
        <w:t>Syndicated conservation easements have been designated listed transactions by the Internal Revenue Service, the regulations were re-promulgated in October 2024, and Congress added a statutory rule disallowing partnership easement deductions that exceed two and a half times the partners' basis. The Tax Court has sustained substantial valuation-misstatement penalties and in recent litigation has allowed, on average, only a small fraction of the deductions originally claimed, with more than a thousand cases pending as of mid-2026. This is a high-audit-risk area that does not fit the profile in any event.</w:t>
      </w:r>
    </w:p>
    <w:p>
      <w:pPr>
        <w:pStyle w:val="Heading3"/>
        <w:spacing w:after="120" w:before="240"/>
      </w:pPr>
      <w:r>
        <w:rPr>
          <w:rFonts w:ascii="Georgia" w:cs="Georgia" w:eastAsia="Georgia" w:hAnsi="Georgia"/>
          <w:b/>
          <w:bCs/>
          <w:color w:val="A0522D"/>
          <w:sz w:val="23"/>
          <w:szCs w:val="23"/>
        </w:rPr>
        <w:t xml:space="preserve">Captive insurance</w:t>
      </w:r>
    </w:p>
    <w:p>
      <w:pPr>
        <w:spacing w:after="120" w:before="0" w:line="300"/>
        <w:jc w:val="both"/>
      </w:pPr>
      <w:r>
        <w:rPr>
          <w:rFonts w:ascii="Calibri" w:cs="Calibri" w:eastAsia="Calibri" w:hAnsi="Calibri"/>
          <w:color w:val="3E2723"/>
          <w:sz w:val="22"/>
          <w:szCs w:val="22"/>
        </w:rPr>
        <w:t xml:space="preserve">Small captive insurance companies electing under Section 831(b) have been designated as listed transactions or transactions of interest, with mandatory disclosure, and they require a genuine operating business with real insurable risk, true risk distribution, and meaningful scale. The premium cap is just under three million dollars for 2026, and the area has drawn heavy enforcement and notable Tax Court losses. None of this fits a five-property rental family.</w:t>
      </w:r>
    </w:p>
    <w:p>
      <w:pPr>
        <w:pStyle w:val="Heading3"/>
        <w:spacing w:after="120" w:before="240"/>
      </w:pPr>
      <w:r>
        <w:rPr>
          <w:rFonts w:ascii="Georgia" w:cs="Georgia" w:eastAsia="Georgia" w:hAnsi="Georgia"/>
          <w:b/>
          <w:bCs/>
          <w:color w:val="A0522D"/>
          <w:sz w:val="23"/>
          <w:szCs w:val="23"/>
        </w:rPr>
        <w:t xml:space="preserve">Private placement life insurance</w:t>
      </w:r>
    </w:p>
    <w:p>
      <w:pPr>
        <w:spacing w:after="120" w:before="0" w:line="300"/>
        <w:jc w:val="both"/>
      </w:pPr>
      <w:r>
        <w:rPr>
          <w:rFonts w:ascii="Calibri" w:cs="Calibri" w:eastAsia="Calibri" w:hAnsi="Calibri"/>
          <w:color w:val="3E2723"/>
          <w:sz w:val="22"/>
          <w:szCs w:val="22"/>
        </w:rPr>
        <w:t>Private placement life insurance is a genuine tax shelter for the ultra-wealthy, requiring accredited-investor or qualified-purchaser status and, by the accounts of those who sell it, a minimum commitment commonly in the range of several million dollars to be worthwhile. A Senate Finance Committee report described the domestic market as tens of billions of dollars held by only a few thousand individuals, with average death benefits in the millions. It is engineered to shelter income and estate tax for estates well above the exemption — the opposite of the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D1F" w:sz="4"/>
              <w:left w:val="single" w:color="9B2D1F" w:sz="24"/>
              <w:bottom w:val="single" w:color="9B2D1F" w:sz="4"/>
              <w:right w:val="single" w:color="9B2D1F" w:sz="4"/>
            </w:tcBorders>
            <w:shd w:fill="F5E7E4" w:val="clear"/>
            <w:tcMar>
              <w:top w:type="dxa" w:w="140"/>
              <w:left w:type="dxa" w:w="220"/>
              <w:bottom w:type="dxa" w:w="140"/>
              <w:right w:type="dxa" w:w="220"/>
            </w:tcMar>
          </w:tcPr>
          <w:p>
            <w:pPr>
              <w:spacing w:after="0" w:line="290"/>
              <w:jc w:val="left"/>
            </w:pPr>
            <w:r>
              <w:rPr>
                <w:rFonts w:ascii="Georgia" w:cs="Georgia" w:eastAsia="Georgia" w:hAnsi="Georgia"/>
                <w:b/>
                <w:bCs/>
                <w:color w:val="9B2D1F"/>
                <w:sz w:val="21"/>
                <w:szCs w:val="21"/>
              </w:rPr>
              <w:t xml:space="preserve">FIT VERDICT — </w:t>
            </w:r>
            <w:r>
              <w:rPr>
                <w:rFonts w:ascii="Georgia" w:cs="Georgia" w:eastAsia="Georgia" w:hAnsi="Georgia"/>
                <w:b/>
                <w:bCs/>
                <w:color w:val="2C1810"/>
                <w:sz w:val="21"/>
                <w:szCs w:val="21"/>
              </w:rPr>
              <w:t>Mismatched to the scale and profile; several carry penalty risk</w:t>
            </w:r>
            <w:r>
              <w:rPr>
                <w:rFonts w:ascii="Calibri" w:cs="Calibri" w:eastAsia="Calibri" w:hAnsi="Calibri"/>
                <w:color w:val="8D6E63"/>
                <w:sz w:val="21"/>
                <w:szCs w:val="21"/>
              </w:rPr>
              <w:t xml:space="preserve"> · </w:t>
            </w:r>
            <w:r>
              <w:rPr>
                <w:rFonts w:ascii="Calibri" w:cs="Calibri" w:eastAsia="Calibri" w:hAnsi="Calibri"/>
                <w:color w:val="3E2723"/>
                <w:sz w:val="21"/>
                <w:szCs w:val="21"/>
              </w:rPr>
              <w:t>These are built for much larger estates or different problems, and Opportunity Zones in particular duplicate a step-up the family already gets for free. They are noise from generic lists, not strategy for the family.</w:t>
            </w:r>
          </w:p>
        </w:tc>
      </w:tr>
    </w:tbl>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Part III — Arkansas-Specific Tax Items</w:t>
      </w:r>
    </w:p>
    <w:p>
      <w:pPr>
        <w:spacing w:after="120" w:before="0" w:line="300"/>
        <w:jc w:val="both"/>
      </w:pPr>
      <w:r>
        <w:rPr>
          <w:rFonts w:ascii="Calibri" w:cs="Calibri" w:eastAsia="Calibri" w:hAnsi="Calibri"/>
          <w:color w:val="3E2723"/>
          <w:sz w:val="22"/>
          <w:szCs w:val="22"/>
        </w:rPr>
        <w:t xml:space="preserve">A handful of state-level points round out the picture, because Arkansas law shapes several of the choices above and one of them affects how the holding company should be taxed.</w:t>
      </w:r>
    </w:p>
    <w:p>
      <w:pPr>
        <w:pStyle w:val="Heading2"/>
        <w:spacing w:after="160" w:before="320"/>
      </w:pPr>
      <w:r>
        <w:rPr>
          <w:rFonts w:ascii="Georgia" w:cs="Georgia" w:eastAsia="Georgia" w:hAnsi="Georgia"/>
          <w:b/>
          <w:bCs/>
          <w:color w:val="8B4513"/>
          <w:sz w:val="27"/>
          <w:szCs w:val="27"/>
        </w:rPr>
        <w:t xml:space="preserve">14. Arkansas Income Tax and the Capital Gains Exclusion</w:t>
      </w:r>
    </w:p>
    <w:p>
      <w:pPr>
        <w:spacing w:after="120" w:before="0" w:line="300"/>
        <w:jc w:val="both"/>
      </w:pPr>
      <w:r>
        <w:rPr>
          <w:rFonts w:ascii="Calibri" w:cs="Calibri" w:eastAsia="Calibri" w:hAnsi="Calibri"/>
          <w:color w:val="3E2723"/>
          <w:sz w:val="22"/>
          <w:szCs w:val="22"/>
        </w:rPr>
        <w:t>Arkansas imposes a top individual income tax rate of four and four-tenths percent in 2026, which has been reduced progressively in recent years. The state offers a meaningful break on long-term capital gains: it taxes only fifty percent of net long-term capital gain, which produces an effective state rate on those gains of roughly two and two-tenths percent, and net capital gain above ten million dollars is fully exempt from Arkansas tax. Short-term gains are taxed as ordinary income at the full rate. Arkansas imposes no state estate tax and no inheritance tax, which is part of why the deliberate-inclusion strategy that anchors the plan costs nothing at the state level either.</w:t>
      </w:r>
    </w:p>
    <w:p>
      <w:pPr>
        <w:pStyle w:val="Heading2"/>
        <w:spacing w:after="160" w:before="320"/>
      </w:pPr>
      <w:r>
        <w:rPr>
          <w:rFonts w:ascii="Georgia" w:cs="Georgia" w:eastAsia="Georgia" w:hAnsi="Georgia"/>
          <w:b/>
          <w:bCs/>
          <w:color w:val="8B4513"/>
          <w:sz w:val="27"/>
          <w:szCs w:val="27"/>
        </w:rPr>
        <w:t>15. How Arkansas Taxes The Trusts</w:t>
      </w:r>
    </w:p>
    <w:p>
      <w:pPr>
        <w:spacing w:after="120" w:before="0" w:line="300"/>
        <w:jc w:val="both"/>
      </w:pPr>
      <w:r>
        <w:rPr>
          <w:rFonts w:ascii="Calibri" w:cs="Calibri" w:eastAsia="Calibri" w:hAnsi="Calibri"/>
          <w:color w:val="3E2723"/>
          <w:sz w:val="22"/>
          <w:szCs w:val="22"/>
        </w:rPr>
        <w:t>Arkansas taxes a resident trust on all of its income and a nonresident trust only on its Arkansas-source income. The rental income is Arkansas-source no matter where the trust is sited, because the properties are physically in Arkansas. This is an important point for the eventual South Dakota phase: moving the dynasty trust to South Dakota eliminates state income tax on income that is not sourced to Arkansas, but the Arkansas rental income itself remains Arkansas-source and stays taxable in Arkansas regardless of the trust's situs. South Dakota situs helps with everything except the Arkansas real estate, which is the one thing that cannot escape Arkansas tax by changing where the trust lives.</w:t>
      </w:r>
    </w:p>
    <w:p>
      <w:pPr>
        <w:pStyle w:val="Heading2"/>
        <w:spacing w:after="160" w:before="320"/>
      </w:pPr>
      <w:r>
        <w:rPr>
          <w:rFonts w:ascii="Georgia" w:cs="Georgia" w:eastAsia="Georgia" w:hAnsi="Georgia"/>
          <w:b/>
          <w:bCs/>
          <w:color w:val="8B4513"/>
          <w:sz w:val="27"/>
          <w:szCs w:val="27"/>
        </w:rPr>
        <w:t xml:space="preserve">16. The Arkansas Pass-Through Entity Tax</w:t>
      </w:r>
    </w:p>
    <w:p>
      <w:pPr>
        <w:spacing w:after="120" w:before="0" w:line="300"/>
        <w:jc w:val="both"/>
      </w:pPr>
      <w:r>
        <w:rPr>
          <w:rFonts w:ascii="Calibri" w:cs="Calibri" w:eastAsia="Calibri" w:hAnsi="Calibri"/>
          <w:color w:val="3E2723"/>
          <w:sz w:val="22"/>
          <w:szCs w:val="22"/>
        </w:rPr>
        <w:t>Arkansas offers an elective pass-through entity tax, enacted in 2021 and effective from 2022, that lets the holding-company LLC pay Arkansas income tax at the entity level rather than passing the liability through to the members individually. The benefit is federal: the entity-level tax is deductible without regard to the federal cap on state and local tax deductions, which effectively restores a deduction the members would otherwise lose. Two cautions matter for the structure. Trusts are not eligible to make this election, and an LLC taxed as a C-corporation is excluded, so how the holding company is owned and taxed determines whether the election is even available. This is a drafting consideration to raise with counsel and the CPA, because the ownership choices made for trust and protection reasons interact with eligibility for this state-tax benefit.</w:t>
      </w:r>
    </w:p>
    <w:p>
      <w:pPr>
        <w:pStyle w:val="Heading2"/>
        <w:spacing w:after="160" w:before="320"/>
      </w:pPr>
      <w:r>
        <w:rPr>
          <w:rFonts w:ascii="Georgia" w:cs="Georgia" w:eastAsia="Georgia" w:hAnsi="Georgia"/>
          <w:b/>
          <w:bCs/>
          <w:color w:val="8B4513"/>
          <w:sz w:val="27"/>
          <w:szCs w:val="27"/>
        </w:rPr>
        <w:t xml:space="preserve">17. Arkansas Real Estate Transfer Tax and the Entity Exemption</w:t>
      </w:r>
    </w:p>
    <w:p>
      <w:pPr>
        <w:spacing w:after="120" w:before="0" w:line="300"/>
        <w:jc w:val="both"/>
      </w:pPr>
      <w:r>
        <w:rPr>
          <w:rFonts w:ascii="Calibri" w:cs="Calibri" w:eastAsia="Calibri" w:hAnsi="Calibri"/>
          <w:color w:val="3E2723"/>
          <w:sz w:val="22"/>
          <w:szCs w:val="22"/>
        </w:rPr>
        <w:t>Arkansas imposes a real estate transfer tax of three dollars and thirty cents per thousand dollars of consideration. The point that matters for funding the structure is the exemption for transfers between business entities and their owners that are incident to the organization, reorganization, capitalization, or similar restructuring of the entity. Contributing the five rental properties into the Arkansas LLCs and the holding-company structure should fall within this exemption, because the consideration is the entity interest received rather than a sale for cash. The CPA and counsel should confirm the exemption applies to each transfer as the properties are contributed, but the path appears clear. The ongoing LLC franchise tax in Arkansas is a flat one hundred fifty dollars per entity per year.</w:t>
      </w:r>
    </w:p>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Part IV — A Staged Action Plan</w:t>
      </w:r>
    </w:p>
    <w:p>
      <w:pPr>
        <w:spacing w:after="120" w:before="0" w:line="300"/>
        <w:jc w:val="both"/>
      </w:pPr>
      <w:r>
        <w:rPr>
          <w:rFonts w:ascii="Calibri" w:cs="Calibri" w:eastAsia="Calibri" w:hAnsi="Calibri"/>
          <w:color w:val="3E2723"/>
          <w:sz w:val="22"/>
          <w:szCs w:val="22"/>
        </w:rPr>
        <w:t>The strategies above sequence naturally into three stages, and laying them out in order makes the plan easier to execute with counsel and the CPA. The stages move from the foundational steps that cost little and protect the most, through the engines that generate the ongoing tax savings, to the steps that execute at and after the grantor’s death.</w:t>
      </w:r>
    </w:p>
    <w:p>
      <w:pPr>
        <w:pStyle w:val="Heading2"/>
        <w:spacing w:after="160" w:before="320"/>
      </w:pPr>
      <w:r>
        <w:rPr>
          <w:rFonts w:ascii="Georgia" w:cs="Georgia" w:eastAsia="Georgia" w:hAnsi="Georgia"/>
          <w:b/>
          <w:bCs/>
          <w:color w:val="8B4513"/>
          <w:sz w:val="27"/>
          <w:szCs w:val="27"/>
        </w:rPr>
        <w:t xml:space="preserve">Stage One — Foundational, Low-Cost, High-Value</w:t>
      </w:r>
    </w:p>
    <w:p>
      <w:pPr>
        <w:spacing w:after="120" w:before="0" w:line="300"/>
        <w:jc w:val="both"/>
      </w:pPr>
      <w:r>
        <w:rPr>
          <w:rFonts w:ascii="Calibri" w:cs="Calibri" w:eastAsia="Calibri" w:hAnsi="Calibri"/>
          <w:color w:val="3E2723"/>
          <w:sz w:val="22"/>
          <w:szCs w:val="22"/>
        </w:rPr>
        <w:t>First, confirm that the Phase One trust keeps the rentals includible in the grantor’s estate under the retained-powers provisions and that the swap power creating grantor-trust status is intact. This is the load-bearing wall of the entire plan; Revenue Ruling 2023-2 means that a trust drafted as a completed gift and excluded from the estate would forfeit the step-up the family is building everything around. Second, contribute the five rentals into the Arkansas LLCs and holding-company structure, relying on the transfer-tax exemption for entity contributions, and ensure the holding company is taxed as a partnership rather than a corporation so that a Section 754 election is available at death. Third, position the rentals to qualify for the qualified business income deduction by keeping two-hundred-fifty-hour time logs and separate books, and keep the primary residence in a personal or grantor-trust capacity to preserve both the Section 121 exclusion and the step-up. Fourth, allocate generation-skipping transfer tax exemption on the gift tax return at funding to lock a zero inclusion ratio, remembering to use each spouse's exemption because it is not portable.</w:t>
      </w:r>
    </w:p>
    <w:p>
      <w:pPr>
        <w:pStyle w:val="Heading2"/>
        <w:spacing w:after="160" w:before="320"/>
      </w:pPr>
      <w:r>
        <w:rPr>
          <w:rFonts w:ascii="Georgia" w:cs="Georgia" w:eastAsia="Georgia" w:hAnsi="Georgia"/>
          <w:b/>
          <w:bCs/>
          <w:color w:val="8B4513"/>
          <w:sz w:val="27"/>
          <w:szCs w:val="27"/>
        </w:rPr>
        <w:t xml:space="preserve">Stage Two — The Tax-Burn and Liquidity Engines</w:t>
      </w:r>
    </w:p>
    <w:p>
      <w:pPr>
        <w:spacing w:after="120" w:before="0" w:line="300"/>
        <w:jc w:val="both"/>
      </w:pPr>
      <w:r>
        <w:rPr>
          <w:rFonts w:ascii="Calibri" w:cs="Calibri" w:eastAsia="Calibri" w:hAnsi="Calibri"/>
          <w:color w:val="3E2723"/>
          <w:sz w:val="22"/>
          <w:szCs w:val="22"/>
        </w:rPr>
        <w:t>Within the first year, run cost segregation studies on the higher-basis properties and elect one hundred percent bonus depreciation, while documenting the hold-to-death intent and modeling the recapture that would arise in the unlikely event of a lifetime sale. Begin a multi-year Roth conversion ladder sized to fill the grantor’s lower tax brackets, paying the conversion tax from outside assets. Establish a securities-backed line of credit against the brokerage portfolio as the tax-free liquidity source, drawing conservatively and tracing each draw so the interest deductibility is clear. And simply let the grantor continue paying the income tax on the grantor trust, keeping any reimbursement clause discretionary and original to the instrument.</w:t>
      </w:r>
    </w:p>
    <w:p>
      <w:pPr>
        <w:pStyle w:val="Heading2"/>
        <w:spacing w:after="160" w:before="320"/>
      </w:pPr>
      <w:r>
        <w:rPr>
          <w:rFonts w:ascii="Georgia" w:cs="Georgia" w:eastAsia="Georgia" w:hAnsi="Georgia"/>
          <w:b/>
          <w:bCs/>
          <w:color w:val="8B4513"/>
          <w:sz w:val="27"/>
          <w:szCs w:val="27"/>
        </w:rPr>
        <w:t xml:space="preserve">Stage Three — At and After the Handoff</w:t>
      </w:r>
    </w:p>
    <w:p>
      <w:pPr>
        <w:spacing w:after="120" w:before="0" w:line="300"/>
        <w:jc w:val="both"/>
      </w:pPr>
      <w:r>
        <w:rPr>
          <w:rFonts w:ascii="Calibri" w:cs="Calibri" w:eastAsia="Calibri" w:hAnsi="Calibri"/>
          <w:color w:val="3E2723"/>
          <w:sz w:val="22"/>
          <w:szCs w:val="22"/>
        </w:rPr>
        <w:t>At the grantor’s death, ensure that a Section 754 election is filed on the partnership return for the year of death so that the trusts re-depreciate the properties from their stepped-up fair market value, and consider a fresh cost segregation study on that stepped-up basis to restart the depreciation cycle. Then stand up the South Dakota dynasty trust as Phase Two contemplates, with decanting and limited-appointment powers drafted to preserve the zero inclusion ratio that was established at funding. The retirement accounts pass according to the beneficiary designations, with the grantor’s spouse able to roll over as an eligible designated beneficiary and any trust-payable amounts governed by the see-through accumulation rules.</w:t>
      </w:r>
    </w:p>
    <w:p>
      <w:pPr>
        <w:pStyle w:val="Heading2"/>
        <w:spacing w:after="160" w:before="320"/>
      </w:pPr>
      <w:r>
        <w:rPr>
          <w:rFonts w:ascii="Georgia" w:cs="Georgia" w:eastAsia="Georgia" w:hAnsi="Georgia"/>
          <w:b/>
          <w:bCs/>
          <w:color w:val="8B4513"/>
          <w:sz w:val="27"/>
          <w:szCs w:val="27"/>
        </w:rPr>
        <w:t xml:space="preserve">The Benchmarks That Would Change This Plan</w:t>
      </w:r>
    </w:p>
    <w:p>
      <w:pPr>
        <w:spacing w:after="120" w:before="0" w:line="300"/>
        <w:jc w:val="both"/>
      </w:pPr>
      <w:r>
        <w:rPr>
          <w:rFonts w:ascii="Calibri" w:cs="Calibri" w:eastAsia="Calibri" w:hAnsi="Calibri"/>
          <w:color w:val="3E2723"/>
          <w:sz w:val="22"/>
          <w:szCs w:val="22"/>
        </w:rPr>
        <w:t>Because the entire strategy is keyed to being below the exemption, it is worth naming the conditions under which the advice would flip. If the family's projected estate grows to approach or exceed the exemption — roughly fifteen million dollars for a single person or thirty million for a married couple, indexed for inflation — the calculus inverts, and the freeze-and-discount tools the family is setting aside today, the valuation discounts and the grantor retained annuity trusts, would come back into play as the family re-ran the trade-off between basis step-up and estate tax. If the rental portfolio grows past roughly ten to fifteen properties, or the income crosses the qualified business income wage-limit thresholds, the management-company question deserves a fresh look. And if a property is ever converted to short-term rental use with an average guest stay of a week or less, or if one of the grantors becomes a full-time real estate professional, the loss strategies tied to those rules would become live in a way they are not today. None of these conditions hold now, but the plan should be reviewed against them periodically.</w:t>
      </w:r>
    </w:p>
    <w:p>
      <w:pPr>
        <w:pStyle w:val="Heading1"/>
        <w:pageBreakBefore/>
        <w:pBdr>
          <w:bottom w:val="single" w:color="8B4513" w:sz="16" w:space="4"/>
        </w:pBdr>
        <w:spacing w:after="240" w:before="480"/>
      </w:pPr>
      <w:r>
        <w:rPr>
          <w:rFonts w:ascii="Georgia" w:cs="Georgia" w:eastAsia="Georgia" w:hAnsi="Georgia"/>
          <w:b/>
          <w:bCs/>
          <w:color w:val="2C1810"/>
          <w:sz w:val="34"/>
          <w:szCs w:val="34"/>
        </w:rPr>
        <w:t xml:space="preserve">Closing and Important Caveats</w:t>
      </w:r>
    </w:p>
    <w:p>
      <w:pPr>
        <w:spacing w:after="120" w:before="0" w:line="300"/>
        <w:jc w:val="both"/>
      </w:pPr>
      <w:r>
        <w:rPr>
          <w:rFonts w:ascii="Calibri" w:cs="Calibri" w:eastAsia="Calibri" w:hAnsi="Calibri"/>
          <w:color w:val="3E2723"/>
          <w:sz w:val="22"/>
          <w:szCs w:val="22"/>
        </w:rPr>
        <w:t>The thread running through this entire document is a single disciplined idea: because the estate is below the exemption, the family is not playing the estate-tax-avoidance game that most sophisticated planning is built around. The family is playing a different game, one organized around the Section 1014 basis step-up, and that single fact sorts nearly every strategy into the right pile. The techniques that keep assets in the estate, reduce income tax during life, and preserve liquidity without a taxable sale are the ones that fit. The techniques that pull value out of the estate or freeze its growth — however clever, however heavily promoted — work against the family, because they trade away the step-up to avoid a tax the family will not owe.</w:t>
      </w:r>
    </w:p>
    <w:p>
      <w:pPr>
        <w:spacing w:after="120" w:before="0" w:line="300"/>
        <w:jc w:val="both"/>
      </w:pPr>
      <w:r>
        <w:rPr>
          <w:rFonts w:ascii="Calibri" w:cs="Calibri" w:eastAsia="Calibri" w:hAnsi="Calibri"/>
          <w:color w:val="3E2723"/>
          <w:sz w:val="22"/>
          <w:szCs w:val="22"/>
        </w:rPr>
        <w:t>That clarity is the real deliverable. The point of reading the fifty-item lists and the competing analyses was never to adopt all fifty strategies; it was to develop the judgment to know which handful actually fit a five-property Arkansas family below the exemption, and to be able to explain, plainly, why the rest do not. This document is meant to make the conversation with counsel and the CPA faster and sharper, so that the meetings move directly to modeling the strategies that matter rather than working through a menu of techniques built for someone else's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DF8F0" w:val="clear"/>
            <w:tcMar>
              <w:top w:type="dxa" w:w="200"/>
              <w:left w:type="dxa" w:w="240"/>
              <w:bottom w:type="dxa" w:w="200"/>
              <w:right w:type="dxa" w:w="240"/>
            </w:tcMar>
          </w:tcPr>
          <w:p>
            <w:pPr>
              <w:spacing w:after="80" w:line="300"/>
              <w:jc w:val="left"/>
            </w:pPr>
            <w:r>
              <w:rPr>
                <w:rFonts w:ascii="Georgia" w:cs="Georgia" w:eastAsia="Georgia" w:hAnsi="Georgia"/>
                <w:b/>
                <w:bCs/>
                <w:color w:val="2C1810"/>
                <w:sz w:val="24"/>
                <w:szCs w:val="24"/>
              </w:rPr>
              <w:t xml:space="preserve">Please read this before acting on anything above</w:t>
            </w:r>
          </w:p>
          <w:p>
            <w:pPr>
              <w:spacing w:after="0" w:line="300"/>
              <w:jc w:val="both"/>
            </w:pPr>
            <w:r>
              <w:rPr>
                <w:rFonts w:ascii="Calibri" w:cs="Calibri" w:eastAsia="Calibri" w:hAnsi="Calibri"/>
                <w:color w:val="3E2723"/>
                <w:sz w:val="22"/>
                <w:szCs w:val="22"/>
              </w:rPr>
              <w:t>This document is a research-grounded discussion aid, not tax or legal advice, and it does not create any professional relationship. Every figure here is an illustrative range, not a computation of the family's actual liability. Each strategy should be modeled against the real basis, income, and projections by a qualified Arkansas CPA and by counsel before implementation. The law reflected here is current as of mid-2026, including the One Big Beautiful Bill Act; provisions described as permanent last only until a future Congress changes them, and the step-up itself depends on Section 1014 surviving, which is a matter Congress has periodically reconsidered. The whole plan should stay flexible and be reviewed periodically.</w:t>
            </w:r>
          </w:p>
        </w:tc>
      </w:tr>
    </w:tbl>
    <w:p>
      <w:pPr>
        <w:spacing w:after="200" w:before="500"/>
        <w:jc w:val="center"/>
      </w:pPr>
      <w:r>
        <w:rPr>
          <w:rFonts w:ascii="Calibri" w:cs="Calibri" w:eastAsia="Calibri" w:hAnsi="Calibri"/>
          <w:color w:val="D4A574"/>
          <w:sz w:val="22"/>
          <w:szCs w:val="22"/>
        </w:rPr>
        <w:t xml:space="preserve">━━━━━━━━━━━━━━━━━━</w:t>
      </w:r>
    </w:p>
    <w:p>
      <w:pPr>
        <w:spacing w:after="60" w:before="100"/>
        <w:jc w:val="center"/>
      </w:pPr>
      <w:r>
        <w:rPr>
          <w:rFonts w:ascii="Calibri" w:cs="Calibri" w:eastAsia="Calibri" w:hAnsi="Calibri"/>
          <w:color w:val="8D6E63"/>
          <w:sz w:val="20"/>
          <w:szCs w:val="20"/>
        </w:rPr>
        <w:t>Companion to the Family Phase One Arkansas Act 291 Trust</w:t>
      </w:r>
    </w:p>
    <w:p>
      <w:pPr>
        <w:spacing w:before="100"/>
        <w:jc w:val="center"/>
      </w:pPr>
      <w:r>
        <w:rPr>
          <w:rFonts w:ascii="Georgia" w:cs="Georgia" w:eastAsia="Georgia" w:hAnsi="Georgia"/>
          <w:b/>
          <w:bCs/>
          <w:color w:val="8B4513"/>
          <w:sz w:val="28"/>
          <w:szCs w:val="28"/>
        </w:rPr>
        <w:t xml:space="preserve">Patience pays.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D6E63"/>
        <w:sz w:val="18"/>
        <w:szCs w:val="18"/>
      </w:rPr>
      <w:t xml:space="preserve">Compiled by the primary heir | Companion to Phase One | Patience pays. 🦞 | Page </w:t>
    </w:r>
    <w:r>
      <w:rPr>
        <w:rFonts w:ascii="Calibri" w:cs="Calibri" w:eastAsia="Calibri" w:hAnsi="Calibri"/>
        <w:color w:val="8D6E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D6E63"/>
        <w:sz w:val="18"/>
        <w:szCs w:val="18"/>
      </w:rPr>
      <w:t xml:space="preserve">Tax Legal Minimization Strategy Extension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C1810"/>
      <w:sz w:val="34"/>
      <w:szCs w:val="34"/>
    </w:rPr>
  </w:style>
  <w:style w:type="paragraph" w:styleId="Heading2">
    <w:name w:val="Heading 2"/>
    <w:basedOn w:val="Normal"/>
    <w:next w:val="Normal"/>
    <w:qFormat/>
    <w:pPr>
      <w:spacing w:after="160" w:before="320"/>
      <w:outlineLvl w:val="1"/>
    </w:pPr>
    <w:rPr>
      <w:rFonts w:ascii="Georgia" w:cs="Georgia" w:eastAsia="Georgia" w:hAnsi="Georgia"/>
      <w:b/>
      <w:bCs/>
      <w:color w:val="8B4513"/>
      <w:sz w:val="27"/>
      <w:szCs w:val="27"/>
    </w:rPr>
  </w:style>
  <w:style w:type="paragraph" w:styleId="Heading3">
    <w:name w:val="Heading 3"/>
    <w:basedOn w:val="Normal"/>
    <w:next w:val="Normal"/>
    <w:qFormat/>
    <w:pPr>
      <w:spacing w:after="120" w:before="240"/>
      <w:outlineLvl w:val="2"/>
    </w:pPr>
    <w:rPr>
      <w:rFonts w:ascii="Georgia" w:cs="Georgia" w:eastAsia="Georgia" w:hAnsi="Georgia"/>
      <w:b/>
      <w:bCs/>
      <w:color w:val="A0522D"/>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Garcia Family Tax Legal Minimization Strategy Extension</dc:title>
  <dc:creator>Maximiliano Garcia</dc:creator>
  <dc:description>A tax companion to the Phase One Arkansas Act 291 Trust, built around the Section 1014 basis step-up.</dc:description>
  <cp:lastModifiedBy>Un-named</cp:lastModifiedBy>
  <cp:revision>1</cp:revision>
  <dcterms:created xsi:type="dcterms:W3CDTF">2026-06-06T00:30:15.913Z</dcterms:created>
  <dcterms:modified xsi:type="dcterms:W3CDTF">2026-06-06T00:30:15.925Z</dcterms:modified>
</cp:coreProperties>
</file>

<file path=docProps/custom.xml><?xml version="1.0" encoding="utf-8"?>
<Properties xmlns="http://schemas.openxmlformats.org/officeDocument/2006/custom-properties" xmlns:vt="http://schemas.openxmlformats.org/officeDocument/2006/docPropsVTypes"/>
</file>