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t xml:space="preserve"/>
      </w:r>
    </w:p>
    <w:p>
      <w:pPr>
        <w:spacing w:after="120"/>
        <w:jc w:val="center"/>
      </w:pPr>
      <w:r>
        <w:rPr>
          <w:rFonts w:ascii="Georgia" w:cs="Georgia" w:eastAsia="Georgia" w:hAnsi="Georgia"/>
          <w:b/>
          <w:bCs/>
          <w:color w:val="142942"/>
          <w:sz w:val="44"/>
          <w:szCs w:val="44"/>
        </w:rPr>
        <w:t xml:space="preserve">THE ARCHITECTURE OF PRIVATE WEALTH</w:t>
      </w:r>
    </w:p>
    <w:p>
      <w:pPr>
        <w:spacing w:after="320"/>
        <w:jc w:val="center"/>
      </w:pPr>
      <w:r>
        <w:rPr>
          <w:rFonts w:ascii="Georgia" w:cs="Georgia" w:eastAsia="Georgia" w:hAnsi="Georgia"/>
          <w:i/>
          <w:iCs/>
          <w:color w:val="1F3A5F"/>
          <w:sz w:val="24"/>
          <w:szCs w:val="24"/>
        </w:rPr>
        <w:t xml:space="preserve">An Integrated Survey of Real Estate, Entities, Trusts, Funds, Banking, and Taxation in United States Wealth Structuring</w:t>
      </w:r>
    </w:p>
    <w:p>
      <w:pPr>
        <w:spacing w:after="40"/>
        <w:jc w:val="center"/>
      </w:pPr>
      <w:r>
        <w:rPr>
          <w:rFonts w:ascii="Georgia" w:cs="Georgia" w:eastAsia="Georgia" w:hAnsi="Georgia"/>
          <w:color w:val="9DB0C4"/>
          <w:sz w:val="20"/>
          <w:szCs w:val="20"/>
        </w:rPr>
        <w:t xml:space="preserve">━━━━━━━━━━━━━━━━━━━━━━━━</w:t>
      </w:r>
    </w:p>
    <w:p>
      <w:pPr>
        <w:spacing w:after="120" w:before="400"/>
        <w:jc w:val="center"/>
      </w:pPr>
      <w:r>
        <w:rPr>
          <w:rFonts w:ascii="Georgia" w:cs="Georgia" w:eastAsia="Georgia" w:hAnsi="Georgia"/>
          <w:color w:val="4A5568"/>
          <w:sz w:val="22"/>
          <w:szCs w:val="22"/>
        </w:rPr>
        <w:t xml:space="preserve">A Scholarly Research Paper</w:t>
      </w:r>
    </w:p>
    <w:p>
      <w:pPr>
        <w:spacing w:after="40"/>
        <w:jc w:val="center"/>
      </w:pPr>
      <w:r>
        <w:rPr>
          <w:rFonts w:ascii="Georgia" w:cs="Georgia" w:eastAsia="Georgia" w:hAnsi="Georgia"/>
          <w:i/>
          <w:iCs/>
          <w:color w:val="4A5568"/>
          <w:sz w:val="19"/>
          <w:szCs w:val="19"/>
        </w:rPr>
        <w:t xml:space="preserve">Current through mid-2026, including the One Big Beautiful Bill Act of 2025</w:t>
      </w:r>
    </w:p>
    <w:p>
      <w:pPr>
        <w:spacing w:after="40" w:before="1200"/>
        <w:jc w:val="center"/>
      </w:pPr>
      <w:r>
        <w:rPr>
          <w:rFonts w:ascii="Georgia" w:cs="Georgia" w:eastAsia="Georgia" w:hAnsi="Georgia"/>
          <w:i/>
          <w:iCs/>
          <w:color w:val="4A5568"/>
          <w:sz w:val="18"/>
          <w:szCs w:val="18"/>
        </w:rPr>
        <w:t xml:space="preserve">A general educational and reference resource.</w:t>
      </w:r>
    </w:p>
    <w:p>
      <w:pPr>
        <w:spacing w:after="40"/>
        <w:jc w:val="center"/>
      </w:pPr>
      <w:r>
        <w:rPr>
          <w:rFonts w:ascii="Georgia" w:cs="Georgia" w:eastAsia="Georgia" w:hAnsi="Georgia"/>
          <w:i/>
          <w:iCs/>
          <w:color w:val="4A5568"/>
          <w:sz w:val="18"/>
          <w:szCs w:val="18"/>
        </w:rPr>
        <w:t xml:space="preserve">This paper is not legal, tax, investment, or financial advice and creates no professional relationship.</w:t>
      </w:r>
    </w:p>
    <w:p>
      <w:r>
        <w:br w:type="page"/>
      </w:r>
    </w:p>
    <w:p>
      <w:pPr>
        <w:pBdr>
          <w:bottom w:val="single" w:color="9DB0C4" w:sz="8" w:space="3"/>
        </w:pBdr>
        <w:spacing w:after="140" w:before="240"/>
      </w:pPr>
      <w:r>
        <w:rPr>
          <w:rFonts w:ascii="Georgia" w:cs="Georgia" w:eastAsia="Georgia" w:hAnsi="Georgia"/>
          <w:b/>
          <w:bCs/>
          <w:color w:val="142942"/>
          <w:sz w:val="28"/>
          <w:szCs w:val="28"/>
        </w:rPr>
        <w:t xml:space="preserve">Abstract</w:t>
      </w:r>
    </w:p>
    <w:p>
      <w:pPr>
        <w:spacing w:after="180" w:before="0" w:line="348"/>
        <w:jc w:val="both"/>
      </w:pPr>
      <w:r>
        <w:rPr>
          <w:rFonts w:ascii="Georgia" w:cs="Georgia" w:eastAsia="Georgia" w:hAnsi="Georgia"/>
          <w:color w:val="1A1A1A"/>
          <w:sz w:val="24"/>
          <w:szCs w:val="24"/>
        </w:rPr>
        <w:t xml:space="preserve">This paper surveys the interlocking legal and financial systems through which private wealth is acquired, held, protected, and transferred across generations in the United States. It integrates fourteen ordinarily siloed domains — residential real estate investment, landlord-tenant law, property maintenance, property management, stakeholder communication, real estate and transfer taxation, limited liability companies, startup and holding-entity formation, holding companies, trusts, pooled investment funds, banking and financial technology, family-enterprise governance, and interstate jurisdictional choice — and argues that these are not discrete subjects but components of a single, recursive structuring system. Each layer of the system performs a distinct legal function: entities isolate liability and determine tax classification; trusts govern control and transfer across generations; funds pool capital under securities-law exemptions; banks and their financial-technology partners provide custody, credit, and liquidity; and the tax code supplies the connective tissue that renders the whole arrangement efficient. The paper situates each domain in its governing statutes, regulations, and leading cases, and it pays particular attention to developments effective as of mid-2026, including the permanent transfer-tax exemption and permanent full expensing enacted by the One Big Beautiful Bill Act of 2025, the beneficial-ownership reporting exemption for domestic entities adopted by the Financial Crimes Enforcement Network, evolving fair-housing rulemaking, and the deposit-insurance questions exposed by recent financial-technology failures. Throughout, the paper distinguishes legitimate wealth structuring, which rests on genuine non-tax purpose and economic substance, from abusive arrangements that the economic-substance doctrine, fiduciary law, fraudulent-transfer statutes, and disclosure regimes are designed to police. The intended contribution is synthetic: to present, in one integrated treatment, the architecture that practitioners assemble piecemeal and that scholarship typically examines only in fragments.</w:t>
      </w:r>
    </w:p>
    <w:p>
      <w:pPr>
        <w:spacing w:after="0" w:before="120"/>
      </w:pPr>
      <w:r>
        <w:rPr>
          <w:rFonts w:ascii="Georgia" w:cs="Georgia" w:eastAsia="Georgia" w:hAnsi="Georgia"/>
          <w:b/>
          <w:bCs/>
          <w:color w:val="1F3A5F"/>
          <w:sz w:val="20"/>
          <w:szCs w:val="20"/>
        </w:rPr>
        <w:t xml:space="preserve">Keywords: </w:t>
      </w:r>
      <w:r>
        <w:rPr>
          <w:rFonts w:ascii="Georgia" w:cs="Georgia" w:eastAsia="Georgia" w:hAnsi="Georgia"/>
          <w:i/>
          <w:iCs/>
          <w:color w:val="4A5568"/>
          <w:sz w:val="20"/>
          <w:szCs w:val="20"/>
        </w:rPr>
        <w:t xml:space="preserve">wealth structuring; real estate taxation; limited liability companies; trusts; dynasty trusts; asset protection; private investment funds; neobanks; family offices; economic substance; jurisdictional competition.</w:t>
      </w:r>
    </w:p>
    <w:p>
      <w:r>
        <w:br w:type="page"/>
      </w:r>
    </w:p>
    <w:p>
      <w:pPr>
        <w:pBdr>
          <w:bottom w:val="single" w:color="9DB0C4" w:sz="8" w:space="3"/>
        </w:pBdr>
        <w:spacing w:after="140" w:before="240"/>
      </w:pPr>
      <w:r>
        <w:rPr>
          <w:rFonts w:ascii="Georgia" w:cs="Georgia" w:eastAsia="Georgia" w:hAnsi="Georgia"/>
          <w:b/>
          <w:bCs/>
          <w:color w:val="142942"/>
          <w:sz w:val="28"/>
          <w:szCs w:val="28"/>
        </w:rPr>
        <w:t xml:space="preserve">Table of Contents</w:t>
      </w:r>
    </w:p>
    <w:p>
      <w:pPr>
        <w:tabs>
          <w:tab w:val="right" w:pos="9360" w:leader="dot"/>
        </w:tabs>
        <w:spacing w:after="120" w:line="300"/>
      </w:pPr>
      <w:r>
        <w:rPr>
          <w:rFonts w:ascii="Georgia" w:cs="Georgia" w:eastAsia="Georgia" w:hAnsi="Georgia"/>
          <w:color w:val="1A1A1A"/>
          <w:sz w:val="22"/>
          <w:szCs w:val="22"/>
        </w:rPr>
        <w:t xml:space="preserve">1.  Introduction and Methodology</w:t>
      </w:r>
      <w:r>
        <w:rPr>
          <w:rFonts w:ascii="Georgia" w:cs="Georgia" w:eastAsia="Georgia" w:hAnsi="Georgia"/>
          <w:color w:val="1A1A1A"/>
          <w:sz w:val="22"/>
          <w:szCs w:val="22"/>
        </w:rPr>
        <w:t xml:space="preserve">	4</w:t>
      </w:r>
    </w:p>
    <w:p>
      <w:pPr>
        <w:tabs>
          <w:tab w:val="right" w:pos="9360" w:leader="dot"/>
        </w:tabs>
        <w:spacing w:after="120" w:line="300"/>
      </w:pPr>
      <w:r>
        <w:rPr>
          <w:rFonts w:ascii="Georgia" w:cs="Georgia" w:eastAsia="Georgia" w:hAnsi="Georgia"/>
          <w:color w:val="1A1A1A"/>
          <w:sz w:val="22"/>
          <w:szCs w:val="22"/>
        </w:rPr>
        <w:t xml:space="preserve">2.  Real Estate as an Asset Class</w:t>
      </w:r>
      <w:r>
        <w:rPr>
          <w:rFonts w:ascii="Georgia" w:cs="Georgia" w:eastAsia="Georgia" w:hAnsi="Georgia"/>
          <w:color w:val="1A1A1A"/>
          <w:sz w:val="22"/>
          <w:szCs w:val="22"/>
        </w:rPr>
        <w:t xml:space="preserve">	6</w:t>
      </w:r>
    </w:p>
    <w:p>
      <w:pPr>
        <w:tabs>
          <w:tab w:val="right" w:pos="9360" w:leader="dot"/>
        </w:tabs>
        <w:spacing w:after="120" w:line="300"/>
      </w:pPr>
      <w:r>
        <w:rPr>
          <w:rFonts w:ascii="Georgia" w:cs="Georgia" w:eastAsia="Georgia" w:hAnsi="Georgia"/>
          <w:color w:val="1A1A1A"/>
          <w:sz w:val="22"/>
          <w:szCs w:val="22"/>
        </w:rPr>
        <w:t xml:space="preserve">3.  Residential Renting and Landlord-Tenant Law</w:t>
      </w:r>
      <w:r>
        <w:rPr>
          <w:rFonts w:ascii="Georgia" w:cs="Georgia" w:eastAsia="Georgia" w:hAnsi="Georgia"/>
          <w:color w:val="1A1A1A"/>
          <w:sz w:val="22"/>
          <w:szCs w:val="22"/>
        </w:rPr>
        <w:t xml:space="preserve">	9</w:t>
      </w:r>
    </w:p>
    <w:p>
      <w:pPr>
        <w:tabs>
          <w:tab w:val="right" w:pos="9360" w:leader="dot"/>
        </w:tabs>
        <w:spacing w:after="120" w:line="300"/>
      </w:pPr>
      <w:r>
        <w:rPr>
          <w:rFonts w:ascii="Georgia" w:cs="Georgia" w:eastAsia="Georgia" w:hAnsi="Georgia"/>
          <w:color w:val="1A1A1A"/>
          <w:sz w:val="22"/>
          <w:szCs w:val="22"/>
        </w:rPr>
        <w:t xml:space="preserve">4.  Property Maintenance: Preventive and Reactive</w:t>
      </w:r>
      <w:r>
        <w:rPr>
          <w:rFonts w:ascii="Georgia" w:cs="Georgia" w:eastAsia="Georgia" w:hAnsi="Georgia"/>
          <w:color w:val="1A1A1A"/>
          <w:sz w:val="22"/>
          <w:szCs w:val="22"/>
        </w:rPr>
        <w:t xml:space="preserve">	12</w:t>
      </w:r>
    </w:p>
    <w:p>
      <w:pPr>
        <w:tabs>
          <w:tab w:val="right" w:pos="9360" w:leader="dot"/>
        </w:tabs>
        <w:spacing w:after="120" w:line="300"/>
      </w:pPr>
      <w:r>
        <w:rPr>
          <w:rFonts w:ascii="Georgia" w:cs="Georgia" w:eastAsia="Georgia" w:hAnsi="Georgia"/>
          <w:color w:val="1A1A1A"/>
          <w:sz w:val="22"/>
          <w:szCs w:val="22"/>
        </w:rPr>
        <w:t xml:space="preserve">5.  Property Management</w:t>
      </w:r>
      <w:r>
        <w:rPr>
          <w:rFonts w:ascii="Georgia" w:cs="Georgia" w:eastAsia="Georgia" w:hAnsi="Georgia"/>
          <w:color w:val="1A1A1A"/>
          <w:sz w:val="22"/>
          <w:szCs w:val="22"/>
        </w:rPr>
        <w:t xml:space="preserve">	14</w:t>
      </w:r>
    </w:p>
    <w:p>
      <w:pPr>
        <w:tabs>
          <w:tab w:val="right" w:pos="9360" w:leader="dot"/>
        </w:tabs>
        <w:spacing w:after="120" w:line="300"/>
      </w:pPr>
      <w:r>
        <w:rPr>
          <w:rFonts w:ascii="Georgia" w:cs="Georgia" w:eastAsia="Georgia" w:hAnsi="Georgia"/>
          <w:color w:val="1A1A1A"/>
          <w:sz w:val="22"/>
          <w:szCs w:val="22"/>
        </w:rPr>
        <w:t xml:space="preserve">6.  Stakeholder Communication</w:t>
      </w:r>
      <w:r>
        <w:rPr>
          <w:rFonts w:ascii="Georgia" w:cs="Georgia" w:eastAsia="Georgia" w:hAnsi="Georgia"/>
          <w:color w:val="1A1A1A"/>
          <w:sz w:val="22"/>
          <w:szCs w:val="22"/>
        </w:rPr>
        <w:t xml:space="preserve">	15</w:t>
      </w:r>
    </w:p>
    <w:p>
      <w:pPr>
        <w:tabs>
          <w:tab w:val="right" w:pos="9360" w:leader="dot"/>
        </w:tabs>
        <w:spacing w:after="120" w:line="300"/>
      </w:pPr>
      <w:r>
        <w:rPr>
          <w:rFonts w:ascii="Georgia" w:cs="Georgia" w:eastAsia="Georgia" w:hAnsi="Georgia"/>
          <w:color w:val="1A1A1A"/>
          <w:sz w:val="22"/>
          <w:szCs w:val="22"/>
        </w:rPr>
        <w:t xml:space="preserve">7.  Taxation of Real Estate and Wealth</w:t>
      </w:r>
      <w:r>
        <w:rPr>
          <w:rFonts w:ascii="Georgia" w:cs="Georgia" w:eastAsia="Georgia" w:hAnsi="Georgia"/>
          <w:color w:val="1A1A1A"/>
          <w:sz w:val="22"/>
          <w:szCs w:val="22"/>
        </w:rPr>
        <w:t xml:space="preserve">	16</w:t>
      </w:r>
    </w:p>
    <w:p>
      <w:pPr>
        <w:tabs>
          <w:tab w:val="right" w:pos="9360" w:leader="dot"/>
        </w:tabs>
        <w:spacing w:after="120" w:line="300"/>
      </w:pPr>
      <w:r>
        <w:rPr>
          <w:rFonts w:ascii="Georgia" w:cs="Georgia" w:eastAsia="Georgia" w:hAnsi="Georgia"/>
          <w:color w:val="1A1A1A"/>
          <w:sz w:val="22"/>
          <w:szCs w:val="22"/>
        </w:rPr>
        <w:t xml:space="preserve">8.  Limited Liability Companies</w:t>
      </w:r>
      <w:r>
        <w:rPr>
          <w:rFonts w:ascii="Georgia" w:cs="Georgia" w:eastAsia="Georgia" w:hAnsi="Georgia"/>
          <w:color w:val="1A1A1A"/>
          <w:sz w:val="22"/>
          <w:szCs w:val="22"/>
        </w:rPr>
        <w:t xml:space="preserve">	25</w:t>
      </w:r>
    </w:p>
    <w:p>
      <w:pPr>
        <w:tabs>
          <w:tab w:val="right" w:pos="9360" w:leader="dot"/>
        </w:tabs>
        <w:spacing w:after="120" w:line="300"/>
      </w:pPr>
      <w:r>
        <w:rPr>
          <w:rFonts w:ascii="Georgia" w:cs="Georgia" w:eastAsia="Georgia" w:hAnsi="Georgia"/>
          <w:color w:val="1A1A1A"/>
          <w:sz w:val="22"/>
          <w:szCs w:val="22"/>
        </w:rPr>
        <w:t xml:space="preserve">9.  Startups, Holding-Oriented Entities, and Economic Substance</w:t>
      </w:r>
      <w:r>
        <w:rPr>
          <w:rFonts w:ascii="Georgia" w:cs="Georgia" w:eastAsia="Georgia" w:hAnsi="Georgia"/>
          <w:color w:val="1A1A1A"/>
          <w:sz w:val="22"/>
          <w:szCs w:val="22"/>
        </w:rPr>
        <w:t xml:space="preserve">	28</w:t>
      </w:r>
    </w:p>
    <w:p>
      <w:pPr>
        <w:tabs>
          <w:tab w:val="right" w:pos="9360" w:leader="dot"/>
        </w:tabs>
        <w:spacing w:after="120" w:line="300"/>
      </w:pPr>
      <w:r>
        <w:rPr>
          <w:rFonts w:ascii="Georgia" w:cs="Georgia" w:eastAsia="Georgia" w:hAnsi="Georgia"/>
          <w:color w:val="1A1A1A"/>
          <w:sz w:val="22"/>
          <w:szCs w:val="22"/>
        </w:rPr>
        <w:t xml:space="preserve">10.  Holding Companies</w:t>
      </w:r>
      <w:r>
        <w:rPr>
          <w:rFonts w:ascii="Georgia" w:cs="Georgia" w:eastAsia="Georgia" w:hAnsi="Georgia"/>
          <w:color w:val="1A1A1A"/>
          <w:sz w:val="22"/>
          <w:szCs w:val="22"/>
        </w:rPr>
        <w:t xml:space="preserve">	30</w:t>
      </w:r>
    </w:p>
    <w:p>
      <w:pPr>
        <w:tabs>
          <w:tab w:val="right" w:pos="9360" w:leader="dot"/>
        </w:tabs>
        <w:spacing w:after="120" w:line="300"/>
      </w:pPr>
      <w:r>
        <w:rPr>
          <w:rFonts w:ascii="Georgia" w:cs="Georgia" w:eastAsia="Georgia" w:hAnsi="Georgia"/>
          <w:color w:val="1A1A1A"/>
          <w:sz w:val="22"/>
          <w:szCs w:val="22"/>
        </w:rPr>
        <w:t xml:space="preserve">11.  Trusts</w:t>
      </w:r>
      <w:r>
        <w:rPr>
          <w:rFonts w:ascii="Georgia" w:cs="Georgia" w:eastAsia="Georgia" w:hAnsi="Georgia"/>
          <w:color w:val="1A1A1A"/>
          <w:sz w:val="22"/>
          <w:szCs w:val="22"/>
        </w:rPr>
        <w:t xml:space="preserve">	31</w:t>
      </w:r>
    </w:p>
    <w:p>
      <w:pPr>
        <w:tabs>
          <w:tab w:val="right" w:pos="9360" w:leader="dot"/>
        </w:tabs>
        <w:spacing w:after="120" w:line="300"/>
      </w:pPr>
      <w:r>
        <w:rPr>
          <w:rFonts w:ascii="Georgia" w:cs="Georgia" w:eastAsia="Georgia" w:hAnsi="Georgia"/>
          <w:color w:val="1A1A1A"/>
          <w:sz w:val="22"/>
          <w:szCs w:val="22"/>
        </w:rPr>
        <w:t xml:space="preserve">12.  Pooled Investment Funds</w:t>
      </w:r>
      <w:r>
        <w:rPr>
          <w:rFonts w:ascii="Georgia" w:cs="Georgia" w:eastAsia="Georgia" w:hAnsi="Georgia"/>
          <w:color w:val="1A1A1A"/>
          <w:sz w:val="22"/>
          <w:szCs w:val="22"/>
        </w:rPr>
        <w:t xml:space="preserve">	35</w:t>
      </w:r>
    </w:p>
    <w:p>
      <w:pPr>
        <w:tabs>
          <w:tab w:val="right" w:pos="9360" w:leader="dot"/>
        </w:tabs>
        <w:spacing w:after="120" w:line="300"/>
      </w:pPr>
      <w:r>
        <w:rPr>
          <w:rFonts w:ascii="Georgia" w:cs="Georgia" w:eastAsia="Georgia" w:hAnsi="Georgia"/>
          <w:color w:val="1A1A1A"/>
          <w:sz w:val="22"/>
          <w:szCs w:val="22"/>
        </w:rPr>
        <w:t xml:space="preserve">13.  Banks, Neobanks, and Financial Institutions</w:t>
      </w:r>
      <w:r>
        <w:rPr>
          <w:rFonts w:ascii="Georgia" w:cs="Georgia" w:eastAsia="Georgia" w:hAnsi="Georgia"/>
          <w:color w:val="1A1A1A"/>
          <w:sz w:val="22"/>
          <w:szCs w:val="22"/>
        </w:rPr>
        <w:t xml:space="preserve">	38</w:t>
      </w:r>
    </w:p>
    <w:p>
      <w:pPr>
        <w:tabs>
          <w:tab w:val="right" w:pos="9360" w:leader="dot"/>
        </w:tabs>
        <w:spacing w:after="120" w:line="300"/>
      </w:pPr>
      <w:r>
        <w:rPr>
          <w:rFonts w:ascii="Georgia" w:cs="Georgia" w:eastAsia="Georgia" w:hAnsi="Georgia"/>
          <w:color w:val="1A1A1A"/>
          <w:sz w:val="22"/>
          <w:szCs w:val="22"/>
        </w:rPr>
        <w:t xml:space="preserve">14.  Family Collaboration and Enterprise Governance</w:t>
      </w:r>
      <w:r>
        <w:rPr>
          <w:rFonts w:ascii="Georgia" w:cs="Georgia" w:eastAsia="Georgia" w:hAnsi="Georgia"/>
          <w:color w:val="1A1A1A"/>
          <w:sz w:val="22"/>
          <w:szCs w:val="22"/>
        </w:rPr>
        <w:t xml:space="preserve">	40</w:t>
      </w:r>
    </w:p>
    <w:p>
      <w:pPr>
        <w:tabs>
          <w:tab w:val="right" w:pos="9360" w:leader="dot"/>
        </w:tabs>
        <w:spacing w:after="120" w:line="300"/>
      </w:pPr>
      <w:r>
        <w:rPr>
          <w:rFonts w:ascii="Georgia" w:cs="Georgia" w:eastAsia="Georgia" w:hAnsi="Georgia"/>
          <w:color w:val="1A1A1A"/>
          <w:sz w:val="22"/>
          <w:szCs w:val="22"/>
        </w:rPr>
        <w:t xml:space="preserve">15.  Interstate Variation and Jurisdictional Choice</w:t>
      </w:r>
      <w:r>
        <w:rPr>
          <w:rFonts w:ascii="Georgia" w:cs="Georgia" w:eastAsia="Georgia" w:hAnsi="Georgia"/>
          <w:color w:val="1A1A1A"/>
          <w:sz w:val="22"/>
          <w:szCs w:val="22"/>
        </w:rPr>
        <w:t xml:space="preserve">	41</w:t>
      </w:r>
    </w:p>
    <w:p>
      <w:pPr>
        <w:tabs>
          <w:tab w:val="right" w:pos="9360" w:leader="dot"/>
        </w:tabs>
        <w:spacing w:after="120" w:line="300"/>
      </w:pPr>
      <w:r>
        <w:rPr>
          <w:rFonts w:ascii="Georgia" w:cs="Georgia" w:eastAsia="Georgia" w:hAnsi="Georgia"/>
          <w:color w:val="1A1A1A"/>
          <w:sz w:val="22"/>
          <w:szCs w:val="22"/>
        </w:rPr>
        <w:t xml:space="preserve">16.  Cross-Cutting Analysis: The Integrated Structuring System</w:t>
      </w:r>
      <w:r>
        <w:rPr>
          <w:rFonts w:ascii="Georgia" w:cs="Georgia" w:eastAsia="Georgia" w:hAnsi="Georgia"/>
          <w:color w:val="1A1A1A"/>
          <w:sz w:val="22"/>
          <w:szCs w:val="22"/>
        </w:rPr>
        <w:t xml:space="preserve">	43</w:t>
      </w:r>
    </w:p>
    <w:p>
      <w:pPr>
        <w:tabs>
          <w:tab w:val="right" w:pos="9360" w:leader="dot"/>
        </w:tabs>
        <w:spacing w:after="120" w:line="300"/>
      </w:pPr>
      <w:r>
        <w:rPr>
          <w:rFonts w:ascii="Georgia" w:cs="Georgia" w:eastAsia="Georgia" w:hAnsi="Georgia"/>
          <w:color w:val="1A1A1A"/>
          <w:sz w:val="22"/>
          <w:szCs w:val="22"/>
        </w:rPr>
        <w:t xml:space="preserve">17.  Legitimate Structuring Versus Abuse</w:t>
      </w:r>
      <w:r>
        <w:rPr>
          <w:rFonts w:ascii="Georgia" w:cs="Georgia" w:eastAsia="Georgia" w:hAnsi="Georgia"/>
          <w:color w:val="1A1A1A"/>
          <w:sz w:val="22"/>
          <w:szCs w:val="22"/>
        </w:rPr>
        <w:t xml:space="preserve">	44</w:t>
      </w:r>
    </w:p>
    <w:p>
      <w:pPr>
        <w:tabs>
          <w:tab w:val="right" w:pos="9360" w:leader="dot"/>
        </w:tabs>
        <w:spacing w:after="120" w:line="300"/>
      </w:pPr>
      <w:r>
        <w:rPr>
          <w:rFonts w:ascii="Georgia" w:cs="Georgia" w:eastAsia="Georgia" w:hAnsi="Georgia"/>
          <w:color w:val="1A1A1A"/>
          <w:sz w:val="22"/>
          <w:szCs w:val="22"/>
        </w:rPr>
        <w:t xml:space="preserve">18.  Limitations</w:t>
      </w:r>
      <w:r>
        <w:rPr>
          <w:rFonts w:ascii="Georgia" w:cs="Georgia" w:eastAsia="Georgia" w:hAnsi="Georgia"/>
          <w:color w:val="1A1A1A"/>
          <w:sz w:val="22"/>
          <w:szCs w:val="22"/>
        </w:rPr>
        <w:t xml:space="preserve">	46</w:t>
      </w:r>
    </w:p>
    <w:p>
      <w:pPr>
        <w:tabs>
          <w:tab w:val="right" w:pos="9360" w:leader="dot"/>
        </w:tabs>
        <w:spacing w:after="120" w:line="300"/>
      </w:pPr>
      <w:r>
        <w:rPr>
          <w:rFonts w:ascii="Georgia" w:cs="Georgia" w:eastAsia="Georgia" w:hAnsi="Georgia"/>
          <w:color w:val="1A1A1A"/>
          <w:sz w:val="22"/>
          <w:szCs w:val="22"/>
        </w:rPr>
        <w:t xml:space="preserve">19.  Conclusion</w:t>
      </w:r>
      <w:r>
        <w:rPr>
          <w:rFonts w:ascii="Georgia" w:cs="Georgia" w:eastAsia="Georgia" w:hAnsi="Georgia"/>
          <w:color w:val="1A1A1A"/>
          <w:sz w:val="22"/>
          <w:szCs w:val="22"/>
        </w:rPr>
        <w:t xml:space="preserve">	46</w:t>
      </w:r>
    </w:p>
    <w:p>
      <w:pPr>
        <w:tabs>
          <w:tab w:val="right" w:pos="9360" w:leader="dot"/>
        </w:tabs>
        <w:spacing w:after="120" w:line="300"/>
      </w:pPr>
      <w:r>
        <w:rPr>
          <w:rFonts w:ascii="Georgia" w:cs="Georgia" w:eastAsia="Georgia" w:hAnsi="Georgia"/>
          <w:color w:val="1A1A1A"/>
          <w:sz w:val="22"/>
          <w:szCs w:val="22"/>
        </w:rPr>
        <w:t xml:space="preserve">References</w:t>
      </w:r>
      <w:r>
        <w:rPr>
          <w:rFonts w:ascii="Georgia" w:cs="Georgia" w:eastAsia="Georgia" w:hAnsi="Georgia"/>
          <w:color w:val="1A1A1A"/>
          <w:sz w:val="22"/>
          <w:szCs w:val="22"/>
        </w:rPr>
        <w:t xml:space="preserve">	48</w:t>
      </w:r>
    </w:p>
    <w:p>
      <w:pPr>
        <w:spacing w:before="120"/>
      </w:pPr>
      <w:r>
        <w:t xml:space="preserve"/>
      </w:r>
    </w:p>
    <w:p>
      <w:r>
        <w:br w:type="page"/>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  </w:t>
      </w:r>
      <w:r>
        <w:rPr>
          <w:rFonts w:ascii="Georgia" w:cs="Georgia" w:eastAsia="Georgia" w:hAnsi="Georgia"/>
          <w:b/>
          <w:bCs/>
          <w:color w:val="142942"/>
          <w:sz w:val="26"/>
          <w:szCs w:val="26"/>
        </w:rPr>
        <w:t xml:space="preserve">Introduction and Methodology</w:t>
      </w:r>
    </w:p>
    <w:p>
      <w:pPr>
        <w:spacing w:after="180" w:before="0" w:line="348"/>
        <w:jc w:val="both"/>
      </w:pPr>
      <w:r>
        <w:rPr>
          <w:rFonts w:ascii="Georgia" w:cs="Georgia" w:eastAsia="Georgia" w:hAnsi="Georgia"/>
          <w:color w:val="1A1A1A"/>
          <w:sz w:val="24"/>
          <w:szCs w:val="24"/>
        </w:rPr>
        <w:t xml:space="preserve">Private wealth in the United States is rarely held in a single name or a single instrument. Even a modestly capitalized family that owns a few rental properties, some marketable securities, and a retirement account typically finds itself interacting with property law, tax law, entity law, trust law, securities regulation, and banking regulation, often simultaneously and often without recognizing that these are distinct legal systems with distinct logics. The sophisticated management of wealth — the practice that lawyers, accountants, and advisors describe by the umbrella terms </w:t>
      </w:r>
      <w:r>
        <w:rPr>
          <w:rFonts w:ascii="Georgia" w:cs="Georgia" w:eastAsia="Georgia" w:hAnsi="Georgia"/>
          <w:i/>
          <w:iCs/>
          <w:color w:val="1A1A1A"/>
          <w:sz w:val="24"/>
          <w:szCs w:val="24"/>
        </w:rPr>
        <w:t xml:space="preserve">estate planning</w:t>
      </w:r>
      <w:r>
        <w:rPr>
          <w:rFonts w:ascii="Georgia" w:cs="Georgia" w:eastAsia="Georgia" w:hAnsi="Georgia"/>
          <w:color w:val="1A1A1A"/>
          <w:sz w:val="24"/>
          <w:szCs w:val="24"/>
        </w:rPr>
        <w:t xml:space="preserve">, </w:t>
      </w:r>
      <w:r>
        <w:rPr>
          <w:rFonts w:ascii="Georgia" w:cs="Georgia" w:eastAsia="Georgia" w:hAnsi="Georgia"/>
          <w:i/>
          <w:iCs/>
          <w:color w:val="1A1A1A"/>
          <w:sz w:val="24"/>
          <w:szCs w:val="24"/>
        </w:rPr>
        <w:t xml:space="preserve">asset protection</w:t>
      </w:r>
      <w:r>
        <w:rPr>
          <w:rFonts w:ascii="Georgia" w:cs="Georgia" w:eastAsia="Georgia" w:hAnsi="Georgia"/>
          <w:color w:val="1A1A1A"/>
          <w:sz w:val="24"/>
          <w:szCs w:val="24"/>
        </w:rPr>
        <w:t xml:space="preserve">, and </w:t>
      </w:r>
      <w:r>
        <w:rPr>
          <w:rFonts w:ascii="Georgia" w:cs="Georgia" w:eastAsia="Georgia" w:hAnsi="Georgia"/>
          <w:i/>
          <w:iCs/>
          <w:color w:val="1A1A1A"/>
          <w:sz w:val="24"/>
          <w:szCs w:val="24"/>
        </w:rPr>
        <w:t xml:space="preserve">wealth structuring</w:t>
      </w:r>
      <w:r>
        <w:rPr>
          <w:rFonts w:ascii="Georgia" w:cs="Georgia" w:eastAsia="Georgia" w:hAnsi="Georgia"/>
          <w:color w:val="1A1A1A"/>
          <w:sz w:val="24"/>
          <w:szCs w:val="24"/>
        </w:rPr>
        <w:t xml:space="preserve"> — consists precisely in the deliberate coordination of these systems so that assets are held, operated, protected, and transferred with the least friction, the least tax, and the least risk that the law permits.</w:t>
      </w:r>
    </w:p>
    <w:p>
      <w:pPr>
        <w:spacing w:after="180" w:before="0" w:line="348"/>
        <w:jc w:val="both"/>
      </w:pPr>
      <w:r>
        <w:rPr>
          <w:rFonts w:ascii="Georgia" w:cs="Georgia" w:eastAsia="Georgia" w:hAnsi="Georgia"/>
          <w:color w:val="1A1A1A"/>
          <w:sz w:val="24"/>
          <w:szCs w:val="24"/>
        </w:rPr>
        <w:t xml:space="preserve">The central claim of this paper is that these systems are best understood not as a menu of independent techniques but as layers of a single architecture. A rental property is placed inside a limited liability company; the company is owned by a holding entity; the holding entity is owned by a trust; the trust is sited in a jurisdiction chosen for its law; the trust's investable assets are pooled through a partnership or fund that relies on a securities-law exemption; the whole structure banks with chartered institutions and borrows against its assets; and a family-governance framework coordinates the human beings who own and will inherit it. Taxation runs through every layer, and the legitimacy of every layer depends on the same doctrinal guardrails. To examine any one layer in isolation — as most treatments do — is to miss the way the layers interlock and reinforce one another.</w:t>
      </w:r>
    </w:p>
    <w:p>
      <w:pPr>
        <w:spacing w:after="180" w:before="0" w:line="348"/>
        <w:jc w:val="both"/>
      </w:pPr>
      <w:r>
        <w:rPr>
          <w:rFonts w:ascii="Georgia" w:cs="Georgia" w:eastAsia="Georgia" w:hAnsi="Georgia"/>
          <w:color w:val="1A1A1A"/>
          <w:sz w:val="24"/>
          <w:szCs w:val="24"/>
        </w:rPr>
        <w:t xml:space="preserve">The paper proceeds domain by domain, but its organization is cumulative rather than merely additive. Sections 2 through 6 address the foundational asset around which much private wealth is built — residential real estate — and the operational law that governs its use: the landlord-tenant relationship, maintenance, management, and communication. Section 7 develops the tax framework that pervades everything that follows. Sections 8 through 10 turn to the entities that hold assets: limited liability companies, startup and holding-oriented entities, and holding companies. Section 11 addresses trusts, the primary vehicles for control and generational transfer. Section 12 examines pooled investment funds. Section 13 surveys the banking and financial-technology institutions through which value is custodied and credit is obtained. Section 14 considers the governance of family enterprises. Section 15 analyzes the interstate variation that makes jurisdictional choice a strategic variable. Sections 16 and 17 then draw the domains together, first by showing how they integrate into a coherent structuring system and then by identifying the doctrines that separate legitimate planning from abuse. Sections 18 and 19 state the paper's limitations and conclusions.</w:t>
      </w:r>
    </w:p>
    <w:p>
      <w:pPr>
        <w:pStyle w:val="Heading2"/>
        <w:keepNext/>
        <w:spacing w:after="100" w:before="240"/>
      </w:pPr>
      <w:r>
        <w:rPr>
          <w:rFonts w:ascii="Georgia" w:cs="Georgia" w:eastAsia="Georgia" w:hAnsi="Georgia"/>
          <w:b/>
          <w:bCs/>
          <w:color w:val="1F3A5F"/>
          <w:sz w:val="22"/>
          <w:szCs w:val="22"/>
        </w:rPr>
        <w:t xml:space="preserve">1.1  </w:t>
      </w:r>
      <w:r>
        <w:rPr>
          <w:rFonts w:ascii="Georgia" w:cs="Georgia" w:eastAsia="Georgia" w:hAnsi="Georgia"/>
          <w:b/>
          <w:bCs/>
          <w:color w:val="1F3A5F"/>
          <w:sz w:val="22"/>
          <w:szCs w:val="22"/>
        </w:rPr>
        <w:t xml:space="preserve">Sources and method</w:t>
      </w:r>
    </w:p>
    <w:p>
      <w:pPr>
        <w:spacing w:after="180" w:before="0" w:line="348"/>
        <w:jc w:val="both"/>
      </w:pPr>
      <w:r>
        <w:rPr>
          <w:rFonts w:ascii="Georgia" w:cs="Georgia" w:eastAsia="Georgia" w:hAnsi="Georgia"/>
          <w:color w:val="1A1A1A"/>
          <w:sz w:val="24"/>
          <w:szCs w:val="24"/>
        </w:rPr>
        <w:t xml:space="preserve">This is a doctrinal and synthetic survey. It draws on three tiers of authority. The first tier is primary law: the Internal Revenue Code and Treasury Regulations; federal statutes such as the Fair Housing Act and the Investment Company Act of 1940; uniform and state statutes governing entities, trusts, and tenancies; and the decisions of federal and state courts. The second tier is official interpretive material: Internal Revenue Service revenue rulings, revenue procedures, notices, and publications, together with the rulemaking and guidance of agencies such as the Financial Crimes Enforcement Network, the Federal Deposit Insurance Corporation, and the Department of Housing and Urban Development. The third tier is recognized secondary commentary: the analyses of established law and accounting firms, bar-association and uniform-law-commission materials, and academic and policy scholarship. Where the tiers diverge, primary authority governs, and secondary commentary is cited for synthesis and explanation rather than for propositions of law.</w:t>
      </w:r>
    </w:p>
    <w:p>
      <w:pPr>
        <w:spacing w:after="180" w:before="0" w:line="348"/>
        <w:jc w:val="both"/>
      </w:pPr>
      <w:r>
        <w:rPr>
          <w:rFonts w:ascii="Georgia" w:cs="Georgia" w:eastAsia="Georgia" w:hAnsi="Georgia"/>
          <w:color w:val="1A1A1A"/>
          <w:sz w:val="24"/>
          <w:szCs w:val="24"/>
        </w:rPr>
        <w:t xml:space="preserve">The date of analysis is mid-2026. This temporal specificity matters because several of the rules surveyed here were changed by legislation enacted on July 4, 2025, and because a number of regulatory questions — beneficial-ownership reporting, fair-housing disparate-impact standards, and deposit-insurance recordkeeping among them — remained unsettled or in active rulemaking as this paper was prepared. Where a rule's status is provisional, the paper says so. The reader should treat the paper as a snapshot of a moving system, accurate to its stated date and no further.</w:t>
      </w:r>
    </w:p>
    <w:p>
      <w:pPr>
        <w:spacing w:after="180" w:before="0" w:line="348"/>
        <w:jc w:val="both"/>
      </w:pPr>
      <w:r>
        <w:rPr>
          <w:rFonts w:ascii="Georgia" w:cs="Georgia" w:eastAsia="Georgia" w:hAnsi="Georgia"/>
          <w:color w:val="1A1A1A"/>
          <w:sz w:val="24"/>
          <w:szCs w:val="24"/>
        </w:rPr>
        <w:t xml:space="preserve">Two disclaimers frame everything that follows. First, this paper is a general educational resource and not legal, tax, investment, or financial advice; it addresses law and practice in the abstract and cannot account for the facts of any particular person, family, or transaction, and it creates no professional relationship. Second, the paper is deliberately neutral and general. It describes the architecture of wealth structuring as a matter of law and practice; it does not advocate any particular structure, and it does not describe any actual person or family. Its examples are illustrative and generic.</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2.  </w:t>
      </w:r>
      <w:r>
        <w:rPr>
          <w:rFonts w:ascii="Georgia" w:cs="Georgia" w:eastAsia="Georgia" w:hAnsi="Georgia"/>
          <w:b/>
          <w:bCs/>
          <w:color w:val="142942"/>
          <w:sz w:val="26"/>
          <w:szCs w:val="26"/>
        </w:rPr>
        <w:t xml:space="preserve">Real Estate as an Asset Class</w:t>
      </w:r>
    </w:p>
    <w:p>
      <w:pPr>
        <w:spacing w:after="180" w:before="0" w:line="348"/>
        <w:jc w:val="both"/>
      </w:pPr>
      <w:r>
        <w:rPr>
          <w:rFonts w:ascii="Georgia" w:cs="Georgia" w:eastAsia="Georgia" w:hAnsi="Georgia"/>
          <w:color w:val="1A1A1A"/>
          <w:sz w:val="24"/>
          <w:szCs w:val="24"/>
        </w:rPr>
        <w:t xml:space="preserve">Residential real estate occupies a distinctive place in the architecture of private wealth, and it is a natural starting point because it is so often the first substantial illiquid asset a family acquires beyond a personal residence. Its distinctiveness lies in the plurality and partial independence of its return drivers. Whereas a bond returns interest and a non-dividend equity returns only price change, an income-producing property returns value through at least four channels at once: the periodic cash flow that remains after operating expenses and debt service; the appreciation of the property's market value over time; the amortization of mortgage principal, which is effectively financed by tenants and which silently converts debt into equity; and a set of tax benefits, chiefly depreciation, that shelter part of the cash flow from current taxation. Because these drivers respond differently to inflation, interest rates, and local economic conditions, real estate has historically served as a diversifier whose returns are imperfectly correlated with those of public equities and fixed income.</w:t>
      </w:r>
    </w:p>
    <w:p>
      <w:pPr>
        <w:pStyle w:val="Heading2"/>
        <w:keepNext/>
        <w:spacing w:after="100" w:before="240"/>
      </w:pPr>
      <w:r>
        <w:rPr>
          <w:rFonts w:ascii="Georgia" w:cs="Georgia" w:eastAsia="Georgia" w:hAnsi="Georgia"/>
          <w:b/>
          <w:bCs/>
          <w:color w:val="1F3A5F"/>
          <w:sz w:val="22"/>
          <w:szCs w:val="22"/>
        </w:rPr>
        <w:t xml:space="preserve">2.1  </w:t>
      </w:r>
      <w:r>
        <w:rPr>
          <w:rFonts w:ascii="Georgia" w:cs="Georgia" w:eastAsia="Georgia" w:hAnsi="Georgia"/>
          <w:b/>
          <w:bCs/>
          <w:color w:val="1F3A5F"/>
          <w:sz w:val="22"/>
          <w:szCs w:val="22"/>
        </w:rPr>
        <w:t xml:space="preserve">Measuring return and the role of leverage</w:t>
      </w:r>
    </w:p>
    <w:p>
      <w:pPr>
        <w:spacing w:after="180" w:before="0" w:line="348"/>
        <w:jc w:val="both"/>
      </w:pPr>
      <w:r>
        <w:rPr>
          <w:rFonts w:ascii="Georgia" w:cs="Georgia" w:eastAsia="Georgia" w:hAnsi="Georgia"/>
          <w:color w:val="1A1A1A"/>
          <w:sz w:val="24"/>
          <w:szCs w:val="24"/>
        </w:rPr>
        <w:t xml:space="preserve">Investors evaluate income property using a small set of conventional metrics. The capitalization rate — net operating income divided by value or price — expresses the unlevered yield of the asset and functions as the market's summary judgment about a property's risk and growth prospects; lower capitalization rates signal higher prices relative to income and, generally, lower perceived risk or higher expected growth. Net operating income itself is revenue less operating expenses, computed before debt service and before income taxes, so that it isolates the performance of the property from the financing and tax situation of any particular owner. The cash-on-cash return — pre-tax cash flow after debt service divided by the equity actually invested — measures the levered cash yield to the owner and is sensitive to the terms of financing.</w:t>
      </w:r>
    </w:p>
    <w:p>
      <w:pPr>
        <w:spacing w:after="180" w:before="0" w:line="348"/>
        <w:jc w:val="both"/>
      </w:pPr>
      <w:r>
        <w:rPr>
          <w:rFonts w:ascii="Georgia" w:cs="Georgia" w:eastAsia="Georgia" w:hAnsi="Georgia"/>
          <w:color w:val="1A1A1A"/>
          <w:sz w:val="24"/>
          <w:szCs w:val="24"/>
        </w:rPr>
        <w:t xml:space="preserve">Leverage is the defining financial feature of real estate and the source of both its wealth-building power and its principal danger. Because real estate can be financed with a relatively small equity contribution and a large mortgage, the return on invested equity is magnified whenever the property's total return exceeds the cost of the borrowed money. The same magnification operates in reverse: when returns fall short of borrowing costs, or when values decline, losses to equity are amplified, and a highly levered owner can be rendered insolvent by a downturn that a lightly levered owner would survive. Amortization moderates this risk over time by steadily reducing the loan balance, so that a property held for many years becomes progressively safer as the equity cushion grows, but leverage remains the variable that most sharply differentiates conservative from aggressive real estate strategies.</w:t>
      </w:r>
    </w:p>
    <w:p>
      <w:pPr>
        <w:pStyle w:val="Heading2"/>
        <w:keepNext/>
        <w:spacing w:after="100" w:before="240"/>
      </w:pPr>
      <w:r>
        <w:rPr>
          <w:rFonts w:ascii="Georgia" w:cs="Georgia" w:eastAsia="Georgia" w:hAnsi="Georgia"/>
          <w:b/>
          <w:bCs/>
          <w:color w:val="1F3A5F"/>
          <w:sz w:val="22"/>
          <w:szCs w:val="22"/>
        </w:rPr>
        <w:t xml:space="preserve">2.2  </w:t>
      </w:r>
      <w:r>
        <w:rPr>
          <w:rFonts w:ascii="Georgia" w:cs="Georgia" w:eastAsia="Georgia" w:hAnsi="Georgia"/>
          <w:b/>
          <w:bCs/>
          <w:color w:val="1F3A5F"/>
          <w:sz w:val="22"/>
          <w:szCs w:val="22"/>
        </w:rPr>
        <w:t xml:space="preserve">Strategy, risk, and the place of real estate in a multi-generational plan</w:t>
      </w:r>
    </w:p>
    <w:p>
      <w:pPr>
        <w:spacing w:after="180" w:before="0" w:line="348"/>
        <w:jc w:val="both"/>
      </w:pPr>
      <w:r>
        <w:rPr>
          <w:rFonts w:ascii="Georgia" w:cs="Georgia" w:eastAsia="Georgia" w:hAnsi="Georgia"/>
          <w:color w:val="1A1A1A"/>
          <w:sz w:val="24"/>
          <w:szCs w:val="24"/>
        </w:rPr>
        <w:t xml:space="preserve">Real estate strategies span a spectrum. At the conservative end, buy-and-hold investors acquire properties for durable cash flow and long-term appreciation, prize principal paydown, and structure their affairs to defer or eliminate the taxation of gain; their time horizon is measured in decades, and their central tax objective is to avoid ever recognizing the appreciation they accumulate. At the active end, investors renovate and resell, operate short-term rentals, or develop property from the ground up, accepting greater operational complexity and market risk in pursuit of higher returns. Between these poles lie a range of hybrid approaches. The principal risk factors common to all of them include vacancy and tenant default; the fundamental illiquidity of real property, which cannot be sold quickly without price concession; sensitivity to interest rates, which affect both financing costs and capitalization rates; geographic and tenant concentration; the episodic shock of large capital expenditures such as roof or system replacements; and regulatory exposure, including rent regulation and the habitability and fair-housing obligations examined in the sections that follow.</w:t>
      </w:r>
    </w:p>
    <w:p>
      <w:pPr>
        <w:spacing w:after="180" w:before="0" w:line="348"/>
        <w:jc w:val="both"/>
      </w:pPr>
      <w:r>
        <w:rPr>
          <w:rFonts w:ascii="Georgia" w:cs="Georgia" w:eastAsia="Georgia" w:hAnsi="Georgia"/>
          <w:color w:val="1A1A1A"/>
          <w:sz w:val="24"/>
          <w:szCs w:val="24"/>
        </w:rPr>
        <w:t xml:space="preserve">For purposes of multi-generational wealth, two features of real estate taxation, developed in detail in Section 7, elevate the asset class above its operating returns. The first is the deferral available under the like-kind exchange provisions of the Internal Revenue Code, which permit an investor to sell one investment property and acquire another without recognizing gain, and thereby to reposition a portfolio across a lifetime without tax friction. The second, and more powerful, is the adjustment of an asset's basis to its fair market value at the owner's death. Taken together, these features permit a disciplined investor to defer the recognition of gain throughout life and then to pass appreciated property to heirs who take it with a stepped-up basis, so that the appreciation accumulated over an entire lifetime can escape income tax altogether. It is this interaction between an operating asset and the tax code — not the operating returns alone — that makes real estate the foundation on which so much private wealth structuring is built.</w:t>
      </w:r>
    </w:p>
    <w:p>
      <w:pPr>
        <w:pStyle w:val="Heading2"/>
        <w:keepNext/>
        <w:spacing w:after="100" w:before="240"/>
      </w:pPr>
      <w:r>
        <w:rPr>
          <w:rFonts w:ascii="Georgia" w:cs="Georgia" w:eastAsia="Georgia" w:hAnsi="Georgia"/>
          <w:b/>
          <w:bCs/>
          <w:color w:val="1F3A5F"/>
          <w:sz w:val="22"/>
          <w:szCs w:val="22"/>
        </w:rPr>
        <w:t xml:space="preserve">2.3  </w:t>
      </w:r>
      <w:r>
        <w:rPr>
          <w:rFonts w:ascii="Georgia" w:cs="Georgia" w:eastAsia="Georgia" w:hAnsi="Georgia"/>
          <w:b/>
          <w:bCs/>
          <w:color w:val="1F3A5F"/>
          <w:sz w:val="22"/>
          <w:szCs w:val="22"/>
        </w:rPr>
        <w:t xml:space="preserve">Financing and the structure of real estate debt</w:t>
      </w:r>
    </w:p>
    <w:p>
      <w:pPr>
        <w:spacing w:after="180" w:before="0" w:line="348"/>
        <w:jc w:val="both"/>
      </w:pPr>
      <w:r>
        <w:rPr>
          <w:rFonts w:ascii="Georgia" w:cs="Georgia" w:eastAsia="Georgia" w:hAnsi="Georgia"/>
          <w:color w:val="1A1A1A"/>
          <w:sz w:val="24"/>
          <w:szCs w:val="24"/>
        </w:rPr>
        <w:t xml:space="preserve">Because leverage is central to real estate, the structure of the debt through which property is financed is itself a determinant of return and risk, and a brief account of it is necessary to a full understanding of the asset class. Residential investment property is financed principally through mortgage debt, which may be structured with a fixed or a variable rate, with a term of amortization that may or may not coincide with the term to maturity, and with or without a balloon payment at maturity. A fixed-rate mortgage transfers the risk of rising interest rates to the lender for the life of the loan and gives the borrower certainty of payment, while a variable-rate mortgage transfers that risk to the borrower in exchange for a lower initial rate. The amortization schedule determines the pace at which the borrower's equity accumulates through principal reduction, and the presence of a balloon payment introduces refinancing risk, because the borrower must repay or refinance the outstanding balance at maturity under whatever market conditions then prevail.</w:t>
      </w:r>
    </w:p>
    <w:p>
      <w:pPr>
        <w:spacing w:after="180" w:before="0" w:line="348"/>
        <w:jc w:val="both"/>
      </w:pPr>
      <w:r>
        <w:rPr>
          <w:rFonts w:ascii="Georgia" w:cs="Georgia" w:eastAsia="Georgia" w:hAnsi="Georgia"/>
          <w:color w:val="1A1A1A"/>
          <w:sz w:val="24"/>
          <w:szCs w:val="24"/>
        </w:rPr>
        <w:t xml:space="preserve">The interaction of the debt structure with the tax treatment of interest, examined in Section 7, and with the strategy of borrowing against appreciated assets rather than selling them, examined in Section 13, ties the financing layer of real estate to the broader architecture. A borrower who finances property conservatively, who fixes the rate to eliminate interest-rate risk, and who allows the loan to amortize over a long holding period converts the property into a progressively safer and more valuable asset, while a borrower who finances aggressively, who relies on short-term or variable-rate debt, or who extracts equity through repeated refinancing accepts greater risk in pursuit of greater return or greater current liquidity. The financing decision is thus not merely a matter of obtaining the funds to acquire a property; it is a decision about the allocation of risk over the life of the investment, and it interacts with every other layer of the structure examined in this paper.</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3.  </w:t>
      </w:r>
      <w:r>
        <w:rPr>
          <w:rFonts w:ascii="Georgia" w:cs="Georgia" w:eastAsia="Georgia" w:hAnsi="Georgia"/>
          <w:b/>
          <w:bCs/>
          <w:color w:val="142942"/>
          <w:sz w:val="26"/>
          <w:szCs w:val="26"/>
        </w:rPr>
        <w:t xml:space="preserve">Residential Renting and Landlord-Tenant Law</w:t>
      </w:r>
    </w:p>
    <w:p>
      <w:pPr>
        <w:spacing w:after="180" w:before="0" w:line="348"/>
        <w:jc w:val="both"/>
      </w:pPr>
      <w:r>
        <w:rPr>
          <w:rFonts w:ascii="Georgia" w:cs="Georgia" w:eastAsia="Georgia" w:hAnsi="Georgia"/>
          <w:color w:val="1A1A1A"/>
          <w:sz w:val="24"/>
          <w:szCs w:val="24"/>
        </w:rPr>
        <w:t xml:space="preserve">The ownership of rental property is inseparable from the body of law that governs the relationship between landlord and tenant, and that body of law has undergone one of the most consequential transformations in modern American private law. Understanding the rental relationship as a legal matter is a precondition to operating rental property lawfully, and the obligations the law imposes on landlords shape the economics, the risk, and even the tax treatment of the asset.</w:t>
      </w:r>
    </w:p>
    <w:p>
      <w:pPr>
        <w:pStyle w:val="Heading2"/>
        <w:keepNext/>
        <w:spacing w:after="100" w:before="240"/>
      </w:pPr>
      <w:r>
        <w:rPr>
          <w:rFonts w:ascii="Georgia" w:cs="Georgia" w:eastAsia="Georgia" w:hAnsi="Georgia"/>
          <w:b/>
          <w:bCs/>
          <w:color w:val="1F3A5F"/>
          <w:sz w:val="22"/>
          <w:szCs w:val="22"/>
        </w:rPr>
        <w:t xml:space="preserve">3.1  </w:t>
      </w:r>
      <w:r>
        <w:rPr>
          <w:rFonts w:ascii="Georgia" w:cs="Georgia" w:eastAsia="Georgia" w:hAnsi="Georgia"/>
          <w:b/>
          <w:bCs/>
          <w:color w:val="1F3A5F"/>
          <w:sz w:val="22"/>
          <w:szCs w:val="22"/>
        </w:rPr>
        <w:t xml:space="preserve">From conveyance to contract: the warranty of habitability</w:t>
      </w:r>
    </w:p>
    <w:p>
      <w:pPr>
        <w:spacing w:after="180" w:before="0" w:line="348"/>
        <w:jc w:val="both"/>
      </w:pPr>
      <w:r>
        <w:rPr>
          <w:rFonts w:ascii="Georgia" w:cs="Georgia" w:eastAsia="Georgia" w:hAnsi="Georgia"/>
          <w:color w:val="1A1A1A"/>
          <w:sz w:val="24"/>
          <w:szCs w:val="24"/>
        </w:rPr>
        <w:t xml:space="preserve">At common law, a lease was understood as a conveyance of an estate in land for a term, and the doctrine of independent covenants meant that a tenant's obligation to pay rent was largely unaffected by the condition of the premises. The tenant took the property as it was, and the landlord had no general duty to repair. This framework, adequate to an agrarian society in which the value of a lease lay chiefly in the land itself, became untenable in an urban society in which tenants bargain for habitable dwelling space rather than for soil, and in which the complexity of modern buildings places the capacity to inspect and repair overwhelmingly in the hands of landlords.</w:t>
      </w:r>
    </w:p>
    <w:p>
      <w:pPr>
        <w:spacing w:after="180" w:before="0" w:line="348"/>
        <w:jc w:val="both"/>
      </w:pPr>
      <w:r>
        <w:rPr>
          <w:rFonts w:ascii="Georgia" w:cs="Georgia" w:eastAsia="Georgia" w:hAnsi="Georgia"/>
          <w:color w:val="1A1A1A"/>
          <w:sz w:val="24"/>
          <w:szCs w:val="24"/>
        </w:rPr>
        <w:t xml:space="preserve">The decisive judicial break came in </w:t>
      </w:r>
      <w:r>
        <w:rPr>
          <w:rFonts w:ascii="Georgia" w:cs="Georgia" w:eastAsia="Georgia" w:hAnsi="Georgia"/>
          <w:i/>
          <w:iCs/>
          <w:color w:val="1A1A1A"/>
          <w:sz w:val="24"/>
          <w:szCs w:val="24"/>
        </w:rPr>
        <w:t xml:space="preserve">Javins v. First National Realty Corp.</w:t>
      </w:r>
      <w:r>
        <w:rPr>
          <w:rFonts w:ascii="Georgia" w:cs="Georgia" w:eastAsia="Georgia" w:hAnsi="Georgia"/>
          <w:color w:val="1A1A1A"/>
          <w:sz w:val="24"/>
          <w:szCs w:val="24"/>
        </w:rPr>
        <w:t xml:space="preserve">, decided by the United States Court of Appeals for the District of Columbia Circuit in 1970. Writing for the court, Judge J. Skelly Wright held that a warranty of habitability, measured by the standards of the housing code, is implied by operation of law into leases of urban dwelling units, and that the tenant's obligation to pay rent is dependent on the landlord's substantial performance of that warranty. The tenants in </w:t>
      </w:r>
      <w:r>
        <w:rPr>
          <w:rFonts w:ascii="Georgia" w:cs="Georgia" w:eastAsia="Georgia" w:hAnsi="Georgia"/>
          <w:i/>
          <w:iCs/>
          <w:color w:val="1A1A1A"/>
          <w:sz w:val="24"/>
          <w:szCs w:val="24"/>
        </w:rPr>
        <w:t xml:space="preserve">Javins</w:t>
      </w:r>
      <w:r>
        <w:rPr>
          <w:rFonts w:ascii="Georgia" w:cs="Georgia" w:eastAsia="Georgia" w:hAnsi="Georgia"/>
          <w:color w:val="1A1A1A"/>
          <w:sz w:val="24"/>
          <w:szCs w:val="24"/>
        </w:rPr>
        <w:t xml:space="preserve"> had withheld rent from an apartment complex against which many hundreds of housing-code violations had been documented, and the court reasoned that a modern lease is in substance a contract for a place to live, to which the ordinary contract principle of mutually dependent obligations should apply. The practical consequence is that a tenant confronted with serious, unremedied defects may, depending on the jurisdiction's procedures, withhold or reduce rent, repair and deduct, or defend against eviction on the ground of the landlord's breach.</w:t>
      </w:r>
    </w:p>
    <w:p>
      <w:pPr>
        <w:pBdr>
          <w:left w:val="single" w:color="9DB0C4" w:sz="18" w:space="12"/>
        </w:pBdr>
        <w:spacing w:after="160" w:before="120" w:line="264"/>
        <w:ind w:left="720" w:right="576"/>
        <w:jc w:val="both"/>
      </w:pPr>
      <w:r>
        <w:rPr>
          <w:rFonts w:ascii="Georgia" w:cs="Georgia" w:eastAsia="Georgia" w:hAnsi="Georgia"/>
          <w:i/>
          <w:iCs/>
          <w:color w:val="4A5568"/>
          <w:sz w:val="22"/>
          <w:szCs w:val="22"/>
        </w:rPr>
        <w:t xml:space="preserve">The implied warranty of habitability requires landlords to maintain residential rental property in a condition that is safe and fit for human habitation, even where the lease does not expressly obligate the landlord to make repairs, and the warranty generally cannot be waived by the tenant.</w:t>
      </w:r>
    </w:p>
    <w:p>
      <w:pPr>
        <w:spacing w:after="180" w:before="0" w:line="348"/>
        <w:jc w:val="both"/>
      </w:pPr>
      <w:r>
        <w:rPr>
          <w:rFonts w:ascii="Georgia" w:cs="Georgia" w:eastAsia="Georgia" w:hAnsi="Georgia"/>
          <w:color w:val="1A1A1A"/>
          <w:sz w:val="24"/>
          <w:szCs w:val="24"/>
        </w:rPr>
        <w:t xml:space="preserve">The warranty of habitability is now recognized, in one form or another, in the great majority of American jurisdictions, whether by judicial decision, by statute, or by adoption of a uniform act. It is reinforced by the widely recognized doctrine of retaliatory eviction, which prohibits a landlord from terminating or refusing to renew a tenancy, or from raising rent, in retaliation for a tenant's good-faith assertion of habitability rights or complaint to housing authorities. The non-waivability of the warranty reflects a policy judgment that habitability is a matter of public health and safety and not merely of private bargain, and it constrains the freedom of contract that otherwise characterizes commercial dealings.</w:t>
      </w:r>
    </w:p>
    <w:p>
      <w:pPr>
        <w:pStyle w:val="Heading2"/>
        <w:keepNext/>
        <w:spacing w:after="100" w:before="240"/>
      </w:pPr>
      <w:r>
        <w:rPr>
          <w:rFonts w:ascii="Georgia" w:cs="Georgia" w:eastAsia="Georgia" w:hAnsi="Georgia"/>
          <w:b/>
          <w:bCs/>
          <w:color w:val="1F3A5F"/>
          <w:sz w:val="22"/>
          <w:szCs w:val="22"/>
        </w:rPr>
        <w:t xml:space="preserve">3.2  </w:t>
      </w:r>
      <w:r>
        <w:rPr>
          <w:rFonts w:ascii="Georgia" w:cs="Georgia" w:eastAsia="Georgia" w:hAnsi="Georgia"/>
          <w:b/>
          <w:bCs/>
          <w:color w:val="1F3A5F"/>
          <w:sz w:val="22"/>
          <w:szCs w:val="22"/>
        </w:rPr>
        <w:t xml:space="preserve">The architecture of the residential tenancy</w:t>
      </w:r>
    </w:p>
    <w:p>
      <w:pPr>
        <w:spacing w:after="180" w:before="0" w:line="348"/>
        <w:jc w:val="both"/>
      </w:pPr>
      <w:r>
        <w:rPr>
          <w:rFonts w:ascii="Georgia" w:cs="Georgia" w:eastAsia="Georgia" w:hAnsi="Georgia"/>
          <w:color w:val="1A1A1A"/>
          <w:sz w:val="24"/>
          <w:szCs w:val="24"/>
        </w:rPr>
        <w:t xml:space="preserve">Beyond habitability, the residential tenancy is governed by a body of state statutory law that, while varying substantially in detail from one jurisdiction to another, exhibits a common architecture. Many states have adopted some version of a residential landlord-tenant act, several of them modeled on a uniform act, and even those that have not tend to legislate around the same recurring subjects. These include the formation and required terms of the lease; limits on the amount of security deposits and strict timelines and itemization requirements governing their return; the landlord's duty to maintain the premises and the tenant's duty to avoid waste; rules governing the landlord's right to enter the occupied premises, which typically require advance notice except in emergencies; and the procedures by which a tenancy may be terminated and possession recovered.</w:t>
      </w:r>
    </w:p>
    <w:p>
      <w:pPr>
        <w:spacing w:after="180" w:before="0" w:line="348"/>
        <w:jc w:val="both"/>
      </w:pPr>
      <w:r>
        <w:rPr>
          <w:rFonts w:ascii="Georgia" w:cs="Georgia" w:eastAsia="Georgia" w:hAnsi="Georgia"/>
          <w:color w:val="1A1A1A"/>
          <w:sz w:val="24"/>
          <w:szCs w:val="24"/>
        </w:rPr>
        <w:t xml:space="preserve">The recovery of possession — the eviction, or in the terminology of many jurisdictions the action for unlawful detainer or forcible entry and detainer — is the most procedurally regulated aspect of the relationship, because it involves the dispossession of a person from a home. The governing principle across American jurisdictions is that eviction is a judicial process. A landlord who wishes to remove a tenant must ordinarily serve a statutory notice appropriate to the ground for termination — a notice to pay rent or quit for nonpayment, a notice to cure or quit for a curable lease violation, or a notice of termination for the expiration of a term or for an incurable breach — and, if the tenant does not comply, must file suit, obtain a judgment for possession, and have the removal carried out by a public officer. Self-help eviction, in which a landlord changes locks, removes belongings, or interrupts essential services to force a tenant out without judicial process, is broadly prohibited and exposes the landlord to liability. This judicialization of eviction is a defining feature of the modern tenancy and a significant operational consideration for owners of rental property.</w:t>
      </w:r>
    </w:p>
    <w:p>
      <w:pPr>
        <w:pStyle w:val="Heading2"/>
        <w:keepNext/>
        <w:spacing w:after="100" w:before="240"/>
      </w:pPr>
      <w:r>
        <w:rPr>
          <w:rFonts w:ascii="Georgia" w:cs="Georgia" w:eastAsia="Georgia" w:hAnsi="Georgia"/>
          <w:b/>
          <w:bCs/>
          <w:color w:val="1F3A5F"/>
          <w:sz w:val="22"/>
          <w:szCs w:val="22"/>
        </w:rPr>
        <w:t xml:space="preserve">3.3  </w:t>
      </w:r>
      <w:r>
        <w:rPr>
          <w:rFonts w:ascii="Georgia" w:cs="Georgia" w:eastAsia="Georgia" w:hAnsi="Georgia"/>
          <w:b/>
          <w:bCs/>
          <w:color w:val="1F3A5F"/>
          <w:sz w:val="22"/>
          <w:szCs w:val="22"/>
        </w:rPr>
        <w:t xml:space="preserve">Fair housing and anti-discrimination law</w:t>
      </w:r>
    </w:p>
    <w:p>
      <w:pPr>
        <w:spacing w:after="180" w:before="0" w:line="348"/>
        <w:jc w:val="both"/>
      </w:pPr>
      <w:r>
        <w:rPr>
          <w:rFonts w:ascii="Georgia" w:cs="Georgia" w:eastAsia="Georgia" w:hAnsi="Georgia"/>
          <w:color w:val="1A1A1A"/>
          <w:sz w:val="24"/>
          <w:szCs w:val="24"/>
        </w:rPr>
        <w:t xml:space="preserve">Overlaying the state law of the tenancy is a body of federal anti-discrimination law that governs the selection of tenants and the terms on which housing is offered. The Fair Housing Act, enacted in 1968 as Title VIII of the Civil Rights Act of that year and substantially amended in 1988, prohibits discrimination in the sale, rental, and financing of dwellings. Its central operative provision makes it unlawful to refuse to sell or rent, or otherwise to make unavailable or deny, a dwelling to any person because of race, color, religion, sex, familial status, or national origin; the 1988 amendments added familial status and disability to the enumerated protected characteristics and strengthened the Act's enforcement. A companion provision extends the prohibition to residential real-estate-related transactions, including the making and purchasing of loans secured by dwellings and the appraisal of residential property.</w:t>
      </w:r>
    </w:p>
    <w:p>
      <w:pPr>
        <w:spacing w:after="180" w:before="0" w:line="348"/>
        <w:jc w:val="both"/>
      </w:pPr>
      <w:r>
        <w:rPr>
          <w:rFonts w:ascii="Georgia" w:cs="Georgia" w:eastAsia="Georgia" w:hAnsi="Georgia"/>
          <w:color w:val="1A1A1A"/>
          <w:sz w:val="24"/>
          <w:szCs w:val="24"/>
        </w:rPr>
        <w:t xml:space="preserve">The Act reaches two analytically distinct forms of discrimination. The first is disparate treatment — intentional discrimination, in which a protected characteristic is a motivating factor in an adverse housing decision. The second is disparate impact — the application of a facially neutral policy or practice that falls more harshly on a protected group and cannot be justified by a substantial, legitimate, nondiscriminatory interest. In </w:t>
      </w:r>
      <w:r>
        <w:rPr>
          <w:rFonts w:ascii="Georgia" w:cs="Georgia" w:eastAsia="Georgia" w:hAnsi="Georgia"/>
          <w:i/>
          <w:iCs/>
          <w:color w:val="1A1A1A"/>
          <w:sz w:val="24"/>
          <w:szCs w:val="24"/>
        </w:rPr>
        <w:t xml:space="preserve">Texas Department of Housing and Community Affairs v. Inclusive Communities Project</w:t>
      </w:r>
      <w:r>
        <w:rPr>
          <w:rFonts w:ascii="Georgia" w:cs="Georgia" w:eastAsia="Georgia" w:hAnsi="Georgia"/>
          <w:color w:val="1A1A1A"/>
          <w:sz w:val="24"/>
          <w:szCs w:val="24"/>
        </w:rPr>
        <w:t xml:space="preserve">, decided in 2015, the Supreme Court held that disparate-impact claims are cognizable under the Fair Housing Act, while cautioning that such claims are subject to limitations designed to protect legitimate policy choices and are governed by a burden-shifting framework that requires a plaintiff to identify a specific policy causing a statistical disparity before the burden shifts to the defendant to show a valid interest served by the policy.</w:t>
      </w:r>
    </w:p>
    <w:p>
      <w:pPr>
        <w:spacing w:after="180" w:before="0" w:line="348"/>
        <w:jc w:val="both"/>
      </w:pPr>
      <w:r>
        <w:rPr>
          <w:rFonts w:ascii="Georgia" w:cs="Georgia" w:eastAsia="Georgia" w:hAnsi="Georgia"/>
          <w:color w:val="1A1A1A"/>
          <w:sz w:val="24"/>
          <w:szCs w:val="24"/>
        </w:rPr>
        <w:t xml:space="preserve">For an owner of rental property, the practical significance of fair-housing law lies chiefly in tenant selection and in the framing of neutral rental criteria. Blanket exclusions based on criminal history, rigid income-to-rent ratio requirements, and restrictive occupancy standards are recognized areas of disparate-impact exposure, because each can correlate with protected characteristics and each invites scrutiny of whether a less discriminatory alternative would serve the owner's legitimate interest in reliable tenancy. The regulatory framework governing disparate-impact analysis has itself been the subject of shifting agency positions; as of the preparation of this paper in 2026, the Department of Housing and Urban Development had proposed to rescind its long-standing discriminatory-effects regulation, a step that, if finalized, would remove the administrative framework courts have applied even though it would not by its own force disturb the Supreme Court's recognition of disparate-impact liability. The status of that rulemaking was unresolved, and it is an example of the provisional character of several rules surveyed in this paper.</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4.  </w:t>
      </w:r>
      <w:r>
        <w:rPr>
          <w:rFonts w:ascii="Georgia" w:cs="Georgia" w:eastAsia="Georgia" w:hAnsi="Georgia"/>
          <w:b/>
          <w:bCs/>
          <w:color w:val="142942"/>
          <w:sz w:val="26"/>
          <w:szCs w:val="26"/>
        </w:rPr>
        <w:t xml:space="preserve">Property Maintenance: Preventive and Reactive</w:t>
      </w:r>
    </w:p>
    <w:p>
      <w:pPr>
        <w:spacing w:after="180" w:before="0" w:line="348"/>
        <w:jc w:val="both"/>
      </w:pPr>
      <w:r>
        <w:rPr>
          <w:rFonts w:ascii="Georgia" w:cs="Georgia" w:eastAsia="Georgia" w:hAnsi="Georgia"/>
          <w:color w:val="1A1A1A"/>
          <w:sz w:val="24"/>
          <w:szCs w:val="24"/>
        </w:rPr>
        <w:t xml:space="preserve">Maintenance is the operational discipline that preserves the value of real property and, as Section 3 has shown, discharges a legal duty owed to tenants. It is useful to distinguish preventive maintenance — the scheduled servicing and periodic replacement of building components before they fail — from reactive maintenance, which responds to failures as they occur. The economic case for preventive maintenance rests on the observation that deferred maintenance compounds: a small roof leak, left unaddressed, can produce structural rot, mold, and interior damage whose remediation costs a large multiple of the original repair, and a neglected heating or cooling system can fail catastrophically at the least convenient time. Preventive maintenance converts the unpredictable, lumpy expense of failure into a predictable, budgetable stream of smaller expenditures, and it extends the useful life of the assets to which it is applied.</w:t>
      </w:r>
    </w:p>
    <w:p>
      <w:pPr>
        <w:spacing w:after="180" w:before="0" w:line="348"/>
        <w:jc w:val="both"/>
      </w:pPr>
      <w:r>
        <w:rPr>
          <w:rFonts w:ascii="Georgia" w:cs="Georgia" w:eastAsia="Georgia" w:hAnsi="Georgia"/>
          <w:color w:val="1A1A1A"/>
          <w:sz w:val="24"/>
          <w:szCs w:val="24"/>
        </w:rPr>
        <w:t xml:space="preserve">Sound maintenance practice organizes itself around the major building systems and their differing lifecycles. Plumbing systems, electrical systems, heating and cooling equipment, the roof and building envelope, appliances, and the grounds each have characteristic service intervals and replacement horizons, and each fails in characteristic ways. A disciplined owner tracks the age and expected remaining life of each system and reserves capital against its eventual replacement, so that the replacement of a roof or a furnace is funded from an anticipated reserve rather than from an emergency drawing-down of other resources. This lifecycle approach to capital expenditure is what separates the professional operation of rental property from the improvised management that treats every large repair as an unwelcome surprise.</w:t>
      </w:r>
    </w:p>
    <w:p>
      <w:pPr>
        <w:pStyle w:val="Heading2"/>
        <w:keepNext/>
        <w:spacing w:after="100" w:before="240"/>
      </w:pPr>
      <w:r>
        <w:rPr>
          <w:rFonts w:ascii="Georgia" w:cs="Georgia" w:eastAsia="Georgia" w:hAnsi="Georgia"/>
          <w:b/>
          <w:bCs/>
          <w:color w:val="1F3A5F"/>
          <w:sz w:val="22"/>
          <w:szCs w:val="22"/>
        </w:rPr>
        <w:t xml:space="preserve">4.1  </w:t>
      </w:r>
      <w:r>
        <w:rPr>
          <w:rFonts w:ascii="Georgia" w:cs="Georgia" w:eastAsia="Georgia" w:hAnsi="Georgia"/>
          <w:b/>
          <w:bCs/>
          <w:color w:val="1F3A5F"/>
          <w:sz w:val="22"/>
          <w:szCs w:val="22"/>
        </w:rPr>
        <w:t xml:space="preserve">The boundary between self-performance and licensed trades</w:t>
      </w:r>
    </w:p>
    <w:p>
      <w:pPr>
        <w:spacing w:after="180" w:before="0" w:line="348"/>
        <w:jc w:val="both"/>
      </w:pPr>
      <w:r>
        <w:rPr>
          <w:rFonts w:ascii="Georgia" w:cs="Georgia" w:eastAsia="Georgia" w:hAnsi="Georgia"/>
          <w:color w:val="1A1A1A"/>
          <w:sz w:val="24"/>
          <w:szCs w:val="24"/>
        </w:rPr>
        <w:t xml:space="preserve">A recurring operational decision is whether the owner should perform maintenance personally or engage licensed professionals. The considerations are partly economic and partly legal. Routine tasks — cosmetic repair, basic upkeep, and simple component replacement — are frequently within the competence of an owner and can be performed at a saving. But many categories of work are subject to licensing and permitting requirements that effectively require professional performance. Electrical work, significant plumbing work, and structural alterations are commonly regulated, both to protect safety and to ensure that work is inspected and recorded. Work performed without a required permit can create liability if it causes harm, can complicate insurance claims, and can impede a later sale when the absence of permits is discovered during due diligence. The habitability duty discussed in Section 3 further constrains the owner's discretion, because certain conditions must be remedied within timeframes and to standards the owner does not control, and a botched self-performed repair that leaves a dwelling uninhabitable exposes the owner to the same consequences as a failure to repair at all.</w:t>
      </w:r>
    </w:p>
    <w:p>
      <w:pPr>
        <w:spacing w:after="180" w:before="0" w:line="348"/>
        <w:jc w:val="both"/>
      </w:pPr>
      <w:r>
        <w:rPr>
          <w:rFonts w:ascii="Georgia" w:cs="Georgia" w:eastAsia="Georgia" w:hAnsi="Georgia"/>
          <w:color w:val="1A1A1A"/>
          <w:sz w:val="24"/>
          <w:szCs w:val="24"/>
        </w:rPr>
        <w:t xml:space="preserve">Documentation is the connective tissue of sound maintenance practice, serving simultaneously operational, legal, and financial functions. Dated records of inspections, service, and repair — supported by receipts and, increasingly, by photographs — establish a maintenance history that informs future capital planning, demonstrates the discharge of habitability obligations in the event of a dispute, substantiates the deduction of repair expenses and the capitalization of improvements for tax purposes, and supports the proper handling of security-deposit deductions by distinguishing tenant-caused damage from ordinary wear. The discipline of contemporaneous documentation is inexpensive to maintain and disproportionately valuable when a maintenance history must later be reconstructed under adversarial conditions.</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5.  </w:t>
      </w:r>
      <w:r>
        <w:rPr>
          <w:rFonts w:ascii="Georgia" w:cs="Georgia" w:eastAsia="Georgia" w:hAnsi="Georgia"/>
          <w:b/>
          <w:bCs/>
          <w:color w:val="142942"/>
          <w:sz w:val="26"/>
          <w:szCs w:val="26"/>
        </w:rPr>
        <w:t xml:space="preserve">Property Management</w:t>
      </w:r>
    </w:p>
    <w:p>
      <w:pPr>
        <w:spacing w:after="180" w:before="0" w:line="348"/>
        <w:jc w:val="both"/>
      </w:pPr>
      <w:r>
        <w:rPr>
          <w:rFonts w:ascii="Georgia" w:cs="Georgia" w:eastAsia="Georgia" w:hAnsi="Georgia"/>
          <w:color w:val="1A1A1A"/>
          <w:sz w:val="24"/>
          <w:szCs w:val="24"/>
        </w:rPr>
        <w:t xml:space="preserve">The management of rental property — the aggregate of the operational functions by which a property is marketed, leased, maintained, and administered — may be performed by the owner or delegated to a professional manager, and the choice between self-management and professional management is one of the more consequential decisions in the operation of a rental portfolio. The functions themselves are constant regardless of who performs them: marketing vacant units and screening prospective tenants within the constraints of fair-housing law; negotiating and administering leases; collecting rent and pursuing delinquencies; coordinating maintenance and managing vendors; handling tenant turnover and unit preparation; and ensuring compliance with the notice, deposit, and habitability requirements canvassed above. What varies is whether these functions are absorbed by the owner as uncompensated labor or purchased from a manager as a service.</w:t>
      </w:r>
    </w:p>
    <w:p>
      <w:pPr>
        <w:spacing w:after="180" w:before="0" w:line="348"/>
        <w:jc w:val="both"/>
      </w:pPr>
      <w:r>
        <w:rPr>
          <w:rFonts w:ascii="Georgia" w:cs="Georgia" w:eastAsia="Georgia" w:hAnsi="Georgia"/>
          <w:color w:val="1A1A1A"/>
          <w:sz w:val="24"/>
          <w:szCs w:val="24"/>
        </w:rPr>
        <w:t xml:space="preserve">Professional management is typically compensated through a combination of a recurring management fee, usually expressed as a percentage of collected rent, and a set of transactional fees for leasing, renewals, and turnover. Industry data place the recurring fee for long-term residential management commonly in a range of roughly eight to twelve percent of collected rent, with a frequently cited national average near eight and one-half percent, and with flat-fee arrangements also available; leasing fees equal to a portion of a month's rent, and separate charges for placing new tenants, are common. The economic tradeoff is straightforward in principle: professional management substitutes a monetary cost for the owner's time, expertise, and exposure to operational risk, and the value of that substitution depends on the owner's alternative uses of time, the owner's competence and appetite for the work, and the scale of the portfolio.</w:t>
      </w:r>
    </w:p>
    <w:p>
      <w:pPr>
        <w:spacing w:after="180" w:before="0" w:line="348"/>
        <w:jc w:val="both"/>
      </w:pPr>
      <w:r>
        <w:rPr>
          <w:rFonts w:ascii="Georgia" w:cs="Georgia" w:eastAsia="Georgia" w:hAnsi="Georgia"/>
          <w:color w:val="1A1A1A"/>
          <w:sz w:val="24"/>
          <w:szCs w:val="24"/>
        </w:rPr>
        <w:t xml:space="preserve">Scale is the variable that most powerfully shapes the economics of management, and it is central to understanding how a small rental portfolio grows into a durable enterprise. Many of the costs of professional operation — the systems for accounting, screening, and maintenance coordination, and the accumulated expertise in law and local markets — are substantially fixed, so that their cost per unit declines as the number of units rises. A single property may not justify the overhead of professional systems, whether purchased or built, whereas a portfolio of many units spreads that overhead across a larger base and makes professional-grade operation economical. This declining per-unit cost of operation is one of the principal reasons that the assembly of a rental portfolio, rather than the ownership of a single property, is the characteristic path by which real estate is used to build private wealth, and it is the operational counterpart to the entity and tax structures examined in the balance of this paper.</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6.  </w:t>
      </w:r>
      <w:r>
        <w:rPr>
          <w:rFonts w:ascii="Georgia" w:cs="Georgia" w:eastAsia="Georgia" w:hAnsi="Georgia"/>
          <w:b/>
          <w:bCs/>
          <w:color w:val="142942"/>
          <w:sz w:val="26"/>
          <w:szCs w:val="26"/>
        </w:rPr>
        <w:t xml:space="preserve">Stakeholder Communication</w:t>
      </w:r>
    </w:p>
    <w:p>
      <w:pPr>
        <w:spacing w:after="180" w:before="0" w:line="348"/>
        <w:jc w:val="both"/>
      </w:pPr>
      <w:r>
        <w:rPr>
          <w:rFonts w:ascii="Georgia" w:cs="Georgia" w:eastAsia="Georgia" w:hAnsi="Georgia"/>
          <w:color w:val="1A1A1A"/>
          <w:sz w:val="24"/>
          <w:szCs w:val="24"/>
        </w:rPr>
        <w:t xml:space="preserve">Communication in the operation of rental property is not merely a matter of courtesy or customer service; it is a legal discipline whose products carry evidentiary weight and whose forms are often prescribed by statute. The obligations surveyed in Section 3 — to give notice before entering, to serve notice before terminating, to itemize and return deposits within statutory timeframes — are discharged through communication, and the sufficiency of that communication in form, content, and timing frequently determines whether a landlord may lawfully act. A notice that fails to satisfy statutory requirements may be ineffective to support an eviction, and a communication made too late or in the wrong form may forfeit a right the owner in substance possessed.</w:t>
      </w:r>
    </w:p>
    <w:p>
      <w:pPr>
        <w:spacing w:after="180" w:before="0" w:line="348"/>
        <w:jc w:val="both"/>
      </w:pPr>
      <w:r>
        <w:rPr>
          <w:rFonts w:ascii="Georgia" w:cs="Georgia" w:eastAsia="Georgia" w:hAnsi="Georgia"/>
          <w:color w:val="1A1A1A"/>
          <w:sz w:val="24"/>
          <w:szCs w:val="24"/>
        </w:rPr>
        <w:t xml:space="preserve">Written communication carries a heightened significance in the tenancy relationship because it creates a durable record against which later disputes are adjudicated. When a tenant asserts that a repair was requested and ignored, or that a condition was disclosed, or that permission was granted, the presence or absence of a contemporaneous written record often decides the matter. The disciplined practice is to reduce material communications to writing, to preserve them systematically, and to treat routine correspondence as potential evidence. This orientation is not adversarial in intent; it protects both parties by fixing the terms of their dealings and reducing the scope for the reconstruction of events under the pressure of a dispute.</w:t>
      </w:r>
    </w:p>
    <w:p>
      <w:pPr>
        <w:spacing w:after="180" w:before="0" w:line="348"/>
        <w:jc w:val="both"/>
      </w:pPr>
      <w:r>
        <w:rPr>
          <w:rFonts w:ascii="Georgia" w:cs="Georgia" w:eastAsia="Georgia" w:hAnsi="Georgia"/>
          <w:color w:val="1A1A1A"/>
          <w:sz w:val="24"/>
          <w:szCs w:val="24"/>
        </w:rPr>
        <w:t xml:space="preserve">Beyond the formal and evidentiary dimensions, effective communication serves to prevent disputes from arising and to de-escalate those that do. Clear, consistent, and professional communication about expectations, obligations, and procedures reduces the misunderstandings from which conflict grows, and a measured response to complaint and disagreement often resolves matters that intemperate reaction would inflame into litigation. Consistency in communication also has a fair-housing dimension: the uniform treatment of prospective and current tenants — the application of the same criteria, the same responses, and the same procedures without regard to protected characteristics — is both a defense against claims of discrimination and a discipline that produces better operational outcomes. Communication, in short, is where the legal obligations of the tenancy meet its human reality, and it is a domain in which formality and good practice reinforce rather than oppose one another.</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7.  </w:t>
      </w:r>
      <w:r>
        <w:rPr>
          <w:rFonts w:ascii="Georgia" w:cs="Georgia" w:eastAsia="Georgia" w:hAnsi="Georgia"/>
          <w:b/>
          <w:bCs/>
          <w:color w:val="142942"/>
          <w:sz w:val="26"/>
          <w:szCs w:val="26"/>
        </w:rPr>
        <w:t xml:space="preserve">Taxation of Real Estate and Wealth</w:t>
      </w:r>
    </w:p>
    <w:p>
      <w:pPr>
        <w:spacing w:after="180" w:before="0" w:line="348"/>
        <w:jc w:val="both"/>
      </w:pPr>
      <w:r>
        <w:rPr>
          <w:rFonts w:ascii="Georgia" w:cs="Georgia" w:eastAsia="Georgia" w:hAnsi="Georgia"/>
          <w:color w:val="1A1A1A"/>
          <w:sz w:val="24"/>
          <w:szCs w:val="24"/>
        </w:rPr>
        <w:t xml:space="preserve">Taxation is the connective tissue of wealth structuring. Every layer of the architecture examined in this paper is shaped by the tax code, and the coordination of income tax, capital-gains tax, and transfer tax is what renders a structure efficient rather than merely protective. This section surveys the principal federal tax rules bearing on real estate and on the transfer of wealth, in each case stating the governing authority, explaining the mechanism, and noting its status as of mid-2026. Because several of these rules were altered by the One Big Beautiful Bill Act of 2025, the section attends carefully to effective dates and to the distinction between temporary and permanent provisions.</w:t>
      </w:r>
    </w:p>
    <w:p>
      <w:pPr>
        <w:pStyle w:val="Heading2"/>
        <w:keepNext/>
        <w:spacing w:after="100" w:before="240"/>
      </w:pPr>
      <w:r>
        <w:rPr>
          <w:rFonts w:ascii="Georgia" w:cs="Georgia" w:eastAsia="Georgia" w:hAnsi="Georgia"/>
          <w:b/>
          <w:bCs/>
          <w:color w:val="1F3A5F"/>
          <w:sz w:val="22"/>
          <w:szCs w:val="22"/>
        </w:rPr>
        <w:t xml:space="preserve">7.1  </w:t>
      </w:r>
      <w:r>
        <w:rPr>
          <w:rFonts w:ascii="Georgia" w:cs="Georgia" w:eastAsia="Georgia" w:hAnsi="Georgia"/>
          <w:b/>
          <w:bCs/>
          <w:color w:val="1F3A5F"/>
          <w:sz w:val="22"/>
          <w:szCs w:val="22"/>
        </w:rPr>
        <w:t xml:space="preserve">Rental income and the reporting framework</w:t>
      </w:r>
    </w:p>
    <w:p>
      <w:pPr>
        <w:spacing w:after="180" w:before="0" w:line="348"/>
        <w:jc w:val="both"/>
      </w:pPr>
      <w:r>
        <w:rPr>
          <w:rFonts w:ascii="Georgia" w:cs="Georgia" w:eastAsia="Georgia" w:hAnsi="Georgia"/>
          <w:color w:val="1A1A1A"/>
          <w:sz w:val="24"/>
          <w:szCs w:val="24"/>
        </w:rPr>
        <w:t xml:space="preserve">The income and expenses of rental real estate held by an individual are reported on Schedule E of the individual return. Gross rents are reduced by the ordinary and necessary expenses of operating the property — including management, maintenance and repair, insurance, property taxes, and the interest paid on mortgage debt — and by depreciation, to yield the net rental income or loss that flows into the owner's taxable income, subject to the passive-activity limitations discussed below. The distinction between a repair, which is currently deductible, and an improvement, which must be capitalized and recovered over time through depreciation, is a recurring and consequential one, and the tangible-property regulations supply detailed rules for drawing it. The reporting framework is the ground on which the more specialized rules that follow operate.</w:t>
      </w:r>
    </w:p>
    <w:p>
      <w:pPr>
        <w:pStyle w:val="Heading2"/>
        <w:keepNext/>
        <w:spacing w:after="100" w:before="240"/>
      </w:pPr>
      <w:r>
        <w:rPr>
          <w:rFonts w:ascii="Georgia" w:cs="Georgia" w:eastAsia="Georgia" w:hAnsi="Georgia"/>
          <w:b/>
          <w:bCs/>
          <w:color w:val="1F3A5F"/>
          <w:sz w:val="22"/>
          <w:szCs w:val="22"/>
        </w:rPr>
        <w:t xml:space="preserve">7.2  </w:t>
      </w:r>
      <w:r>
        <w:rPr>
          <w:rFonts w:ascii="Georgia" w:cs="Georgia" w:eastAsia="Georgia" w:hAnsi="Georgia"/>
          <w:b/>
          <w:bCs/>
          <w:color w:val="1F3A5F"/>
          <w:sz w:val="22"/>
          <w:szCs w:val="22"/>
        </w:rPr>
        <w:t xml:space="preserve">Depreciation, cost segregation, and bonus depreciation</w:t>
      </w:r>
    </w:p>
    <w:p>
      <w:pPr>
        <w:spacing w:after="180" w:before="0" w:line="348"/>
        <w:jc w:val="both"/>
      </w:pPr>
      <w:r>
        <w:rPr>
          <w:rFonts w:ascii="Georgia" w:cs="Georgia" w:eastAsia="Georgia" w:hAnsi="Georgia"/>
          <w:color w:val="1A1A1A"/>
          <w:sz w:val="24"/>
          <w:szCs w:val="24"/>
        </w:rPr>
        <w:t xml:space="preserve">Depreciation is the mechanism by which the cost of income-producing property, other than land, is recovered over time as a deduction against income. Under the modified accelerated cost recovery system, residential rental buildings are depreciated on a straight-line basis over a recovery period of twenty-seven and one-half years, and nonresidential real property over thirty-nine years. Because land is not subject to wear and obsolescence, it is not depreciable, and the allocation of a property's cost between land and building is therefore a threshold determination that affects the size of the annual deduction.</w:t>
      </w:r>
    </w:p>
    <w:p>
      <w:pPr>
        <w:spacing w:after="180" w:before="0" w:line="348"/>
        <w:jc w:val="both"/>
      </w:pPr>
      <w:r>
        <w:rPr>
          <w:rFonts w:ascii="Georgia" w:cs="Georgia" w:eastAsia="Georgia" w:hAnsi="Georgia"/>
          <w:color w:val="1A1A1A"/>
          <w:sz w:val="24"/>
          <w:szCs w:val="24"/>
        </w:rPr>
        <w:t xml:space="preserve">A cost-segregation study is an engineering-based analysis that reclassifies components of a building into shorter-lived categories of personal property and land improvements — commonly five-, seven-, and fifteen-year property — which are recovered far more rapidly than the building's long straight-line life. By identifying the portions of a building that properly belong to these shorter classes, a cost-segregation study accelerates depreciation deductions into the early years of ownership, when they are most valuable in present-value terms. The power of cost segregation is greatly amplified by bonus depreciation, which permits the immediate expensing of qualifying property with a recovery period of twenty years or less. The One Big Beautiful Bill Act, enacted July 4, 2025, made one-hundred-percent bonus depreciation permanent for qualifying property acquired and placed in service after January 19, 2025, eliminating the phase-down that prior law had scheduled; the Internal Revenue Service issued implementing guidance addressing the permanent one-hundred-percent additional first-year depreciation deduction. The same legislation created a separate and temporary regime permitting the full expensing of qualified production property used in manufacturing, subject to defined construction and placed-in-service windows, and increased the limits applicable to the immediate expensing of certain property under the separate election available to businesses. The combined effect of a cost-segregation study and permanent bonus depreciation is that a substantial fraction of a newly acquired building's cost can be deducted in the first year of ownership, producing a significant shelter for rental and, in some circumstances, other income.</w:t>
      </w:r>
    </w:p>
    <w:p>
      <w:pPr>
        <w:pStyle w:val="Heading2"/>
        <w:keepNext/>
        <w:spacing w:after="100" w:before="240"/>
      </w:pPr>
      <w:r>
        <w:rPr>
          <w:rFonts w:ascii="Georgia" w:cs="Georgia" w:eastAsia="Georgia" w:hAnsi="Georgia"/>
          <w:b/>
          <w:bCs/>
          <w:color w:val="1F3A5F"/>
          <w:sz w:val="22"/>
          <w:szCs w:val="22"/>
        </w:rPr>
        <w:t xml:space="preserve">7.3  </w:t>
      </w:r>
      <w:r>
        <w:rPr>
          <w:rFonts w:ascii="Georgia" w:cs="Georgia" w:eastAsia="Georgia" w:hAnsi="Georgia"/>
          <w:b/>
          <w:bCs/>
          <w:color w:val="1F3A5F"/>
          <w:sz w:val="22"/>
          <w:szCs w:val="22"/>
        </w:rPr>
        <w:t xml:space="preserve">Depreciation recapture</w:t>
      </w:r>
    </w:p>
    <w:p>
      <w:pPr>
        <w:spacing w:after="180" w:before="0" w:line="348"/>
        <w:jc w:val="both"/>
      </w:pPr>
      <w:r>
        <w:rPr>
          <w:rFonts w:ascii="Georgia" w:cs="Georgia" w:eastAsia="Georgia" w:hAnsi="Georgia"/>
          <w:color w:val="1A1A1A"/>
          <w:sz w:val="24"/>
          <w:szCs w:val="24"/>
        </w:rPr>
        <w:t xml:space="preserve">Depreciation is not a permanent exclusion but a deferral, and on a taxable sale the benefit is recaptured. The recapture rules distinguish between categories of property. Personal property and the components reclassified by a cost-segregation study are subject to recapture as ordinary income to the extent of prior depreciation, taxed at ordinary rates that can reach the top marginal rate. Real property depreciated on the straight-line method is generally not subject to ordinary recapture of additional depreciation, but the gain attributable to depreciation is characterized as unrecaptured gain and taxed at a maximum federal rate above the ordinary long-term capital-gains rate. This higher rate on the depreciation-attributable portion of gain is a frequently underappreciated cost of disposition; an investor who anticipates only the long-term capital-gains rate on a sale will be surprised by the elevated rate applied to the recapture layer, and a cost-segregation study, by converting a portion of eventual gain into ordinary-rate recapture, sharpens the tradeoff between accelerated deductions during ownership and higher-rate taxation at sale.</w:t>
      </w:r>
    </w:p>
    <w:p>
      <w:pPr>
        <w:spacing w:after="180" w:before="0" w:line="348"/>
        <w:jc w:val="both"/>
      </w:pPr>
      <w:r>
        <w:rPr>
          <w:rFonts w:ascii="Georgia" w:cs="Georgia" w:eastAsia="Georgia" w:hAnsi="Georgia"/>
          <w:color w:val="1A1A1A"/>
          <w:sz w:val="24"/>
          <w:szCs w:val="24"/>
        </w:rPr>
        <w:t xml:space="preserve">The recapture rules interact in a decisive way with the basis adjustment at death, examined below. Where appreciated and depreciated property is held until the owner's death rather than sold during life, the basis adjustment eliminates the gain — including the depreciation-attributable gain — so that the recapture that would have been triggered by a lifetime sale simply never occurs. This interaction is central to the buy-and-hold strategy described in Section 2 and to the generational logic of the structures examined later in this paper: the same depreciation that shelters income during life can, if the property is held to death, escape recapture entirely.</w:t>
      </w:r>
    </w:p>
    <w:p>
      <w:pPr>
        <w:pStyle w:val="Heading2"/>
        <w:keepNext/>
        <w:spacing w:after="100" w:before="240"/>
      </w:pPr>
      <w:r>
        <w:rPr>
          <w:rFonts w:ascii="Georgia" w:cs="Georgia" w:eastAsia="Georgia" w:hAnsi="Georgia"/>
          <w:b/>
          <w:bCs/>
          <w:color w:val="1F3A5F"/>
          <w:sz w:val="22"/>
          <w:szCs w:val="22"/>
        </w:rPr>
        <w:t xml:space="preserve">7.4  </w:t>
      </w:r>
      <w:r>
        <w:rPr>
          <w:rFonts w:ascii="Georgia" w:cs="Georgia" w:eastAsia="Georgia" w:hAnsi="Georgia"/>
          <w:b/>
          <w:bCs/>
          <w:color w:val="1F3A5F"/>
          <w:sz w:val="22"/>
          <w:szCs w:val="22"/>
        </w:rPr>
        <w:t xml:space="preserve">The qualified business income deduction</w:t>
      </w:r>
    </w:p>
    <w:p>
      <w:pPr>
        <w:spacing w:after="180" w:before="0" w:line="348"/>
        <w:jc w:val="both"/>
      </w:pPr>
      <w:r>
        <w:rPr>
          <w:rFonts w:ascii="Georgia" w:cs="Georgia" w:eastAsia="Georgia" w:hAnsi="Georgia"/>
          <w:color w:val="1A1A1A"/>
          <w:sz w:val="24"/>
          <w:szCs w:val="24"/>
        </w:rPr>
        <w:t xml:space="preserve">The deduction for qualified business income, enacted as part of the 2017 tax legislation, permits the owner of a qualifying pass-through trade or business to deduct up to twenty percent of qualified business income, subject to limitations that phase in above specified income thresholds. Its application to rental real estate was initially uncertain, because the deduction requires a trade or business and the case law had long been equivocal about whether rental activity rises to that level. The Internal Revenue Service responded with a safe harbor, finalized in a revenue procedure, under which a rental real estate enterprise is treated as a trade or business for purposes of the deduction if separate books and records are maintained, if a threshold number of hours of rental services — two hundred fifty hours per year, subject to a modified multi-year test for enterprises held for several years — is performed and contemporaneously documented, and if a statement is attached to the return. Property leased under a triple-net lease, and property used by the taxpayer as a residence, are excluded from the safe harbor, though rental activity that fails the safe harbor may still qualify if it independently satisfies the general standard for a trade or business. The One Big Beautiful Bill Act made the deduction permanent and adjusted the mechanics of its phase-in. For an owner of rental property, the deduction operates as a reduction in the effective rate of tax on net rental income, and its availability depends on positioning the rental activity to satisfy the safe harbor or the underlying trade-or-business standard.</w:t>
      </w:r>
    </w:p>
    <w:p>
      <w:pPr>
        <w:pStyle w:val="Heading2"/>
        <w:keepNext/>
        <w:spacing w:after="100" w:before="240"/>
      </w:pPr>
      <w:r>
        <w:rPr>
          <w:rFonts w:ascii="Georgia" w:cs="Georgia" w:eastAsia="Georgia" w:hAnsi="Georgia"/>
          <w:b/>
          <w:bCs/>
          <w:color w:val="1F3A5F"/>
          <w:sz w:val="22"/>
          <w:szCs w:val="22"/>
        </w:rPr>
        <w:t xml:space="preserve">7.5  </w:t>
      </w:r>
      <w:r>
        <w:rPr>
          <w:rFonts w:ascii="Georgia" w:cs="Georgia" w:eastAsia="Georgia" w:hAnsi="Georgia"/>
          <w:b/>
          <w:bCs/>
          <w:color w:val="1F3A5F"/>
          <w:sz w:val="22"/>
          <w:szCs w:val="22"/>
        </w:rPr>
        <w:t xml:space="preserve">Passive activity losses and real estate professional status</w:t>
      </w:r>
    </w:p>
    <w:p>
      <w:pPr>
        <w:spacing w:after="180" w:before="0" w:line="348"/>
        <w:jc w:val="both"/>
      </w:pPr>
      <w:r>
        <w:rPr>
          <w:rFonts w:ascii="Georgia" w:cs="Georgia" w:eastAsia="Georgia" w:hAnsi="Georgia"/>
          <w:color w:val="1A1A1A"/>
          <w:sz w:val="24"/>
          <w:szCs w:val="24"/>
        </w:rPr>
        <w:t xml:space="preserve">The passive-activity loss rules, enacted in 1986 to curtail the use of tax shelters, restrict the deductibility of losses from activities in which the taxpayer does not materially participate. Rental activity is treated as passive per se, without regard to the taxpayer's level of participation, so that losses from rental real estate may ordinarily be deducted only against income from other passive activities, with any excess suspended and carried forward until the taxpayer generates passive income or disposes of the activity in a fully taxable transaction. Two exceptions are significant. The first permits a taxpayer who actively participates in rental real estate to deduct a limited amount of rental losses against non-passive income, subject to a phase-out that eliminates the allowance above a specified level of income. The second, and more powerful, is the exception for a real estate professional: a taxpayer who performs more than seven hundred fifty hours of service in real-property trades or businesses, who devotes more than half of all personal-services time to such trades or businesses, and who materially participates in the rental activity may treat that activity as non-passive, so that its losses may be deducted against ordinary income such as wages. The two quantitative tests and the requirement of material participation must be satisfied and documented for each year in which the status is claimed, and the contemporaneous substantiation of hours is a frequent point of dispute.</w:t>
      </w:r>
    </w:p>
    <w:p>
      <w:pPr>
        <w:pStyle w:val="Heading2"/>
        <w:keepNext/>
        <w:spacing w:after="100" w:before="240"/>
      </w:pPr>
      <w:r>
        <w:rPr>
          <w:rFonts w:ascii="Georgia" w:cs="Georgia" w:eastAsia="Georgia" w:hAnsi="Georgia"/>
          <w:b/>
          <w:bCs/>
          <w:color w:val="1F3A5F"/>
          <w:sz w:val="22"/>
          <w:szCs w:val="22"/>
        </w:rPr>
        <w:t xml:space="preserve">7.6  </w:t>
      </w:r>
      <w:r>
        <w:rPr>
          <w:rFonts w:ascii="Georgia" w:cs="Georgia" w:eastAsia="Georgia" w:hAnsi="Georgia"/>
          <w:b/>
          <w:bCs/>
          <w:color w:val="1F3A5F"/>
          <w:sz w:val="22"/>
          <w:szCs w:val="22"/>
        </w:rPr>
        <w:t xml:space="preserve">Like-kind exchanges</w:t>
      </w:r>
    </w:p>
    <w:p>
      <w:pPr>
        <w:spacing w:after="180" w:before="0" w:line="348"/>
        <w:jc w:val="both"/>
      </w:pPr>
      <w:r>
        <w:rPr>
          <w:rFonts w:ascii="Georgia" w:cs="Georgia" w:eastAsia="Georgia" w:hAnsi="Georgia"/>
          <w:color w:val="1A1A1A"/>
          <w:sz w:val="24"/>
          <w:szCs w:val="24"/>
        </w:rPr>
        <w:t xml:space="preserve">The like-kind exchange provision, which traces its lineage to the early decades of the modern income tax, permits the deferral of gain on the exchange of real property held for productive use in a trade or business or for investment for other real property of like kind. The 2017 legislation confined the provision to real property, eliminating its former application to personal property. Because simultaneous exchanges are impractical, the governing regulations accommodate deferred exchanges through a structured procedure: the taxpayer must identify replacement property within forty-five days of transferring the relinquished property and must complete the acquisition within one hundred eighty days, and the taxpayer must avoid actual or constructive receipt of the sale proceeds in the interim, an objective ordinarily achieved by interposing a qualified intermediary who holds the proceeds and effects the exchange. Real property is broadly considered like-kind to other real property regardless of differences in improvement or character, but partnership interests are excluded, and domestic property is not like-kind to property located outside the United States. Identification is constrained by rules limiting the number or value of properties that may be identified. The like-kind exchange defers rather than eliminates gain, carrying the taxpayer's basis forward into the replacement property, and it is therefore most powerful when combined with the basis adjustment at death: an investor who exchanges from property to property throughout life and holds the final property until death may defer gain across a lifetime of repositioning and then eliminate it entirely through the basis adjustment.</w:t>
      </w:r>
    </w:p>
    <w:p>
      <w:pPr>
        <w:pStyle w:val="Heading2"/>
        <w:keepNext/>
        <w:spacing w:after="100" w:before="240"/>
      </w:pPr>
      <w:r>
        <w:rPr>
          <w:rFonts w:ascii="Georgia" w:cs="Georgia" w:eastAsia="Georgia" w:hAnsi="Georgia"/>
          <w:b/>
          <w:bCs/>
          <w:color w:val="1F3A5F"/>
          <w:sz w:val="22"/>
          <w:szCs w:val="22"/>
        </w:rPr>
        <w:t xml:space="preserve">7.7  </w:t>
      </w:r>
      <w:r>
        <w:rPr>
          <w:rFonts w:ascii="Georgia" w:cs="Georgia" w:eastAsia="Georgia" w:hAnsi="Georgia"/>
          <w:b/>
          <w:bCs/>
          <w:color w:val="1F3A5F"/>
          <w:sz w:val="22"/>
          <w:szCs w:val="22"/>
        </w:rPr>
        <w:t xml:space="preserve">The basis adjustment at death</w:t>
      </w:r>
    </w:p>
    <w:p>
      <w:pPr>
        <w:spacing w:after="180" w:before="0" w:line="348"/>
        <w:jc w:val="both"/>
      </w:pPr>
      <w:r>
        <w:rPr>
          <w:rFonts w:ascii="Georgia" w:cs="Georgia" w:eastAsia="Georgia" w:hAnsi="Georgia"/>
          <w:color w:val="1A1A1A"/>
          <w:sz w:val="24"/>
          <w:szCs w:val="24"/>
        </w:rPr>
        <w:t xml:space="preserve">The adjustment of basis at death is among the most consequential provisions in the entire architecture of wealth transfer. Property acquired from a decedent takes a basis equal to its fair market value at the date of death, or at an alternate valuation date where elected, so that appreciation accruing during the decedent's life escapes income tax in the hands of the heir, who may sell the property shortly after death and recognize little or no gain. In community-property jurisdictions, both halves of community property receive the adjustment on the death of the first spouse, an advantage not available to property held as a common-law tenancy. The adjustment operates in both directions, reducing basis where property has declined in value, and it is subject to important limitations. It does not apply to items of income in respect of a decedent — most significantly, the balances of traditional retirement accounts, which retain their deferred-income character and are taxed to the recipient — and a special rule denies the adjustment where appreciated property was given to the decedent within a year before death and passes back to the donor or the donor's spouse, foreclosing a scheme in which a basis adjustment might be manufactured by transferring appreciated property to a dying relative. The Internal Revenue Service has confirmed that assets held in an irrevocable grantor trust that are not included in the decedent's gross estate do not receive the adjustment, a ruling of considerable importance to the design of grantor trusts and to the deliberate inclusion or exclusion of trust assets from the taxable estate.</w:t>
      </w:r>
    </w:p>
    <w:p>
      <w:pPr>
        <w:pStyle w:val="Heading2"/>
        <w:keepNext/>
        <w:spacing w:after="100" w:before="240"/>
      </w:pPr>
      <w:r>
        <w:rPr>
          <w:rFonts w:ascii="Georgia" w:cs="Georgia" w:eastAsia="Georgia" w:hAnsi="Georgia"/>
          <w:b/>
          <w:bCs/>
          <w:color w:val="1F3A5F"/>
          <w:sz w:val="22"/>
          <w:szCs w:val="22"/>
        </w:rPr>
        <w:t xml:space="preserve">7.8  </w:t>
      </w:r>
      <w:r>
        <w:rPr>
          <w:rFonts w:ascii="Georgia" w:cs="Georgia" w:eastAsia="Georgia" w:hAnsi="Georgia"/>
          <w:b/>
          <w:bCs/>
          <w:color w:val="1F3A5F"/>
          <w:sz w:val="22"/>
          <w:szCs w:val="22"/>
        </w:rPr>
        <w:t xml:space="preserve">The primary-residence exclusion</w:t>
      </w:r>
    </w:p>
    <w:p>
      <w:pPr>
        <w:spacing w:after="180" w:before="0" w:line="348"/>
        <w:jc w:val="both"/>
      </w:pPr>
      <w:r>
        <w:rPr>
          <w:rFonts w:ascii="Georgia" w:cs="Georgia" w:eastAsia="Georgia" w:hAnsi="Georgia"/>
          <w:color w:val="1A1A1A"/>
          <w:sz w:val="24"/>
          <w:szCs w:val="24"/>
        </w:rPr>
        <w:t xml:space="preserve">A distinct provision excludes from income a limited amount of gain on the sale of a principal residence — a larger amount for qualifying married couples filing jointly and a smaller amount for single filers — provided the taxpayer has owned and used the property as a principal residence for periods aggregating two years within the five years preceding the sale, and has not used the exclusion for another sale within the preceding two years. A reduced exclusion is available where a sale is occasioned by a change in employment, by health, or by specified unforeseen circumstances. The exclusion is subject to an important qualification: it does not extend to gain attributable to depreciation taken after a specified date, so that depreciation claimed on a home office or on a portion of the residence used as a rental is recaptured and cannot be sheltered by the exclusion. For an owner who holds a residence until death, the basis adjustment discussed above independently eliminates the gain, so that the exclusion is chiefly significant for sales during life; the interaction between the two provisions, and the manner in which a residence is held, are matters of consequence in the design of a plan.</w:t>
      </w:r>
    </w:p>
    <w:p>
      <w:pPr>
        <w:pStyle w:val="Heading2"/>
        <w:keepNext/>
        <w:spacing w:after="100" w:before="240"/>
      </w:pPr>
      <w:r>
        <w:rPr>
          <w:rFonts w:ascii="Georgia" w:cs="Georgia" w:eastAsia="Georgia" w:hAnsi="Georgia"/>
          <w:b/>
          <w:bCs/>
          <w:color w:val="1F3A5F"/>
          <w:sz w:val="22"/>
          <w:szCs w:val="22"/>
        </w:rPr>
        <w:t xml:space="preserve">7.9  </w:t>
      </w:r>
      <w:r>
        <w:rPr>
          <w:rFonts w:ascii="Georgia" w:cs="Georgia" w:eastAsia="Georgia" w:hAnsi="Georgia"/>
          <w:b/>
          <w:bCs/>
          <w:color w:val="1F3A5F"/>
          <w:sz w:val="22"/>
          <w:szCs w:val="22"/>
        </w:rPr>
        <w:t xml:space="preserve">Grantor trust income taxation</w:t>
      </w:r>
    </w:p>
    <w:p>
      <w:pPr>
        <w:spacing w:after="180" w:before="0" w:line="348"/>
        <w:jc w:val="both"/>
      </w:pPr>
      <w:r>
        <w:rPr>
          <w:rFonts w:ascii="Georgia" w:cs="Georgia" w:eastAsia="Georgia" w:hAnsi="Georgia"/>
          <w:color w:val="1A1A1A"/>
          <w:sz w:val="24"/>
          <w:szCs w:val="24"/>
        </w:rPr>
        <w:t xml:space="preserve">The grantor trust rules treat certain trusts as owned by their grantors for income-tax purposes, so that the trust's income is taxed to the grantor rather than to the trust or its beneficiaries. A trust is a grantor trust where the grantor retains one of a set of enumerated powers or interests — including the power to revoke the trust, a reversionary interest exceeding a specified threshold, certain powers over the beneficial enjoyment of the trust, the right to receive or direct trust income, or, in a provision of great practical importance, the power exercisable in a non-fiduciary capacity to reacquire trust assets by substituting property of equivalent value. This last power, the power of substitution, is widely used precisely because it confers grantor-trust status for income-tax purposes without, by itself, causing the trust's assets to be included in the grantor's estate.</w:t>
      </w:r>
    </w:p>
    <w:p>
      <w:pPr>
        <w:spacing w:after="180" w:before="0" w:line="348"/>
        <w:jc w:val="both"/>
      </w:pPr>
      <w:r>
        <w:rPr>
          <w:rFonts w:ascii="Georgia" w:cs="Georgia" w:eastAsia="Georgia" w:hAnsi="Georgia"/>
          <w:color w:val="1A1A1A"/>
          <w:sz w:val="24"/>
          <w:szCs w:val="24"/>
        </w:rPr>
        <w:t xml:space="preserve">The deliberate creation of a grantor trust that is nonetheless excluded from the grantor's taxable estate — an arrangement often described as an intentionally defective grantor trust — is a foundational technique of wealth transfer, and its logic repays attention. Because the grantor and the trust are treated as the same taxpayer for income-tax purposes, transactions between them, such as a sale of appreciated assets by the grantor to the trust, do not trigger the recognition of gain; and because the grantor pays the income tax on the trust's income, the trust compounds free of the drag of income tax while the grantor's own estate is correspondingly diminished by the tax payments. The Internal Revenue Service has ruled that the grantor's payment of the trust's income tax is not itself an additional taxable gift to the trust's beneficiaries, so that the tax payments operate as a tax-free transfer of value into the trust. The design of such trusts, and in particular the treatment of provisions permitting the trust to reimburse the grantor for the income tax paid, has been the subject of continuing administrative attention, and the addition of a reimbursement provision to an existing trust has been treated as raising gift-tax questions that the original inclusion of such a provision does not.</w:t>
      </w:r>
    </w:p>
    <w:p>
      <w:pPr>
        <w:pStyle w:val="Heading2"/>
        <w:keepNext/>
        <w:spacing w:after="100" w:before="240"/>
      </w:pPr>
      <w:r>
        <w:rPr>
          <w:rFonts w:ascii="Georgia" w:cs="Georgia" w:eastAsia="Georgia" w:hAnsi="Georgia"/>
          <w:b/>
          <w:bCs/>
          <w:color w:val="1F3A5F"/>
          <w:sz w:val="22"/>
          <w:szCs w:val="22"/>
        </w:rPr>
        <w:t xml:space="preserve">7.10  </w:t>
      </w:r>
      <w:r>
        <w:rPr>
          <w:rFonts w:ascii="Georgia" w:cs="Georgia" w:eastAsia="Georgia" w:hAnsi="Georgia"/>
          <w:b/>
          <w:bCs/>
          <w:color w:val="1F3A5F"/>
          <w:sz w:val="22"/>
          <w:szCs w:val="22"/>
        </w:rPr>
        <w:t xml:space="preserve">Estate, gift, and generation-skipping transfer taxation</w:t>
      </w:r>
    </w:p>
    <w:p>
      <w:pPr>
        <w:spacing w:after="180" w:before="0" w:line="348"/>
        <w:jc w:val="both"/>
      </w:pPr>
      <w:r>
        <w:rPr>
          <w:rFonts w:ascii="Georgia" w:cs="Georgia" w:eastAsia="Georgia" w:hAnsi="Georgia"/>
          <w:color w:val="1A1A1A"/>
          <w:sz w:val="24"/>
          <w:szCs w:val="24"/>
        </w:rPr>
        <w:t xml:space="preserve">The federal transfer-tax system comprises three related taxes — the estate tax on transfers at death, the gift tax on transfers during life, and the generation-skipping transfer tax on transfers that skip a generation — which share a unified exemption and a top marginal rate of forty percent. The size of the exemption is the single most important variable in transfer-tax planning, because it determines how much wealth may be transferred free of tax and, correspondingly, how much planning is directed at the transfer tax at all. The One Big Beautiful Bill Act, enacted July 4, 2025, permanently increased the exemption to fifteen million dollars per individual, and thus thirty million dollars for a married couple through the portability of a deceased spouse's unused exemption, effective for 2026 and indexed for inflation thereafter, thereby eliminating the reduction to a substantially lower amount that prior law had scheduled. The characterization of this change as permanent means only that it is not subject to a scheduled sunset; a future Congress retains the power to alter it.</w:t>
      </w:r>
    </w:p>
    <w:p>
      <w:pPr>
        <w:spacing w:after="180" w:before="0" w:line="348"/>
        <w:jc w:val="both"/>
      </w:pPr>
      <w:r>
        <w:rPr>
          <w:rFonts w:ascii="Georgia" w:cs="Georgia" w:eastAsia="Georgia" w:hAnsi="Georgia"/>
          <w:color w:val="1A1A1A"/>
          <w:sz w:val="24"/>
          <w:szCs w:val="24"/>
        </w:rPr>
        <w:t xml:space="preserve">The permanence of a high exemption has reoriented the transfer-tax planning of most families. For families whose wealth falls below the exemption, the transfer tax is not a binding constraint, and the emphasis of planning shifts from the reduction of the taxable estate to the minimization of income tax and the capture of the basis adjustment at death; techniques that reduce the size of the estate, valuable when the estate exceeds the exemption, can be counterproductive for such families because they may forfeit the basis adjustment on assets that would not have been taxed in any event. For families whose wealth exceeds the exemption, by contrast, the transfer tax remains a central concern, and the transfer of appreciating assets out of the estate — through gifts, through sales to grantor trusts, and through the dynasty trusts examined in Section 11 — continues to be a principal objective. The portability of the estate and gift exemption between spouses does not extend to the generation-skipping exemption, which must be affirmatively allocated and cannot be inherited from a deceased spouse, a distinction of importance to the multi-generational planning that dynasty trusts embody. State-level transfer taxes add a further dimension: a number of states impose their own estate or inheritance taxes, often with exemptions far below the federal amount, so that transfer taxation can remain a live concern at the state level even where it is not at the federal level.</w:t>
      </w:r>
    </w:p>
    <w:p>
      <w:pPr>
        <w:pStyle w:val="Heading2"/>
        <w:keepNext/>
        <w:spacing w:after="100" w:before="240"/>
      </w:pPr>
      <w:r>
        <w:rPr>
          <w:rFonts w:ascii="Georgia" w:cs="Georgia" w:eastAsia="Georgia" w:hAnsi="Georgia"/>
          <w:b/>
          <w:bCs/>
          <w:color w:val="1F3A5F"/>
          <w:sz w:val="22"/>
          <w:szCs w:val="22"/>
        </w:rPr>
        <w:t xml:space="preserve">7.11  </w:t>
      </w:r>
      <w:r>
        <w:rPr>
          <w:rFonts w:ascii="Georgia" w:cs="Georgia" w:eastAsia="Georgia" w:hAnsi="Georgia"/>
          <w:b/>
          <w:bCs/>
          <w:color w:val="1F3A5F"/>
          <w:sz w:val="22"/>
          <w:szCs w:val="22"/>
        </w:rPr>
        <w:t xml:space="preserve">Retirement accounts and the acceleration of inherited-account taxation</w:t>
      </w:r>
    </w:p>
    <w:p>
      <w:pPr>
        <w:spacing w:after="180" w:before="0" w:line="348"/>
        <w:jc w:val="both"/>
      </w:pPr>
      <w:r>
        <w:rPr>
          <w:rFonts w:ascii="Georgia" w:cs="Georgia" w:eastAsia="Georgia" w:hAnsi="Georgia"/>
          <w:color w:val="1A1A1A"/>
          <w:sz w:val="24"/>
          <w:szCs w:val="24"/>
        </w:rPr>
        <w:t xml:space="preserve">Retirement accounts occupy a distinctive and, for planning purposes, problematic position within the tax architecture, because they are the principal category of asset that the basis adjustment at death does not reach. Balances in traditional retirement accounts represent income on which tax has been deferred rather than forgiven, and they retain that character in the hands of a beneficiary, who owes ordinary income tax as the balances are withdrawn. The legislation of the last several years has accelerated the pace at which inherited accounts must be distributed. Where formerly a beneficiary could withdraw an inherited account over the beneficiary's own life expectancy, deferring tax across decades, the governing rule now requires most non-spouse beneficiaries to withdraw the entire balance of an inherited account within ten years of the owner's death, and the implementing regulations require annual distributions within that period where the owner had begun taking required distributions before death. The consequence is that a substantial inherited account may generate large ordinary-income inclusions concentrated in a beneficiary's peak earning years.</w:t>
      </w:r>
    </w:p>
    <w:p>
      <w:pPr>
        <w:spacing w:after="180" w:before="0" w:line="348"/>
        <w:jc w:val="both"/>
      </w:pPr>
      <w:r>
        <w:rPr>
          <w:rFonts w:ascii="Georgia" w:cs="Georgia" w:eastAsia="Georgia" w:hAnsi="Georgia"/>
          <w:color w:val="1A1A1A"/>
          <w:sz w:val="24"/>
          <w:szCs w:val="24"/>
        </w:rPr>
        <w:t xml:space="preserve">This acceleration interacts sharply with the compressed rate schedule applicable to trusts. Where a retirement account is payable to a trust that accumulates rather than distributes the income, the income is taxed at the trust's rates, which reach the top marginal rate at a very low threshold of taxable income, so that the retention of inherited-account distributions within a trust can produce a markedly higher tax than their distribution to individual beneficiaries taxed at their own rates. The planning responses include the conversion of traditional accounts to accounts funded with after-tax dollars during the owner's life, which accelerates the tax to the owner at the owner's rates but delivers to beneficiaries a balance from which qualified withdrawals are tax-free, and the careful drafting of any trust named as a beneficiary to qualify under the regulations governing trusts as beneficiaries of retirement accounts and to permit the distribution of income to beneficiaries where retention would be disadvantageous. A surviving spouse, by contrast, occupies a favored position, being permitted to roll an inherited account into the spouse's own and thereby to defer distributions on the spouse's own timeline. The treatment of retirement accounts illustrates that the tax architecture is not uniform across asset classes and that the basis adjustment at death, powerful as it is for appreciated capital assets, does nothing for the deferred income embedded in retirement accounts.</w:t>
      </w:r>
    </w:p>
    <w:p>
      <w:pPr>
        <w:pStyle w:val="Heading2"/>
        <w:keepNext/>
        <w:spacing w:after="100" w:before="240"/>
      </w:pPr>
      <w:r>
        <w:rPr>
          <w:rFonts w:ascii="Georgia" w:cs="Georgia" w:eastAsia="Georgia" w:hAnsi="Georgia"/>
          <w:b/>
          <w:bCs/>
          <w:color w:val="1F3A5F"/>
          <w:sz w:val="22"/>
          <w:szCs w:val="22"/>
        </w:rPr>
        <w:t xml:space="preserve">7.12  </w:t>
      </w:r>
      <w:r>
        <w:rPr>
          <w:rFonts w:ascii="Georgia" w:cs="Georgia" w:eastAsia="Georgia" w:hAnsi="Georgia"/>
          <w:b/>
          <w:bCs/>
          <w:color w:val="1F3A5F"/>
          <w:sz w:val="22"/>
          <w:szCs w:val="22"/>
        </w:rPr>
        <w:t xml:space="preserve">The election to adjust the inside basis of partnership property</w:t>
      </w:r>
    </w:p>
    <w:p>
      <w:pPr>
        <w:spacing w:after="180" w:before="0" w:line="348"/>
        <w:jc w:val="both"/>
      </w:pPr>
      <w:r>
        <w:rPr>
          <w:rFonts w:ascii="Georgia" w:cs="Georgia" w:eastAsia="Georgia" w:hAnsi="Georgia"/>
          <w:color w:val="1A1A1A"/>
          <w:sz w:val="24"/>
          <w:szCs w:val="24"/>
        </w:rPr>
        <w:t xml:space="preserve">A technical but consequential provision governs the treatment of the basis of property held through a partnership — a category that includes the multi-member limited liability companies through which real estate is frequently held — when an interest in the partnership changes hands by sale or on death. When a partner dies, the basis of the deceased partner's interest in the partnership is adjusted to fair market value under the general rule examined above, but the basis of the partnership's underlying property is not automatically adjusted to match, so that a successor to the deceased partner's interest may hold an interest with a stepped-up outside basis while the partnership continues to compute depreciation and gain on the underlying property using its old, lower inside basis. This mismatch would deny the successor the benefit of the basis adjustment with respect to the partnership's property, producing depreciation deductions smaller, and taxable gains larger, than the stepped-up outside basis would suggest.</w:t>
      </w:r>
    </w:p>
    <w:p>
      <w:pPr>
        <w:spacing w:after="180" w:before="0" w:line="348"/>
        <w:jc w:val="both"/>
      </w:pPr>
      <w:r>
        <w:rPr>
          <w:rFonts w:ascii="Georgia" w:cs="Georgia" w:eastAsia="Georgia" w:hAnsi="Georgia"/>
          <w:color w:val="1A1A1A"/>
          <w:sz w:val="24"/>
          <w:szCs w:val="24"/>
        </w:rPr>
        <w:t xml:space="preserve">The remedy is an election that causes the partnership to adjust the inside basis of its property, with respect to the successor alone, to reflect the adjustment to the outside basis of the transferred interest. Where the election is in effect, the successor to a deceased partner's interest obtains a share of inside basis in the partnership's property that matches the stepped-up outside basis, so that the successor may compute depreciation on the property from its fair market value at the date of death and may recognize correspondingly less gain on a subsequent sale. For a structure that holds appreciated, depreciable real estate through a partnership, the election is close to essential to the realization of the basis adjustment's benefit, and its omission is a common and costly oversight. The election, once made, applies to future transfers as well, and the interaction of the adjustment with a subsequent cost-segregation study on the stepped-up basis can restore accelerated depreciation to property that had been substantially depreciated in the hands of the prior owner.</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8.  </w:t>
      </w:r>
      <w:r>
        <w:rPr>
          <w:rFonts w:ascii="Georgia" w:cs="Georgia" w:eastAsia="Georgia" w:hAnsi="Georgia"/>
          <w:b/>
          <w:bCs/>
          <w:color w:val="142942"/>
          <w:sz w:val="26"/>
          <w:szCs w:val="26"/>
        </w:rPr>
        <w:t xml:space="preserve">Limited Liability Companies</w:t>
      </w:r>
    </w:p>
    <w:p>
      <w:pPr>
        <w:spacing w:after="180" w:before="0" w:line="348"/>
        <w:jc w:val="both"/>
      </w:pPr>
      <w:r>
        <w:rPr>
          <w:rFonts w:ascii="Georgia" w:cs="Georgia" w:eastAsia="Georgia" w:hAnsi="Georgia"/>
          <w:color w:val="1A1A1A"/>
          <w:sz w:val="24"/>
          <w:szCs w:val="24"/>
        </w:rPr>
        <w:t xml:space="preserve">The limited liability company is the dominant vehicle for holding real estate and, more broadly, one of the central instruments of modern private wealth structuring. Its ascendancy reflects a combination of attributes that no earlier form of business organization united: the limited liability of a corporation, the pass-through taxation and internal flexibility of a partnership, and a contractual governance structure that the parties may tailor to their circumstances through an operating agreement. The company emerged in American law only in the late twentieth century, spread rapidly among the states once its tax treatment was settled, and is now available in every jurisdiction.</w:t>
      </w:r>
    </w:p>
    <w:p>
      <w:pPr>
        <w:pStyle w:val="Heading2"/>
        <w:keepNext/>
        <w:spacing w:after="100" w:before="240"/>
      </w:pPr>
      <w:r>
        <w:rPr>
          <w:rFonts w:ascii="Georgia" w:cs="Georgia" w:eastAsia="Georgia" w:hAnsi="Georgia"/>
          <w:b/>
          <w:bCs/>
          <w:color w:val="1F3A5F"/>
          <w:sz w:val="22"/>
          <w:szCs w:val="22"/>
        </w:rPr>
        <w:t xml:space="preserve">8.1  </w:t>
      </w:r>
      <w:r>
        <w:rPr>
          <w:rFonts w:ascii="Georgia" w:cs="Georgia" w:eastAsia="Georgia" w:hAnsi="Georgia"/>
          <w:b/>
          <w:bCs/>
          <w:color w:val="1F3A5F"/>
          <w:sz w:val="22"/>
          <w:szCs w:val="22"/>
        </w:rPr>
        <w:t xml:space="preserve">Limited liability and the limits of the veil</w:t>
      </w:r>
    </w:p>
    <w:p>
      <w:pPr>
        <w:spacing w:after="180" w:before="0" w:line="348"/>
        <w:jc w:val="both"/>
      </w:pPr>
      <w:r>
        <w:rPr>
          <w:rFonts w:ascii="Georgia" w:cs="Georgia" w:eastAsia="Georgia" w:hAnsi="Georgia"/>
          <w:color w:val="1A1A1A"/>
          <w:sz w:val="24"/>
          <w:szCs w:val="24"/>
        </w:rPr>
        <w:t xml:space="preserve">The defining attribute of the company is that its members are generally not personally liable for its debts and obligations; a creditor of the company may look to the company's assets but not, ordinarily, to the personal assets of its members. This shield is not absolute. Under the doctrine of veil-piercing, imported from corporate law, a court may disregard the separateness of the entity and hold its owners personally liable where the entity is operated as a mere instrumentality or alter ego of its owners, where it is inadequately capitalized in relation to its foreseeable liabilities, or where the formalities of separate existence are ignored and the affairs and funds of the entity and its owners are commingled. Single-member companies are especially vulnerable to veil-piercing, because the absence of other members removes a natural check on the disregard of separateness and makes the identification of the entity with its owner more plausible. The maintenance of genuine separateness — separate accounts, adequate capitalization, observance of formalities, and the avoidance of commingling — is therefore essential to the preservation of the liability shield.</w:t>
      </w:r>
    </w:p>
    <w:p>
      <w:pPr>
        <w:pStyle w:val="Heading2"/>
        <w:keepNext/>
        <w:spacing w:after="100" w:before="240"/>
      </w:pPr>
      <w:r>
        <w:rPr>
          <w:rFonts w:ascii="Georgia" w:cs="Georgia" w:eastAsia="Georgia" w:hAnsi="Georgia"/>
          <w:b/>
          <w:bCs/>
          <w:color w:val="1F3A5F"/>
          <w:sz w:val="22"/>
          <w:szCs w:val="22"/>
        </w:rPr>
        <w:t xml:space="preserve">8.2  </w:t>
      </w:r>
      <w:r>
        <w:rPr>
          <w:rFonts w:ascii="Georgia" w:cs="Georgia" w:eastAsia="Georgia" w:hAnsi="Georgia"/>
          <w:b/>
          <w:bCs/>
          <w:color w:val="1F3A5F"/>
          <w:sz w:val="22"/>
          <w:szCs w:val="22"/>
        </w:rPr>
        <w:t xml:space="preserve">Charging-order protection</w:t>
      </w:r>
    </w:p>
    <w:p>
      <w:pPr>
        <w:spacing w:after="180" w:before="0" w:line="348"/>
        <w:jc w:val="both"/>
      </w:pPr>
      <w:r>
        <w:rPr>
          <w:rFonts w:ascii="Georgia" w:cs="Georgia" w:eastAsia="Georgia" w:hAnsi="Georgia"/>
          <w:color w:val="1A1A1A"/>
          <w:sz w:val="24"/>
          <w:szCs w:val="24"/>
        </w:rPr>
        <w:t xml:space="preserve">A distinctive and, for wealth structuring, especially valuable attribute of the company is the protection it affords against the personal creditors of its members, a protection that operates in the opposite direction from the liability shield. Where a member's personal creditor obtains a judgment, the creditor's remedy against the member's interest in the company is generally limited to a charging order, which entitles the creditor to receive distributions that would otherwise be made to the member but does not confer the rights of a member, does not permit the creditor to reach the company's assets, and does not permit the creditor to compel distributions or to participate in management. The strength of this protection varies markedly among the states and turns significantly on whether the company has one member or several. In some jurisdictions the charging order is the exclusive remedy only for multi-member companies, and a creditor of the sole member of a single-member company may reach the member's entire interest; the leading decision so holding arose where the sole member of a company was the target of a substantial judgment, and the court concluded that the charging-order limitation did not protect a single-member company because there were no other members whose interests the limitation existed to protect. Other jurisdictions, by contrast, have enacted statutes designating the charging order as the exclusive remedy even against the interest of a sole member and prohibiting the foreclosure of that interest, and these jurisdictions are regarded as affording the strongest protection. The divergence has made the choice of jurisdiction, and the use of genuine multi-member structures with documented economic rights, matters of strategic consequence in the design of asset-holding companies.</w:t>
      </w:r>
    </w:p>
    <w:p>
      <w:pPr>
        <w:pStyle w:val="Heading2"/>
        <w:keepNext/>
        <w:spacing w:after="100" w:before="240"/>
      </w:pPr>
      <w:r>
        <w:rPr>
          <w:rFonts w:ascii="Georgia" w:cs="Georgia" w:eastAsia="Georgia" w:hAnsi="Georgia"/>
          <w:b/>
          <w:bCs/>
          <w:color w:val="1F3A5F"/>
          <w:sz w:val="22"/>
          <w:szCs w:val="22"/>
        </w:rPr>
        <w:t xml:space="preserve">8.3  </w:t>
      </w:r>
      <w:r>
        <w:rPr>
          <w:rFonts w:ascii="Georgia" w:cs="Georgia" w:eastAsia="Georgia" w:hAnsi="Georgia"/>
          <w:b/>
          <w:bCs/>
          <w:color w:val="1F3A5F"/>
          <w:sz w:val="22"/>
          <w:szCs w:val="22"/>
        </w:rPr>
        <w:t xml:space="preserve">Classification, series companies, and the holding of real estate</w:t>
      </w:r>
    </w:p>
    <w:p>
      <w:pPr>
        <w:spacing w:after="180" w:before="0" w:line="348"/>
        <w:jc w:val="both"/>
      </w:pPr>
      <w:r>
        <w:rPr>
          <w:rFonts w:ascii="Georgia" w:cs="Georgia" w:eastAsia="Georgia" w:hAnsi="Georgia"/>
          <w:color w:val="1A1A1A"/>
          <w:sz w:val="24"/>
          <w:szCs w:val="24"/>
        </w:rPr>
        <w:t xml:space="preserve">For federal tax purposes, the company is a creature of election. Under the entity-classification regulations, an eligible entity with a single member is disregarded as separate from its owner by default, and an entity with multiple members is classified as a partnership, but either may elect to be taxed as a corporation, and a company that elects to be taxed as an S corporation is treated as having elected association status as well. This flexibility permits the tax treatment of the entity to be chosen to fit its purpose without altering its legal form. A further innovation, the series company, permits the creation within a single company of multiple internal series, each with its own assets, members, and purposes, and each — if the statutory conditions of separate records and appropriate notice are satisfied — insulated from the liabilities of the others. Series statutes have been enacted in a number of states, but the federal tax treatment of series remains governed only by proposed regulations that would treat each series as a separate entity, and the respect that one state will accord the internal liability shields of a series company formed under the law of another remains uncertain, so that the series company, for all its theoretical elegance, carries a measure of unresolved risk reminiscent of the early history of the company itself. Notwithstanding these open questions, the company in its ordinary single-purpose form is the workhorse of real estate structuring, each property commonly placed in its own company so that the liabilities arising from one property are isolated from the others and from the balance of the owner's wealth.</w:t>
      </w:r>
    </w:p>
    <w:p>
      <w:pPr>
        <w:pStyle w:val="Heading2"/>
        <w:keepNext/>
        <w:spacing w:after="100" w:before="240"/>
      </w:pPr>
      <w:r>
        <w:rPr>
          <w:rFonts w:ascii="Georgia" w:cs="Georgia" w:eastAsia="Georgia" w:hAnsi="Georgia"/>
          <w:b/>
          <w:bCs/>
          <w:color w:val="1F3A5F"/>
          <w:sz w:val="22"/>
          <w:szCs w:val="22"/>
        </w:rPr>
        <w:t xml:space="preserve">8.4  </w:t>
      </w:r>
      <w:r>
        <w:rPr>
          <w:rFonts w:ascii="Georgia" w:cs="Georgia" w:eastAsia="Georgia" w:hAnsi="Georgia"/>
          <w:b/>
          <w:bCs/>
          <w:color w:val="1F3A5F"/>
          <w:sz w:val="22"/>
          <w:szCs w:val="22"/>
        </w:rPr>
        <w:t xml:space="preserve">The operating agreement and internal governance</w:t>
      </w:r>
    </w:p>
    <w:p>
      <w:pPr>
        <w:spacing w:after="180" w:before="0" w:line="348"/>
        <w:jc w:val="both"/>
      </w:pPr>
      <w:r>
        <w:rPr>
          <w:rFonts w:ascii="Georgia" w:cs="Georgia" w:eastAsia="Georgia" w:hAnsi="Georgia"/>
          <w:color w:val="1A1A1A"/>
          <w:sz w:val="24"/>
          <w:szCs w:val="24"/>
        </w:rPr>
        <w:t xml:space="preserve">The internal governance of a limited liability company is established not by statute but by contract, through the operating agreement that the members adopt, and the centrality of this agreement is among the company's defining features. Where the governance of a corporation is substantially prescribed by statute — a board of directors, officers, shareholder voting on enumerated matters — the governance of a company is a matter of private ordering, and the operating agreement may allocate management, voting, and economic rights among the members in almost any manner the members choose, subject only to a small set of non-waivable statutory provisions. The agreement determines whether the company is managed by its members or by designated managers; it fixes the allocation of profits, losses, and distributions, which need not be proportional to capital contributions; it governs the admission of new members and the transfer of interests; and it establishes the procedures for the resolution of deadlock and the dissolution of the company.</w:t>
      </w:r>
    </w:p>
    <w:p>
      <w:pPr>
        <w:spacing w:after="180" w:before="0" w:line="348"/>
        <w:jc w:val="both"/>
      </w:pPr>
      <w:r>
        <w:rPr>
          <w:rFonts w:ascii="Georgia" w:cs="Georgia" w:eastAsia="Georgia" w:hAnsi="Georgia"/>
          <w:color w:val="1A1A1A"/>
          <w:sz w:val="24"/>
          <w:szCs w:val="24"/>
        </w:rPr>
        <w:t xml:space="preserve">For the purposes of wealth structuring, the operating agreement is the instrument through which several of the objectives examined elsewhere in this paper are realized. It is in the operating agreement that the multi-member character on which the strongest charging-order protection depends is established and documented, that the restrictions on transfer supporting valuation discounts in a family investment vehicle are imposed, and that the buy-sell provisions governing the departure or death of a member and the succession of interests across generations are set out. The operating agreement is thus not a mere formality but the constitutional document of the entity, and its drafting is where the abstract advantages of the company — liability isolation, creditor protection, governance flexibility, and transfer efficiency — are translated into enforceable arrangements. A carelessly drafted or, worse, absent operating agreement leaves the company governed by statutory defaults that may not serve the members' purposes and may undermine the very protections for which the company was formed.</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9.  </w:t>
      </w:r>
      <w:r>
        <w:rPr>
          <w:rFonts w:ascii="Georgia" w:cs="Georgia" w:eastAsia="Georgia" w:hAnsi="Georgia"/>
          <w:b/>
          <w:bCs/>
          <w:color w:val="142942"/>
          <w:sz w:val="26"/>
          <w:szCs w:val="26"/>
        </w:rPr>
        <w:t xml:space="preserve">Startups, Holding-Oriented Entities, and Economic Substance</w:t>
      </w:r>
    </w:p>
    <w:p>
      <w:pPr>
        <w:spacing w:after="180" w:before="0" w:line="348"/>
        <w:jc w:val="both"/>
      </w:pPr>
      <w:r>
        <w:rPr>
          <w:rFonts w:ascii="Georgia" w:cs="Georgia" w:eastAsia="Georgia" w:hAnsi="Georgia"/>
          <w:color w:val="1A1A1A"/>
          <w:sz w:val="24"/>
          <w:szCs w:val="24"/>
        </w:rPr>
        <w:t xml:space="preserve">The entities that populate a wealth structure range across a spectrum defined by the extent of their operations. At one end stand operating businesses — startups and established enterprises alike — that employ people, generate revenue, and conduct commerce. At the other end stand entities that exist primarily as legal vehicles, holding assets or rights or serving as parties to transactions while conducting little or no independent activity of their own. Between these poles lies a continuum, and a great deal of confusion, and occasionally of abuse, arises from the failure to distinguish the legitimate uses of entities with limited operations from the illegitimate ones.</w:t>
      </w:r>
    </w:p>
    <w:p>
      <w:pPr>
        <w:pStyle w:val="Heading2"/>
        <w:keepNext/>
        <w:spacing w:after="100" w:before="240"/>
      </w:pPr>
      <w:r>
        <w:rPr>
          <w:rFonts w:ascii="Georgia" w:cs="Georgia" w:eastAsia="Georgia" w:hAnsi="Georgia"/>
          <w:b/>
          <w:bCs/>
          <w:color w:val="1F3A5F"/>
          <w:sz w:val="22"/>
          <w:szCs w:val="22"/>
        </w:rPr>
        <w:t xml:space="preserve">9.1  </w:t>
      </w:r>
      <w:r>
        <w:rPr>
          <w:rFonts w:ascii="Georgia" w:cs="Georgia" w:eastAsia="Georgia" w:hAnsi="Georgia"/>
          <w:b/>
          <w:bCs/>
          <w:color w:val="1F3A5F"/>
          <w:sz w:val="22"/>
          <w:szCs w:val="22"/>
        </w:rPr>
        <w:t xml:space="preserve">The legitimate functions of entities with limited operations</w:t>
      </w:r>
    </w:p>
    <w:p>
      <w:pPr>
        <w:spacing w:after="180" w:before="0" w:line="348"/>
        <w:jc w:val="both"/>
      </w:pPr>
      <w:r>
        <w:rPr>
          <w:rFonts w:ascii="Georgia" w:cs="Georgia" w:eastAsia="Georgia" w:hAnsi="Georgia"/>
          <w:color w:val="1A1A1A"/>
          <w:sz w:val="24"/>
          <w:szCs w:val="24"/>
        </w:rPr>
        <w:t xml:space="preserve">Entities that conduct little physical activity nonetheless serve a range of entirely legitimate functions, and their limited operations are not in themselves a mark of impropriety. Such entities isolate liability by segregating a particular asset or activity from the remainder of an enterprise; they hold intellectual property centrally and license it to operating affiliates; they serve as special-purpose vehicles that own a single asset or undertake a single financing, insulating that asset or financing from unrelated risks; and they serve as the vehicles through which joint ventures are conducted, giving the venturers a defined structure in which to combine their contributions. A holding entity that owns the equity of operating subsidiaries, a special-purpose entity that owns a single property subject to a single mortgage, and a company formed to hold a family's investment assets are all entities whose operations are, by design, limited, and each performs a function the law recognizes and facilitates. The legitimacy of such an entity depends not on the volume of its activity but on the genuineness of its purpose and the reality of its separate existence.</w:t>
      </w:r>
    </w:p>
    <w:p>
      <w:pPr>
        <w:pStyle w:val="Heading2"/>
        <w:keepNext/>
        <w:spacing w:after="100" w:before="240"/>
      </w:pPr>
      <w:r>
        <w:rPr>
          <w:rFonts w:ascii="Georgia" w:cs="Georgia" w:eastAsia="Georgia" w:hAnsi="Georgia"/>
          <w:b/>
          <w:bCs/>
          <w:color w:val="1F3A5F"/>
          <w:sz w:val="22"/>
          <w:szCs w:val="22"/>
        </w:rPr>
        <w:t xml:space="preserve">9.2  </w:t>
      </w:r>
      <w:r>
        <w:rPr>
          <w:rFonts w:ascii="Georgia" w:cs="Georgia" w:eastAsia="Georgia" w:hAnsi="Georgia"/>
          <w:b/>
          <w:bCs/>
          <w:color w:val="1F3A5F"/>
          <w:sz w:val="22"/>
          <w:szCs w:val="22"/>
        </w:rPr>
        <w:t xml:space="preserve">The line between structure and sham: economic substance</w:t>
      </w:r>
    </w:p>
    <w:p>
      <w:pPr>
        <w:spacing w:after="180" w:before="0" w:line="348"/>
        <w:jc w:val="both"/>
      </w:pPr>
      <w:r>
        <w:rPr>
          <w:rFonts w:ascii="Georgia" w:cs="Georgia" w:eastAsia="Georgia" w:hAnsi="Georgia"/>
          <w:color w:val="1A1A1A"/>
          <w:sz w:val="24"/>
          <w:szCs w:val="24"/>
        </w:rPr>
        <w:t xml:space="preserve">The boundary between legitimate structuring and abusive arrangement is policed principally by the related doctrines of substance over form and economic substance. The foundational principle, articulated by the Supreme Court in the 1930s in a decision that has shaped tax law ever since, is that the tax consequences of a transaction turn on its substance rather than on the labels the parties attach to it, and that a transaction undertaken solely to reduce tax, without any purpose or effect beyond the tax reduction, will not be given the tax consequences its form would otherwise command. The economic-substance doctrine that grew from this principle was codified by Congress in 2010. Under the codified standard, a transaction has economic substance only if it changes the taxpayer's economic position in a meaningful way apart from its federal-income-tax effects and the taxpayer has a substantial purpose, apart from tax, for entering into it; the codification adopted a conjunctive test requiring both a non-tax change in economic position and a non-tax purpose. A penalty applies to underpayments attributable to transactions lacking economic substance, and it applies on a strict-liability basis, without regard to whether the taxpayer had reasonable cause, which makes the doctrine a formidable deterrent to arrangements that exist only on paper and only for tax.</w:t>
      </w:r>
    </w:p>
    <w:p>
      <w:pPr>
        <w:spacing w:after="180" w:before="0" w:line="348"/>
        <w:jc w:val="both"/>
      </w:pPr>
      <w:r>
        <w:rPr>
          <w:rFonts w:ascii="Georgia" w:cs="Georgia" w:eastAsia="Georgia" w:hAnsi="Georgia"/>
          <w:color w:val="1A1A1A"/>
          <w:sz w:val="24"/>
          <w:szCs w:val="24"/>
        </w:rPr>
        <w:t xml:space="preserve">The disclosure of the persons who ultimately own and control entities has become a further instrument for policing the misuse of entities, though its trajectory in the United States has been unsettled. Legislation enacted to require the reporting of beneficial ownership to a federal financial-intelligence unit was implemented and then substantially narrowed: in 2025 the responsible agency adopted an interim rule that exempted domestic entities and United States persons from the reporting obligation, confining the requirement to foreign reporting companies, even as the constitutionality of the underlying statute was upheld on appeal. The result, as of the preparation of this paper, is a reporting regime whose domestic reach has been curtailed by rule pending further proceedings, an illustration of the provisional character of several of the regulatory regimes surveyed here.</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10.  </w:t>
      </w:r>
      <w:r>
        <w:rPr>
          <w:rFonts w:ascii="Georgia" w:cs="Georgia" w:eastAsia="Georgia" w:hAnsi="Georgia"/>
          <w:b/>
          <w:bCs/>
          <w:color w:val="142942"/>
          <w:sz w:val="26"/>
          <w:szCs w:val="26"/>
        </w:rPr>
        <w:t xml:space="preserve">Holding Companies</w:t>
      </w:r>
    </w:p>
    <w:p>
      <w:pPr>
        <w:spacing w:after="180" w:before="0" w:line="348"/>
        <w:jc w:val="both"/>
      </w:pPr>
      <w:r>
        <w:rPr>
          <w:rFonts w:ascii="Georgia" w:cs="Georgia" w:eastAsia="Georgia" w:hAnsi="Georgia"/>
          <w:color w:val="1A1A1A"/>
          <w:sz w:val="24"/>
          <w:szCs w:val="24"/>
        </w:rPr>
        <w:t xml:space="preserve">A holding company is an entity whose purpose is to own interests in other entities rather than to conduct operations directly. In the architecture of private wealth, the holding company sits above the operating and asset-holding entities and below the trusts and individuals who ultimately own the structure, and it performs several functions at once. It centralizes ownership, so that a single interest in the holding company represents an indirect interest in all of the subsidiaries beneath it, simplifying transfer and governance. It isolates liability, so that the liabilities arising within one subsidiary are, if separateness is maintained, confined to that subsidiary and do not reach the others or the holding company itself. And it facilitates financing and succession, providing a natural locus for the raising of capital against the enterprise as a whole and a natural unit for the transfer of the enterprise across generations.</w:t>
      </w:r>
    </w:p>
    <w:p>
      <w:pPr>
        <w:spacing w:after="180" w:before="0" w:line="348"/>
        <w:jc w:val="both"/>
      </w:pPr>
      <w:r>
        <w:rPr>
          <w:rFonts w:ascii="Georgia" w:cs="Georgia" w:eastAsia="Georgia" w:hAnsi="Georgia"/>
          <w:color w:val="1A1A1A"/>
          <w:sz w:val="24"/>
          <w:szCs w:val="24"/>
        </w:rPr>
        <w:t xml:space="preserve">The parent-subsidiary architecture that the holding company makes possible is the structural expression of the principle of liability isolation examined in Section 8. Where each operating business or each parcel of real estate is placed in its own subsidiary, and the subsidiaries are owned by a holding company, a claim arising from one business or one property is confined to the subsidiary that incurred it, and the value locked in the other subsidiaries is protected. The holding company thus converts a collection of separately vulnerable assets into a structure in which risk is compartmentalized, and it does so while preserving centralized ownership and control at the top of the structure.</w:t>
      </w:r>
    </w:p>
    <w:p>
      <w:pPr>
        <w:spacing w:after="180" w:before="0" w:line="348"/>
        <w:jc w:val="both"/>
      </w:pPr>
      <w:r>
        <w:rPr>
          <w:rFonts w:ascii="Georgia" w:cs="Georgia" w:eastAsia="Georgia" w:hAnsi="Georgia"/>
          <w:color w:val="1A1A1A"/>
          <w:sz w:val="24"/>
          <w:szCs w:val="24"/>
        </w:rPr>
        <w:t xml:space="preserve">The choice of jurisdiction for a holding company is a matter of strategic consequence, and it is governed in part by the internal-affairs doctrine, under which the internal governance of an entity is ordinarily determined by the law of the state in which it is organized. This doctrine permits the organizers of a holding company to select the law that will govern the entity's internal affairs, and it accounts for the concentration of holding companies in a small number of states whose law is regarded as favorable — one for the sophistication and predictability of its corporate law and its specialized business court, others for the strength of their creditor-protection statutes, the absence of state income tax, and the privacy they afford. The internal-affairs doctrine is not absolute, however: a court may apply the law of a state with a more substantial relationship to a particular dispute, and federal bankruptcy law can override state-law protections in the event of insolvency. Moreover, the formation of a holding company in a favorable state does not relieve an enterprise that operates in another state of the obligation to register as a foreign entity in the state of operation and to comply with its requirements, so that the benefits of favorable-jurisdiction formation are real but bounded, and the expectation that formation in a distant state will wholly displace the law of the state where a business actually operates is frequently disappointed.</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11.  </w:t>
      </w:r>
      <w:r>
        <w:rPr>
          <w:rFonts w:ascii="Georgia" w:cs="Georgia" w:eastAsia="Georgia" w:hAnsi="Georgia"/>
          <w:b/>
          <w:bCs/>
          <w:color w:val="142942"/>
          <w:sz w:val="26"/>
          <w:szCs w:val="26"/>
        </w:rPr>
        <w:t xml:space="preserve">Trusts</w:t>
      </w:r>
    </w:p>
    <w:p>
      <w:pPr>
        <w:spacing w:after="180" w:before="0" w:line="348"/>
        <w:jc w:val="both"/>
      </w:pPr>
      <w:r>
        <w:rPr>
          <w:rFonts w:ascii="Georgia" w:cs="Georgia" w:eastAsia="Georgia" w:hAnsi="Georgia"/>
          <w:color w:val="1A1A1A"/>
          <w:sz w:val="24"/>
          <w:szCs w:val="24"/>
        </w:rPr>
        <w:t xml:space="preserve">The trust is the most sophisticated and, for multi-generational wealth, the most important instrument in the architecture surveyed by this paper. A trust is a legal relationship in which a settlor transfers property to a trustee, who holds legal title and administers the property for the benefit of beneficiaries, who hold equitable interests. The division of legal and equitable title, and the imposition on the trustee of fiduciary duties of loyalty and prudence, permit the separation of the control of property from its beneficial enjoyment, and it is this separation that gives the trust its power as an instrument of protection, of tax planning, and of the transmission of wealth across generations.</w:t>
      </w:r>
    </w:p>
    <w:p>
      <w:pPr>
        <w:pStyle w:val="Heading2"/>
        <w:keepNext/>
        <w:spacing w:after="100" w:before="240"/>
      </w:pPr>
      <w:r>
        <w:rPr>
          <w:rFonts w:ascii="Georgia" w:cs="Georgia" w:eastAsia="Georgia" w:hAnsi="Georgia"/>
          <w:b/>
          <w:bCs/>
          <w:color w:val="1F3A5F"/>
          <w:sz w:val="22"/>
          <w:szCs w:val="22"/>
        </w:rPr>
        <w:t xml:space="preserve">11.1  </w:t>
      </w:r>
      <w:r>
        <w:rPr>
          <w:rFonts w:ascii="Georgia" w:cs="Georgia" w:eastAsia="Georgia" w:hAnsi="Georgia"/>
          <w:b/>
          <w:bCs/>
          <w:color w:val="1F3A5F"/>
          <w:sz w:val="22"/>
          <w:szCs w:val="22"/>
        </w:rPr>
        <w:t xml:space="preserve">Foundations and the modern statutory framework</w:t>
      </w:r>
    </w:p>
    <w:p>
      <w:pPr>
        <w:spacing w:after="180" w:before="0" w:line="348"/>
        <w:jc w:val="both"/>
      </w:pPr>
      <w:r>
        <w:rPr>
          <w:rFonts w:ascii="Georgia" w:cs="Georgia" w:eastAsia="Georgia" w:hAnsi="Georgia"/>
          <w:color w:val="1A1A1A"/>
          <w:sz w:val="24"/>
          <w:szCs w:val="24"/>
        </w:rPr>
        <w:t xml:space="preserve">The modern American law of trusts has been substantially codified through a uniform act that has been adopted, with variations, in a large majority of the states, supplemented by uniform acts governing the prudent investment of trust assets and the allocation of receipts between income and principal. This statutory framework supplies default rules for the creation, administration, modification, and termination of trusts, while preserving the settlor's broad freedom to vary those defaults by the terms of the trust instrument. Trusts are commonly classified along several axes. A revocable trust, which the settlor may amend or revoke, is used chiefly to avoid probate and to provide for the management of property in the event of incapacity, but it offers no tax or asset-protection advantage during the settlor's life because the settlor's retained control causes the trust's assets to be treated as the settlor's own. An irrevocable trust, which the settlor may not freely revoke, is the vehicle through which tax efficiency and asset protection are pursued, precisely because the relinquishment of control that irrevocability entails is what removes the trust's assets from the settlor's estate and from the reach of the settlor's creditors.</w:t>
      </w:r>
    </w:p>
    <w:p>
      <w:pPr>
        <w:pStyle w:val="Heading2"/>
        <w:keepNext/>
        <w:spacing w:after="100" w:before="240"/>
      </w:pPr>
      <w:r>
        <w:rPr>
          <w:rFonts w:ascii="Georgia" w:cs="Georgia" w:eastAsia="Georgia" w:hAnsi="Georgia"/>
          <w:b/>
          <w:bCs/>
          <w:color w:val="1F3A5F"/>
          <w:sz w:val="22"/>
          <w:szCs w:val="22"/>
        </w:rPr>
        <w:t xml:space="preserve">11.2  </w:t>
      </w:r>
      <w:r>
        <w:rPr>
          <w:rFonts w:ascii="Georgia" w:cs="Georgia" w:eastAsia="Georgia" w:hAnsi="Georgia"/>
          <w:b/>
          <w:bCs/>
          <w:color w:val="1F3A5F"/>
          <w:sz w:val="22"/>
          <w:szCs w:val="22"/>
        </w:rPr>
        <w:t xml:space="preserve">Dynasty trusts and the abolition of the rule against perpetuities</w:t>
      </w:r>
    </w:p>
    <w:p>
      <w:pPr>
        <w:spacing w:after="180" w:before="0" w:line="348"/>
        <w:jc w:val="both"/>
      </w:pPr>
      <w:r>
        <w:rPr>
          <w:rFonts w:ascii="Georgia" w:cs="Georgia" w:eastAsia="Georgia" w:hAnsi="Georgia"/>
          <w:color w:val="1A1A1A"/>
          <w:sz w:val="24"/>
          <w:szCs w:val="24"/>
        </w:rPr>
        <w:t xml:space="preserve">The duration of a trust was historically limited by the rule against perpetuities, a common-law rule that, in its classic formulation, required that every interest in a trust vest, if at all, within a life in being at the creation of the interest plus twenty-one years, and that thereby prevented the indefinite continuation of a trust across generations. Beginning in the late twentieth century, a number of states abolished or substantially relaxed the rule against perpetuities as applied to trusts, permitting the creation of trusts that may continue indefinitely — the trusts commonly described as dynasty trusts. One state's statute declares the common-law rule against perpetuities not to be in force within the state, and other states have followed with abolition or with the substitution of very long fixed periods. Where such a trust is combined with the generation-skipping transfer exemption examined in Section 7, the result is a vehicle that may hold and transmit wealth across an unlimited number of generations while shielding that wealth from transfer taxation at each generational level and, potentially, from the claims of the beneficiaries' creditors and divorcing spouses, because the beneficiaries hold only equitable interests subject to the trust's terms rather than outright ownership. The states that abolished the rule against perpetuities and that combine that abolition with the absence of state income taxation and with strong protections for the confidentiality of trust matters have become the favored situses for dynasty trusts, and the competition among the states for trust business, examined further in Section 15, has been driven in significant part by the advantages these states offer to perpetual trusts.</w:t>
      </w:r>
    </w:p>
    <w:p>
      <w:pPr>
        <w:spacing w:after="180" w:before="0" w:line="348"/>
        <w:jc w:val="both"/>
      </w:pPr>
      <w:r>
        <w:rPr>
          <w:rFonts w:ascii="Georgia" w:cs="Georgia" w:eastAsia="Georgia" w:hAnsi="Georgia"/>
          <w:color w:val="1A1A1A"/>
          <w:sz w:val="24"/>
          <w:szCs w:val="24"/>
        </w:rPr>
        <w:t xml:space="preserve">The taxation of the undistributed income of a trust by a state other than the one in which the trust is administered has been constrained by constitutional decision. The Supreme Court has held that a state may not tax the undistributed income of a trust based solely on the in-state residence of a beneficiary who has no right to demand that income and may never receive it, a holding that reinforces the advantage of situating a trust in a state that imposes no income tax on trusts and that limits the ability of high-tax states to reach the income of trusts connected to them only through the residence of a beneficiary.</w:t>
      </w:r>
    </w:p>
    <w:p>
      <w:pPr>
        <w:pStyle w:val="Heading2"/>
        <w:keepNext/>
        <w:spacing w:after="100" w:before="240"/>
      </w:pPr>
      <w:r>
        <w:rPr>
          <w:rFonts w:ascii="Georgia" w:cs="Georgia" w:eastAsia="Georgia" w:hAnsi="Georgia"/>
          <w:b/>
          <w:bCs/>
          <w:color w:val="1F3A5F"/>
          <w:sz w:val="22"/>
          <w:szCs w:val="22"/>
        </w:rPr>
        <w:t xml:space="preserve">11.3  </w:t>
      </w:r>
      <w:r>
        <w:rPr>
          <w:rFonts w:ascii="Georgia" w:cs="Georgia" w:eastAsia="Georgia" w:hAnsi="Georgia"/>
          <w:b/>
          <w:bCs/>
          <w:color w:val="1F3A5F"/>
          <w:sz w:val="22"/>
          <w:szCs w:val="22"/>
        </w:rPr>
        <w:t xml:space="preserve">Asset-protection trusts, directed trusts, and decanting</w:t>
      </w:r>
    </w:p>
    <w:p>
      <w:pPr>
        <w:spacing w:after="180" w:before="0" w:line="348"/>
        <w:jc w:val="both"/>
      </w:pPr>
      <w:r>
        <w:rPr>
          <w:rFonts w:ascii="Georgia" w:cs="Georgia" w:eastAsia="Georgia" w:hAnsi="Georgia"/>
          <w:color w:val="1A1A1A"/>
          <w:sz w:val="24"/>
          <w:szCs w:val="24"/>
        </w:rPr>
        <w:t xml:space="preserve">Several further developments in trust law bear directly on wealth structuring. A number of states have enacted statutes permitting the creation of self-settled asset-protection trusts, under which a settlor may transfer property to an irrevocable trust, remain a discretionary beneficiary of that trust, and yet place the trust's assets beyond the reach of the settlor's future creditors, subject to limitations designed to prevent the defeat of existing creditors and to fraudulent-transfer rules and limitations periods. This represents a significant departure from the traditional rule that a settlor could not shield assets from creditors while retaining a beneficial interest in them, and the states that permit it have become destinations for asset-protection planning. A second development is the recognition, by statute in a growing number of states, of the directed trust, in which the functions ordinarily united in a single trustee are divided among multiple fiduciaries — a trustee responsible for administration, an investment adviser or committee responsible for investment decisions, a distribution adviser responsible for distributions, and a protector empowered to exercise specified oversight and to make specified changes — permitting the allocation of each function to the person or institution best suited to it. A third development is decanting, the exercise by a trustee of a power to distribute the assets of an existing trust to a new trust with modified terms, which permits an otherwise-irrevocable trust to be modernized, corrected, or moved to a new jurisdiction without the need for judicial reformation or the consent of the beneficiaries, and which has been facilitated by a uniform act adopted in a number of states. Together, these developments have made the irrevocable trust far more flexible than its name suggests, permitting trusts created to endure for generations to be adapted to changes in law, in circumstance, and in the needs of beneficiaries that could not have been foreseen at their creation.</w:t>
      </w:r>
    </w:p>
    <w:p>
      <w:pPr>
        <w:pStyle w:val="Heading2"/>
        <w:keepNext/>
        <w:spacing w:after="100" w:before="240"/>
      </w:pPr>
      <w:r>
        <w:rPr>
          <w:rFonts w:ascii="Georgia" w:cs="Georgia" w:eastAsia="Georgia" w:hAnsi="Georgia"/>
          <w:b/>
          <w:bCs/>
          <w:color w:val="1F3A5F"/>
          <w:sz w:val="22"/>
          <w:szCs w:val="22"/>
        </w:rPr>
        <w:t xml:space="preserve">11.4  </w:t>
      </w:r>
      <w:r>
        <w:rPr>
          <w:rFonts w:ascii="Georgia" w:cs="Georgia" w:eastAsia="Georgia" w:hAnsi="Georgia"/>
          <w:b/>
          <w:bCs/>
          <w:color w:val="1F3A5F"/>
          <w:sz w:val="22"/>
          <w:szCs w:val="22"/>
        </w:rPr>
        <w:t xml:space="preserve">Spendthrift and discretionary trusts and creditor protection</w:t>
      </w:r>
    </w:p>
    <w:p>
      <w:pPr>
        <w:spacing w:after="180" w:before="0" w:line="348"/>
        <w:jc w:val="both"/>
      </w:pPr>
      <w:r>
        <w:rPr>
          <w:rFonts w:ascii="Georgia" w:cs="Georgia" w:eastAsia="Georgia" w:hAnsi="Georgia"/>
          <w:color w:val="1A1A1A"/>
          <w:sz w:val="24"/>
          <w:szCs w:val="24"/>
        </w:rPr>
        <w:t xml:space="preserve">The protection that a trust affords against the creditors of its beneficiaries — as distinct from the self-settled asset protection examined above, which concerns the creditors of the settlor — rests on two related features of trust design. The first is the spendthrift provision, a term of the trust that prohibits a beneficiary from assigning the beneficiary's interest and prohibits the beneficiary's creditors from reaching that interest before it is distributed. A spendthrift provision, recognized in the great majority of jurisdictions and validated by the modern uniform law, prevents a creditor of a beneficiary from attaching the beneficiary's interest in the trust or from compelling a distribution, so that the trust's assets remain protected so long as they remain in the trust, though a distribution once made to the beneficiary is reachable like any other asset the beneficiary owns.</w:t>
      </w:r>
    </w:p>
    <w:p>
      <w:pPr>
        <w:spacing w:after="180" w:before="0" w:line="348"/>
        <w:jc w:val="both"/>
      </w:pPr>
      <w:r>
        <w:rPr>
          <w:rFonts w:ascii="Georgia" w:cs="Georgia" w:eastAsia="Georgia" w:hAnsi="Georgia"/>
          <w:color w:val="1A1A1A"/>
          <w:sz w:val="24"/>
          <w:szCs w:val="24"/>
        </w:rPr>
        <w:t xml:space="preserve">The second feature is discretion. Where the terms of a trust commit distributions to the discretion of a trustee, rather than entitling the beneficiary to distributions as of right, the beneficiary has no fixed interest that a creditor can reach, because the beneficiary cannot compel a distribution and neither, therefore, can the beneficiary's creditor. The combination of a spendthrift provision with discretionary distribution standards produces a trust whose assets are substantially insulated from the claims of a beneficiary's creditors and divorcing spouses, subject to limited exceptions recognized in some jurisdictions for certain classes of claim. It is this insulation, extended across generations through the perpetual dynasty trusts examined above, that permits wealth to be transmitted to and enjoyed by successive generations while remaining protected from the misfortunes, the creditors, and the marital dissolutions of the beneficiaries, and it is a principal reason that the trust, rather than the outright gift or bequest, is the vehicle of choice for the transmission of substantial wealth. The protection is not a device for defeating the beneficiary's existing creditors, which the law of fraudulent transfer forbids, but a feature of the manner in which the wealth is held, established by the settlor at the creation of the trust and operating prospectively for the benefit of the beneficiaries the settlor wishes to protect.</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12.  </w:t>
      </w:r>
      <w:r>
        <w:rPr>
          <w:rFonts w:ascii="Georgia" w:cs="Georgia" w:eastAsia="Georgia" w:hAnsi="Georgia"/>
          <w:b/>
          <w:bCs/>
          <w:color w:val="142942"/>
          <w:sz w:val="26"/>
          <w:szCs w:val="26"/>
        </w:rPr>
        <w:t xml:space="preserve">Pooled Investment Funds</w:t>
      </w:r>
    </w:p>
    <w:p>
      <w:pPr>
        <w:spacing w:after="180" w:before="0" w:line="348"/>
        <w:jc w:val="both"/>
      </w:pPr>
      <w:r>
        <w:rPr>
          <w:rFonts w:ascii="Georgia" w:cs="Georgia" w:eastAsia="Georgia" w:hAnsi="Georgia"/>
          <w:color w:val="1A1A1A"/>
          <w:sz w:val="24"/>
          <w:szCs w:val="24"/>
        </w:rPr>
        <w:t xml:space="preserve">Where the entities examined in the preceding sections hold operating businesses and real estate, pooled investment funds hold portfolios of securities and other financial assets, and they represent the layer of the wealth architecture through which investable capital is aggregated and managed. The taxonomy of pooled vehicles is broad — encompassing hedge funds, private-equity and venture-capital funds, real estate funds and real estate investment trusts, and the family investment partnerships through which a single family pools its capital — but the vehicles share a common structural logic and a common regulatory framework, both of which repay attention because they define the boundaries within which private capital is raised and managed.</w:t>
      </w:r>
    </w:p>
    <w:p>
      <w:pPr>
        <w:pStyle w:val="Heading2"/>
        <w:keepNext/>
        <w:spacing w:after="100" w:before="240"/>
      </w:pPr>
      <w:r>
        <w:rPr>
          <w:rFonts w:ascii="Georgia" w:cs="Georgia" w:eastAsia="Georgia" w:hAnsi="Georgia"/>
          <w:b/>
          <w:bCs/>
          <w:color w:val="1F3A5F"/>
          <w:sz w:val="22"/>
          <w:szCs w:val="22"/>
        </w:rPr>
        <w:t xml:space="preserve">12.1  </w:t>
      </w:r>
      <w:r>
        <w:rPr>
          <w:rFonts w:ascii="Georgia" w:cs="Georgia" w:eastAsia="Georgia" w:hAnsi="Georgia"/>
          <w:b/>
          <w:bCs/>
          <w:color w:val="1F3A5F"/>
          <w:sz w:val="22"/>
          <w:szCs w:val="22"/>
        </w:rPr>
        <w:t xml:space="preserve">Structure and the exemptions from investment-company regulation</w:t>
      </w:r>
    </w:p>
    <w:p>
      <w:pPr>
        <w:spacing w:after="180" w:before="0" w:line="348"/>
        <w:jc w:val="both"/>
      </w:pPr>
      <w:r>
        <w:rPr>
          <w:rFonts w:ascii="Georgia" w:cs="Georgia" w:eastAsia="Georgia" w:hAnsi="Georgia"/>
          <w:color w:val="1A1A1A"/>
          <w:sz w:val="24"/>
          <w:szCs w:val="24"/>
        </w:rPr>
        <w:t xml:space="preserve">The characteristic structure of a private fund separates the investors, who contribute capital as limited partners or as members with no role in management, from the manager, who controls the fund's investments and operations, typically through a general partner and an affiliated management company that receives management and performance-based compensation. This separation of capital from control is the organizing principle of the private fund, and it parallels the separation of beneficial enjoyment from control that characterizes the trust. The regulation of such funds turns on their avoidance of classification as investment companies, which would subject them to a comprehensive and restrictive regulatory regime. Two exemptions dominate. The first is available to a fund whose securities are beneficially owned by no more than a specified number of persons and that does not make a public offering; the second is available, without a numerical limit on the number of investors, to a fund whose investors are all qualified purchasers — a category defined by the ownership of investments above a high threshold. A fund relying on either exemption avoids registration as an investment company while remaining subject to the anti-fraud provisions of the securities laws, and the manager of such a fund is generally subject to regulation as an investment adviser.</w:t>
      </w:r>
    </w:p>
    <w:p>
      <w:pPr>
        <w:spacing w:after="180" w:before="0" w:line="348"/>
        <w:jc w:val="both"/>
      </w:pPr>
      <w:r>
        <w:rPr>
          <w:rFonts w:ascii="Georgia" w:cs="Georgia" w:eastAsia="Georgia" w:hAnsi="Georgia"/>
          <w:color w:val="1A1A1A"/>
          <w:sz w:val="24"/>
          <w:szCs w:val="24"/>
        </w:rPr>
        <w:t xml:space="preserve">The offering of interests in a private fund is itself a securities transaction, and it is ordinarily conducted in reliance on the exemptions from registration afforded to private placements. Under the most commonly used safe harbor, a fund may offer its interests without registration provided the purchasers are accredited investors — a category defined by thresholds of income or net worth — and provided the offering complies with the conditions of the safe harbor, which historically prohibited general solicitation and advertising, though a variant of the safe harbor now permits general solicitation where all purchasers are verified to be accredited. These exemptions and safe harbors, and the definitions of the investor categories on which they depend, together constitute the regulatory architecture within which private capital is raised, and they have the practical effect of confining participation in private funds to wealthier and more sophisticated investors.</w:t>
      </w:r>
    </w:p>
    <w:p>
      <w:pPr>
        <w:pStyle w:val="Heading2"/>
        <w:keepNext/>
        <w:spacing w:after="100" w:before="240"/>
      </w:pPr>
      <w:r>
        <w:rPr>
          <w:rFonts w:ascii="Georgia" w:cs="Georgia" w:eastAsia="Georgia" w:hAnsi="Georgia"/>
          <w:b/>
          <w:bCs/>
          <w:color w:val="1F3A5F"/>
          <w:sz w:val="22"/>
          <w:szCs w:val="22"/>
        </w:rPr>
        <w:t xml:space="preserve">12.2  </w:t>
      </w:r>
      <w:r>
        <w:rPr>
          <w:rFonts w:ascii="Georgia" w:cs="Georgia" w:eastAsia="Georgia" w:hAnsi="Georgia"/>
          <w:b/>
          <w:bCs/>
          <w:color w:val="1F3A5F"/>
          <w:sz w:val="22"/>
          <w:szCs w:val="22"/>
        </w:rPr>
        <w:t xml:space="preserve">The family investment vehicle</w:t>
      </w:r>
    </w:p>
    <w:p>
      <w:pPr>
        <w:spacing w:after="180" w:before="0" w:line="348"/>
        <w:jc w:val="both"/>
      </w:pPr>
      <w:r>
        <w:rPr>
          <w:rFonts w:ascii="Georgia" w:cs="Georgia" w:eastAsia="Georgia" w:hAnsi="Georgia"/>
          <w:color w:val="1A1A1A"/>
          <w:sz w:val="24"/>
          <w:szCs w:val="24"/>
        </w:rPr>
        <w:t xml:space="preserve">A particular pooled vehicle of importance to private wealth is the family investment partnership or family investment company, through which the members of a single family pool their investable assets under common management. Such a vehicle centralizes the management of a family's capital, permits the family to access investments that require scale, and serves as an instrument of governance and of transfer, allowing interests in the pooled capital to be transferred to younger generations while management remains centralized. The family investment vehicle also has a transfer-tax dimension, because the interests transferred are interests in an entity rather than in the underlying assets, and interests that lack control and that cannot be freely sold may be valued, for transfer-tax purposes, at a discount to their proportionate share of the entity's assets. This use of valuation discounts has been the subject of intense scrutiny, and the tax authorities have challenged discounts where the entity lacks a substantial non-tax purpose or where the transferor retains too much control or enjoyment of the transferred assets, with the courts denying discounts in cases exhibiting these features. The family investment vehicle thus sits at the intersection of the investment, entity, and transfer-tax domains, and its treatment illustrates the recurring principle that the tax advantages of a structure depend on the genuineness of its non-tax purpose and the reality of the arrangements it embodies.</w:t>
      </w:r>
    </w:p>
    <w:p>
      <w:pPr>
        <w:pStyle w:val="Heading2"/>
        <w:keepNext/>
        <w:spacing w:after="100" w:before="240"/>
      </w:pPr>
      <w:r>
        <w:rPr>
          <w:rFonts w:ascii="Georgia" w:cs="Georgia" w:eastAsia="Georgia" w:hAnsi="Georgia"/>
          <w:b/>
          <w:bCs/>
          <w:color w:val="1F3A5F"/>
          <w:sz w:val="22"/>
          <w:szCs w:val="22"/>
        </w:rPr>
        <w:t xml:space="preserve">12.3  </w:t>
      </w:r>
      <w:r>
        <w:rPr>
          <w:rFonts w:ascii="Georgia" w:cs="Georgia" w:eastAsia="Georgia" w:hAnsi="Georgia"/>
          <w:b/>
          <w:bCs/>
          <w:color w:val="1F3A5F"/>
          <w:sz w:val="22"/>
          <w:szCs w:val="22"/>
        </w:rPr>
        <w:t xml:space="preserve">Real estate investment trusts and real estate funds</w:t>
      </w:r>
    </w:p>
    <w:p>
      <w:pPr>
        <w:spacing w:after="180" w:before="0" w:line="348"/>
        <w:jc w:val="both"/>
      </w:pPr>
      <w:r>
        <w:rPr>
          <w:rFonts w:ascii="Georgia" w:cs="Georgia" w:eastAsia="Georgia" w:hAnsi="Georgia"/>
          <w:color w:val="1A1A1A"/>
          <w:sz w:val="24"/>
          <w:szCs w:val="24"/>
        </w:rPr>
        <w:t xml:space="preserve">A specialized pooled vehicle of particular relevance to the real estate foundation of this paper is the real estate investment trust, an entity that holds a portfolio of real estate or real estate debt and that, by satisfying a set of statutory requirements concerning the composition of its assets, the sources of its income, and the distribution of its earnings, obtains a favorable tax treatment under which it is not itself taxed on the income it distributes to its holders. The requirements are exacting: a real estate investment trust must hold most of its assets in real estate, must derive most of its income from rents and other real estate sources, and must distribute the great bulk of its taxable income to its holders each year, so that the income is taxed principally at the holder level rather than at both the entity and holder levels as with an ordinary corporation. The real estate investment trust thus permits investors to hold a diversified, professionally managed, and often liquid interest in real estate without the double taxation that would attend the holding of real estate through a corporation, and it provides a vehicle through which real estate can be held in a form more liquid than the direct ownership of property.</w:t>
      </w:r>
    </w:p>
    <w:p>
      <w:pPr>
        <w:spacing w:after="180" w:before="0" w:line="348"/>
        <w:jc w:val="both"/>
      </w:pPr>
      <w:r>
        <w:rPr>
          <w:rFonts w:ascii="Georgia" w:cs="Georgia" w:eastAsia="Georgia" w:hAnsi="Georgia"/>
          <w:color w:val="1A1A1A"/>
          <w:sz w:val="24"/>
          <w:szCs w:val="24"/>
        </w:rPr>
        <w:t xml:space="preserve">Private real estate funds, organized like the other private funds examined in this section as partnerships with a manager and passive investors, provide an alternative vehicle for pooled investment in real estate, typically for a defined term and with a defined strategy of acquisition, improvement, and disposition. Such funds connect the real estate foundation examined in Sections 2 through 6 to the fund architecture examined in this section, and they illustrate the manner in which the layers of the wealth architecture combine: real estate, the operating asset, may be held directly through the entities examined in Sections 8 through 10, or indirectly through the pooled vehicles examined here, and the choice between direct and pooled ownership is a choice about liquidity, control, diversification, and management that each holder resolves according to the holder's circumstances. The interposition of a fund between the investor and the underlying real estate adds a layer of management and of legal structure, and it substitutes a passive interest in a professionally managed portfolio for the active ownership of specific property, but the underlying asset, and much of the tax treatment that attends it, remains the real estate examined at the outset of this paper.</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13.  </w:t>
      </w:r>
      <w:r>
        <w:rPr>
          <w:rFonts w:ascii="Georgia" w:cs="Georgia" w:eastAsia="Georgia" w:hAnsi="Georgia"/>
          <w:b/>
          <w:bCs/>
          <w:color w:val="142942"/>
          <w:sz w:val="26"/>
          <w:szCs w:val="26"/>
        </w:rPr>
        <w:t xml:space="preserve">Banks, Neobanks, and Financial Institutions</w:t>
      </w:r>
    </w:p>
    <w:p>
      <w:pPr>
        <w:spacing w:after="180" w:before="0" w:line="348"/>
        <w:jc w:val="both"/>
      </w:pPr>
      <w:r>
        <w:rPr>
          <w:rFonts w:ascii="Georgia" w:cs="Georgia" w:eastAsia="Georgia" w:hAnsi="Georgia"/>
          <w:color w:val="1A1A1A"/>
          <w:sz w:val="24"/>
          <w:szCs w:val="24"/>
        </w:rPr>
        <w:t xml:space="preserve">The institutions through which wealth is custodied, transacted, and borrowed against constitute a further layer of the architecture, and the regulation of those institutions bears directly on the safety of the assets they hold. The United States banking system comprises chartered depository institutions supervised by a set of federal regulators, with deposit insurance provided by a federal corporation, consumer protection overseen by a dedicated bureau, and anti-money-laundering and customer-identification obligations administered by a financial-intelligence unit. The defining feature of a chartered bank, for the purposes of this paper, is that its deposits are insured, within limits, against the failure of the institution, so that a depositor need not assess the solvency of the bank in order to be assured of the safety of insured deposits.</w:t>
      </w:r>
    </w:p>
    <w:p>
      <w:pPr>
        <w:pStyle w:val="Heading2"/>
        <w:keepNext/>
        <w:spacing w:after="100" w:before="240"/>
      </w:pPr>
      <w:r>
        <w:rPr>
          <w:rFonts w:ascii="Georgia" w:cs="Georgia" w:eastAsia="Georgia" w:hAnsi="Georgia"/>
          <w:b/>
          <w:bCs/>
          <w:color w:val="1F3A5F"/>
          <w:sz w:val="22"/>
          <w:szCs w:val="22"/>
        </w:rPr>
        <w:t xml:space="preserve">13.1  </w:t>
      </w:r>
      <w:r>
        <w:rPr>
          <w:rFonts w:ascii="Georgia" w:cs="Georgia" w:eastAsia="Georgia" w:hAnsi="Georgia"/>
          <w:b/>
          <w:bCs/>
          <w:color w:val="1F3A5F"/>
          <w:sz w:val="22"/>
          <w:szCs w:val="22"/>
        </w:rPr>
        <w:t xml:space="preserve">Chartered banks, financial-technology intermediaries, and the limits of deposit insurance</w:t>
      </w:r>
    </w:p>
    <w:p>
      <w:pPr>
        <w:spacing w:after="180" w:before="0" w:line="348"/>
        <w:jc w:val="both"/>
      </w:pPr>
      <w:r>
        <w:rPr>
          <w:rFonts w:ascii="Georgia" w:cs="Georgia" w:eastAsia="Georgia" w:hAnsi="Georgia"/>
          <w:color w:val="1A1A1A"/>
          <w:sz w:val="24"/>
          <w:szCs w:val="24"/>
        </w:rPr>
        <w:t xml:space="preserve">The rise of financial-technology firms that offer banking-like services has introduced a structural complexity into this framework that carries real consequences for the safety of funds. Many such firms — commonly described as neobanks — are not themselves chartered banks; they are technology companies that offer accounts and payment services to their customers while placing the customers' funds on deposit with chartered partner banks, frequently in pooled accounts held for the benefit of the customers. In such an arrangement, deposit insurance may extend to the individual customers on a pass-through basis, but only if the records of the arrangement accurately identify the customers and their respective interests, and the insurance protects against the failure of the chartered partner bank rather than against the failure of the financial-technology intermediary or of the software provider that maintains the records reconciling the pooled funds to the individual customers.</w:t>
      </w:r>
    </w:p>
    <w:p>
      <w:pPr>
        <w:spacing w:after="180" w:before="0" w:line="348"/>
        <w:jc w:val="both"/>
      </w:pPr>
      <w:r>
        <w:rPr>
          <w:rFonts w:ascii="Georgia" w:cs="Georgia" w:eastAsia="Georgia" w:hAnsi="Georgia"/>
          <w:color w:val="1A1A1A"/>
          <w:sz w:val="24"/>
          <w:szCs w:val="24"/>
        </w:rPr>
        <w:t xml:space="preserve">The gap between the protection that customers believe they enjoy and the protection the law actually affords was exposed by the failure, in the middle of the present decade, of a financial-technology intermediary whose collapse left a large number of customers unable to access substantial deposits, even though no chartered bank had failed, because the records reconciling the pooled funds to the individual customers were incomplete and a shortfall between the funds owed and the funds on hand could not be readily resolved. The episode demonstrated that deposit insurance does not protect against the failure of a non-bank intermediary and that the accuracy of the recordkeeping on which pass-through insurance depends is not something a customer can take for granted. The responsible regulator proposed a rule that would have required more rigorous recordkeeping for the custodial accounts through which such arrangements operate, but the proposal was suspended, leaving the recordkeeping question unresolved as of the preparation of this paper. For the holder of substantial liquid wealth, the episode underscores the importance of understanding whether funds are held by a chartered institution or by an intermediary, and of not treating the invocation of deposit insurance as a guarantee without regard to the structure through which funds are held.</w:t>
      </w:r>
    </w:p>
    <w:p>
      <w:pPr>
        <w:pStyle w:val="Heading2"/>
        <w:keepNext/>
        <w:spacing w:after="100" w:before="240"/>
      </w:pPr>
      <w:r>
        <w:rPr>
          <w:rFonts w:ascii="Georgia" w:cs="Georgia" w:eastAsia="Georgia" w:hAnsi="Georgia"/>
          <w:b/>
          <w:bCs/>
          <w:color w:val="1F3A5F"/>
          <w:sz w:val="22"/>
          <w:szCs w:val="22"/>
        </w:rPr>
        <w:t xml:space="preserve">13.2  </w:t>
      </w:r>
      <w:r>
        <w:rPr>
          <w:rFonts w:ascii="Georgia" w:cs="Georgia" w:eastAsia="Georgia" w:hAnsi="Georgia"/>
          <w:b/>
          <w:bCs/>
          <w:color w:val="1F3A5F"/>
          <w:sz w:val="22"/>
          <w:szCs w:val="22"/>
        </w:rPr>
        <w:t xml:space="preserve">The interface between private wealth and the financial system</w:t>
      </w:r>
    </w:p>
    <w:p>
      <w:pPr>
        <w:spacing w:after="180" w:before="0" w:line="348"/>
        <w:jc w:val="both"/>
      </w:pPr>
      <w:r>
        <w:rPr>
          <w:rFonts w:ascii="Georgia" w:cs="Georgia" w:eastAsia="Georgia" w:hAnsi="Georgia"/>
          <w:color w:val="1A1A1A"/>
          <w:sz w:val="24"/>
          <w:szCs w:val="24"/>
        </w:rPr>
        <w:t xml:space="preserve">Families and closely held entities interface with the financial system through several channels beyond ordinary deposit-taking. Private banking and trust institutions provide custody, administration, and fiduciary services tailored to substantial wealth, and trust companies in particular serve as the corporate trustees of the trusts examined in Section 11. Asset-based lending permits the holder of appreciated assets to borrow against them rather than sell them, through securities-backed lines of credit, portfolio loans, and commercial real estate lending, and this borrowing is an instrument of both liquidity and tax efficiency, because a loan is not a realization event and does not trigger the taxation of the appreciation in the pledged assets. The strategy of borrowing against appreciated assets rather than selling them, and of holding those assets until death so that the basis adjustment eliminates the deferred gain, connects the banking layer of the architecture to the tax logic examined in Section 7 and to the buy-and-hold real estate strategy examined in Section 2, and it illustrates once again the integration of the layers that this paper emphasizes. The whole of this interface is conducted within the anti-money-laundering and customer-identification framework administered by the financial-intelligence unit, which imposes on financial institutions obligations to identify their customers and to report suspicious activity, and which forms part of the regulatory environment within which private wealth is held and moved.</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14.  </w:t>
      </w:r>
      <w:r>
        <w:rPr>
          <w:rFonts w:ascii="Georgia" w:cs="Georgia" w:eastAsia="Georgia" w:hAnsi="Georgia"/>
          <w:b/>
          <w:bCs/>
          <w:color w:val="142942"/>
          <w:sz w:val="26"/>
          <w:szCs w:val="26"/>
        </w:rPr>
        <w:t xml:space="preserve">Family Collaboration and Enterprise Governance</w:t>
      </w:r>
    </w:p>
    <w:p>
      <w:pPr>
        <w:spacing w:after="180" w:before="0" w:line="348"/>
        <w:jc w:val="both"/>
      </w:pPr>
      <w:r>
        <w:rPr>
          <w:rFonts w:ascii="Georgia" w:cs="Georgia" w:eastAsia="Georgia" w:hAnsi="Georgia"/>
          <w:color w:val="1A1A1A"/>
          <w:sz w:val="24"/>
          <w:szCs w:val="24"/>
        </w:rPr>
        <w:t xml:space="preserve">The structures examined in this paper are ultimately owned by people, and where those people are members of a family the governance of their collaboration becomes a determinant of the durability of the wealth they hold. The field of family-enterprise governance addresses the arrangements through which families own and manage assets collectively across generations, and its concerns are as much human as they are legal, though the human concerns are frequently addressed through legal instruments. The central problem is that shared ownership among family members, and the transmission of that ownership across generations, introduce tensions — between owners who want liquidity and an enterprise that requires retained capital, between family members active in the management of the enterprise and those who are passive, and among branches of a family whose interests and values diverge over time — that, if not managed, dissipate both the wealth and the relationships of the family.</w:t>
      </w:r>
    </w:p>
    <w:p>
      <w:pPr>
        <w:spacing w:after="180" w:before="0" w:line="348"/>
        <w:jc w:val="both"/>
      </w:pPr>
      <w:r>
        <w:rPr>
          <w:rFonts w:ascii="Georgia" w:cs="Georgia" w:eastAsia="Georgia" w:hAnsi="Georgia"/>
          <w:color w:val="1A1A1A"/>
          <w:sz w:val="24"/>
          <w:szCs w:val="24"/>
        </w:rPr>
        <w:t xml:space="preserve">Family-enterprise governance addresses these tensions through a combination of structures. Governance bodies such as family councils provide forums in which the members of a family deliberate about the enterprise and their relationship to it. Legal instruments — the operating agreements of the entities through which the family holds its assets, the shareholder and buy-sell agreements that govern the transfer of interests and the resolution of departures, and the terms of the trusts through which wealth is held and transmitted — fix the rights and obligations of the family members and provide mechanisms for the resolution of the disputes that arise. Succession planning addresses the transition of both ownership and management from one generation to the next, a transition that is frequently the point at which family enterprises fail. And the family office — a dedicated organization that manages a family's investments, tax, estate, and administrative affairs — provides the institutional capacity to coordinate the structures examined throughout this paper and to administer them across generations.</w:t>
      </w:r>
    </w:p>
    <w:p>
      <w:pPr>
        <w:spacing w:after="180" w:before="0" w:line="348"/>
        <w:jc w:val="both"/>
      </w:pPr>
      <w:r>
        <w:rPr>
          <w:rFonts w:ascii="Georgia" w:cs="Georgia" w:eastAsia="Georgia" w:hAnsi="Georgia"/>
          <w:color w:val="1A1A1A"/>
          <w:sz w:val="24"/>
          <w:szCs w:val="24"/>
        </w:rPr>
        <w:t xml:space="preserve">The scholarship on family enterprises identifies a set of factors that distinguish the families whose wealth and cohesion endure from those whose do not, and these factors are consistently found to be as much about communication and governance as about the technical soundness of the structures the family employs. Clear and consistent communication, well-defined and respected fiduciary roles, effective mechanisms for the management of conflict, and the deliberate transmission of values alongside assets — frequently through the incentive provisions of trusts, which condition distributions on conduct the settlor wishes to encourage — are recurring themes. The lesson for the architecture of private wealth is that the technical structures examined in this paper are necessary but not sufficient: a soundly constructed structure administered by a family that cannot govern itself will not endure, and the governance of the human beings who own a structure is as much a part of its architecture as the entities and instruments of which it is composed.</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15.  </w:t>
      </w:r>
      <w:r>
        <w:rPr>
          <w:rFonts w:ascii="Georgia" w:cs="Georgia" w:eastAsia="Georgia" w:hAnsi="Georgia"/>
          <w:b/>
          <w:bCs/>
          <w:color w:val="142942"/>
          <w:sz w:val="26"/>
          <w:szCs w:val="26"/>
        </w:rPr>
        <w:t xml:space="preserve">Interstate Variation and Jurisdictional Choice</w:t>
      </w:r>
    </w:p>
    <w:p>
      <w:pPr>
        <w:spacing w:after="180" w:before="0" w:line="348"/>
        <w:jc w:val="both"/>
      </w:pPr>
      <w:r>
        <w:rPr>
          <w:rFonts w:ascii="Georgia" w:cs="Georgia" w:eastAsia="Georgia" w:hAnsi="Georgia"/>
          <w:color w:val="1A1A1A"/>
          <w:sz w:val="24"/>
          <w:szCs w:val="24"/>
        </w:rPr>
        <w:t xml:space="preserve">A recurring theme of the preceding sections is that the law governing each layer of the wealth architecture varies among the states, and that this variation makes the choice of jurisdiction a strategic variable. The states differ in the strength of the creditor protection their entity statutes afford, in whether they permit self-settled asset-protection trusts, in whether they have abolished the rule against perpetuities and thus permit perpetual dynasty trusts, in whether they impose income tax on trusts and on individuals, in the sophistication and predictability of their business law, and in the privacy they afford to the affairs of entities and trusts. Certain states have deliberately competed for trust, entity, and holding-company business by crafting law favorable to these arrangements, and the concentration of trusts and entities in those states is the consequence of that competition.</w:t>
      </w:r>
    </w:p>
    <w:p>
      <w:pPr>
        <w:spacing w:after="180" w:before="0" w:line="348"/>
        <w:jc w:val="both"/>
      </w:pPr>
      <w:r>
        <w:rPr>
          <w:rFonts w:ascii="Georgia" w:cs="Georgia" w:eastAsia="Georgia" w:hAnsi="Georgia"/>
          <w:color w:val="1A1A1A"/>
          <w:sz w:val="24"/>
          <w:szCs w:val="24"/>
        </w:rPr>
        <w:t xml:space="preserve">The states most prominent in this competition are distinguished by particular combinations of advantages. One is distinguished by the sophistication of its business law and its specialized business court, and it is the jurisdiction of choice for the holding companies of large enterprises. Others are distinguished by the strength of their asset-protection and charging-order statutes, by the absence of state income tax, and by the privacy they afford, and they have become destinations for asset-protection planning and for the holding of closely held wealth. Still others are distinguished by the abolition of the rule against perpetuities, by the absence of state income tax on trusts, and by strong protections for the confidentiality of trust matters, and they have become the favored situses for the perpetual dynasty trusts examined in Section 11. The competition among the states has been a race to craft the law that wealth holders and their advisers find most advantageous, and it has produced a body of state law that is, in the aggregate, markedly favorable to the structuring of private wealth.</w:t>
      </w:r>
    </w:p>
    <w:p>
      <w:pPr>
        <w:pStyle w:val="Heading2"/>
        <w:keepNext/>
        <w:spacing w:after="100" w:before="240"/>
      </w:pPr>
      <w:r>
        <w:rPr>
          <w:rFonts w:ascii="Georgia" w:cs="Georgia" w:eastAsia="Georgia" w:hAnsi="Georgia"/>
          <w:b/>
          <w:bCs/>
          <w:color w:val="1F3A5F"/>
          <w:sz w:val="22"/>
          <w:szCs w:val="22"/>
        </w:rPr>
        <w:t xml:space="preserve">15.1  </w:t>
      </w:r>
      <w:r>
        <w:rPr>
          <w:rFonts w:ascii="Georgia" w:cs="Georgia" w:eastAsia="Georgia" w:hAnsi="Georgia"/>
          <w:b/>
          <w:bCs/>
          <w:color w:val="1F3A5F"/>
          <w:sz w:val="22"/>
          <w:szCs w:val="22"/>
        </w:rPr>
        <w:t xml:space="preserve">The mechanics and the limits of jurisdictional choice</w:t>
      </w:r>
    </w:p>
    <w:p>
      <w:pPr>
        <w:spacing w:after="180" w:before="0" w:line="348"/>
        <w:jc w:val="both"/>
      </w:pPr>
      <w:r>
        <w:rPr>
          <w:rFonts w:ascii="Georgia" w:cs="Georgia" w:eastAsia="Georgia" w:hAnsi="Georgia"/>
          <w:color w:val="1A1A1A"/>
          <w:sz w:val="24"/>
          <w:szCs w:val="24"/>
        </w:rPr>
        <w:t xml:space="preserve">The selection of a favorable jurisdiction is not accomplished merely by declaring it. To situate a trust in a state and to secure the application of that state's law, a plan must ordinarily establish a genuine connection to the state — commonly through the appointment of a trustee resident or chartered in the state, the conduct of the trust's administration within the state, and the designation of the state's law as governing — and the sufficiency of the connection may be tested if the application of the state's law is challenged. The limits of jurisdictional choice are as important as its possibilities, and they are frequently underestimated. The internal-affairs doctrine that permits the selection of the law governing an entity's internal affairs is not absolute, and a court may apply the law of a state with a more substantial relationship to a particular dispute. The taxation of income is frequently based on the source of the income or on the residence of the taxpayer, so that income generated by real estate located in one state, or by a taxpayer resident in one state, may be taxed by that state notwithstanding the situs of the entity or trust through which the income is earned; the selection of a favorable trust situs does not exempt from taxation the income sourced to a state that taxes it. The principles governing conflicts of law may subject a plan to the creditor remedies of a state other than the one whose law the plan selected. And high-tax states, whose revenues are affected by the migration of wealth to favorable jurisdictions, have challenged aggressively the arrangements through which that migration is attempted. The formation of an entity or the situating of a trust in a favorable state is therefore a real but bounded advantage: it secures the benefits of the chosen state's law within the limits set by the connections the plan actually establishes, by the reach of other states' taxing and creditor-protection law, and by the doctrines that govern conflicts among the laws of the several states. The expectation that the mere formation of an entity in a distant and favorable state will displace the law of the state in which a family actually lives and in which its assets are actually located is frequently disappointed, and the design of a sound plan requires attention to the genuine connections on which the application of favorable law depends.</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16.  </w:t>
      </w:r>
      <w:r>
        <w:rPr>
          <w:rFonts w:ascii="Georgia" w:cs="Georgia" w:eastAsia="Georgia" w:hAnsi="Georgia"/>
          <w:b/>
          <w:bCs/>
          <w:color w:val="142942"/>
          <w:sz w:val="26"/>
          <w:szCs w:val="26"/>
        </w:rPr>
        <w:t xml:space="preserve">Cross-Cutting Analysis: The Integrated Structuring System</w:t>
      </w:r>
    </w:p>
    <w:p>
      <w:pPr>
        <w:spacing w:after="180" w:before="0" w:line="348"/>
        <w:jc w:val="both"/>
      </w:pPr>
      <w:r>
        <w:rPr>
          <w:rFonts w:ascii="Georgia" w:cs="Georgia" w:eastAsia="Georgia" w:hAnsi="Georgia"/>
          <w:color w:val="1A1A1A"/>
          <w:sz w:val="24"/>
          <w:szCs w:val="24"/>
        </w:rPr>
        <w:t xml:space="preserve">The domains surveyed in the preceding sections are not, as their separate treatment might suggest, independent subjects; they are the layers of a single system, and the purpose of this section is to draw them together and to exhibit the manner in which they integrate. Consider the assembly of the layers into a representative structure. Each parcel of real estate is placed in its own limited liability company, so that the liabilities arising from one parcel are isolated from the others and from the balance of the owner's wealth. The companies are owned by a holding company, which centralizes ownership and control while preserving the isolation of liability among the subsidiaries. The interests in the holding company are held by a trust, which separates the control of the wealth from its beneficial enjoyment and provides the vehicle for its transmission across generations. The trust is sited in a jurisdiction chosen for the strength of its asset-protection law, the absence of state income taxation, the permission it grants to perpetual trusts, and the privacy it affords. The investable assets of the family are pooled through an investment partnership or fund that relies on the exemptions from securities regulation examined in Section 12. The structure banks with chartered institutions, borrows against its appreciated assets to obtain liquidity without triggering the taxation of gain, and is administered by a family office that coordinates its parts. And the human beings who own the structure govern their collaboration through the instruments of family governance examined in Section 14.</w:t>
      </w:r>
    </w:p>
    <w:p>
      <w:pPr>
        <w:spacing w:after="180" w:before="0" w:line="348"/>
        <w:jc w:val="both"/>
      </w:pPr>
      <w:r>
        <w:rPr>
          <w:rFonts w:ascii="Georgia" w:cs="Georgia" w:eastAsia="Georgia" w:hAnsi="Georgia"/>
          <w:color w:val="1A1A1A"/>
          <w:sz w:val="24"/>
          <w:szCs w:val="24"/>
        </w:rPr>
        <w:t xml:space="preserve">Taxation is the connective tissue that runs through every layer of this structure and renders it efficient. Depreciation and the deduction for qualified business income reduce the current taxation of the income the real estate produces. The like-kind exchange defers the taxation of gain on the repositioning of the real estate portfolio during life. The basis adjustment at death, combined with the permanent and substantial transfer-tax exemption, governs the transmission of the wealth across generations, eliminating the income tax on a lifetime of appreciation while, for most families, imposing no transfer tax. Grantor-trust status shifts the income tax on the trust's income to the grantor, permitting the trust to compound free of tax while the grantor's estate is correspondingly diminished. And the generation-skipping exemption, allocated to a dynasty trust, permits the wealth to pass across an unlimited number of generations free of transfer taxation at each level. The tax rules do not operate on the layers of the structure one at a time; they operate on the structure as a whole, and the coordination of the income, capital-gains, and transfer-tax consequences across the layers is precisely what distinguishes a structure that is merely protective from one that is efficient.</w:t>
      </w:r>
    </w:p>
    <w:p>
      <w:pPr>
        <w:spacing w:after="180" w:before="0" w:line="348"/>
        <w:jc w:val="both"/>
      </w:pPr>
      <w:r>
        <w:rPr>
          <w:rFonts w:ascii="Georgia" w:cs="Georgia" w:eastAsia="Georgia" w:hAnsi="Georgia"/>
          <w:color w:val="1A1A1A"/>
          <w:sz w:val="24"/>
          <w:szCs w:val="24"/>
        </w:rPr>
        <w:t xml:space="preserve">What is most striking about the system, viewed as a whole, is its recursive character. Entities own entities; trusts own entities; funds pool the interests in entities; and trusts own interests in funds. Each layer performs a distinct legal function — the isolation of liability, the determination of tax classification, the separation of control from enjoyment, the pooling of capital, the provision of custody and credit — and the layers combine to accomplish what no single layer could accomplish alone: the holding, protection, and transmission of wealth across generations at minimized tax and risk. The architecture is, in a sense, an application of the general legal technique of the entity and the trust — the creation of a legal person or relationship distinct from the natural persons who stand behind it — iterated across multiple levels and coordinated by the tax code. It is this iteration and coordination, rather than any single instrument, that constitutes the architecture of private wealth.</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17.  </w:t>
      </w:r>
      <w:r>
        <w:rPr>
          <w:rFonts w:ascii="Georgia" w:cs="Georgia" w:eastAsia="Georgia" w:hAnsi="Georgia"/>
          <w:b/>
          <w:bCs/>
          <w:color w:val="142942"/>
          <w:sz w:val="26"/>
          <w:szCs w:val="26"/>
        </w:rPr>
        <w:t xml:space="preserve">Legitimate Structuring Versus Abuse</w:t>
      </w:r>
    </w:p>
    <w:p>
      <w:pPr>
        <w:spacing w:after="180" w:before="0" w:line="348"/>
        <w:jc w:val="both"/>
      </w:pPr>
      <w:r>
        <w:rPr>
          <w:rFonts w:ascii="Georgia" w:cs="Georgia" w:eastAsia="Georgia" w:hAnsi="Georgia"/>
          <w:color w:val="1A1A1A"/>
          <w:sz w:val="24"/>
          <w:szCs w:val="24"/>
        </w:rPr>
        <w:t xml:space="preserve">The same instruments that compose a legitimate wealth structure can be assembled into an abusive one, and the law that facilitates the former is accompanied by a set of doctrines that police the boundary and condemn the latter. It is essential to a balanced account of the architecture of private wealth to identify these guardrails and to state the principles by which legitimate structuring is distinguished from abuse, for the architecture is not a lawless space in which any arrangement that reduces tax or defeats creditors is permitted; it is a body of law with internal limits, and the observance of those limits is what separates planning from evasion.</w:t>
      </w:r>
    </w:p>
    <w:p>
      <w:pPr>
        <w:spacing w:after="180" w:before="0" w:line="348"/>
        <w:jc w:val="both"/>
      </w:pPr>
      <w:r>
        <w:rPr>
          <w:rFonts w:ascii="Georgia" w:cs="Georgia" w:eastAsia="Georgia" w:hAnsi="Georgia"/>
          <w:color w:val="1A1A1A"/>
          <w:sz w:val="24"/>
          <w:szCs w:val="24"/>
        </w:rPr>
        <w:t xml:space="preserve">The legitimacy of a structure rests, first and most fundamentally, on economic substance and genuine non-tax purpose. A transaction or a structure undertaken solely to reduce tax, without any purpose or effect apart from the tax reduction, will not be respected, and the codified economic-substance doctrine and its strict-liability penalty give this principle formidable force. The legitimacy of a structure rests, second, on the reality of the separate existence of the entities and relationships it employs: the liability shield of an entity depends on the maintenance of genuine separateness, and the disregard of formalities, the commingling of funds, and the operation of an entity as the mere alter ego of its owner invite the piercing of the veil and the collapse of the protection the entity was created to provide. The legitimacy of a structure rests, third, on the genuine allocation of control and risk that its form asserts, as the treatment of valuation discounts in family investment vehicles illustrates: discounts predicated on the transfer of interests that lack control and marketability will be denied where the transferor in substance retains the control or the enjoyment that the form purports to relinquish. And the legitimacy of a structure rests, fourth, on its respect for the rights of creditors: the transfer of assets to defeat existing creditors, or in anticipation of claims that have arisen or are about to arise, is a fraudulent transfer that the law will unwind, and the asset-protection arrangements examined in this paper protect only against future creditors and only when the arrangements are established before the claims against which protection is sought have come into being.</w:t>
      </w:r>
    </w:p>
    <w:p>
      <w:pPr>
        <w:spacing w:after="180" w:before="0" w:line="348"/>
        <w:jc w:val="both"/>
      </w:pPr>
      <w:r>
        <w:rPr>
          <w:rFonts w:ascii="Georgia" w:cs="Georgia" w:eastAsia="Georgia" w:hAnsi="Georgia"/>
          <w:color w:val="1A1A1A"/>
          <w:sz w:val="24"/>
          <w:szCs w:val="24"/>
        </w:rPr>
        <w:t xml:space="preserve">The guardrails that enforce these principles are numerous and overlapping. The economic-substance doctrine and its penalty condemn transactions lacking non-tax purpose and effect. The rules governing the inclusion of assets in the taxable estate and the valuation of transferred interests condemn arrangements that assert a form belied by the retention of control and enjoyment. The fraudulent-transfer statutes of the several states unwind transfers made to defeat creditors. The registration and anti-fraud provisions of the securities laws govern the raising of capital and condemn misrepresentation in the offering of interests. The anti-money-laundering and customer-identification obligations administered by the financial-intelligence unit, and the beneficial-ownership reporting regime to the extent it applies, attach transparency obligations to the use of entities. And the ordinary law of fiduciary duty governs the conduct of the trustees, managers, and advisers who administer the structures. The recurring theme of these doctrines, from the foundational substance-over-form decisions of the early twentieth century to the family-investment-vehicle cases of the present, is that the law will respect the form of a structure only where the form is accompanied by substance, and that the labels the parties attach to their arrangements do not control the legal consequences where those labels are belied by the reality of what the parties have done. The architecture of private wealth is a lawful architecture precisely because, and to the extent that, it is built on genuine purpose, genuine separateness, genuine allocation of control and risk, and respect for the rights of creditors and the requirements of disclosure.</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18.  </w:t>
      </w:r>
      <w:r>
        <w:rPr>
          <w:rFonts w:ascii="Georgia" w:cs="Georgia" w:eastAsia="Georgia" w:hAnsi="Georgia"/>
          <w:b/>
          <w:bCs/>
          <w:color w:val="142942"/>
          <w:sz w:val="26"/>
          <w:szCs w:val="26"/>
        </w:rPr>
        <w:t xml:space="preserve">Limitations</w:t>
      </w:r>
    </w:p>
    <w:p>
      <w:pPr>
        <w:spacing w:after="180" w:before="0" w:line="348"/>
        <w:jc w:val="both"/>
      </w:pPr>
      <w:r>
        <w:rPr>
          <w:rFonts w:ascii="Georgia" w:cs="Georgia" w:eastAsia="Georgia" w:hAnsi="Georgia"/>
          <w:color w:val="1A1A1A"/>
          <w:sz w:val="24"/>
          <w:szCs w:val="24"/>
        </w:rPr>
        <w:t xml:space="preserve">Several limitations attend this survey. It is a general and doctrinal treatment, and it cannot substitute for advice directed to the facts of a particular person, family, or transaction; the application of the law surveyed here to any actual situation requires the judgment of qualified professionals who have examined the specific facts. It is a snapshot of a moving system, accurate to its stated date of mid-2026 and no further, and several of the rules it surveys were in flux as it was prepared. The status of the fair-housing disparate-impact regulation was the subject of a pending rulemaking; the domestic reach of the beneficial-ownership reporting regime had been curtailed by an interim rule subject to further proceedings; the recordkeeping requirements for the custodial accounts through which financial-technology intermediaries hold funds had been proposed and then suspended; the federal tax treatment of series companies remained governed only by proposed regulations; and the permanence of the transfer-tax exemption and of full expensing enacted in 2025 is permanence only in the sense that no sunset is scheduled, for a future Congress retains the power to alter these provisions. The paper describes representative rather than exhaustive positions of state law, which varies materially among the states, and it necessarily omits detail and qualification that a comprehensive treatment of any single one of its fourteen domains would require. And a portion of the secondary commentary on which it draws for synthesis and explanation, though authoritative, is the work of firms and commentators whose analyses are secondary to the underlying statutes, regulations, and cases and should be understood as such.</w:t>
      </w:r>
    </w:p>
    <w:p>
      <w:pPr>
        <w:pStyle w:val="Heading1"/>
        <w:keepNext/>
        <w:pBdr>
          <w:bottom w:val="single" w:color="9DB0C4" w:sz="8" w:space="3"/>
        </w:pBdr>
        <w:spacing w:after="140" w:before="360"/>
      </w:pPr>
      <w:r>
        <w:rPr>
          <w:rFonts w:ascii="Georgia" w:cs="Georgia" w:eastAsia="Georgia" w:hAnsi="Georgia"/>
          <w:b/>
          <w:bCs/>
          <w:color w:val="142942"/>
          <w:sz w:val="26"/>
          <w:szCs w:val="26"/>
        </w:rPr>
        <w:t xml:space="preserve">19.  </w:t>
      </w:r>
      <w:r>
        <w:rPr>
          <w:rFonts w:ascii="Georgia" w:cs="Georgia" w:eastAsia="Georgia" w:hAnsi="Georgia"/>
          <w:b/>
          <w:bCs/>
          <w:color w:val="142942"/>
          <w:sz w:val="26"/>
          <w:szCs w:val="26"/>
        </w:rPr>
        <w:t xml:space="preserve">Conclusion</w:t>
      </w:r>
    </w:p>
    <w:p>
      <w:pPr>
        <w:spacing w:after="180" w:before="0" w:line="348"/>
        <w:jc w:val="both"/>
      </w:pPr>
      <w:r>
        <w:rPr>
          <w:rFonts w:ascii="Georgia" w:cs="Georgia" w:eastAsia="Georgia" w:hAnsi="Georgia"/>
          <w:color w:val="1A1A1A"/>
          <w:sz w:val="24"/>
          <w:szCs w:val="24"/>
        </w:rPr>
        <w:t xml:space="preserve">The architecture of private wealth in the United States is best understood not as a collection of discrete techniques but as an integrated system in which real property, entities, trusts, funds, banking, taxation, and family governance interlock. The operating asset — often real estate — is held through entities that isolate its liabilities and determine its tax classification; the entities are held through trusts that separate control from enjoyment and provide for transmission across generations; the trusts are sited in jurisdictions chosen for the advantages their law affords; the family's capital is pooled through funds that rely on exemptions from securities regulation; the whole is custodied and financed through the banking system and coordinated through the institutions of family governance; and the tax code runs through every layer, rendering the structure efficient through the coordination of its income, capital-gains, and transfer-tax consequences. The legislation enacted in 2025 reshaped the tax backdrop of this system, making the substantial transfer-tax exemption and full expensing permanent, and in doing so it shifted the emphasis of planning for most families from the reduction of the taxable estate toward the minimization of income tax and the capture of the basis adjustment at death, while preserving for the wealthiest the incentive to transfer appreciating assets into the perpetual and creditor-protected trusts that the favorable trust jurisdictions permit.</w:t>
      </w:r>
    </w:p>
    <w:p>
      <w:pPr>
        <w:spacing w:after="180" w:before="0" w:line="348"/>
        <w:jc w:val="both"/>
      </w:pPr>
      <w:r>
        <w:rPr>
          <w:rFonts w:ascii="Georgia" w:cs="Georgia" w:eastAsia="Georgia" w:hAnsi="Georgia"/>
          <w:color w:val="1A1A1A"/>
          <w:sz w:val="24"/>
          <w:szCs w:val="24"/>
        </w:rPr>
        <w:t xml:space="preserve">The durability and the legitimacy of any structure assembled from these materials depend, finally, on two things that no amount of technical sophistication can supply. The first is fidelity to substance over form — the genuine purpose, the genuine separateness, the genuine allocation of control and risk, and the respect for the rights of creditors and the requirements of disclosure — on which the law conditions its respect for the arrangements that wealth holders construct. The second is the capacity of the human beings who own a structure to govern their collaboration across generations, for a soundly constructed structure administered by a family that cannot govern itself will not endure. As legal and financial innovation continues — in the technology of banking, in the competition among the states for trust and entity business, and in the design of entities and instruments — the enduring constraints remain the doctrines of economic substance and fiduciary duty, the law of fraudulent transfers, and the disclosure regimes, which together mark the boundary between the legitimate structuring of private wealth and its abuse. It is within that boundary that the architecture surveyed in this paper is constructed, and it is the observance of that boundary that renders the architecture lawful.</w:t>
      </w:r>
    </w:p>
    <w:p>
      <w:r>
        <w:br w:type="page"/>
      </w:r>
    </w:p>
    <w:p>
      <w:pPr>
        <w:pBdr>
          <w:bottom w:val="single" w:color="9DB0C4" w:sz="12" w:space="3"/>
        </w:pBdr>
        <w:spacing w:after="60" w:before="120"/>
      </w:pPr>
      <w:r>
        <w:rPr>
          <w:rFonts w:ascii="Georgia" w:cs="Georgia" w:eastAsia="Georgia" w:hAnsi="Georgia"/>
          <w:b/>
          <w:bCs/>
          <w:color w:val="142942"/>
          <w:sz w:val="30"/>
          <w:szCs w:val="30"/>
        </w:rPr>
        <w:t xml:space="preserve">References</w:t>
      </w:r>
    </w:p>
    <w:p>
      <w:pPr>
        <w:spacing w:after="160" w:before="0" w:line="348"/>
        <w:jc w:val="both"/>
      </w:pPr>
      <w:r>
        <w:rPr>
          <w:rFonts w:ascii="Georgia" w:cs="Georgia" w:eastAsia="Georgia" w:hAnsi="Georgia"/>
          <w:color w:val="1A1A1A"/>
          <w:sz w:val="20"/>
          <w:szCs w:val="20"/>
        </w:rPr>
        <w:t xml:space="preserve">The following list collects the principal primary and secondary authorities on which this survey relies. Primary legal authorities are cited by their customary designations; secondary sources are cited by author or publisher, title, and, where applicable, publication. A publication-ready edition should conform these entries to a single citation system (for example, The Bluebook for legal authority and a recognized style such as APA or Chicago for secondary sources).</w:t>
      </w:r>
    </w:p>
    <w:p>
      <w:pPr>
        <w:pStyle w:val="Heading2"/>
        <w:keepNext/>
        <w:spacing w:after="100" w:before="240"/>
      </w:pPr>
      <w:r>
        <w:rPr>
          <w:rFonts w:ascii="Georgia" w:cs="Georgia" w:eastAsia="Georgia" w:hAnsi="Georgia"/>
          <w:b/>
          <w:bCs/>
          <w:color w:val="1F3A5F"/>
          <w:sz w:val="22"/>
          <w:szCs w:val="22"/>
        </w:rPr>
        <w:t xml:space="preserve"/>
      </w:r>
      <w:r>
        <w:rPr>
          <w:rFonts w:ascii="Georgia" w:cs="Georgia" w:eastAsia="Georgia" w:hAnsi="Georgia"/>
          <w:b/>
          <w:bCs/>
          <w:color w:val="1F3A5F"/>
          <w:sz w:val="22"/>
          <w:szCs w:val="22"/>
        </w:rPr>
        <w:t xml:space="preserve">Primary Legal Authorities — Internal Revenue Code</w:t>
      </w:r>
    </w:p>
    <w:p>
      <w:pPr>
        <w:spacing w:after="120" w:line="288"/>
        <w:ind w:left="576" w:hanging="576"/>
        <w:jc w:val="left"/>
      </w:pPr>
      <w:r>
        <w:rPr>
          <w:rFonts w:ascii="Georgia" w:cs="Georgia" w:eastAsia="Georgia" w:hAnsi="Georgia"/>
          <w:color w:val="1A1A1A"/>
          <w:sz w:val="21"/>
          <w:szCs w:val="21"/>
        </w:rPr>
        <w:t xml:space="preserve">Internal Revenue Code § 1, 26 U.S.C. § 1 (income-tax rates; maximum rate on unrecaptured section 1250 gain).</w:t>
      </w:r>
    </w:p>
    <w:p>
      <w:pPr>
        <w:spacing w:after="120" w:line="288"/>
        <w:ind w:left="576" w:hanging="576"/>
        <w:jc w:val="left"/>
      </w:pPr>
      <w:r>
        <w:rPr>
          <w:rFonts w:ascii="Georgia" w:cs="Georgia" w:eastAsia="Georgia" w:hAnsi="Georgia"/>
          <w:color w:val="1A1A1A"/>
          <w:sz w:val="21"/>
          <w:szCs w:val="21"/>
        </w:rPr>
        <w:t xml:space="preserve">Internal Revenue Code § 121, 26 U.S.C. § 121 (exclusion of gain from sale of principal residence).</w:t>
      </w:r>
    </w:p>
    <w:p>
      <w:pPr>
        <w:spacing w:after="120" w:line="288"/>
        <w:ind w:left="576" w:hanging="576"/>
        <w:jc w:val="left"/>
      </w:pPr>
      <w:r>
        <w:rPr>
          <w:rFonts w:ascii="Georgia" w:cs="Georgia" w:eastAsia="Georgia" w:hAnsi="Georgia"/>
          <w:color w:val="1A1A1A"/>
          <w:sz w:val="21"/>
          <w:szCs w:val="21"/>
        </w:rPr>
        <w:t xml:space="preserve">Internal Revenue Code § 162, 26 U.S.C. § 162 (trade or business expenses).</w:t>
      </w:r>
    </w:p>
    <w:p>
      <w:pPr>
        <w:spacing w:after="120" w:line="288"/>
        <w:ind w:left="576" w:hanging="576"/>
        <w:jc w:val="left"/>
      </w:pPr>
      <w:r>
        <w:rPr>
          <w:rFonts w:ascii="Georgia" w:cs="Georgia" w:eastAsia="Georgia" w:hAnsi="Georgia"/>
          <w:color w:val="1A1A1A"/>
          <w:sz w:val="21"/>
          <w:szCs w:val="21"/>
        </w:rPr>
        <w:t xml:space="preserve">Internal Revenue Code § 168(k), 26 U.S.C. § 168(k) (additional first-year depreciation; bonus depreciation).</w:t>
      </w:r>
    </w:p>
    <w:p>
      <w:pPr>
        <w:spacing w:after="120" w:line="288"/>
        <w:ind w:left="576" w:hanging="576"/>
        <w:jc w:val="left"/>
      </w:pPr>
      <w:r>
        <w:rPr>
          <w:rFonts w:ascii="Georgia" w:cs="Georgia" w:eastAsia="Georgia" w:hAnsi="Georgia"/>
          <w:color w:val="1A1A1A"/>
          <w:sz w:val="21"/>
          <w:szCs w:val="21"/>
        </w:rPr>
        <w:t xml:space="preserve">Internal Revenue Code § 168(n), 26 U.S.C. § 168(n) (qualified production property; enacted 2025).</w:t>
      </w:r>
    </w:p>
    <w:p>
      <w:pPr>
        <w:spacing w:after="120" w:line="288"/>
        <w:ind w:left="576" w:hanging="576"/>
        <w:jc w:val="left"/>
      </w:pPr>
      <w:r>
        <w:rPr>
          <w:rFonts w:ascii="Georgia" w:cs="Georgia" w:eastAsia="Georgia" w:hAnsi="Georgia"/>
          <w:color w:val="1A1A1A"/>
          <w:sz w:val="21"/>
          <w:szCs w:val="21"/>
        </w:rPr>
        <w:t xml:space="preserve">Internal Revenue Code § 179, 26 U.S.C. § 179 (election to expense certain depreciable business assets).</w:t>
      </w:r>
    </w:p>
    <w:p>
      <w:pPr>
        <w:spacing w:after="120" w:line="288"/>
        <w:ind w:left="576" w:hanging="576"/>
        <w:jc w:val="left"/>
      </w:pPr>
      <w:r>
        <w:rPr>
          <w:rFonts w:ascii="Georgia" w:cs="Georgia" w:eastAsia="Georgia" w:hAnsi="Georgia"/>
          <w:color w:val="1A1A1A"/>
          <w:sz w:val="21"/>
          <w:szCs w:val="21"/>
        </w:rPr>
        <w:t xml:space="preserve">Internal Revenue Code § 199A, 26 U.S.C. § 199A (qualified business income deduction).</w:t>
      </w:r>
    </w:p>
    <w:p>
      <w:pPr>
        <w:spacing w:after="120" w:line="288"/>
        <w:ind w:left="576" w:hanging="576"/>
        <w:jc w:val="left"/>
      </w:pPr>
      <w:r>
        <w:rPr>
          <w:rFonts w:ascii="Georgia" w:cs="Georgia" w:eastAsia="Georgia" w:hAnsi="Georgia"/>
          <w:color w:val="1A1A1A"/>
          <w:sz w:val="21"/>
          <w:szCs w:val="21"/>
        </w:rPr>
        <w:t xml:space="preserve">Internal Revenue Code § 469, 26 U.S.C. § 469 (passive activity losses and credits limited).</w:t>
      </w:r>
    </w:p>
    <w:p>
      <w:pPr>
        <w:spacing w:after="120" w:line="288"/>
        <w:ind w:left="576" w:hanging="576"/>
        <w:jc w:val="left"/>
      </w:pPr>
      <w:r>
        <w:rPr>
          <w:rFonts w:ascii="Georgia" w:cs="Georgia" w:eastAsia="Georgia" w:hAnsi="Georgia"/>
          <w:color w:val="1A1A1A"/>
          <w:sz w:val="21"/>
          <w:szCs w:val="21"/>
        </w:rPr>
        <w:t xml:space="preserve">Internal Revenue Code § 673, 26 U.S.C. § 673 (reversionary interests).</w:t>
      </w:r>
    </w:p>
    <w:p>
      <w:pPr>
        <w:spacing w:after="120" w:line="288"/>
        <w:ind w:left="576" w:hanging="576"/>
        <w:jc w:val="left"/>
      </w:pPr>
      <w:r>
        <w:rPr>
          <w:rFonts w:ascii="Georgia" w:cs="Georgia" w:eastAsia="Georgia" w:hAnsi="Georgia"/>
          <w:color w:val="1A1A1A"/>
          <w:sz w:val="21"/>
          <w:szCs w:val="21"/>
        </w:rPr>
        <w:t xml:space="preserve">Internal Revenue Code § 674, 26 U.S.C. § 674 (power to control beneficial enjoyment).</w:t>
      </w:r>
    </w:p>
    <w:p>
      <w:pPr>
        <w:spacing w:after="120" w:line="288"/>
        <w:ind w:left="576" w:hanging="576"/>
        <w:jc w:val="left"/>
      </w:pPr>
      <w:r>
        <w:rPr>
          <w:rFonts w:ascii="Georgia" w:cs="Georgia" w:eastAsia="Georgia" w:hAnsi="Georgia"/>
          <w:color w:val="1A1A1A"/>
          <w:sz w:val="21"/>
          <w:szCs w:val="21"/>
        </w:rPr>
        <w:t xml:space="preserve">Internal Revenue Code § 675, 26 U.S.C. § 675 (administrative powers; power of substitution).</w:t>
      </w:r>
    </w:p>
    <w:p>
      <w:pPr>
        <w:spacing w:after="120" w:line="288"/>
        <w:ind w:left="576" w:hanging="576"/>
        <w:jc w:val="left"/>
      </w:pPr>
      <w:r>
        <w:rPr>
          <w:rFonts w:ascii="Georgia" w:cs="Georgia" w:eastAsia="Georgia" w:hAnsi="Georgia"/>
          <w:color w:val="1A1A1A"/>
          <w:sz w:val="21"/>
          <w:szCs w:val="21"/>
        </w:rPr>
        <w:t xml:space="preserve">Internal Revenue Code § 676, 26 U.S.C. § 676 (power to revoke).</w:t>
      </w:r>
    </w:p>
    <w:p>
      <w:pPr>
        <w:spacing w:after="120" w:line="288"/>
        <w:ind w:left="576" w:hanging="576"/>
        <w:jc w:val="left"/>
      </w:pPr>
      <w:r>
        <w:rPr>
          <w:rFonts w:ascii="Georgia" w:cs="Georgia" w:eastAsia="Georgia" w:hAnsi="Georgia"/>
          <w:color w:val="1A1A1A"/>
          <w:sz w:val="21"/>
          <w:szCs w:val="21"/>
        </w:rPr>
        <w:t xml:space="preserve">Internal Revenue Code § 677, 26 U.S.C. § 677 (income for benefit of grantor).</w:t>
      </w:r>
    </w:p>
    <w:p>
      <w:pPr>
        <w:spacing w:after="120" w:line="288"/>
        <w:ind w:left="576" w:hanging="576"/>
        <w:jc w:val="left"/>
      </w:pPr>
      <w:r>
        <w:rPr>
          <w:rFonts w:ascii="Georgia" w:cs="Georgia" w:eastAsia="Georgia" w:hAnsi="Georgia"/>
          <w:color w:val="1A1A1A"/>
          <w:sz w:val="21"/>
          <w:szCs w:val="21"/>
        </w:rPr>
        <w:t xml:space="preserve">Internal Revenue Code § 679, 26 U.S.C. § 679 (foreign trusts having one or more United States beneficiaries).</w:t>
      </w:r>
    </w:p>
    <w:p>
      <w:pPr>
        <w:spacing w:after="120" w:line="288"/>
        <w:ind w:left="576" w:hanging="576"/>
        <w:jc w:val="left"/>
      </w:pPr>
      <w:r>
        <w:rPr>
          <w:rFonts w:ascii="Georgia" w:cs="Georgia" w:eastAsia="Georgia" w:hAnsi="Georgia"/>
          <w:color w:val="1A1A1A"/>
          <w:sz w:val="21"/>
          <w:szCs w:val="21"/>
        </w:rPr>
        <w:t xml:space="preserve">Internal Revenue Code § 1014, 26 U.S.C. § 1014 (basis of property acquired from a decedent).</w:t>
      </w:r>
    </w:p>
    <w:p>
      <w:pPr>
        <w:spacing w:after="120" w:line="288"/>
        <w:ind w:left="576" w:hanging="576"/>
        <w:jc w:val="left"/>
      </w:pPr>
      <w:r>
        <w:rPr>
          <w:rFonts w:ascii="Georgia" w:cs="Georgia" w:eastAsia="Georgia" w:hAnsi="Georgia"/>
          <w:color w:val="1A1A1A"/>
          <w:sz w:val="21"/>
          <w:szCs w:val="21"/>
        </w:rPr>
        <w:t xml:space="preserve">Internal Revenue Code § 1031, 26 U.S.C. § 1031 (exchange of real property held for productive use or investment).</w:t>
      </w:r>
    </w:p>
    <w:p>
      <w:pPr>
        <w:spacing w:after="120" w:line="288"/>
        <w:ind w:left="576" w:hanging="576"/>
        <w:jc w:val="left"/>
      </w:pPr>
      <w:r>
        <w:rPr>
          <w:rFonts w:ascii="Georgia" w:cs="Georgia" w:eastAsia="Georgia" w:hAnsi="Georgia"/>
          <w:color w:val="1A1A1A"/>
          <w:sz w:val="21"/>
          <w:szCs w:val="21"/>
        </w:rPr>
        <w:t xml:space="preserve">Internal Revenue Code § 1245, 26 U.S.C. § 1245 (gain from dispositions of certain depreciable property).</w:t>
      </w:r>
    </w:p>
    <w:p>
      <w:pPr>
        <w:spacing w:after="120" w:line="288"/>
        <w:ind w:left="576" w:hanging="576"/>
        <w:jc w:val="left"/>
      </w:pPr>
      <w:r>
        <w:rPr>
          <w:rFonts w:ascii="Georgia" w:cs="Georgia" w:eastAsia="Georgia" w:hAnsi="Georgia"/>
          <w:color w:val="1A1A1A"/>
          <w:sz w:val="21"/>
          <w:szCs w:val="21"/>
        </w:rPr>
        <w:t xml:space="preserve">Internal Revenue Code § 1250, 26 U.S.C. § 1250 (gain from dispositions of certain depreciable realty).</w:t>
      </w:r>
    </w:p>
    <w:p>
      <w:pPr>
        <w:spacing w:after="120" w:line="288"/>
        <w:ind w:left="576" w:hanging="576"/>
        <w:jc w:val="left"/>
      </w:pPr>
      <w:r>
        <w:rPr>
          <w:rFonts w:ascii="Georgia" w:cs="Georgia" w:eastAsia="Georgia" w:hAnsi="Georgia"/>
          <w:color w:val="1A1A1A"/>
          <w:sz w:val="21"/>
          <w:szCs w:val="21"/>
        </w:rPr>
        <w:t xml:space="preserve">Internal Revenue Code § 2010, 26 U.S.C. § 2010 (unified credit against estate tax; basic exclusion amount).</w:t>
      </w:r>
    </w:p>
    <w:p>
      <w:pPr>
        <w:spacing w:after="120" w:line="288"/>
        <w:ind w:left="576" w:hanging="576"/>
        <w:jc w:val="left"/>
      </w:pPr>
      <w:r>
        <w:rPr>
          <w:rFonts w:ascii="Georgia" w:cs="Georgia" w:eastAsia="Georgia" w:hAnsi="Georgia"/>
          <w:color w:val="1A1A1A"/>
          <w:sz w:val="21"/>
          <w:szCs w:val="21"/>
        </w:rPr>
        <w:t xml:space="preserve">Internal Revenue Code § 2036, 26 U.S.C. § 2036 (transfers with retained life estate).</w:t>
      </w:r>
    </w:p>
    <w:p>
      <w:pPr>
        <w:spacing w:after="120" w:line="288"/>
        <w:ind w:left="576" w:hanging="576"/>
        <w:jc w:val="left"/>
      </w:pPr>
      <w:r>
        <w:rPr>
          <w:rFonts w:ascii="Georgia" w:cs="Georgia" w:eastAsia="Georgia" w:hAnsi="Georgia"/>
          <w:color w:val="1A1A1A"/>
          <w:sz w:val="21"/>
          <w:szCs w:val="21"/>
        </w:rPr>
        <w:t xml:space="preserve">Internal Revenue Code § 2703, 26 U.S.C. § 2703 (certain rights and restrictions disregarded).</w:t>
      </w:r>
    </w:p>
    <w:p>
      <w:pPr>
        <w:spacing w:after="120" w:line="288"/>
        <w:ind w:left="576" w:hanging="576"/>
        <w:jc w:val="left"/>
      </w:pPr>
      <w:r>
        <w:rPr>
          <w:rFonts w:ascii="Georgia" w:cs="Georgia" w:eastAsia="Georgia" w:hAnsi="Georgia"/>
          <w:color w:val="1A1A1A"/>
          <w:sz w:val="21"/>
          <w:szCs w:val="21"/>
        </w:rPr>
        <w:t xml:space="preserve">Internal Revenue Code § 2704, 26 U.S.C. § 2704 (treatment of certain lapsing rights and restrictions).</w:t>
      </w:r>
    </w:p>
    <w:p>
      <w:pPr>
        <w:spacing w:after="120" w:line="288"/>
        <w:ind w:left="576" w:hanging="576"/>
        <w:jc w:val="left"/>
      </w:pPr>
      <w:r>
        <w:rPr>
          <w:rFonts w:ascii="Georgia" w:cs="Georgia" w:eastAsia="Georgia" w:hAnsi="Georgia"/>
          <w:color w:val="1A1A1A"/>
          <w:sz w:val="21"/>
          <w:szCs w:val="21"/>
        </w:rPr>
        <w:t xml:space="preserve">Internal Revenue Code § 6662, 26 U.S.C. § 6662 (accuracy-related penalty, including for transactions lacking economic substance).</w:t>
      </w:r>
    </w:p>
    <w:p>
      <w:pPr>
        <w:spacing w:after="120" w:line="288"/>
        <w:ind w:left="576" w:hanging="576"/>
        <w:jc w:val="left"/>
      </w:pPr>
      <w:r>
        <w:rPr>
          <w:rFonts w:ascii="Georgia" w:cs="Georgia" w:eastAsia="Georgia" w:hAnsi="Georgia"/>
          <w:color w:val="1A1A1A"/>
          <w:sz w:val="21"/>
          <w:szCs w:val="21"/>
        </w:rPr>
        <w:t xml:space="preserve">Internal Revenue Code § 7701(o), 26 U.S.C. § 7701(o) (clarification of economic substance doctrine).</w:t>
      </w:r>
    </w:p>
    <w:p>
      <w:pPr>
        <w:pStyle w:val="Heading2"/>
        <w:keepNext/>
        <w:spacing w:after="100" w:before="240"/>
      </w:pPr>
      <w:r>
        <w:rPr>
          <w:rFonts w:ascii="Georgia" w:cs="Georgia" w:eastAsia="Georgia" w:hAnsi="Georgia"/>
          <w:b/>
          <w:bCs/>
          <w:color w:val="1F3A5F"/>
          <w:sz w:val="22"/>
          <w:szCs w:val="22"/>
        </w:rPr>
        <w:t xml:space="preserve"/>
      </w:r>
      <w:r>
        <w:rPr>
          <w:rFonts w:ascii="Georgia" w:cs="Georgia" w:eastAsia="Georgia" w:hAnsi="Georgia"/>
          <w:b/>
          <w:bCs/>
          <w:color w:val="1F3A5F"/>
          <w:sz w:val="22"/>
          <w:szCs w:val="22"/>
        </w:rPr>
        <w:t xml:space="preserve">Treasury Regulations and Administrative Guidance</w:t>
      </w:r>
    </w:p>
    <w:p>
      <w:pPr>
        <w:spacing w:after="120" w:line="288"/>
        <w:ind w:left="576" w:hanging="576"/>
        <w:jc w:val="left"/>
      </w:pPr>
      <w:r>
        <w:rPr>
          <w:rFonts w:ascii="Georgia" w:cs="Georgia" w:eastAsia="Georgia" w:hAnsi="Georgia"/>
          <w:color w:val="1A1A1A"/>
          <w:sz w:val="21"/>
          <w:szCs w:val="21"/>
        </w:rPr>
        <w:t xml:space="preserve">Treas. Reg. § 1.1031(k)-1 (treatment of deferred exchanges; 45-day identification and 180-day exchange periods).</w:t>
      </w:r>
    </w:p>
    <w:p>
      <w:pPr>
        <w:spacing w:after="120" w:line="288"/>
        <w:ind w:left="576" w:hanging="576"/>
        <w:jc w:val="left"/>
      </w:pPr>
      <w:r>
        <w:rPr>
          <w:rFonts w:ascii="Georgia" w:cs="Georgia" w:eastAsia="Georgia" w:hAnsi="Georgia"/>
          <w:color w:val="1A1A1A"/>
          <w:sz w:val="21"/>
          <w:szCs w:val="21"/>
        </w:rPr>
        <w:t xml:space="preserve">Treas. Reg. § 1.199A-1 through -6 (qualified business income deduction).</w:t>
      </w:r>
    </w:p>
    <w:p>
      <w:pPr>
        <w:spacing w:after="120" w:line="288"/>
        <w:ind w:left="576" w:hanging="576"/>
        <w:jc w:val="left"/>
      </w:pPr>
      <w:r>
        <w:rPr>
          <w:rFonts w:ascii="Georgia" w:cs="Georgia" w:eastAsia="Georgia" w:hAnsi="Georgia"/>
          <w:color w:val="1A1A1A"/>
          <w:sz w:val="21"/>
          <w:szCs w:val="21"/>
        </w:rPr>
        <w:t xml:space="preserve">Treas. Reg. §§ 301.7701-1, -2, -3 (classification of organizations; the “check-the-box” entity-classification regime).</w:t>
      </w:r>
    </w:p>
    <w:p>
      <w:pPr>
        <w:spacing w:after="120" w:line="288"/>
        <w:ind w:left="576" w:hanging="576"/>
        <w:jc w:val="left"/>
      </w:pPr>
      <w:r>
        <w:rPr>
          <w:rFonts w:ascii="Georgia" w:cs="Georgia" w:eastAsia="Georgia" w:hAnsi="Georgia"/>
          <w:color w:val="1A1A1A"/>
          <w:sz w:val="21"/>
          <w:szCs w:val="21"/>
        </w:rPr>
        <w:t xml:space="preserve">Rev. Proc. 2019-38, 2019-42 I.R.B. 942 (safe harbor for treating a rental real estate enterprise as a trade or business under § 199A).</w:t>
      </w:r>
    </w:p>
    <w:p>
      <w:pPr>
        <w:spacing w:after="120" w:line="288"/>
        <w:ind w:left="576" w:hanging="576"/>
        <w:jc w:val="left"/>
      </w:pPr>
      <w:r>
        <w:rPr>
          <w:rFonts w:ascii="Georgia" w:cs="Georgia" w:eastAsia="Georgia" w:hAnsi="Georgia"/>
          <w:color w:val="1A1A1A"/>
          <w:sz w:val="21"/>
          <w:szCs w:val="21"/>
        </w:rPr>
        <w:t xml:space="preserve">I.R.S. Notice 2019-07, 2019-09 I.R.B. 740 (proposed rental real estate safe harbor).</w:t>
      </w:r>
    </w:p>
    <w:p>
      <w:pPr>
        <w:spacing w:after="120" w:line="288"/>
        <w:ind w:left="576" w:hanging="576"/>
        <w:jc w:val="left"/>
      </w:pPr>
      <w:r>
        <w:rPr>
          <w:rFonts w:ascii="Georgia" w:cs="Georgia" w:eastAsia="Georgia" w:hAnsi="Georgia"/>
          <w:color w:val="1A1A1A"/>
          <w:sz w:val="21"/>
          <w:szCs w:val="21"/>
        </w:rPr>
        <w:t xml:space="preserve">I.R.S. Notice 2014-58, 2014-44 I.R.B. 746 (economic substance doctrine; definition of “transaction”).</w:t>
      </w:r>
    </w:p>
    <w:p>
      <w:pPr>
        <w:spacing w:after="120" w:line="288"/>
        <w:ind w:left="576" w:hanging="576"/>
        <w:jc w:val="left"/>
      </w:pPr>
      <w:r>
        <w:rPr>
          <w:rFonts w:ascii="Georgia" w:cs="Georgia" w:eastAsia="Georgia" w:hAnsi="Georgia"/>
          <w:color w:val="1A1A1A"/>
          <w:sz w:val="21"/>
          <w:szCs w:val="21"/>
        </w:rPr>
        <w:t xml:space="preserve">I.R.S. Notice 2026-11 (guidance on permanent 100% additional first-year depreciation under the 2025 legislation).</w:t>
      </w:r>
    </w:p>
    <w:p>
      <w:pPr>
        <w:spacing w:after="120" w:line="288"/>
        <w:ind w:left="576" w:hanging="576"/>
        <w:jc w:val="left"/>
      </w:pPr>
      <w:r>
        <w:rPr>
          <w:rFonts w:ascii="Georgia" w:cs="Georgia" w:eastAsia="Georgia" w:hAnsi="Georgia"/>
          <w:color w:val="1A1A1A"/>
          <w:sz w:val="21"/>
          <w:szCs w:val="21"/>
        </w:rPr>
        <w:t xml:space="preserve">Rev. Rul. 2004-64, 2004-2 C.B. 7 (grantor's payment of income tax attributable to grantor trust not an additional gift).</w:t>
      </w:r>
    </w:p>
    <w:p>
      <w:pPr>
        <w:spacing w:after="120" w:line="288"/>
        <w:ind w:left="576" w:hanging="576"/>
        <w:jc w:val="left"/>
      </w:pPr>
      <w:r>
        <w:rPr>
          <w:rFonts w:ascii="Georgia" w:cs="Georgia" w:eastAsia="Georgia" w:hAnsi="Georgia"/>
          <w:color w:val="1A1A1A"/>
          <w:sz w:val="21"/>
          <w:szCs w:val="21"/>
        </w:rPr>
        <w:t xml:space="preserve">Rev. Rul. 2023-2, 2023-16 I.R.B. 658 (no § 1014 basis adjustment for assets of an irrevocable grantor trust excluded from the gross estate).</w:t>
      </w:r>
    </w:p>
    <w:p>
      <w:pPr>
        <w:spacing w:after="120" w:line="288"/>
        <w:ind w:left="576" w:hanging="576"/>
        <w:jc w:val="left"/>
      </w:pPr>
      <w:r>
        <w:rPr>
          <w:rFonts w:ascii="Georgia" w:cs="Georgia" w:eastAsia="Georgia" w:hAnsi="Georgia"/>
          <w:color w:val="1A1A1A"/>
          <w:sz w:val="21"/>
          <w:szCs w:val="21"/>
        </w:rPr>
        <w:t xml:space="preserve">I.R.S. Chief Counsel Advice 202352018 (gift-tax consequences of adding a tax-reimbursement clause to a grantor trust).</w:t>
      </w:r>
    </w:p>
    <w:p>
      <w:pPr>
        <w:spacing w:after="120" w:line="288"/>
        <w:ind w:left="576" w:hanging="576"/>
        <w:jc w:val="left"/>
      </w:pPr>
      <w:r>
        <w:rPr>
          <w:rFonts w:ascii="Georgia" w:cs="Georgia" w:eastAsia="Georgia" w:hAnsi="Georgia"/>
          <w:color w:val="1A1A1A"/>
          <w:sz w:val="21"/>
          <w:szCs w:val="21"/>
        </w:rPr>
        <w:t xml:space="preserve">Internal Revenue Service, Publication 523, Selling Your Home.</w:t>
      </w:r>
    </w:p>
    <w:p>
      <w:pPr>
        <w:spacing w:after="120" w:line="288"/>
        <w:ind w:left="576" w:hanging="576"/>
        <w:jc w:val="left"/>
      </w:pPr>
      <w:r>
        <w:rPr>
          <w:rFonts w:ascii="Georgia" w:cs="Georgia" w:eastAsia="Georgia" w:hAnsi="Georgia"/>
          <w:color w:val="1A1A1A"/>
          <w:sz w:val="21"/>
          <w:szCs w:val="21"/>
        </w:rPr>
        <w:t xml:space="preserve">Internal Revenue Service, Publication 925, Passive Activity and At-Risk Rules.</w:t>
      </w:r>
    </w:p>
    <w:p>
      <w:pPr>
        <w:spacing w:after="120" w:line="288"/>
        <w:ind w:left="576" w:hanging="576"/>
        <w:jc w:val="left"/>
      </w:pPr>
      <w:r>
        <w:rPr>
          <w:rFonts w:ascii="Georgia" w:cs="Georgia" w:eastAsia="Georgia" w:hAnsi="Georgia"/>
          <w:color w:val="1A1A1A"/>
          <w:sz w:val="21"/>
          <w:szCs w:val="21"/>
        </w:rPr>
        <w:t xml:space="preserve">Internal Revenue Service, Publication 527, Residential Rental Property.</w:t>
      </w:r>
    </w:p>
    <w:p>
      <w:pPr>
        <w:spacing w:after="120" w:line="288"/>
        <w:ind w:left="576" w:hanging="576"/>
        <w:jc w:val="left"/>
      </w:pPr>
      <w:r>
        <w:rPr>
          <w:rFonts w:ascii="Georgia" w:cs="Georgia" w:eastAsia="Georgia" w:hAnsi="Georgia"/>
          <w:color w:val="1A1A1A"/>
          <w:sz w:val="21"/>
          <w:szCs w:val="21"/>
        </w:rPr>
        <w:t xml:space="preserve">Internal Revenue Service, Topic No. 409, Capital Gains and Losses; Topic No. 701, Sale of Your Home; Topic No. 704, Depreciation.</w:t>
      </w:r>
    </w:p>
    <w:p>
      <w:pPr>
        <w:pStyle w:val="Heading2"/>
        <w:keepNext/>
        <w:spacing w:after="100" w:before="240"/>
      </w:pPr>
      <w:r>
        <w:rPr>
          <w:rFonts w:ascii="Georgia" w:cs="Georgia" w:eastAsia="Georgia" w:hAnsi="Georgia"/>
          <w:b/>
          <w:bCs/>
          <w:color w:val="1F3A5F"/>
          <w:sz w:val="22"/>
          <w:szCs w:val="22"/>
        </w:rPr>
        <w:t xml:space="preserve"/>
      </w:r>
      <w:r>
        <w:rPr>
          <w:rFonts w:ascii="Georgia" w:cs="Georgia" w:eastAsia="Georgia" w:hAnsi="Georgia"/>
          <w:b/>
          <w:bCs/>
          <w:color w:val="1F3A5F"/>
          <w:sz w:val="22"/>
          <w:szCs w:val="22"/>
        </w:rPr>
        <w:t xml:space="preserve">Federal Statutes</w:t>
      </w:r>
    </w:p>
    <w:p>
      <w:pPr>
        <w:spacing w:after="120" w:line="288"/>
        <w:ind w:left="576" w:hanging="576"/>
        <w:jc w:val="left"/>
      </w:pPr>
      <w:r>
        <w:rPr>
          <w:rFonts w:ascii="Georgia" w:cs="Georgia" w:eastAsia="Georgia" w:hAnsi="Georgia"/>
          <w:color w:val="1A1A1A"/>
          <w:sz w:val="21"/>
          <w:szCs w:val="21"/>
        </w:rPr>
        <w:t xml:space="preserve">Fair Housing Act, 42 U.S.C. §§ 3601–3619 (Title VIII of the Civil Rights Act of 1968, as amended by the Fair Housing Amendments Act of 1988).</w:t>
      </w:r>
    </w:p>
    <w:p>
      <w:pPr>
        <w:spacing w:after="120" w:line="288"/>
        <w:ind w:left="576" w:hanging="576"/>
        <w:jc w:val="left"/>
      </w:pPr>
      <w:r>
        <w:rPr>
          <w:rFonts w:ascii="Georgia" w:cs="Georgia" w:eastAsia="Georgia" w:hAnsi="Georgia"/>
          <w:color w:val="1A1A1A"/>
          <w:sz w:val="21"/>
          <w:szCs w:val="21"/>
        </w:rPr>
        <w:t xml:space="preserve">42 U.S.C. § 3604 (discrimination in the sale or rental of housing and other prohibited practices).</w:t>
      </w:r>
    </w:p>
    <w:p>
      <w:pPr>
        <w:spacing w:after="120" w:line="288"/>
        <w:ind w:left="576" w:hanging="576"/>
        <w:jc w:val="left"/>
      </w:pPr>
      <w:r>
        <w:rPr>
          <w:rFonts w:ascii="Georgia" w:cs="Georgia" w:eastAsia="Georgia" w:hAnsi="Georgia"/>
          <w:color w:val="1A1A1A"/>
          <w:sz w:val="21"/>
          <w:szCs w:val="21"/>
        </w:rPr>
        <w:t xml:space="preserve">42 U.S.C. § 3605 (discrimination in residential real estate-related transactions).</w:t>
      </w:r>
    </w:p>
    <w:p>
      <w:pPr>
        <w:spacing w:after="120" w:line="288"/>
        <w:ind w:left="576" w:hanging="576"/>
        <w:jc w:val="left"/>
      </w:pPr>
      <w:r>
        <w:rPr>
          <w:rFonts w:ascii="Georgia" w:cs="Georgia" w:eastAsia="Georgia" w:hAnsi="Georgia"/>
          <w:color w:val="1A1A1A"/>
          <w:sz w:val="21"/>
          <w:szCs w:val="21"/>
        </w:rPr>
        <w:t xml:space="preserve">42 U.S.C. § 3617 (interference, coercion, or intimidation).</w:t>
      </w:r>
    </w:p>
    <w:p>
      <w:pPr>
        <w:spacing w:after="120" w:line="288"/>
        <w:ind w:left="576" w:hanging="576"/>
        <w:jc w:val="left"/>
      </w:pPr>
      <w:r>
        <w:rPr>
          <w:rFonts w:ascii="Georgia" w:cs="Georgia" w:eastAsia="Georgia" w:hAnsi="Georgia"/>
          <w:color w:val="1A1A1A"/>
          <w:sz w:val="21"/>
          <w:szCs w:val="21"/>
        </w:rPr>
        <w:t xml:space="preserve">Investment Company Act of 1940, 15 U.S.C. § 80a-1 et seq.; §§ 3(c)(1) and 3(c)(7) (exclusions from the definition of investment company); § 2(a)(51) (definition of qualified purchaser).</w:t>
      </w:r>
    </w:p>
    <w:p>
      <w:pPr>
        <w:spacing w:after="120" w:line="288"/>
        <w:ind w:left="576" w:hanging="576"/>
        <w:jc w:val="left"/>
      </w:pPr>
      <w:r>
        <w:rPr>
          <w:rFonts w:ascii="Georgia" w:cs="Georgia" w:eastAsia="Georgia" w:hAnsi="Georgia"/>
          <w:color w:val="1A1A1A"/>
          <w:sz w:val="21"/>
          <w:szCs w:val="21"/>
        </w:rPr>
        <w:t xml:space="preserve">Investment Advisers Act of 1940, 15 U.S.C. § 80b-1 et seq.</w:t>
      </w:r>
    </w:p>
    <w:p>
      <w:pPr>
        <w:spacing w:after="120" w:line="288"/>
        <w:ind w:left="576" w:hanging="576"/>
        <w:jc w:val="left"/>
      </w:pPr>
      <w:r>
        <w:rPr>
          <w:rFonts w:ascii="Georgia" w:cs="Georgia" w:eastAsia="Georgia" w:hAnsi="Georgia"/>
          <w:color w:val="1A1A1A"/>
          <w:sz w:val="21"/>
          <w:szCs w:val="21"/>
        </w:rPr>
        <w:t xml:space="preserve">Securities Act of 1933, 15 U.S.C. § 77a et seq.; Regulation D, 17 C.F.R. §§ 230.500–230.508; Rule 506 (private-placement safe harbor); accredited-investor definition, 17 C.F.R. § 230.501(a).</w:t>
      </w:r>
    </w:p>
    <w:p>
      <w:pPr>
        <w:spacing w:after="120" w:line="288"/>
        <w:ind w:left="576" w:hanging="576"/>
        <w:jc w:val="left"/>
      </w:pPr>
      <w:r>
        <w:rPr>
          <w:rFonts w:ascii="Georgia" w:cs="Georgia" w:eastAsia="Georgia" w:hAnsi="Georgia"/>
          <w:color w:val="1A1A1A"/>
          <w:sz w:val="21"/>
          <w:szCs w:val="21"/>
        </w:rPr>
        <w:t xml:space="preserve">Corporate Transparency Act, 31 U.S.C. § 5336 (beneficial ownership information reporting requirements).</w:t>
      </w:r>
    </w:p>
    <w:p>
      <w:pPr>
        <w:spacing w:after="120" w:line="288"/>
        <w:ind w:left="576" w:hanging="576"/>
        <w:jc w:val="left"/>
      </w:pPr>
      <w:r>
        <w:rPr>
          <w:rFonts w:ascii="Georgia" w:cs="Georgia" w:eastAsia="Georgia" w:hAnsi="Georgia"/>
          <w:color w:val="1A1A1A"/>
          <w:sz w:val="21"/>
          <w:szCs w:val="21"/>
        </w:rPr>
        <w:t xml:space="preserve">Financial Crimes Enforcement Network, Beneficial Ownership Information Reporting Requirement Revisions, Interim Final Rule, 90 Fed. Reg. (Mar. 26, 2025) (exempting domestic reporting companies and U.S. persons).</w:t>
      </w:r>
    </w:p>
    <w:p>
      <w:pPr>
        <w:spacing w:after="120" w:line="288"/>
        <w:ind w:left="576" w:hanging="576"/>
        <w:jc w:val="left"/>
      </w:pPr>
      <w:r>
        <w:rPr>
          <w:rFonts w:ascii="Georgia" w:cs="Georgia" w:eastAsia="Georgia" w:hAnsi="Georgia"/>
          <w:color w:val="1A1A1A"/>
          <w:sz w:val="21"/>
          <w:szCs w:val="21"/>
        </w:rPr>
        <w:t xml:space="preserve">Tax Cuts and Jobs Act, Pub. L. No. 115-97, 131 Stat. 2054 (2017).</w:t>
      </w:r>
    </w:p>
    <w:p>
      <w:pPr>
        <w:spacing w:after="120" w:line="288"/>
        <w:ind w:left="576" w:hanging="576"/>
        <w:jc w:val="left"/>
      </w:pPr>
      <w:r>
        <w:rPr>
          <w:rFonts w:ascii="Georgia" w:cs="Georgia" w:eastAsia="Georgia" w:hAnsi="Georgia"/>
          <w:color w:val="1A1A1A"/>
          <w:sz w:val="21"/>
          <w:szCs w:val="21"/>
        </w:rPr>
        <w:t xml:space="preserve">One Big Beautiful Bill Act, Pub. L. No. 119-21 (2025) (permanent transfer-tax exemption; permanent 100% bonus depreciation; qualified production property expensing).</w:t>
      </w:r>
    </w:p>
    <w:p>
      <w:pPr>
        <w:spacing w:after="120" w:line="288"/>
        <w:ind w:left="576" w:hanging="576"/>
        <w:jc w:val="left"/>
      </w:pPr>
      <w:r>
        <w:rPr>
          <w:rFonts w:ascii="Georgia" w:cs="Georgia" w:eastAsia="Georgia" w:hAnsi="Georgia"/>
          <w:color w:val="1A1A1A"/>
          <w:sz w:val="21"/>
          <w:szCs w:val="21"/>
        </w:rPr>
        <w:t xml:space="preserve">Tax Reform Act of 1986, Pub. L. No. 99-514, 100 Stat. 2085 (enacting the passive activity loss rules).</w:t>
      </w:r>
    </w:p>
    <w:p>
      <w:pPr>
        <w:spacing w:after="120" w:line="288"/>
        <w:ind w:left="576" w:hanging="576"/>
        <w:jc w:val="left"/>
      </w:pPr>
      <w:r>
        <w:rPr>
          <w:rFonts w:ascii="Georgia" w:cs="Georgia" w:eastAsia="Georgia" w:hAnsi="Georgia"/>
          <w:color w:val="1A1A1A"/>
          <w:sz w:val="21"/>
          <w:szCs w:val="21"/>
        </w:rPr>
        <w:t xml:space="preserve">Revenue Act of 1921, Pub. L. No. 67-98, 42 Stat. 227 (origin of the like-kind exchange provision).</w:t>
      </w:r>
    </w:p>
    <w:p>
      <w:pPr>
        <w:spacing w:after="120" w:line="288"/>
        <w:ind w:left="576" w:hanging="576"/>
        <w:jc w:val="left"/>
      </w:pPr>
      <w:r>
        <w:rPr>
          <w:rFonts w:ascii="Georgia" w:cs="Georgia" w:eastAsia="Georgia" w:hAnsi="Georgia"/>
          <w:color w:val="1A1A1A"/>
          <w:sz w:val="21"/>
          <w:szCs w:val="21"/>
        </w:rPr>
        <w:t xml:space="preserve">Setting Every Community Up for Retirement Enhancement (SECURE) Act of 2019, Pub. L. No. 116-94, div. O.</w:t>
      </w:r>
    </w:p>
    <w:p>
      <w:pPr>
        <w:spacing w:after="120" w:line="288"/>
        <w:ind w:left="576" w:hanging="576"/>
        <w:jc w:val="left"/>
      </w:pPr>
      <w:r>
        <w:rPr>
          <w:rFonts w:ascii="Georgia" w:cs="Georgia" w:eastAsia="Georgia" w:hAnsi="Georgia"/>
          <w:color w:val="1A1A1A"/>
          <w:sz w:val="21"/>
          <w:szCs w:val="21"/>
        </w:rPr>
        <w:t xml:space="preserve">SECURE 2.0 Act of 2022, Pub. L. No. 117-328, div. T.</w:t>
      </w:r>
    </w:p>
    <w:p>
      <w:pPr>
        <w:pStyle w:val="Heading2"/>
        <w:keepNext/>
        <w:spacing w:after="100" w:before="240"/>
      </w:pPr>
      <w:r>
        <w:rPr>
          <w:rFonts w:ascii="Georgia" w:cs="Georgia" w:eastAsia="Georgia" w:hAnsi="Georgia"/>
          <w:b/>
          <w:bCs/>
          <w:color w:val="1F3A5F"/>
          <w:sz w:val="22"/>
          <w:szCs w:val="22"/>
        </w:rPr>
        <w:t xml:space="preserve"/>
      </w:r>
      <w:r>
        <w:rPr>
          <w:rFonts w:ascii="Georgia" w:cs="Georgia" w:eastAsia="Georgia" w:hAnsi="Georgia"/>
          <w:b/>
          <w:bCs/>
          <w:color w:val="1F3A5F"/>
          <w:sz w:val="22"/>
          <w:szCs w:val="22"/>
        </w:rPr>
        <w:t xml:space="preserve">State Statutes and Uniform Acts</w:t>
      </w:r>
    </w:p>
    <w:p>
      <w:pPr>
        <w:spacing w:after="120" w:line="288"/>
        <w:ind w:left="576" w:hanging="576"/>
        <w:jc w:val="left"/>
      </w:pPr>
      <w:r>
        <w:rPr>
          <w:rFonts w:ascii="Georgia" w:cs="Georgia" w:eastAsia="Georgia" w:hAnsi="Georgia"/>
          <w:color w:val="1A1A1A"/>
          <w:sz w:val="21"/>
          <w:szCs w:val="21"/>
        </w:rPr>
        <w:t xml:space="preserve">Fla. Stat. § 605.0503 (charging order as remedy against a member's transferable interest; single-member limited liability company provisions).</w:t>
      </w:r>
    </w:p>
    <w:p>
      <w:pPr>
        <w:spacing w:after="120" w:line="288"/>
        <w:ind w:left="576" w:hanging="576"/>
        <w:jc w:val="left"/>
      </w:pPr>
      <w:r>
        <w:rPr>
          <w:rFonts w:ascii="Georgia" w:cs="Georgia" w:eastAsia="Georgia" w:hAnsi="Georgia"/>
          <w:color w:val="1A1A1A"/>
          <w:sz w:val="21"/>
          <w:szCs w:val="21"/>
        </w:rPr>
        <w:t xml:space="preserve">Wyo. Stat. Ann. § 17-29-503 (charging order as the exclusive remedy; prohibition of foreclosure).</w:t>
      </w:r>
    </w:p>
    <w:p>
      <w:pPr>
        <w:spacing w:after="120" w:line="288"/>
        <w:ind w:left="576" w:hanging="576"/>
        <w:jc w:val="left"/>
      </w:pPr>
      <w:r>
        <w:rPr>
          <w:rFonts w:ascii="Georgia" w:cs="Georgia" w:eastAsia="Georgia" w:hAnsi="Georgia"/>
          <w:color w:val="1A1A1A"/>
          <w:sz w:val="21"/>
          <w:szCs w:val="21"/>
        </w:rPr>
        <w:t xml:space="preserve">Del. Code Ann. tit. 6, § 18-215 (series of members, managers, transferable interests, or assets of a limited liability company).</w:t>
      </w:r>
    </w:p>
    <w:p>
      <w:pPr>
        <w:spacing w:after="120" w:line="288"/>
        <w:ind w:left="576" w:hanging="576"/>
        <w:jc w:val="left"/>
      </w:pPr>
      <w:r>
        <w:rPr>
          <w:rFonts w:ascii="Georgia" w:cs="Georgia" w:eastAsia="Georgia" w:hAnsi="Georgia"/>
          <w:color w:val="1A1A1A"/>
          <w:sz w:val="21"/>
          <w:szCs w:val="21"/>
        </w:rPr>
        <w:t xml:space="preserve">S.D. Codified Laws § 43-5-8 (common-law rule against perpetuities not in force).</w:t>
      </w:r>
    </w:p>
    <w:p>
      <w:pPr>
        <w:spacing w:after="120" w:line="288"/>
        <w:ind w:left="576" w:hanging="576"/>
        <w:jc w:val="left"/>
      </w:pPr>
      <w:r>
        <w:rPr>
          <w:rFonts w:ascii="Georgia" w:cs="Georgia" w:eastAsia="Georgia" w:hAnsi="Georgia"/>
          <w:color w:val="1A1A1A"/>
          <w:sz w:val="21"/>
          <w:szCs w:val="21"/>
        </w:rPr>
        <w:t xml:space="preserve">S.D. Codified Laws § 21-22-28 (confidentiality of trust proceedings).</w:t>
      </w:r>
    </w:p>
    <w:p>
      <w:pPr>
        <w:spacing w:after="120" w:line="288"/>
        <w:ind w:left="576" w:hanging="576"/>
        <w:jc w:val="left"/>
      </w:pPr>
      <w:r>
        <w:rPr>
          <w:rFonts w:ascii="Georgia" w:cs="Georgia" w:eastAsia="Georgia" w:hAnsi="Georgia"/>
          <w:color w:val="1A1A1A"/>
          <w:sz w:val="21"/>
          <w:szCs w:val="21"/>
        </w:rPr>
        <w:t xml:space="preserve">Uniform Trust Code (Nat'l Conf. of Comm'rs on Unif. State Laws 2000, as amended).</w:t>
      </w:r>
    </w:p>
    <w:p>
      <w:pPr>
        <w:spacing w:after="120" w:line="288"/>
        <w:ind w:left="576" w:hanging="576"/>
        <w:jc w:val="left"/>
      </w:pPr>
      <w:r>
        <w:rPr>
          <w:rFonts w:ascii="Georgia" w:cs="Georgia" w:eastAsia="Georgia" w:hAnsi="Georgia"/>
          <w:color w:val="1A1A1A"/>
          <w:sz w:val="21"/>
          <w:szCs w:val="21"/>
        </w:rPr>
        <w:t xml:space="preserve">Uniform Trust Decanting Act (Unif. Law Comm'n 2015).</w:t>
      </w:r>
    </w:p>
    <w:p>
      <w:pPr>
        <w:spacing w:after="120" w:line="288"/>
        <w:ind w:left="576" w:hanging="576"/>
        <w:jc w:val="left"/>
      </w:pPr>
      <w:r>
        <w:rPr>
          <w:rFonts w:ascii="Georgia" w:cs="Georgia" w:eastAsia="Georgia" w:hAnsi="Georgia"/>
          <w:color w:val="1A1A1A"/>
          <w:sz w:val="21"/>
          <w:szCs w:val="21"/>
        </w:rPr>
        <w:t xml:space="preserve">Uniform Directed Trust Act (Unif. Law Comm'n 2017).</w:t>
      </w:r>
    </w:p>
    <w:p>
      <w:pPr>
        <w:spacing w:after="120" w:line="288"/>
        <w:ind w:left="576" w:hanging="576"/>
        <w:jc w:val="left"/>
      </w:pPr>
      <w:r>
        <w:rPr>
          <w:rFonts w:ascii="Georgia" w:cs="Georgia" w:eastAsia="Georgia" w:hAnsi="Georgia"/>
          <w:color w:val="1A1A1A"/>
          <w:sz w:val="21"/>
          <w:szCs w:val="21"/>
        </w:rPr>
        <w:t xml:space="preserve">Uniform Prudent Investor Act (Unif. Law Comm'n 1994).</w:t>
      </w:r>
    </w:p>
    <w:p>
      <w:pPr>
        <w:spacing w:after="120" w:line="288"/>
        <w:ind w:left="576" w:hanging="576"/>
        <w:jc w:val="left"/>
      </w:pPr>
      <w:r>
        <w:rPr>
          <w:rFonts w:ascii="Georgia" w:cs="Georgia" w:eastAsia="Georgia" w:hAnsi="Georgia"/>
          <w:color w:val="1A1A1A"/>
          <w:sz w:val="21"/>
          <w:szCs w:val="21"/>
        </w:rPr>
        <w:t xml:space="preserve">Uniform Fiduciary Income and Principal Act (Unif. Law Comm'n 2018).</w:t>
      </w:r>
    </w:p>
    <w:p>
      <w:pPr>
        <w:spacing w:after="120" w:line="288"/>
        <w:ind w:left="576" w:hanging="576"/>
        <w:jc w:val="left"/>
      </w:pPr>
      <w:r>
        <w:rPr>
          <w:rFonts w:ascii="Georgia" w:cs="Georgia" w:eastAsia="Georgia" w:hAnsi="Georgia"/>
          <w:color w:val="1A1A1A"/>
          <w:sz w:val="21"/>
          <w:szCs w:val="21"/>
        </w:rPr>
        <w:t xml:space="preserve">Uniform Residential Landlord and Tenant Act (Nat'l Conf. of Comm'rs on Unif. State Laws 1972, as amended).</w:t>
      </w:r>
    </w:p>
    <w:p>
      <w:pPr>
        <w:spacing w:after="120" w:line="288"/>
        <w:ind w:left="576" w:hanging="576"/>
        <w:jc w:val="left"/>
      </w:pPr>
      <w:r>
        <w:rPr>
          <w:rFonts w:ascii="Georgia" w:cs="Georgia" w:eastAsia="Georgia" w:hAnsi="Georgia"/>
          <w:color w:val="1A1A1A"/>
          <w:sz w:val="21"/>
          <w:szCs w:val="21"/>
        </w:rPr>
        <w:t xml:space="preserve">Uniform Voidable Transactions Act (formerly Uniform Fraudulent Transfer Act) (Unif. Law Comm'n).</w:t>
      </w:r>
    </w:p>
    <w:p>
      <w:pPr>
        <w:spacing w:after="120" w:line="288"/>
        <w:ind w:left="576" w:hanging="576"/>
        <w:jc w:val="left"/>
      </w:pPr>
      <w:r>
        <w:rPr>
          <w:rFonts w:ascii="Georgia" w:cs="Georgia" w:eastAsia="Georgia" w:hAnsi="Georgia"/>
          <w:color w:val="1A1A1A"/>
          <w:sz w:val="21"/>
          <w:szCs w:val="21"/>
        </w:rPr>
        <w:t xml:space="preserve">Uniform Limited Liability Company Act (Unif. Law Comm'n, Revised 2006).</w:t>
      </w:r>
    </w:p>
    <w:p>
      <w:pPr>
        <w:spacing w:after="120" w:line="288"/>
        <w:ind w:left="576" w:hanging="576"/>
        <w:jc w:val="left"/>
      </w:pPr>
      <w:r>
        <w:rPr>
          <w:rFonts w:ascii="Georgia" w:cs="Georgia" w:eastAsia="Georgia" w:hAnsi="Georgia"/>
          <w:color w:val="1A1A1A"/>
          <w:sz w:val="21"/>
          <w:szCs w:val="21"/>
        </w:rPr>
        <w:t xml:space="preserve">Restatement (Second) of Property: Landlord and Tenant (Am. Law Inst. 1977).</w:t>
      </w:r>
    </w:p>
    <w:p>
      <w:pPr>
        <w:spacing w:after="120" w:line="288"/>
        <w:ind w:left="576" w:hanging="576"/>
        <w:jc w:val="left"/>
      </w:pPr>
      <w:r>
        <w:rPr>
          <w:rFonts w:ascii="Georgia" w:cs="Georgia" w:eastAsia="Georgia" w:hAnsi="Georgia"/>
          <w:color w:val="1A1A1A"/>
          <w:sz w:val="21"/>
          <w:szCs w:val="21"/>
        </w:rPr>
        <w:t xml:space="preserve">Restatement (Third) of Trusts (Am. Law Inst. 2003–2012).</w:t>
      </w:r>
    </w:p>
    <w:p>
      <w:pPr>
        <w:spacing w:after="120" w:line="288"/>
        <w:ind w:left="576" w:hanging="576"/>
        <w:jc w:val="left"/>
      </w:pPr>
      <w:r>
        <w:rPr>
          <w:rFonts w:ascii="Georgia" w:cs="Georgia" w:eastAsia="Georgia" w:hAnsi="Georgia"/>
          <w:color w:val="1A1A1A"/>
          <w:sz w:val="21"/>
          <w:szCs w:val="21"/>
        </w:rPr>
        <w:t xml:space="preserve">Restatement (Third) of Property: Wills and Other Donative Transfers (Am. Law Inst.).</w:t>
      </w:r>
    </w:p>
    <w:p>
      <w:pPr>
        <w:pStyle w:val="Heading2"/>
        <w:keepNext/>
        <w:spacing w:after="100" w:before="240"/>
      </w:pPr>
      <w:r>
        <w:rPr>
          <w:rFonts w:ascii="Georgia" w:cs="Georgia" w:eastAsia="Georgia" w:hAnsi="Georgia"/>
          <w:b/>
          <w:bCs/>
          <w:color w:val="1F3A5F"/>
          <w:sz w:val="22"/>
          <w:szCs w:val="22"/>
        </w:rPr>
        <w:t xml:space="preserve"/>
      </w:r>
      <w:r>
        <w:rPr>
          <w:rFonts w:ascii="Georgia" w:cs="Georgia" w:eastAsia="Georgia" w:hAnsi="Georgia"/>
          <w:b/>
          <w:bCs/>
          <w:color w:val="1F3A5F"/>
          <w:sz w:val="22"/>
          <w:szCs w:val="22"/>
        </w:rPr>
        <w:t xml:space="preserve">Cases</w:t>
      </w:r>
    </w:p>
    <w:p>
      <w:pPr>
        <w:spacing w:after="120" w:line="288"/>
        <w:ind w:left="576" w:hanging="576"/>
        <w:jc w:val="left"/>
      </w:pPr>
      <w:r>
        <w:rPr>
          <w:rFonts w:ascii="Georgia" w:cs="Georgia" w:eastAsia="Georgia" w:hAnsi="Georgia"/>
          <w:color w:val="1A1A1A"/>
          <w:sz w:val="21"/>
          <w:szCs w:val="21"/>
        </w:rPr>
        <w:t xml:space="preserve">Javins v. First National Realty Corp., 428 F.2d 1071 (D.C. Cir. 1970).</w:t>
      </w:r>
    </w:p>
    <w:p>
      <w:pPr>
        <w:spacing w:after="120" w:line="288"/>
        <w:ind w:left="576" w:hanging="576"/>
        <w:jc w:val="left"/>
      </w:pPr>
      <w:r>
        <w:rPr>
          <w:rFonts w:ascii="Georgia" w:cs="Georgia" w:eastAsia="Georgia" w:hAnsi="Georgia"/>
          <w:color w:val="1A1A1A"/>
          <w:sz w:val="21"/>
          <w:szCs w:val="21"/>
        </w:rPr>
        <w:t xml:space="preserve">Gregory v. Helvering, 293 U.S. 465 (1935).</w:t>
      </w:r>
    </w:p>
    <w:p>
      <w:pPr>
        <w:spacing w:after="120" w:line="288"/>
        <w:ind w:left="576" w:hanging="576"/>
        <w:jc w:val="left"/>
      </w:pPr>
      <w:r>
        <w:rPr>
          <w:rFonts w:ascii="Georgia" w:cs="Georgia" w:eastAsia="Georgia" w:hAnsi="Georgia"/>
          <w:color w:val="1A1A1A"/>
          <w:sz w:val="21"/>
          <w:szCs w:val="21"/>
        </w:rPr>
        <w:t xml:space="preserve">Frank Lyon Co. v. United States, 435 U.S. 561 (1978).</w:t>
      </w:r>
    </w:p>
    <w:p>
      <w:pPr>
        <w:spacing w:after="120" w:line="288"/>
        <w:ind w:left="576" w:hanging="576"/>
        <w:jc w:val="left"/>
      </w:pPr>
      <w:r>
        <w:rPr>
          <w:rFonts w:ascii="Georgia" w:cs="Georgia" w:eastAsia="Georgia" w:hAnsi="Georgia"/>
          <w:color w:val="1A1A1A"/>
          <w:sz w:val="21"/>
          <w:szCs w:val="21"/>
        </w:rPr>
        <w:t xml:space="preserve">Commissioner v. Culbertson, 337 U.S. 733 (1949).</w:t>
      </w:r>
    </w:p>
    <w:p>
      <w:pPr>
        <w:spacing w:after="120" w:line="288"/>
        <w:ind w:left="576" w:hanging="576"/>
        <w:jc w:val="left"/>
      </w:pPr>
      <w:r>
        <w:rPr>
          <w:rFonts w:ascii="Georgia" w:cs="Georgia" w:eastAsia="Georgia" w:hAnsi="Georgia"/>
          <w:color w:val="1A1A1A"/>
          <w:sz w:val="21"/>
          <w:szCs w:val="21"/>
        </w:rPr>
        <w:t xml:space="preserve">Knight v. Commissioner, 552 U.S. 181 (2008).</w:t>
      </w:r>
    </w:p>
    <w:p>
      <w:pPr>
        <w:spacing w:after="120" w:line="288"/>
        <w:ind w:left="576" w:hanging="576"/>
        <w:jc w:val="left"/>
      </w:pPr>
      <w:r>
        <w:rPr>
          <w:rFonts w:ascii="Georgia" w:cs="Georgia" w:eastAsia="Georgia" w:hAnsi="Georgia"/>
          <w:color w:val="1A1A1A"/>
          <w:sz w:val="21"/>
          <w:szCs w:val="21"/>
        </w:rPr>
        <w:t xml:space="preserve">Olmstead v. Federal Trade Commission, 44 So. 3d 76 (Fla. 2010).</w:t>
      </w:r>
    </w:p>
    <w:p>
      <w:pPr>
        <w:spacing w:after="120" w:line="288"/>
        <w:ind w:left="576" w:hanging="576"/>
        <w:jc w:val="left"/>
      </w:pPr>
      <w:r>
        <w:rPr>
          <w:rFonts w:ascii="Georgia" w:cs="Georgia" w:eastAsia="Georgia" w:hAnsi="Georgia"/>
          <w:color w:val="1A1A1A"/>
          <w:sz w:val="21"/>
          <w:szCs w:val="21"/>
        </w:rPr>
        <w:t xml:space="preserve">In re Albright, 291 B.R. 538 (Bankr. D. Colo. 2003).</w:t>
      </w:r>
    </w:p>
    <w:p>
      <w:pPr>
        <w:spacing w:after="120" w:line="288"/>
        <w:ind w:left="576" w:hanging="576"/>
        <w:jc w:val="left"/>
      </w:pPr>
      <w:r>
        <w:rPr>
          <w:rFonts w:ascii="Georgia" w:cs="Georgia" w:eastAsia="Georgia" w:hAnsi="Georgia"/>
          <w:color w:val="1A1A1A"/>
          <w:sz w:val="21"/>
          <w:szCs w:val="21"/>
        </w:rPr>
        <w:t xml:space="preserve">Texas Department of Housing &amp; Community Affairs v. Inclusive Communities Project, Inc., 576 U.S. 519 (2015).</w:t>
      </w:r>
    </w:p>
    <w:p>
      <w:pPr>
        <w:spacing w:after="120" w:line="288"/>
        <w:ind w:left="576" w:hanging="576"/>
        <w:jc w:val="left"/>
      </w:pPr>
      <w:r>
        <w:rPr>
          <w:rFonts w:ascii="Georgia" w:cs="Georgia" w:eastAsia="Georgia" w:hAnsi="Georgia"/>
          <w:color w:val="1A1A1A"/>
          <w:sz w:val="21"/>
          <w:szCs w:val="21"/>
        </w:rPr>
        <w:t xml:space="preserve">North Carolina Department of Revenue v. Kimberley Rice Kaestner 1992 Family Trust, 588 U.S. 262 (2019).</w:t>
      </w:r>
    </w:p>
    <w:p>
      <w:pPr>
        <w:spacing w:after="120" w:line="288"/>
        <w:ind w:left="576" w:hanging="576"/>
        <w:jc w:val="left"/>
      </w:pPr>
      <w:r>
        <w:rPr>
          <w:rFonts w:ascii="Georgia" w:cs="Georgia" w:eastAsia="Georgia" w:hAnsi="Georgia"/>
          <w:color w:val="1A1A1A"/>
          <w:sz w:val="21"/>
          <w:szCs w:val="21"/>
        </w:rPr>
        <w:t xml:space="preserve">Estate of Fields v. Commissioner, T.C. Memo. 2024-90.</w:t>
      </w:r>
    </w:p>
    <w:p>
      <w:pPr>
        <w:spacing w:after="120" w:line="288"/>
        <w:ind w:left="576" w:hanging="576"/>
        <w:jc w:val="left"/>
      </w:pPr>
      <w:r>
        <w:rPr>
          <w:rFonts w:ascii="Georgia" w:cs="Georgia" w:eastAsia="Georgia" w:hAnsi="Georgia"/>
          <w:color w:val="1A1A1A"/>
          <w:sz w:val="21"/>
          <w:szCs w:val="21"/>
        </w:rPr>
        <w:t xml:space="preserve">National Small Business United v. U.S. Department of the Treasury (11th Cir. 2025).</w:t>
      </w:r>
    </w:p>
    <w:p>
      <w:pPr>
        <w:pStyle w:val="Heading2"/>
        <w:keepNext/>
        <w:spacing w:after="100" w:before="240"/>
      </w:pPr>
      <w:r>
        <w:rPr>
          <w:rFonts w:ascii="Georgia" w:cs="Georgia" w:eastAsia="Georgia" w:hAnsi="Georgia"/>
          <w:b/>
          <w:bCs/>
          <w:color w:val="1F3A5F"/>
          <w:sz w:val="22"/>
          <w:szCs w:val="22"/>
        </w:rPr>
        <w:t xml:space="preserve"/>
      </w:r>
      <w:r>
        <w:rPr>
          <w:rFonts w:ascii="Georgia" w:cs="Georgia" w:eastAsia="Georgia" w:hAnsi="Georgia"/>
          <w:b/>
          <w:bCs/>
          <w:color w:val="1F3A5F"/>
          <w:sz w:val="22"/>
          <w:szCs w:val="22"/>
        </w:rPr>
        <w:t xml:space="preserve">Secondary Sources — Government, Academic, and Practitioner Commentary</w:t>
      </w:r>
    </w:p>
    <w:p>
      <w:pPr>
        <w:spacing w:after="120" w:line="288"/>
        <w:ind w:left="576" w:hanging="576"/>
        <w:jc w:val="left"/>
      </w:pPr>
      <w:r>
        <w:rPr>
          <w:rFonts w:ascii="Georgia" w:cs="Georgia" w:eastAsia="Georgia" w:hAnsi="Georgia"/>
          <w:color w:val="1A1A1A"/>
          <w:sz w:val="21"/>
          <w:szCs w:val="21"/>
        </w:rPr>
        <w:t xml:space="preserve">Congressional Research Service, The Fair Housing Act (FHA): A Legal Overview, Rep. No. R48113.</w:t>
      </w:r>
    </w:p>
    <w:p>
      <w:pPr>
        <w:spacing w:after="120" w:line="288"/>
        <w:ind w:left="576" w:hanging="576"/>
        <w:jc w:val="left"/>
      </w:pPr>
      <w:r>
        <w:rPr>
          <w:rFonts w:ascii="Georgia" w:cs="Georgia" w:eastAsia="Georgia" w:hAnsi="Georgia"/>
          <w:color w:val="1A1A1A"/>
          <w:sz w:val="21"/>
          <w:szCs w:val="21"/>
        </w:rPr>
        <w:t xml:space="preserve">Congressional Research Service, analyses of the 2025 tax legislation and the federal transfer-tax system.</w:t>
      </w:r>
    </w:p>
    <w:p>
      <w:pPr>
        <w:spacing w:after="120" w:line="288"/>
        <w:ind w:left="576" w:hanging="576"/>
        <w:jc w:val="left"/>
      </w:pPr>
      <w:r>
        <w:rPr>
          <w:rFonts w:ascii="Georgia" w:cs="Georgia" w:eastAsia="Georgia" w:hAnsi="Georgia"/>
          <w:color w:val="1A1A1A"/>
          <w:sz w:val="21"/>
          <w:szCs w:val="21"/>
        </w:rPr>
        <w:t xml:space="preserve">Legal Information Institute, Cornell Law School, Wex entries on the implied warranty of habitability and the Fair Housing Act.</w:t>
      </w:r>
    </w:p>
    <w:p>
      <w:pPr>
        <w:spacing w:after="120" w:line="288"/>
        <w:ind w:left="576" w:hanging="576"/>
        <w:jc w:val="left"/>
      </w:pPr>
      <w:r>
        <w:rPr>
          <w:rFonts w:ascii="Georgia" w:cs="Georgia" w:eastAsia="Georgia" w:hAnsi="Georgia"/>
          <w:color w:val="1A1A1A"/>
          <w:sz w:val="21"/>
          <w:szCs w:val="21"/>
        </w:rPr>
        <w:t xml:space="preserve">Tax Foundation, surveys of state estate and inheritance taxes.</w:t>
      </w:r>
    </w:p>
    <w:p>
      <w:pPr>
        <w:spacing w:after="120" w:line="288"/>
        <w:ind w:left="576" w:hanging="576"/>
        <w:jc w:val="left"/>
      </w:pPr>
      <w:r>
        <w:rPr>
          <w:rFonts w:ascii="Georgia" w:cs="Georgia" w:eastAsia="Georgia" w:hAnsi="Georgia"/>
          <w:color w:val="1A1A1A"/>
          <w:sz w:val="21"/>
          <w:szCs w:val="21"/>
        </w:rPr>
        <w:t xml:space="preserve">American Bar Association, Section of Real Property, Trust and Estate Law, materials on like-kind exchanges under Code section 1031.</w:t>
      </w:r>
    </w:p>
    <w:p>
      <w:pPr>
        <w:spacing w:after="120" w:line="288"/>
        <w:ind w:left="576" w:hanging="576"/>
        <w:jc w:val="left"/>
      </w:pPr>
      <w:r>
        <w:rPr>
          <w:rFonts w:ascii="Georgia" w:cs="Georgia" w:eastAsia="Georgia" w:hAnsi="Georgia"/>
          <w:color w:val="1A1A1A"/>
          <w:sz w:val="21"/>
          <w:szCs w:val="21"/>
        </w:rPr>
        <w:t xml:space="preserve">American College of Trust and Estate Counsel (ACTEC), commentary on trust decanting, directed trusts, and grantor trusts.</w:t>
      </w:r>
    </w:p>
    <w:p>
      <w:pPr>
        <w:spacing w:after="120" w:line="288"/>
        <w:ind w:left="576" w:hanging="576"/>
        <w:jc w:val="left"/>
      </w:pPr>
      <w:r>
        <w:rPr>
          <w:rFonts w:ascii="Georgia" w:cs="Georgia" w:eastAsia="Georgia" w:hAnsi="Georgia"/>
          <w:color w:val="1A1A1A"/>
          <w:sz w:val="21"/>
          <w:szCs w:val="21"/>
        </w:rPr>
        <w:t xml:space="preserve">Uniform Law Commission, prefatory notes and comments to the Uniform Trust Code, the Uniform Trust Decanting Act, and the Uniform Directed Trust Act.</w:t>
      </w:r>
    </w:p>
    <w:p>
      <w:pPr>
        <w:spacing w:after="120" w:line="288"/>
        <w:ind w:left="576" w:hanging="576"/>
        <w:jc w:val="left"/>
      </w:pPr>
      <w:r>
        <w:rPr>
          <w:rFonts w:ascii="Georgia" w:cs="Georgia" w:eastAsia="Georgia" w:hAnsi="Georgia"/>
          <w:color w:val="1A1A1A"/>
          <w:sz w:val="21"/>
          <w:szCs w:val="21"/>
        </w:rPr>
        <w:t xml:space="preserve">BDO USA, analysis of depreciation and expensing provisions of the One Big Beautiful Bill Act (2025).</w:t>
      </w:r>
    </w:p>
    <w:p>
      <w:pPr>
        <w:spacing w:after="120" w:line="288"/>
        <w:ind w:left="576" w:hanging="576"/>
        <w:jc w:val="left"/>
      </w:pPr>
      <w:r>
        <w:rPr>
          <w:rFonts w:ascii="Georgia" w:cs="Georgia" w:eastAsia="Georgia" w:hAnsi="Georgia"/>
          <w:color w:val="1A1A1A"/>
          <w:sz w:val="21"/>
          <w:szCs w:val="21"/>
        </w:rPr>
        <w:t xml:space="preserve">RSM US LLP, commentary on jurisdictional planning and state challenges to trust and entity structures.</w:t>
      </w:r>
    </w:p>
    <w:p>
      <w:pPr>
        <w:spacing w:after="120" w:line="288"/>
        <w:ind w:left="576" w:hanging="576"/>
        <w:jc w:val="left"/>
      </w:pPr>
      <w:r>
        <w:rPr>
          <w:rFonts w:ascii="Georgia" w:cs="Georgia" w:eastAsia="Georgia" w:hAnsi="Georgia"/>
          <w:color w:val="1A1A1A"/>
          <w:sz w:val="21"/>
          <w:szCs w:val="21"/>
        </w:rPr>
        <w:t xml:space="preserve">PwC and Eide Bailly, analyses of the estate, gift, and generation-skipping transfer tax provisions of the 2025 legislation.</w:t>
      </w:r>
    </w:p>
    <w:p>
      <w:pPr>
        <w:spacing w:after="120" w:line="288"/>
        <w:ind w:left="576" w:hanging="576"/>
        <w:jc w:val="left"/>
      </w:pPr>
      <w:r>
        <w:rPr>
          <w:rFonts w:ascii="Georgia" w:cs="Georgia" w:eastAsia="Georgia" w:hAnsi="Georgia"/>
          <w:color w:val="1A1A1A"/>
          <w:sz w:val="21"/>
          <w:szCs w:val="21"/>
        </w:rPr>
        <w:t xml:space="preserve">Pierce Atwood LLP, commentary on the permanent basic exclusion amount under section 2010(c)(3)(A).</w:t>
      </w:r>
    </w:p>
    <w:p>
      <w:pPr>
        <w:spacing w:after="120" w:line="288"/>
        <w:ind w:left="576" w:hanging="576"/>
        <w:jc w:val="left"/>
      </w:pPr>
      <w:r>
        <w:rPr>
          <w:rFonts w:ascii="Georgia" w:cs="Georgia" w:eastAsia="Georgia" w:hAnsi="Georgia"/>
          <w:color w:val="1A1A1A"/>
          <w:sz w:val="21"/>
          <w:szCs w:val="21"/>
        </w:rPr>
        <w:t xml:space="preserve">The Tax Adviser (Am. Inst. of CPAs), articles on like-kind exchanges of real estate and on the codified economic substance doctrine.</w:t>
      </w:r>
    </w:p>
    <w:p>
      <w:pPr>
        <w:spacing w:after="120" w:line="288"/>
        <w:ind w:left="576" w:hanging="576"/>
        <w:jc w:val="left"/>
      </w:pPr>
      <w:r>
        <w:rPr>
          <w:rFonts w:ascii="Georgia" w:cs="Georgia" w:eastAsia="Georgia" w:hAnsi="Georgia"/>
          <w:color w:val="1A1A1A"/>
          <w:sz w:val="21"/>
          <w:szCs w:val="21"/>
        </w:rPr>
        <w:t xml:space="preserve">Journal of Accountancy (Am. Inst. of CPAs), coverage of depreciation, the qualified business income deduction, and transfer-tax developments.</w:t>
      </w:r>
    </w:p>
    <w:p>
      <w:pPr>
        <w:spacing w:after="120" w:line="288"/>
        <w:ind w:left="576" w:hanging="576"/>
        <w:jc w:val="left"/>
      </w:pPr>
      <w:r>
        <w:rPr>
          <w:rFonts w:ascii="Georgia" w:cs="Georgia" w:eastAsia="Georgia" w:hAnsi="Georgia"/>
          <w:color w:val="1A1A1A"/>
          <w:sz w:val="21"/>
          <w:szCs w:val="21"/>
        </w:rPr>
        <w:t xml:space="preserve">Source Advisors and cost-segregation practitioners, guidance on depreciation recapture under sections 1245 and 1250.</w:t>
      </w:r>
    </w:p>
    <w:p>
      <w:pPr>
        <w:spacing w:after="120" w:line="288"/>
        <w:ind w:left="576" w:hanging="576"/>
        <w:jc w:val="left"/>
      </w:pPr>
      <w:r>
        <w:rPr>
          <w:rFonts w:ascii="Georgia" w:cs="Georgia" w:eastAsia="Georgia" w:hAnsi="Georgia"/>
          <w:color w:val="1A1A1A"/>
          <w:sz w:val="21"/>
          <w:szCs w:val="21"/>
        </w:rPr>
        <w:t xml:space="preserve">Practitioner commentary on the taxation of grantor trusts and intentionally defective grantor trusts (e.g., Solomon Dwiggins Freer &amp; Steadman; SF Tax Counsel).</w:t>
      </w:r>
    </w:p>
    <w:p>
      <w:pPr>
        <w:spacing w:after="120" w:line="288"/>
        <w:ind w:left="576" w:hanging="576"/>
        <w:jc w:val="left"/>
      </w:pPr>
      <w:r>
        <w:rPr>
          <w:rFonts w:ascii="Georgia" w:cs="Georgia" w:eastAsia="Georgia" w:hAnsi="Georgia"/>
          <w:color w:val="1A1A1A"/>
          <w:sz w:val="21"/>
          <w:szCs w:val="21"/>
        </w:rPr>
        <w:t xml:space="preserve">Current Federal Tax Developments, analysis of Chief Counsel Advice 202352018 and grantor-trust tax-reimbursement clauses.</w:t>
      </w:r>
    </w:p>
    <w:p>
      <w:pPr>
        <w:spacing w:after="120" w:line="288"/>
        <w:ind w:left="576" w:hanging="576"/>
        <w:jc w:val="left"/>
      </w:pPr>
      <w:r>
        <w:rPr>
          <w:rFonts w:ascii="Georgia" w:cs="Georgia" w:eastAsia="Georgia" w:hAnsi="Georgia"/>
          <w:color w:val="1A1A1A"/>
          <w:sz w:val="21"/>
          <w:szCs w:val="21"/>
        </w:rPr>
        <w:t xml:space="preserve">Commentary on dynasty-trust perpetuity and favorable trust jurisdictions (e.g., surveys of South Dakota, Delaware, Nevada, Wyoming, and Alaska trust law).</w:t>
      </w:r>
    </w:p>
    <w:p>
      <w:pPr>
        <w:spacing w:after="120" w:line="288"/>
        <w:ind w:left="576" w:hanging="576"/>
        <w:jc w:val="left"/>
      </w:pPr>
      <w:r>
        <w:rPr>
          <w:rFonts w:ascii="Georgia" w:cs="Georgia" w:eastAsia="Georgia" w:hAnsi="Georgia"/>
          <w:color w:val="1A1A1A"/>
          <w:sz w:val="21"/>
          <w:szCs w:val="21"/>
        </w:rPr>
        <w:t xml:space="preserve">Opto Investments and private-fund practitioners, explanations of the section 3(c)(1) and 3(c)(7) exclusions under the Investment Company Act.</w:t>
      </w:r>
    </w:p>
    <w:p>
      <w:pPr>
        <w:spacing w:after="120" w:line="288"/>
        <w:ind w:left="576" w:hanging="576"/>
        <w:jc w:val="left"/>
      </w:pPr>
      <w:r>
        <w:rPr>
          <w:rFonts w:ascii="Georgia" w:cs="Georgia" w:eastAsia="Georgia" w:hAnsi="Georgia"/>
          <w:color w:val="1A1A1A"/>
          <w:sz w:val="21"/>
          <w:szCs w:val="21"/>
        </w:rPr>
        <w:t xml:space="preserve">U.S. Securities and Exchange Commission, releases and guidance on Regulation D, the accredited-investor definition, and private-fund adviser regulation.</w:t>
      </w:r>
    </w:p>
    <w:p>
      <w:pPr>
        <w:spacing w:after="120" w:line="288"/>
        <w:ind w:left="576" w:hanging="576"/>
        <w:jc w:val="left"/>
      </w:pPr>
      <w:r>
        <w:rPr>
          <w:rFonts w:ascii="Georgia" w:cs="Georgia" w:eastAsia="Georgia" w:hAnsi="Georgia"/>
          <w:color w:val="1A1A1A"/>
          <w:sz w:val="21"/>
          <w:szCs w:val="21"/>
        </w:rPr>
        <w:t xml:space="preserve">Federal Deposit Insurance Corporation, deposit-insurance guidance and the proposed rule on recordkeeping for custodial accounts (2024).</w:t>
      </w:r>
    </w:p>
    <w:p>
      <w:pPr>
        <w:spacing w:after="120" w:line="288"/>
        <w:ind w:left="576" w:hanging="576"/>
        <w:jc w:val="left"/>
      </w:pPr>
      <w:r>
        <w:rPr>
          <w:rFonts w:ascii="Georgia" w:cs="Georgia" w:eastAsia="Georgia" w:hAnsi="Georgia"/>
          <w:color w:val="1A1A1A"/>
          <w:sz w:val="21"/>
          <w:szCs w:val="21"/>
        </w:rPr>
        <w:t xml:space="preserve">CNBC and The Reynolds Center for Business Journalism, reporting on the 2024 failure of a financial-technology intermediary and the limits of deposit insurance for neobank customers.</w:t>
      </w:r>
    </w:p>
    <w:p>
      <w:pPr>
        <w:spacing w:after="120" w:line="288"/>
        <w:ind w:left="576" w:hanging="576"/>
        <w:jc w:val="left"/>
      </w:pPr>
      <w:r>
        <w:rPr>
          <w:rFonts w:ascii="Georgia" w:cs="Georgia" w:eastAsia="Georgia" w:hAnsi="Georgia"/>
          <w:color w:val="1A1A1A"/>
          <w:sz w:val="21"/>
          <w:szCs w:val="21"/>
        </w:rPr>
        <w:t xml:space="preserve">Delaware Division of Corporations and analyses of the concentration of business entities in Delaware.</w:t>
      </w:r>
    </w:p>
    <w:p>
      <w:pPr>
        <w:spacing w:after="120" w:line="288"/>
        <w:ind w:left="576" w:hanging="576"/>
        <w:jc w:val="left"/>
      </w:pPr>
      <w:r>
        <w:rPr>
          <w:rFonts w:ascii="Georgia" w:cs="Georgia" w:eastAsia="Georgia" w:hAnsi="Georgia"/>
          <w:color w:val="1A1A1A"/>
          <w:sz w:val="21"/>
          <w:szCs w:val="21"/>
        </w:rPr>
        <w:t xml:space="preserve">Scholarship on family business, family offices, and multi-generational wealth continuity in the family-enterprise governance literature.</w:t>
      </w:r>
    </w:p>
    <w:p>
      <w:pPr>
        <w:spacing w:after="120" w:line="288"/>
        <w:ind w:left="576" w:hanging="576"/>
        <w:jc w:val="left"/>
      </w:pPr>
      <w:r>
        <w:rPr>
          <w:rFonts w:ascii="Georgia" w:cs="Georgia" w:eastAsia="Georgia" w:hAnsi="Georgia"/>
          <w:color w:val="1A1A1A"/>
          <w:sz w:val="21"/>
          <w:szCs w:val="21"/>
        </w:rPr>
        <w:t xml:space="preserve">Tax Notes and Bloomberg Tax, research materials on Internal Revenue Code sections 1014, 1031, 199A, and the transfer-tax system.</w:t>
      </w:r>
    </w:p>
    <w:p>
      <w:pPr>
        <w:spacing w:after="120" w:line="288"/>
        <w:ind w:left="576" w:hanging="576"/>
        <w:jc w:val="left"/>
      </w:pPr>
      <w:r>
        <w:rPr>
          <w:rFonts w:ascii="Georgia" w:cs="Georgia" w:eastAsia="Georgia" w:hAnsi="Georgia"/>
          <w:color w:val="1A1A1A"/>
          <w:sz w:val="21"/>
          <w:szCs w:val="21"/>
        </w:rPr>
        <w:t xml:space="preserve">Patel Law Offices and estate-planning practitioners, analyses of the step-up in basis and its exceptions.</w:t>
      </w:r>
    </w:p>
    <w:p>
      <w:pPr>
        <w:spacing w:after="120" w:line="288"/>
        <w:ind w:left="576" w:hanging="576"/>
        <w:jc w:val="left"/>
      </w:pPr>
      <w:r>
        <w:rPr>
          <w:rFonts w:ascii="Georgia" w:cs="Georgia" w:eastAsia="Georgia" w:hAnsi="Georgia"/>
          <w:color w:val="1A1A1A"/>
          <w:sz w:val="21"/>
          <w:szCs w:val="21"/>
        </w:rPr>
        <w:t xml:space="preserve">WCG CPAs &amp; Advisors, guidance on the passive activity loss rules and real estate professional status.</w:t>
      </w:r>
    </w:p>
    <w:p>
      <w:pPr>
        <w:spacing w:after="0" w:before="240"/>
        <w:jc w:val="center"/>
      </w:pPr>
      <w:r>
        <w:rPr>
          <w:rFonts w:ascii="Georgia" w:cs="Georgia" w:eastAsia="Georgia" w:hAnsi="Georgia"/>
          <w:i/>
          <w:iCs/>
          <w:color w:val="4A5568"/>
          <w:sz w:val="19"/>
          <w:szCs w:val="19"/>
        </w:rPr>
        <w:t xml:space="preserve">— End of Paper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4A5568"/>
        <w:sz w:val="15"/>
        <w:szCs w:val="15"/>
      </w:rPr>
      <w:t xml:space="preserve">A general educational resource — not legal, tax, or financial advice.   ·   Page </w:t>
    </w:r>
    <w:r>
      <w:rPr>
        <w:rFonts w:ascii="Georgia" w:cs="Georgia" w:eastAsia="Georgia" w:hAnsi="Georgia"/>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B0C4" w:sz="4" w:space="2"/>
      </w:pBdr>
      <w:jc w:val="right"/>
    </w:pPr>
    <w:r>
      <w:rPr>
        <w:rFonts w:ascii="Georgia" w:cs="Georgia" w:eastAsia="Georgia" w:hAnsi="Georgia"/>
        <w:i/>
        <w:iCs/>
        <w:color w:val="4A5568"/>
        <w:sz w:val="16"/>
        <w:szCs w:val="16"/>
      </w:rPr>
      <w:t xml:space="preserve">The Architecture of Private Wealth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42942"/>
      <w:sz w:val="26"/>
      <w:szCs w:val="26"/>
    </w:rPr>
  </w:style>
  <w:style w:type="paragraph" w:styleId="Heading2">
    <w:name w:val="Heading 2"/>
    <w:basedOn w:val="Normal"/>
    <w:next w:val="Normal"/>
    <w:qFormat/>
    <w:pPr>
      <w:spacing w:after="100" w:before="240"/>
      <w:outlineLvl w:val="1"/>
    </w:pPr>
    <w:rPr>
      <w:rFonts w:ascii="Georgia" w:cs="Georgia" w:eastAsia="Georgia" w:hAnsi="Georgia"/>
      <w:b/>
      <w:bCs/>
      <w:color w:val="1F3A5F"/>
      <w:sz w:val="22"/>
      <w:szCs w:val="22"/>
    </w:rPr>
  </w:style>
  <w:style w:type="paragraph" w:styleId="Heading3">
    <w:name w:val="Heading 3"/>
    <w:basedOn w:val="Normal"/>
    <w:next w:val="Normal"/>
    <w:qFormat/>
    <w:pPr>
      <w:spacing w:after="80" w:before="180"/>
      <w:outlineLvl w:val="2"/>
    </w:pPr>
    <w:rPr>
      <w:rFonts w:ascii="Georgia" w:cs="Georgia" w:eastAsia="Georgia" w:hAnsi="Georgia"/>
      <w:b/>
      <w:bCs/>
      <w:i/>
      <w:iCs/>
      <w:color w:val="4A556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Private Wealth</dc:title>
  <dc:creator>Research Paper</dc:creator>
  <dc:description>An Integrated Survey of U.S. Wealth Structuring</dc:description>
  <cp:lastModifiedBy>Un-named</cp:lastModifiedBy>
  <cp:revision>1</cp:revision>
  <dcterms:created xsi:type="dcterms:W3CDTF">2026-07-19T23:51:49.103Z</dcterms:created>
  <dcterms:modified xsi:type="dcterms:W3CDTF">2026-07-19T23:51:49.103Z</dcterms:modified>
</cp:coreProperties>
</file>

<file path=docProps/custom.xml><?xml version="1.0" encoding="utf-8"?>
<Properties xmlns="http://schemas.openxmlformats.org/officeDocument/2006/custom-properties" xmlns:vt="http://schemas.openxmlformats.org/officeDocument/2006/docPropsVTypes"/>
</file>