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Georgia" w:cs="Georgia" w:eastAsia="Georgia" w:hAnsi="Georgia"/>
          <w:b/>
          <w:bCs/>
          <w:color w:val="1B2A4A"/>
          <w:sz w:val="36"/>
          <w:szCs w:val="36"/>
        </w:rPr>
        <w:t xml:space="preserve">Biotank: A Techno-Economic and Systems-Design Feasibility Study of a Smart, App-Integrated Home Waste-to-Fuel Appliance</w:t>
      </w:r>
    </w:p>
    <w:p>
      <w:pPr>
        <w:spacing w:after="30" w:before="40"/>
        <w:jc w:val="center"/>
      </w:pPr>
      <w:r>
        <w:rPr>
          <w:rFonts w:ascii="Georgia" w:cs="Georgia" w:eastAsia="Georgia" w:hAnsi="Georgia"/>
          <w:i/>
          <w:iCs/>
          <w:color w:val="5A2A2A"/>
          <w:sz w:val="24"/>
          <w:szCs w:val="24"/>
        </w:rPr>
        <w:t xml:space="preserve">With a Decentralized, Verification-Gated Community Innovation Layer</w:t>
      </w:r>
    </w:p>
    <w:p>
      <w:pPr>
        <w:spacing w:after="80"/>
      </w:pPr>
      <w:r>
        <w:t xml:space="preserve"/>
      </w:r>
    </w:p>
    <w:p>
      <w:pPr>
        <w:spacing w:after="20"/>
        <w:jc w:val="center"/>
      </w:pPr>
      <w:r>
        <w:rPr>
          <w:rFonts w:ascii="Arial" w:cs="Arial" w:eastAsia="Arial" w:hAnsi="Arial"/>
          <w:color w:val="5A5A5A"/>
          <w:sz w:val="18"/>
          <w:szCs w:val="18"/>
        </w:rPr>
        <w:t xml:space="preserve">A Distributed Bioenergy Systems Working Paper</w:t>
      </w:r>
    </w:p>
    <w:p>
      <w:pPr>
        <w:spacing w:after="160"/>
        <w:jc w:val="center"/>
      </w:pPr>
      <w:r>
        <w:rPr>
          <w:rFonts w:ascii="Arial" w:cs="Arial" w:eastAsia="Arial" w:hAnsi="Arial"/>
          <w:color w:val="5A5A5A"/>
          <w:sz w:val="18"/>
          <w:szCs w:val="18"/>
        </w:rPr>
        <w:t xml:space="preserve">Fayetteville, Arkansas, United States · 2026</w:t>
      </w:r>
    </w:p>
    <w:tbl>
      <w:tblPr>
        <w:tblW w:type="dxa" w:w="9360"/>
        <w:tblBorders>
          <w:top w:val="single" w:color="F4F1EC" w:sz="2"/>
          <w:left w:val="single" w:color="5A2A2A" w:sz="22"/>
          <w:bottom w:val="single" w:color="F4F1EC" w:sz="2"/>
          <w:right w:val="single" w:color="F4F1EC" w:sz="2"/>
          <w:insideH w:val="single" w:color="auto" w:sz="4"/>
          <w:insideV w:val="single" w:color="auto" w:sz="4"/>
        </w:tblBorders>
      </w:tblPr>
      <w:tblGrid>
        <w:gridCol w:w="9360"/>
      </w:tblGrid>
      <w:tr>
        <w:tc>
          <w:tcPr>
            <w:tcW w:type="dxa" w:w="9360"/>
            <w:shd w:fill="F4F1EC" w:val="clear"/>
            <w:tcMar>
              <w:top w:type="dxa" w:w="140"/>
              <w:left w:type="dxa" w:w="220"/>
              <w:bottom w:type="dxa" w:w="140"/>
              <w:right w:type="dxa" w:w="180"/>
            </w:tcMar>
          </w:tcPr>
          <w:p>
            <w:pPr>
              <w:spacing w:after="80" w:line="276"/>
              <w:jc w:val="both"/>
            </w:pPr>
            <w:r>
              <w:rPr>
                <w:rFonts w:ascii="Georgia" w:cs="Georgia" w:eastAsia="Georgia" w:hAnsi="Georgia"/>
                <w:b/>
                <w:bCs/>
                <w:color w:val="1A1A1A"/>
                <w:sz w:val="19"/>
                <w:szCs w:val="19"/>
              </w:rPr>
              <w:t xml:space="preserve">Abstract—</w:t>
            </w:r>
            <w:r>
              <w:rPr>
                <w:rFonts w:ascii="Georgia" w:cs="Georgia" w:eastAsia="Georgia" w:hAnsi="Georgia"/>
                <w:color w:val="1A1A1A"/>
                <w:sz w:val="19"/>
                <w:szCs w:val="19"/>
              </w:rPr>
              <w:t xml:space="preserve"> Distributed conversion of household organic waste into drop-in biofuels and on-site electricity is technically mature at the level of individual unit processes, yet its feasibility as an integrated consumer appliance remains unestablished. This paper presents a techno-economic and systems-design feasibility assessment of </w:t>
            </w:r>
            <w:r>
              <w:rPr>
                <w:rFonts w:ascii="Georgia" w:cs="Georgia" w:eastAsia="Georgia" w:hAnsi="Georgia"/>
                <w:i/>
                <w:iCs/>
                <w:color w:val="1A1A1A"/>
                <w:sz w:val="19"/>
                <w:szCs w:val="19"/>
              </w:rPr>
              <w:t xml:space="preserve">Biotank</w:t>
            </w:r>
            <w:r>
              <w:rPr>
                <w:rFonts w:ascii="Georgia" w:cs="Georgia" w:eastAsia="Georgia" w:hAnsi="Georgia"/>
                <w:color w:val="1A1A1A"/>
                <w:sz w:val="19"/>
                <w:szCs w:val="19"/>
              </w:rPr>
              <w:t xml:space="preserve">, a proposed smart, sensor-instrumented, modular home appliance that converts waste cooking oil, food scraps, and other organic residues into biodiesel (via transesterification), biogas (via anaerobic digestion), and ethanol precursors (via fermentation), coupled to a software platform that includes a process simulator and a decentralized, verification-gated community recipe competition. We synthesize the empirical performance envelope of each conversion pathway, develop a techno-economic framework based on levelized cost of fuel and energy, net present value, and energy return on investment, and assess lifecycle carbon intensity, distributed-energy system effects, the role of Internet-of-Things sensing and digital-twin modeling, and the design of tokenized community-innovation incentives. We find that the underlying conversion science is sound—waste-cooking-oil biodiesel achieves 86–98% conversion and food-waste anaerobic digestion yields roughly 0.12–0.40 m³ CH₄ per kg volatile solids—but that the economics of a single household unit are unfavorable under realistic assumptions, dominated by feedstock cost, the loss of economies of scale (small-scale capital cost of order $500–$12,000 per kW installed), and low energy return on investment (typically 1.2–2.6 for these fuels, against a sustainability threshold near 3:1). The defensible value proposition rests instead on waste diversion and avoided landfill methane, community-scale aggregation, and credit stacking. We further identify the handling of methanol and methane in a residential setting—a combined flammable-and-toxic hazard—as the dominant, and currently under-specified, systems-design constraint, requiring hazardous-area classification, functional-safety-rated interlocks, and redundant gas detection. We conclude with five quantitative benchmarks that would shift the feasibility verdict from negative to positive and a staged development pathway that sequences safety validation, community aggregation, and credit capture ahead of any claim of household fuel autarky.</w:t>
            </w:r>
          </w:p>
          <w:p>
            <w:pPr>
              <w:spacing w:after="0" w:line="276"/>
              <w:jc w:val="both"/>
            </w:pPr>
            <w:r>
              <w:rPr>
                <w:rFonts w:ascii="Georgia" w:cs="Georgia" w:eastAsia="Georgia" w:hAnsi="Georgia"/>
                <w:b/>
                <w:bCs/>
                <w:color w:val="1A1A1A"/>
                <w:sz w:val="19"/>
                <w:szCs w:val="19"/>
              </w:rPr>
              <w:t xml:space="preserve">Index Terms—</w:t>
            </w:r>
            <w:r>
              <w:rPr>
                <w:rFonts w:ascii="Georgia" w:cs="Georgia" w:eastAsia="Georgia" w:hAnsi="Georgia"/>
                <w:color w:val="1A1A1A"/>
                <w:sz w:val="19"/>
                <w:szCs w:val="19"/>
              </w:rPr>
              <w:t xml:space="preserve"> Anaerobic digestion, biodiesel, biogas, distributed energy resources, decentralized science, digital twin, energy return on investment, lifecycle assessment, levelized cost of energy, prosumer, techno-economic analysis, waste-to-energy.</w:t>
            </w:r>
          </w:p>
        </w:tc>
      </w:tr>
    </w:tbl>
    <w:p>
      <w:pPr>
        <w:spacing w:after="160"/>
      </w:pPr>
      <w:r>
        <w:t xml:space="preserve"/>
      </w:r>
    </w:p>
    <w:p>
      <w:pPr>
        <w:pStyle w:val="Heading1"/>
      </w:pPr>
      <w:r>
        <w:rPr>
          <w:rFonts w:ascii="Georgia" w:cs="Georgia" w:eastAsia="Georgia" w:hAnsi="Georgia"/>
          <w:color w:val="1B2A4A"/>
          <w:sz w:val="25"/>
          <w:szCs w:val="25"/>
        </w:rPr>
        <w:t xml:space="preserve">1.  Introduction</w:t>
      </w:r>
    </w:p>
    <w:p>
      <w:pPr>
        <w:keepNext w:val="false"/>
        <w:spacing w:after="130" w:before="0" w:line="288"/>
        <w:jc w:val="both"/>
      </w:pPr>
      <w:r>
        <w:rPr>
          <w:rFonts w:ascii="Georgia" w:cs="Georgia" w:eastAsia="Georgia" w:hAnsi="Georgia"/>
          <w:color w:val="1A1A1A"/>
          <w:sz w:val="21"/>
          <w:szCs w:val="21"/>
        </w:rPr>
        <w:t xml:space="preserve">The decarbonization of energy and the diversion of organic waste from landfill are usually treated as problems for large, centralized infrastructure: utility-scale renewable generation, municipal anaerobic digesters, and industrial biorefineries. Yet households are simultaneously producers of organic waste and consumers of fuel and electricity, and the unit processes that connect those two roles—transesterification of waste oils into biodiesel, anaerobic digestion of food and animal waste into biogas, and fermentation of sugary and starchy residues into ethanol—are individually well understood and, in some cases, already commercialized at household scale [2], [16], [23]. This juxtaposition motivates a recurring idea: a single, safe, attractive, app-connected appliance that closes the loop in the home, turning a household’s waste into its fuel and power.</w:t>
      </w:r>
    </w:p>
    <w:p>
      <w:pPr>
        <w:keepNext w:val="false"/>
        <w:spacing w:after="130" w:before="0" w:line="288"/>
        <w:jc w:val="both"/>
      </w:pPr>
      <w:r>
        <w:rPr>
          <w:rFonts w:ascii="Georgia" w:cs="Georgia" w:eastAsia="Georgia" w:hAnsi="Georgia"/>
          <w:color w:val="1A1A1A"/>
          <w:sz w:val="21"/>
          <w:szCs w:val="21"/>
        </w:rPr>
        <w:t xml:space="preserve">This paper subjects that idea to a structured feasibility assessment. We define </w:t>
      </w:r>
      <w:r>
        <w:rPr>
          <w:rFonts w:ascii="Georgia" w:cs="Georgia" w:eastAsia="Georgia" w:hAnsi="Georgia"/>
          <w:i/>
          <w:iCs/>
          <w:color w:val="1A1A1A"/>
          <w:sz w:val="21"/>
          <w:szCs w:val="21"/>
        </w:rPr>
        <w:t xml:space="preserve">Biotank</w:t>
      </w:r>
      <w:r>
        <w:rPr>
          <w:rFonts w:ascii="Georgia" w:cs="Georgia" w:eastAsia="Georgia" w:hAnsi="Georgia"/>
          <w:color w:val="1A1A1A"/>
          <w:sz w:val="21"/>
          <w:szCs w:val="21"/>
        </w:rPr>
        <w:t xml:space="preserve"> as a proposed modular home appliance—roughly the size of a large household water heater or compact refrigerator—that accepts segregated organic waste, routes it to swappable conversion modules, and produces drop-in biofuel plus optional on-site electricity through a small generator, while a companion software platform (the </w:t>
      </w:r>
      <w:r>
        <w:rPr>
          <w:rFonts w:ascii="Georgia" w:cs="Georgia" w:eastAsia="Georgia" w:hAnsi="Georgia"/>
          <w:i/>
          <w:iCs/>
          <w:color w:val="1A1A1A"/>
          <w:sz w:val="21"/>
          <w:szCs w:val="21"/>
        </w:rPr>
        <w:t xml:space="preserve">Biotank Hub</w:t>
      </w:r>
      <w:r>
        <w:rPr>
          <w:rFonts w:ascii="Georgia" w:cs="Georgia" w:eastAsia="Georgia" w:hAnsi="Georgia"/>
          <w:color w:val="1A1A1A"/>
          <w:sz w:val="21"/>
          <w:szCs w:val="21"/>
        </w:rPr>
        <w:t xml:space="preserve">) monitors each unit, simulates outcomes before feedstock is committed, and hosts a decentralized community competition in which users propose and refine fuel “recipes.” The concept is deliberately ambitious; the purpose of this paper is not to advocate for it but to test it against the published evidence and to state, as precisely as the literature allows, the conditions under which it would and would not be feasible.</w:t>
      </w:r>
    </w:p>
    <w:p>
      <w:pPr>
        <w:keepNext w:val="false"/>
        <w:spacing w:after="130" w:before="0" w:line="288"/>
        <w:jc w:val="both"/>
      </w:pPr>
      <w:r>
        <w:rPr>
          <w:rFonts w:ascii="Georgia" w:cs="Georgia" w:eastAsia="Georgia" w:hAnsi="Georgia"/>
          <w:color w:val="1A1A1A"/>
          <w:sz w:val="21"/>
          <w:szCs w:val="21"/>
        </w:rPr>
        <w:t xml:space="preserve">We frame the assessment along two axes. The first is </w:t>
      </w:r>
      <w:r>
        <w:rPr>
          <w:rFonts w:ascii="Georgia" w:cs="Georgia" w:eastAsia="Georgia" w:hAnsi="Georgia"/>
          <w:i/>
          <w:iCs/>
          <w:color w:val="1A1A1A"/>
          <w:sz w:val="21"/>
          <w:szCs w:val="21"/>
        </w:rPr>
        <w:t xml:space="preserve">techno-economic</w:t>
      </w:r>
      <w:r>
        <w:rPr>
          <w:rFonts w:ascii="Georgia" w:cs="Georgia" w:eastAsia="Georgia" w:hAnsi="Georgia"/>
          <w:color w:val="1A1A1A"/>
          <w:sz w:val="21"/>
          <w:szCs w:val="21"/>
        </w:rPr>
        <w:t xml:space="preserve">: can such a system produce fuel and energy at a cost, and with a net energy return, that justifies its capital and operating burden? The second is </w:t>
      </w:r>
      <w:r>
        <w:rPr>
          <w:rFonts w:ascii="Georgia" w:cs="Georgia" w:eastAsia="Georgia" w:hAnsi="Georgia"/>
          <w:i/>
          <w:iCs/>
          <w:color w:val="1A1A1A"/>
          <w:sz w:val="21"/>
          <w:szCs w:val="21"/>
        </w:rPr>
        <w:t xml:space="preserve">systems-design</w:t>
      </w:r>
      <w:r>
        <w:rPr>
          <w:rFonts w:ascii="Georgia" w:cs="Georgia" w:eastAsia="Georgia" w:hAnsi="Georgia"/>
          <w:color w:val="1A1A1A"/>
          <w:sz w:val="21"/>
          <w:szCs w:val="21"/>
        </w:rPr>
        <w:t xml:space="preserve">: can the appliance, its sensing and control architecture, and its community-innovation layer be engineered to be safe, trustworthy, and effective? These axes are not independent. A safety requirement—for example, the explosion-proof handling of methanol and methane—imposes capital and operating costs that feed directly back into the economic analysis, and a community layer that cannot verify its contributions undermines both the engineering value and the legitimacy of any environmental claim.</w:t>
      </w:r>
    </w:p>
    <w:p>
      <w:pPr>
        <w:pStyle w:val="Heading2"/>
      </w:pPr>
      <w:r>
        <w:rPr>
          <w:rFonts w:ascii="Georgia" w:cs="Georgia" w:eastAsia="Georgia" w:hAnsi="Georgia"/>
          <w:color w:val="1B2A4A"/>
          <w:sz w:val="22"/>
          <w:szCs w:val="22"/>
        </w:rPr>
        <w:t xml:space="preserve">1.1  Contributions</w:t>
      </w:r>
    </w:p>
    <w:p>
      <w:pPr>
        <w:keepNext w:val="false"/>
        <w:spacing w:after="130" w:before="0" w:line="288"/>
        <w:jc w:val="both"/>
      </w:pPr>
      <w:r>
        <w:rPr>
          <w:rFonts w:ascii="Georgia" w:cs="Georgia" w:eastAsia="Georgia" w:hAnsi="Georgia"/>
          <w:color w:val="1A1A1A"/>
          <w:sz w:val="21"/>
          <w:szCs w:val="21"/>
        </w:rPr>
        <w:t xml:space="preserve">This paper makes the following contributions to the analysis of distributed, consumer-scale waste-to-fuel systems:</w:t>
      </w:r>
    </w:p>
    <w:p>
      <w:pPr>
        <w:pStyle w:val="ListParagraph"/>
        <w:numPr>
          <w:ilvl w:val="0"/>
          <w:numId w:val="2"/>
        </w:numPr>
        <w:spacing w:after="70" w:line="276"/>
        <w:jc w:val="both"/>
      </w:pPr>
      <w:r>
        <w:rPr>
          <w:rFonts w:ascii="Georgia" w:cs="Georgia" w:eastAsia="Georgia" w:hAnsi="Georgia"/>
          <w:color w:val="1A1A1A"/>
          <w:sz w:val="21"/>
          <w:szCs w:val="21"/>
        </w:rPr>
        <w:t xml:space="preserve">It consolidates the empirical performance envelope of the three principal home-scale conversion pathways—biodiesel, biogas, and ethanol—into a single comparative framework suitable for system-level reasoning.</w:t>
      </w:r>
    </w:p>
    <w:p>
      <w:pPr>
        <w:pStyle w:val="ListParagraph"/>
        <w:numPr>
          <w:ilvl w:val="0"/>
          <w:numId w:val="2"/>
        </w:numPr>
        <w:spacing w:after="70" w:line="276"/>
        <w:jc w:val="both"/>
      </w:pPr>
      <w:r>
        <w:rPr>
          <w:rFonts w:ascii="Georgia" w:cs="Georgia" w:eastAsia="Georgia" w:hAnsi="Georgia"/>
          <w:color w:val="1A1A1A"/>
          <w:sz w:val="21"/>
          <w:szCs w:val="21"/>
        </w:rPr>
        <w:t xml:space="preserve">It develops a techno-economic framework for a distributed waste-to-fuel appliance using levelized cost of fuel and energy, net present value, payback, and energy return on investment, and applies it using cost and yield figures drawn from the peer-reviewed literature.</w:t>
      </w:r>
    </w:p>
    <w:p>
      <w:pPr>
        <w:pStyle w:val="ListParagraph"/>
        <w:numPr>
          <w:ilvl w:val="0"/>
          <w:numId w:val="2"/>
        </w:numPr>
        <w:spacing w:after="70" w:line="276"/>
        <w:jc w:val="both"/>
      </w:pPr>
      <w:r>
        <w:rPr>
          <w:rFonts w:ascii="Georgia" w:cs="Georgia" w:eastAsia="Georgia" w:hAnsi="Georgia"/>
          <w:color w:val="1A1A1A"/>
          <w:sz w:val="21"/>
          <w:szCs w:val="21"/>
        </w:rPr>
        <w:t xml:space="preserve">It assesses the lifecycle carbon intensity of the proposed system, distinguishing—as the literature increasingly insists—between emissions from combustion and the avoided-emissions credit from diverting waste from landfill.</w:t>
      </w:r>
    </w:p>
    <w:p>
      <w:pPr>
        <w:pStyle w:val="ListParagraph"/>
        <w:numPr>
          <w:ilvl w:val="0"/>
          <w:numId w:val="2"/>
        </w:numPr>
        <w:spacing w:after="70" w:line="276"/>
        <w:jc w:val="both"/>
      </w:pPr>
      <w:r>
        <w:rPr>
          <w:rFonts w:ascii="Georgia" w:cs="Georgia" w:eastAsia="Georgia" w:hAnsi="Georgia"/>
          <w:color w:val="1A1A1A"/>
          <w:sz w:val="21"/>
          <w:szCs w:val="21"/>
        </w:rPr>
        <w:t xml:space="preserve">It analyzes the systems-design layer: modular architecture, IoT sensing, digital-twin and machine-learning process optimization, and the design of a verification-gated, tokenized community-innovation mechanism, drawing on the distributed-energy, citizen-science, and token-engineering literatures.</w:t>
      </w:r>
    </w:p>
    <w:p>
      <w:pPr>
        <w:pStyle w:val="ListParagraph"/>
        <w:numPr>
          <w:ilvl w:val="0"/>
          <w:numId w:val="2"/>
        </w:numPr>
        <w:spacing w:after="70" w:line="276"/>
        <w:jc w:val="both"/>
      </w:pPr>
      <w:r>
        <w:rPr>
          <w:rFonts w:ascii="Georgia" w:cs="Georgia" w:eastAsia="Georgia" w:hAnsi="Georgia"/>
          <w:color w:val="1A1A1A"/>
          <w:sz w:val="21"/>
          <w:szCs w:val="21"/>
        </w:rPr>
        <w:t xml:space="preserve">It treats safety engineering as a first-class, gating design constraint rather than an afterthought, specifying the hazard classification, functional-safety, and gas-detection requirements that a residential flammable-fuel appliance would have to satisfy.</w:t>
      </w:r>
    </w:p>
    <w:p>
      <w:pPr>
        <w:pStyle w:val="ListParagraph"/>
        <w:numPr>
          <w:ilvl w:val="0"/>
          <w:numId w:val="2"/>
        </w:numPr>
        <w:spacing w:after="70" w:line="276"/>
        <w:jc w:val="both"/>
      </w:pPr>
      <w:r>
        <w:rPr>
          <w:rFonts w:ascii="Georgia" w:cs="Georgia" w:eastAsia="Georgia" w:hAnsi="Georgia"/>
          <w:color w:val="1A1A1A"/>
          <w:sz w:val="21"/>
          <w:szCs w:val="21"/>
        </w:rPr>
        <w:t xml:space="preserve">It states five quantitative benchmarks that would change the feasibility verdict, providing falsifiable targets for future empirical work.</w:t>
      </w:r>
    </w:p>
    <w:p>
      <w:pPr>
        <w:pStyle w:val="Heading2"/>
      </w:pPr>
      <w:r>
        <w:rPr>
          <w:rFonts w:ascii="Georgia" w:cs="Georgia" w:eastAsia="Georgia" w:hAnsi="Georgia"/>
          <w:color w:val="1B2A4A"/>
          <w:sz w:val="22"/>
          <w:szCs w:val="22"/>
        </w:rPr>
        <w:t xml:space="preserve">1.2  Scope and method</w:t>
      </w:r>
    </w:p>
    <w:p>
      <w:pPr>
        <w:keepNext w:val="false"/>
        <w:spacing w:after="130" w:before="0" w:line="288"/>
        <w:jc w:val="both"/>
      </w:pPr>
      <w:r>
        <w:rPr>
          <w:rFonts w:ascii="Georgia" w:cs="Georgia" w:eastAsia="Georgia" w:hAnsi="Georgia"/>
          <w:color w:val="1A1A1A"/>
          <w:sz w:val="21"/>
          <w:szCs w:val="21"/>
        </w:rPr>
        <w:t xml:space="preserve">This is a synthesis and feasibility study, not an experimental paper. Its evidence base is the peer-reviewed and authoritative literature on biofuel production, techno-economic analysis, lifecycle assessment, distributed energy systems, bioprocess control, decentralized science, and process safety, supplemented by standards documents and government and laboratory reports. Quantitative claims are attributed to their sources, and we distinguish throughout between findings that are well established, those that are emerging or contested, and those that are speculative. Where the literature reports wide ranges—as it does for nearly every cost and yield figure relevant here—we report the range rather than a single point estimate, and we treat the resulting uncertainty as itself a finding.</w:t>
      </w:r>
    </w:p>
    <w:p>
      <w:pPr>
        <w:keepNext w:val="false"/>
        <w:spacing w:after="130" w:before="0" w:line="288"/>
        <w:jc w:val="both"/>
      </w:pPr>
      <w:r>
        <w:rPr>
          <w:rFonts w:ascii="Georgia" w:cs="Georgia" w:eastAsia="Georgia" w:hAnsi="Georgia"/>
          <w:color w:val="1A1A1A"/>
          <w:sz w:val="21"/>
          <w:szCs w:val="21"/>
        </w:rPr>
        <w:t xml:space="preserve">The geographic and regulatory frame is the United States, with particular attention to the state of Arkansas, because regulatory posture materially affects feasibility and because a concrete jurisdiction makes the analysis falsifiable. The conclusions about physics, economics, and engineering generalize; the specific regulatory thresholds do not.</w:t>
      </w:r>
    </w:p>
    <w:p>
      <w:pPr>
        <w:pStyle w:val="Heading2"/>
      </w:pPr>
      <w:r>
        <w:rPr>
          <w:rFonts w:ascii="Georgia" w:cs="Georgia" w:eastAsia="Georgia" w:hAnsi="Georgia"/>
          <w:color w:val="1B2A4A"/>
          <w:sz w:val="22"/>
          <w:szCs w:val="22"/>
        </w:rPr>
        <w:t xml:space="preserve">1.3  Organization</w:t>
      </w:r>
    </w:p>
    <w:p>
      <w:pPr>
        <w:keepNext w:val="false"/>
        <w:spacing w:after="130" w:before="0" w:line="288"/>
        <w:jc w:val="both"/>
      </w:pPr>
      <w:r>
        <w:rPr>
          <w:rFonts w:ascii="Georgia" w:cs="Georgia" w:eastAsia="Georgia" w:hAnsi="Georgia"/>
          <w:color w:val="1A1A1A"/>
          <w:sz w:val="21"/>
          <w:szCs w:val="21"/>
        </w:rPr>
        <w:t xml:space="preserve">Section 2 establishes the background and the conversion-pathway performance envelope. Section 3 develops the techno-economic framework and applies it. Section 4 presents the lifecycle and carbon-intensity analysis. Section 5 addresses the system architecture, sensing, and digital-twin modeling. Section 6 analyzes the decentralized community-innovation layer. Section 7 treats safety engineering as a gating constraint. Section 8 situates the system in distributed-energy theory and addresses regulation. Section 9 synthesizes the feasibility verdict, states the benchmarks that would change it, and outlines a staged development pathway. Section 10 concludes.</w:t>
      </w:r>
    </w:p>
    <w:p>
      <w:pPr>
        <w:pStyle w:val="Heading1"/>
      </w:pPr>
      <w:r>
        <w:rPr>
          <w:rFonts w:ascii="Georgia" w:cs="Georgia" w:eastAsia="Georgia" w:hAnsi="Georgia"/>
          <w:color w:val="1B2A4A"/>
          <w:sz w:val="25"/>
          <w:szCs w:val="25"/>
        </w:rPr>
        <w:t xml:space="preserve">2.  Background and Conversion-Pathway Performance Envelope</w:t>
      </w:r>
    </w:p>
    <w:p>
      <w:pPr>
        <w:keepNext w:val="false"/>
        <w:spacing w:after="130" w:before="0" w:line="288"/>
        <w:jc w:val="both"/>
      </w:pPr>
      <w:r>
        <w:rPr>
          <w:rFonts w:ascii="Georgia" w:cs="Georgia" w:eastAsia="Georgia" w:hAnsi="Georgia"/>
          <w:color w:val="1A1A1A"/>
          <w:sz w:val="21"/>
          <w:szCs w:val="21"/>
        </w:rPr>
        <w:t xml:space="preserve">A system-level analysis must rest on a clear account of what each conversion pathway can and cannot do. This section summarizes the chemistry, typical yields, quality constraints, and hazards of the three pathways central to Biotank, and briefly addresses the two pathways—pyrolysis and algal cultivation—that are frequently proposed but that we argue should be excluded from a residential appliance.</w:t>
      </w:r>
    </w:p>
    <w:p>
      <w:pPr>
        <w:pStyle w:val="Heading2"/>
      </w:pPr>
      <w:r>
        <w:rPr>
          <w:rFonts w:ascii="Georgia" w:cs="Georgia" w:eastAsia="Georgia" w:hAnsi="Georgia"/>
          <w:color w:val="1B2A4A"/>
          <w:sz w:val="22"/>
          <w:szCs w:val="22"/>
        </w:rPr>
        <w:t xml:space="preserve">2.1  Biodiesel via transesterification</w:t>
      </w:r>
    </w:p>
    <w:p>
      <w:pPr>
        <w:keepNext w:val="false"/>
        <w:spacing w:after="130" w:before="0" w:line="288"/>
        <w:jc w:val="both"/>
      </w:pPr>
      <w:r>
        <w:rPr>
          <w:rFonts w:ascii="Georgia" w:cs="Georgia" w:eastAsia="Georgia" w:hAnsi="Georgia"/>
          <w:color w:val="1A1A1A"/>
          <w:sz w:val="21"/>
          <w:szCs w:val="21"/>
        </w:rPr>
        <w:t xml:space="preserve">Transesterification reacts a triglyceride feedstock—for Biotank, primarily waste cooking oil (WCO)—with a short-chain alcohol, typically methanol, in the presence of an alkaline catalyst such as potassium or sodium hydroxide, yielding fatty-acid methyl esters (FAME, i.e., biodiesel) and glycerol [5], [1]. The reaction is mature and high-yielding: conversions of 86–98% are routinely reported, with approximately 86% at a 6:1 methanol-to-oil molar ratio, 0.7 wt% catalyst, and 50–60°C, and 96–98% achievable for high-free-fatty-acid feedstocks through a two-step acid-esterification-then-base-transesterification process [2], [4], [8].</w:t>
      </w:r>
    </w:p>
    <w:p>
      <w:pPr>
        <w:keepNext w:val="false"/>
        <w:spacing w:after="130" w:before="0" w:line="288"/>
        <w:jc w:val="both"/>
      </w:pPr>
      <w:r>
        <w:rPr>
          <w:rFonts w:ascii="Georgia" w:cs="Georgia" w:eastAsia="Georgia" w:hAnsi="Georgia"/>
          <w:color w:val="1A1A1A"/>
          <w:sz w:val="21"/>
          <w:szCs w:val="21"/>
        </w:rPr>
        <w:t xml:space="preserve">Two constraints bear directly on a home appliance. First, fuel quality is standardized—ASTM D6751 in the United States and EN 14214 in Europe [10], [11]—and off-specification biodiesel, particularly with respect to water content, free glycerol, and oxidation stability, can damage engines; a household producer rarely possesses the analytical capability to verify conformance [9]. Second, methanol is both highly flammable and acutely toxic, and the alkaline catalysts are caustic; these hazards, discussed in Section 7, are the principal reason the biodiesel module is the most safety-critical component of the proposed appliance.</w:t>
      </w:r>
    </w:p>
    <w:p>
      <w:pPr>
        <w:pStyle w:val="Heading2"/>
      </w:pPr>
      <w:r>
        <w:rPr>
          <w:rFonts w:ascii="Georgia" w:cs="Georgia" w:eastAsia="Georgia" w:hAnsi="Georgia"/>
          <w:color w:val="1B2A4A"/>
          <w:sz w:val="22"/>
          <w:szCs w:val="22"/>
        </w:rPr>
        <w:t xml:space="preserve">2.2  Biogas via anaerobic digestion</w:t>
      </w:r>
    </w:p>
    <w:p>
      <w:pPr>
        <w:keepNext w:val="false"/>
        <w:spacing w:after="130" w:before="0" w:line="288"/>
        <w:jc w:val="both"/>
      </w:pPr>
      <w:r>
        <w:rPr>
          <w:rFonts w:ascii="Georgia" w:cs="Georgia" w:eastAsia="Georgia" w:hAnsi="Georgia"/>
          <w:color w:val="1A1A1A"/>
          <w:sz w:val="21"/>
          <w:szCs w:val="21"/>
        </w:rPr>
        <w:t xml:space="preserve">Anaerobic digestion (AD) is the microbial decomposition of organic matter in the absence of oxygen, proceeding through hydrolysis, acidogenesis, acetogenesis, and methanogenesis to produce a methane-rich biogas [14]. For food waste and manure feedstocks, methane yields are typically in the range of 0.12–0.40 m³ CH₄ per kg volatile solids (VS), with biogas methane content of 50–75% and an energy content of approximately 6 kWh per m³ [16], [17]. Co-digestion of complementary feedstocks materially improves yield: a meta-analysis of digestion studies reports mono-digestion methane yields near 171 L per kg VS rising to approximately 249 L per kg VS under co-digestion, with an optimal carbon-to-nitrogen ratio of roughly 26–34 [18], [15].</w:t>
      </w:r>
    </w:p>
    <w:p>
      <w:pPr>
        <w:keepNext w:val="false"/>
        <w:spacing w:after="130" w:before="0" w:line="288"/>
        <w:jc w:val="both"/>
      </w:pPr>
      <w:r>
        <w:rPr>
          <w:rFonts w:ascii="Georgia" w:cs="Georgia" w:eastAsia="Georgia" w:hAnsi="Georgia"/>
          <w:color w:val="1A1A1A"/>
          <w:sz w:val="21"/>
          <w:szCs w:val="21"/>
        </w:rPr>
        <w:t xml:space="preserve">AD is the most attractive pathway for a home appliance on three grounds: it is the lowest-hazard of the conversion routes, it uses the most abundant and continuously generated household feedstock (food waste), and it is already commercialized at household scale by products such as HomeBiogas and PUXIN units, whose rule of thumb that roughly one kilogram of food waste yields about one hour of cooking gas provides a useful sanity check [23], [24]. The dynamics of digestion are commonly modeled using the International Water Association’s Anaerobic Digestion Model No. 1 (ADM1), a structured biochemical model that has become the standard reference framework and that is directly relevant to the digital-twin layer discussed in Section 5 [13].</w:t>
      </w:r>
    </w:p>
    <w:p>
      <w:pPr>
        <w:pStyle w:val="Heading2"/>
      </w:pPr>
      <w:r>
        <w:rPr>
          <w:rFonts w:ascii="Georgia" w:cs="Georgia" w:eastAsia="Georgia" w:hAnsi="Georgia"/>
          <w:color w:val="1B2A4A"/>
          <w:sz w:val="22"/>
          <w:szCs w:val="22"/>
        </w:rPr>
        <w:t xml:space="preserve">2.3  Ethanol via fermentation</w:t>
      </w:r>
    </w:p>
    <w:p>
      <w:pPr>
        <w:keepNext w:val="false"/>
        <w:spacing w:after="130" w:before="0" w:line="288"/>
        <w:jc w:val="both"/>
      </w:pPr>
      <w:r>
        <w:rPr>
          <w:rFonts w:ascii="Georgia" w:cs="Georgia" w:eastAsia="Georgia" w:hAnsi="Georgia"/>
          <w:color w:val="1A1A1A"/>
          <w:sz w:val="21"/>
          <w:szCs w:val="21"/>
        </w:rPr>
        <w:t xml:space="preserve">Fermentation of sugary and starchy residues by yeast produces ethanol, which after concentration can serve as a fuel or fuel precursor [33]. Food-waste fermentation with appropriate enzymatic pretreatment yields ethanol concentrations on the order of 29–32 g/L, while lignocellulosic feedstocks require more aggressive pretreatment and hydrolysis and yield variably [34], [35], [36]. Fermentation itself is low-hazard; the regulated and higher-hazard step is distillation, which concentrates a flammable vapor and which, in the United States, requires an Alcohol Fuel Producer permit from the Alcohol and Tobacco Tax and Trade Bureau [37]. For this reason we treat fermentation as a shippable capability but on-board distillation as jurisdiction-dependent and, by default, out of scope.</w:t>
      </w:r>
    </w:p>
    <w:p>
      <w:pPr>
        <w:pStyle w:val="Heading2"/>
      </w:pPr>
      <w:r>
        <w:rPr>
          <w:rFonts w:ascii="Georgia" w:cs="Georgia" w:eastAsia="Georgia" w:hAnsi="Georgia"/>
          <w:color w:val="1B2A4A"/>
          <w:sz w:val="22"/>
          <w:szCs w:val="22"/>
        </w:rPr>
        <w:t xml:space="preserve">2.4  Pathways excluded from a residential appliance</w:t>
      </w:r>
    </w:p>
    <w:p>
      <w:pPr>
        <w:keepNext w:val="false"/>
        <w:spacing w:after="130" w:before="0" w:line="288"/>
        <w:jc w:val="both"/>
      </w:pPr>
      <w:r>
        <w:rPr>
          <w:rFonts w:ascii="Georgia" w:cs="Georgia" w:eastAsia="Georgia" w:hAnsi="Georgia"/>
          <w:color w:val="1A1A1A"/>
          <w:sz w:val="21"/>
          <w:szCs w:val="21"/>
        </w:rPr>
        <w:t xml:space="preserve">Two further pathways are commonly proposed for waste-to-fuel systems but should, we argue, be excluded from a residential appliance. </w:t>
      </w:r>
      <w:r>
        <w:rPr>
          <w:rFonts w:ascii="Georgia" w:cs="Georgia" w:eastAsia="Georgia" w:hAnsi="Georgia"/>
          <w:i/>
          <w:iCs/>
          <w:color w:val="1A1A1A"/>
          <w:sz w:val="21"/>
          <w:szCs w:val="21"/>
        </w:rPr>
        <w:t xml:space="preserve">Pyrolysis</w:t>
      </w:r>
      <w:r>
        <w:rPr>
          <w:rFonts w:ascii="Georgia" w:cs="Georgia" w:eastAsia="Georgia" w:hAnsi="Georgia"/>
          <w:color w:val="1A1A1A"/>
          <w:sz w:val="21"/>
          <w:szCs w:val="21"/>
        </w:rPr>
        <w:t xml:space="preserve"> thermally decomposes plastics and biomass into a diesel-like oil at high yield—up to 90–95 wt% oil for some plastics, with a heating value approaching 44–45 MJ/kg—but it operates at several hundred degrees Celsius and produces carcinogenic aromatic compounds and, with polyvinyl chloride feedstocks, toxic halogenated gases [38], [39], [43]. It is an industrial process whose emissions profile is incompatible with unsupervised residential use. </w:t>
      </w:r>
      <w:r>
        <w:rPr>
          <w:rFonts w:ascii="Georgia" w:cs="Georgia" w:eastAsia="Georgia" w:hAnsi="Georgia"/>
          <w:i/>
          <w:iCs/>
          <w:color w:val="1A1A1A"/>
          <w:sz w:val="21"/>
          <w:szCs w:val="21"/>
        </w:rPr>
        <w:t xml:space="preserve">Algal cultivation</w:t>
      </w:r>
      <w:r>
        <w:rPr>
          <w:rFonts w:ascii="Georgia" w:cs="Georgia" w:eastAsia="Georgia" w:hAnsi="Georgia"/>
          <w:color w:val="1A1A1A"/>
          <w:sz w:val="21"/>
          <w:szCs w:val="21"/>
        </w:rPr>
        <w:t xml:space="preserve"> for biodiesel is sustainable and non-food-competing but remains far from economic at any scale: photobioreactors carry roughly an order of magnitude higher capital cost than open ponds, lifecycle analyses highlight the energy burden of cultivation and lipid extraction, and the most-cited cost precedent for photobioreactor-grown algal biodiesel is on the order of tens of dollars per gallon [40], [41], [42]. Both pathways are therefore treated here as out of scope for the appliance, with pyrolysis a candidate only for a future licensed off-site facility.</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1500"/>
        <w:gridCol w:w="1660"/>
        <w:gridCol w:w="1300"/>
      </w:tblGrid>
      <w:tr>
        <w:trPr>
          <w:tblHeader/>
        </w:trPr>
        <w:tc>
          <w:tcPr>
            <w:tcW w:type="dxa" w:w="170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5"/>
                <w:szCs w:val="15"/>
              </w:rPr>
              <w:t xml:space="preserve">Pathway</w:t>
            </w:r>
          </w:p>
        </w:tc>
        <w:tc>
          <w:tcPr>
            <w:tcW w:type="dxa" w:w="150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5"/>
                <w:szCs w:val="15"/>
              </w:rPr>
              <w:t xml:space="preserve">Principal feedstock</w:t>
            </w:r>
          </w:p>
        </w:tc>
        <w:tc>
          <w:tcPr>
            <w:tcW w:type="dxa" w:w="170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5"/>
                <w:szCs w:val="15"/>
              </w:rPr>
              <w:t xml:space="preserve">Typical yield</w:t>
            </w:r>
          </w:p>
        </w:tc>
        <w:tc>
          <w:tcPr>
            <w:tcW w:type="dxa" w:w="150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5"/>
                <w:szCs w:val="15"/>
              </w:rPr>
              <w:t xml:space="preserve">Quality standard</w:t>
            </w:r>
          </w:p>
        </w:tc>
        <w:tc>
          <w:tcPr>
            <w:tcW w:type="dxa" w:w="166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5"/>
                <w:szCs w:val="15"/>
              </w:rPr>
              <w:t xml:space="preserve">Dominant hazard</w:t>
            </w:r>
          </w:p>
        </w:tc>
        <w:tc>
          <w:tcPr>
            <w:tcW w:type="dxa" w:w="130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5"/>
                <w:szCs w:val="15"/>
              </w:rPr>
              <w:t xml:space="preserve">Appliance status</w:t>
            </w:r>
          </w:p>
        </w:tc>
      </w:tr>
      <w:tr>
        <w:tc>
          <w:tcPr>
            <w:tcW w:type="dxa" w:w="17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Transesterification (biodiesel)</w:t>
            </w:r>
          </w:p>
        </w:tc>
        <w:tc>
          <w:tcPr>
            <w:tcW w:type="dxa" w:w="15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Waste cooking oil</w:t>
            </w:r>
          </w:p>
        </w:tc>
        <w:tc>
          <w:tcPr>
            <w:tcW w:type="dxa" w:w="17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86–98% conversion to FAME</w:t>
            </w:r>
          </w:p>
        </w:tc>
        <w:tc>
          <w:tcPr>
            <w:tcW w:type="dxa" w:w="15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ASTM D6751 / EN 14214</w:t>
            </w:r>
          </w:p>
        </w:tc>
        <w:tc>
          <w:tcPr>
            <w:tcW w:type="dxa" w:w="166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Methanol (flammable, toxic); caustic catalyst</w:t>
            </w:r>
          </w:p>
        </w:tc>
        <w:tc>
          <w:tcPr>
            <w:tcW w:type="dxa" w:w="13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Included (Phase 2; enclosed)</w:t>
            </w:r>
          </w:p>
        </w:tc>
      </w:tr>
      <w:tr>
        <w:tc>
          <w:tcPr>
            <w:tcW w:type="dxa" w:w="17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Anaerobic digestion (biogas)</w:t>
            </w:r>
          </w:p>
        </w:tc>
        <w:tc>
          <w:tcPr>
            <w:tcW w:type="dxa" w:w="15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Food waste, manure</w:t>
            </w:r>
          </w:p>
        </w:tc>
        <w:tc>
          <w:tcPr>
            <w:tcW w:type="dxa" w:w="17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0.12–0.40 m³ CH₄ / kg VS</w:t>
            </w:r>
          </w:p>
        </w:tc>
        <w:tc>
          <w:tcPr>
            <w:tcW w:type="dxa" w:w="15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Engine-safe CH₄ / H₂S limits</w:t>
            </w:r>
          </w:p>
        </w:tc>
        <w:tc>
          <w:tcPr>
            <w:tcW w:type="dxa" w:w="166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Methane (explosive); H₂S (toxic)</w:t>
            </w:r>
          </w:p>
        </w:tc>
        <w:tc>
          <w:tcPr>
            <w:tcW w:type="dxa" w:w="13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Included (Phase 1; lead pathway)</w:t>
            </w:r>
          </w:p>
        </w:tc>
      </w:tr>
      <w:tr>
        <w:tc>
          <w:tcPr>
            <w:tcW w:type="dxa" w:w="17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Fermentation (ethanol)</w:t>
            </w:r>
          </w:p>
        </w:tc>
        <w:tc>
          <w:tcPr>
            <w:tcW w:type="dxa" w:w="15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Sugary/starchy residues</w:t>
            </w:r>
          </w:p>
        </w:tc>
        <w:tc>
          <w:tcPr>
            <w:tcW w:type="dxa" w:w="17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≈29–32 g/L (food waste)</w:t>
            </w:r>
          </w:p>
        </w:tc>
        <w:tc>
          <w:tcPr>
            <w:tcW w:type="dxa" w:w="15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Denatured fuel ethanol</w:t>
            </w:r>
          </w:p>
        </w:tc>
        <w:tc>
          <w:tcPr>
            <w:tcW w:type="dxa" w:w="166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Flammable vapor (distillation)</w:t>
            </w:r>
          </w:p>
        </w:tc>
        <w:tc>
          <w:tcPr>
            <w:tcW w:type="dxa" w:w="13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Port included; distillation jurisdictional</w:t>
            </w:r>
          </w:p>
        </w:tc>
      </w:tr>
      <w:tr>
        <w:tc>
          <w:tcPr>
            <w:tcW w:type="dxa" w:w="17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Pyrolysis (bio-oil)</w:t>
            </w:r>
          </w:p>
        </w:tc>
        <w:tc>
          <w:tcPr>
            <w:tcW w:type="dxa" w:w="15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Mixed plastics, biomass</w:t>
            </w:r>
          </w:p>
        </w:tc>
        <w:tc>
          <w:tcPr>
            <w:tcW w:type="dxa" w:w="17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up to 90–95 wt% oil</w:t>
            </w:r>
          </w:p>
        </w:tc>
        <w:tc>
          <w:tcPr>
            <w:tcW w:type="dxa" w:w="15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w:t>
            </w:r>
          </w:p>
        </w:tc>
        <w:tc>
          <w:tcPr>
            <w:tcW w:type="dxa" w:w="166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Carcinogenic aromatics; halogenated gases</w:t>
            </w:r>
          </w:p>
        </w:tc>
        <w:tc>
          <w:tcPr>
            <w:tcW w:type="dxa" w:w="13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Excluded (off-site only)</w:t>
            </w:r>
          </w:p>
        </w:tc>
      </w:tr>
      <w:tr>
        <w:tc>
          <w:tcPr>
            <w:tcW w:type="dxa" w:w="17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Algal cultivation</w:t>
            </w:r>
          </w:p>
        </w:tc>
        <w:tc>
          <w:tcPr>
            <w:tcW w:type="dxa" w:w="15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CO₂, nutrients, light</w:t>
            </w:r>
          </w:p>
        </w:tc>
        <w:tc>
          <w:tcPr>
            <w:tcW w:type="dxa" w:w="17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high lipid %, low net energy</w:t>
            </w:r>
          </w:p>
        </w:tc>
        <w:tc>
          <w:tcPr>
            <w:tcW w:type="dxa" w:w="15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w:t>
            </w:r>
          </w:p>
        </w:tc>
        <w:tc>
          <w:tcPr>
            <w:tcW w:type="dxa" w:w="166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Low, but not economic</w:t>
            </w:r>
          </w:p>
        </w:tc>
        <w:tc>
          <w:tcPr>
            <w:tcW w:type="dxa" w:w="13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Excluded (not viable at scale)</w:t>
            </w:r>
          </w:p>
        </w:tc>
      </w:tr>
    </w:tbl>
    <w:p>
      <w:pPr>
        <w:spacing w:after="140" w:before="60"/>
        <w:jc w:val="left"/>
      </w:pPr>
      <w:r>
        <w:rPr>
          <w:rFonts w:ascii="Arial" w:cs="Arial" w:eastAsia="Arial" w:hAnsi="Arial"/>
          <w:color w:val="5A5A5A"/>
          <w:sz w:val="17"/>
          <w:szCs w:val="17"/>
        </w:rPr>
        <w:t xml:space="preserve">Table 1.  Comparative summary of waste-to-fuel conversion pathways relevant to a home appliance. Yields and hazards are drawn from the sources cited in Section 2; “appliance status” reflects the staged-scope recommendation developed in Section 9.</w:t>
      </w:r>
    </w:p>
    <w:p>
      <w:pPr>
        <w:pStyle w:val="Heading1"/>
      </w:pPr>
      <w:r>
        <w:rPr>
          <w:rFonts w:ascii="Georgia" w:cs="Georgia" w:eastAsia="Georgia" w:hAnsi="Georgia"/>
          <w:color w:val="1B2A4A"/>
          <w:sz w:val="25"/>
          <w:szCs w:val="25"/>
        </w:rPr>
        <w:t xml:space="preserve">3.  Techno-Economic Framework and Analysis</w:t>
      </w:r>
    </w:p>
    <w:p>
      <w:pPr>
        <w:keepNext w:val="false"/>
        <w:spacing w:after="130" w:before="0" w:line="288"/>
        <w:jc w:val="both"/>
      </w:pPr>
      <w:r>
        <w:rPr>
          <w:rFonts w:ascii="Georgia" w:cs="Georgia" w:eastAsia="Georgia" w:hAnsi="Georgia"/>
          <w:color w:val="1A1A1A"/>
          <w:sz w:val="21"/>
          <w:szCs w:val="21"/>
        </w:rPr>
        <w:t xml:space="preserve">The central economic question is whether a distributed appliance can produce fuel and energy at a cost that justifies its capital and operating burden. This section sets out the standard techno-economic metrics, applies them to the biodiesel and biogas pathways using cost and yield figures from the literature, and identifies the variables that dominate the outcome. The analysis is deliberately transparent about its assumptions, because—as we show—the feasibility verdict is highly sensitive to a small number of them.</w:t>
      </w:r>
    </w:p>
    <w:p>
      <w:pPr>
        <w:pStyle w:val="Heading2"/>
      </w:pPr>
      <w:r>
        <w:rPr>
          <w:rFonts w:ascii="Georgia" w:cs="Georgia" w:eastAsia="Georgia" w:hAnsi="Georgia"/>
          <w:color w:val="1B2A4A"/>
          <w:sz w:val="22"/>
          <w:szCs w:val="22"/>
        </w:rPr>
        <w:t xml:space="preserve">3.1  Metrics</w:t>
      </w:r>
    </w:p>
    <w:p>
      <w:pPr>
        <w:keepNext w:val="false"/>
        <w:spacing w:after="130" w:before="0" w:line="288"/>
        <w:jc w:val="both"/>
      </w:pPr>
      <w:r>
        <w:rPr>
          <w:rFonts w:ascii="Georgia" w:cs="Georgia" w:eastAsia="Georgia" w:hAnsi="Georgia"/>
          <w:color w:val="1A1A1A"/>
          <w:sz w:val="21"/>
          <w:szCs w:val="21"/>
        </w:rPr>
        <w:t xml:space="preserve">We use the techno-economic metrics standard in the bioenergy literature [44], [49]. The levelized cost of fuel (LCOF), analogous to the levelized cost of energy (LCOE) used for electricity, expresses the constant per-unit price that would exactly recover all discounted lifetime costs:</w:t>
      </w:r>
    </w:p>
    <w:p>
      <w:pPr>
        <w:tabs>
          <w:tab w:val="right" w:pos="9360"/>
        </w:tabs>
        <w:spacing w:after="120" w:before="80" w:line="276"/>
        <w:jc w:val="center"/>
      </w:pPr>
      <w:r>
        <w:rPr>
          <w:rFonts w:ascii="Georgia" w:cs="Georgia" w:eastAsia="Georgia" w:hAnsi="Georgia"/>
          <w:i/>
          <w:iCs/>
          <w:color w:val="1A1A1A"/>
          <w:sz w:val="21"/>
          <w:szCs w:val="21"/>
        </w:rPr>
        <w:t xml:space="preserve">LCOF = [ Σₜ (CAPEXₜ + OPEXₜ) / (1+r)ᵗ ] / [ Σₜ Qₜ / (1+r)ᵗ ]</w:t>
      </w:r>
      <w:r>
        <w:rPr>
          <w:rFonts w:ascii="Georgia" w:cs="Georgia" w:eastAsia="Georgia" w:hAnsi="Georgia"/>
          <w:color w:val="1A1A1A"/>
          <w:sz w:val="21"/>
          <w:szCs w:val="21"/>
        </w:rPr>
        <w:t xml:space="preserve">	(1)</w:t>
      </w:r>
    </w:p>
    <w:p>
      <w:pPr>
        <w:keepNext w:val="false"/>
        <w:spacing w:after="130" w:before="0" w:line="288"/>
        <w:jc w:val="both"/>
      </w:pPr>
      <w:r>
        <w:rPr>
          <w:rFonts w:ascii="Georgia" w:cs="Georgia" w:eastAsia="Georgia" w:hAnsi="Georgia"/>
          <w:color w:val="1A1A1A"/>
          <w:sz w:val="21"/>
          <w:szCs w:val="21"/>
        </w:rPr>
        <w:t xml:space="preserve">where CAPEXₜ and OPEXₜ are capital and operating expenditures in year t, Qₜ is the quantity of fuel (or energy) produced in year t, r is the discount rate, and the sums run over the system lifetime. Net present value (NPV) discounts the stream of net cash flows,</w:t>
      </w:r>
    </w:p>
    <w:p>
      <w:pPr>
        <w:tabs>
          <w:tab w:val="right" w:pos="9360"/>
        </w:tabs>
        <w:spacing w:after="120" w:before="80" w:line="276"/>
        <w:jc w:val="center"/>
      </w:pPr>
      <w:r>
        <w:rPr>
          <w:rFonts w:ascii="Georgia" w:cs="Georgia" w:eastAsia="Georgia" w:hAnsi="Georgia"/>
          <w:i/>
          <w:iCs/>
          <w:color w:val="1A1A1A"/>
          <w:sz w:val="21"/>
          <w:szCs w:val="21"/>
        </w:rPr>
        <w:t xml:space="preserve">NPV = Σₜ (Rₜ − Cₜ) / (1+r)ᵗ − CAPEX₀</w:t>
      </w:r>
      <w:r>
        <w:rPr>
          <w:rFonts w:ascii="Georgia" w:cs="Georgia" w:eastAsia="Georgia" w:hAnsi="Georgia"/>
          <w:color w:val="1A1A1A"/>
          <w:sz w:val="21"/>
          <w:szCs w:val="21"/>
        </w:rPr>
        <w:t xml:space="preserve">	(2)</w:t>
      </w:r>
    </w:p>
    <w:p>
      <w:pPr>
        <w:keepNext w:val="false"/>
        <w:spacing w:after="130" w:before="0" w:line="288"/>
        <w:jc w:val="both"/>
      </w:pPr>
      <w:r>
        <w:rPr>
          <w:rFonts w:ascii="Georgia" w:cs="Georgia" w:eastAsia="Georgia" w:hAnsi="Georgia"/>
          <w:color w:val="1A1A1A"/>
          <w:sz w:val="21"/>
          <w:szCs w:val="21"/>
        </w:rPr>
        <w:t xml:space="preserve">with Rₜ revenues (or avoided costs) and Cₜ operating costs, and the internal rate of return (IRR) is the discount rate at which NPV equals zero. The discounted payback period is the time at which cumulative discounted net cash flow first turns positive. These four metrics—LCOF/LCOE, NPV, IRR, and payback—constitute the economic core of essentially every published bioenergy techno-economic analysis [6], [19], [20].</w:t>
      </w:r>
    </w:p>
    <w:p>
      <w:pPr>
        <w:keepNext w:val="false"/>
        <w:spacing w:after="130" w:before="0" w:line="288"/>
        <w:jc w:val="both"/>
      </w:pPr>
      <w:r>
        <w:rPr>
          <w:rFonts w:ascii="Georgia" w:cs="Georgia" w:eastAsia="Georgia" w:hAnsi="Georgia"/>
          <w:color w:val="1A1A1A"/>
          <w:sz w:val="21"/>
          <w:szCs w:val="21"/>
        </w:rPr>
        <w:t xml:space="preserve">To these we add a physical metric that the purely financial measures obscure: the energy return on investment (EROI), the ratio of usable energy delivered to energy invested across the life cycle,</w:t>
      </w:r>
    </w:p>
    <w:p>
      <w:pPr>
        <w:tabs>
          <w:tab w:val="right" w:pos="9360"/>
        </w:tabs>
        <w:spacing w:after="120" w:before="80" w:line="276"/>
        <w:jc w:val="center"/>
      </w:pPr>
      <w:r>
        <w:rPr>
          <w:rFonts w:ascii="Georgia" w:cs="Georgia" w:eastAsia="Georgia" w:hAnsi="Georgia"/>
          <w:i/>
          <w:iCs/>
          <w:color w:val="1A1A1A"/>
          <w:sz w:val="21"/>
          <w:szCs w:val="21"/>
        </w:rPr>
        <w:t xml:space="preserve">EROI = E_out / E_in</w:t>
      </w:r>
      <w:r>
        <w:rPr>
          <w:rFonts w:ascii="Georgia" w:cs="Georgia" w:eastAsia="Georgia" w:hAnsi="Georgia"/>
          <w:color w:val="1A1A1A"/>
          <w:sz w:val="21"/>
          <w:szCs w:val="21"/>
        </w:rPr>
        <w:t xml:space="preserve">	(3)</w:t>
      </w:r>
    </w:p>
    <w:p>
      <w:pPr>
        <w:keepNext w:val="false"/>
        <w:spacing w:after="130" w:before="0" w:line="288"/>
        <w:jc w:val="both"/>
      </w:pPr>
      <w:r>
        <w:rPr>
          <w:rFonts w:ascii="Georgia" w:cs="Georgia" w:eastAsia="Georgia" w:hAnsi="Georgia"/>
          <w:color w:val="1A1A1A"/>
          <w:sz w:val="21"/>
          <w:szCs w:val="21"/>
        </w:rPr>
        <w:t xml:space="preserve">which is decisive for distributed systems because parasitic loads—heating the digester, pumping, running electronics and controls—can consume a large fraction of the energy produced, and because a system with favorable financials but an EROI below unity is an energy sink subsidized by its inputs [60].</w:t>
      </w:r>
    </w:p>
    <w:p>
      <w:pPr>
        <w:pStyle w:val="Heading2"/>
      </w:pPr>
      <w:r>
        <w:rPr>
          <w:rFonts w:ascii="Georgia" w:cs="Georgia" w:eastAsia="Georgia" w:hAnsi="Georgia"/>
          <w:color w:val="1B2A4A"/>
          <w:sz w:val="22"/>
          <w:szCs w:val="22"/>
        </w:rPr>
        <w:t xml:space="preserve">3.2  Capital and operating cost of small-scale systems</w:t>
      </w:r>
    </w:p>
    <w:p>
      <w:pPr>
        <w:keepNext w:val="false"/>
        <w:spacing w:after="130" w:before="0" w:line="288"/>
        <w:jc w:val="both"/>
      </w:pPr>
      <w:r>
        <w:rPr>
          <w:rFonts w:ascii="Georgia" w:cs="Georgia" w:eastAsia="Georgia" w:hAnsi="Georgia"/>
          <w:color w:val="1A1A1A"/>
          <w:sz w:val="21"/>
          <w:szCs w:val="21"/>
        </w:rPr>
        <w:t xml:space="preserve">The defining economic fact about distributed bioenergy is the loss of economies of scale. Published capital costs for anaerobic digestion span a very wide range that is strongly size-dependent: on-farm systems are reported by the U.S. Environmental Protection Agency’s AgSTAR program at roughly $400,000 to $5,000,000 per installation, with per-kilowatt costs commonly cited from about $500 to $1,500 per kW but rising to $6,000–$12,000 per kW for small (order 250 kW) agricultural digesters, and industrial combined-heat-and-power systems at €3,000–€7,000 per kWe [27], [21]. The International Renewable Energy Agency documents the scale dependence directly, with small units costing roughly $4,400–$5,950 per normal cubic metre per hour of capacity against approximately $1,950 for large units [26]. A household appliance sits below even the “small” end of these curves, forgoing the scale economies that make digestion marginally viable.</w:t>
      </w:r>
    </w:p>
    <w:p>
      <w:pPr>
        <w:keepNext w:val="false"/>
        <w:spacing w:after="130" w:before="0" w:line="288"/>
        <w:jc w:val="both"/>
      </w:pPr>
      <w:r>
        <w:rPr>
          <w:rFonts w:ascii="Georgia" w:cs="Georgia" w:eastAsia="Georgia" w:hAnsi="Georgia"/>
          <w:color w:val="1A1A1A"/>
          <w:sz w:val="21"/>
          <w:szCs w:val="21"/>
        </w:rPr>
        <w:t xml:space="preserve">For biodiesel, the techno-economic literature is consistent that feedstock cost dominates. A comparative analysis of waste and virgin cooking oils reports a unit production cost near $1.07/kg with a payback of about one year and a return on investment exceeding 74% for a homogeneous-catalyst process, while emphasizing that profitability is “very sensitive to feedstock price” [6]. A techno-economic assessment of WCO biodiesel finds raw material and utilities together accounting for roughly 90% of total cost [7], and a Greek case study reports a production cost near $0.515/L against a petroleum-diesel cost of about $0.677/L [12]. The economic structure is therefore clear: where WCO is genuinely free or near-free, biodiesel can be cheap to produce; where feedstock must be purchased, the margin collapses.</w:t>
      </w:r>
    </w:p>
    <w:p>
      <w:pPr>
        <w:pStyle w:val="Heading2"/>
      </w:pPr>
      <w:r>
        <w:rPr>
          <w:rFonts w:ascii="Georgia" w:cs="Georgia" w:eastAsia="Georgia" w:hAnsi="Georgia"/>
          <w:color w:val="1B2A4A"/>
          <w:sz w:val="22"/>
          <w:szCs w:val="22"/>
        </w:rPr>
        <w:t xml:space="preserve">3.3  Application to a distributed appliance</w:t>
      </w:r>
    </w:p>
    <w:p>
      <w:pPr>
        <w:keepNext w:val="false"/>
        <w:spacing w:after="130" w:before="0" w:line="288"/>
        <w:jc w:val="both"/>
      </w:pPr>
      <w:r>
        <w:rPr>
          <w:rFonts w:ascii="Georgia" w:cs="Georgia" w:eastAsia="Georgia" w:hAnsi="Georgia"/>
          <w:color w:val="1A1A1A"/>
          <w:sz w:val="21"/>
          <w:szCs w:val="21"/>
        </w:rPr>
        <w:t xml:space="preserve">Applying these figures to a single household appliance yields a qualified-negative economic verdict. Consider the biogas pathway first. A techno-economic evaluation of food-waste anaerobic digestion finds a break-even gas value of approximately $0.294/m³, a positive NPV (about $3,108) and roughly six-year discounted payback at a gas value of $0.39/m³, and negative NPV below about $0.26/m³ [19]. A small-scale (500 L) digester study in subtropical Queensland reports a positive outcome—NPV of AUD 2,834, IRR of 13.5%, and dynamic payback of 3.2 years—but only by aggregating liquefied-petroleum-gas substitution, thermal-energy savings, and fertilizer value together, and it is highly sensitive to local energy prices [20]. The lesson is that even a favorable small-scale result depends on stacking multiple value streams and on local price conditions, rather than on fuel production alone.</w:t>
      </w:r>
    </w:p>
    <w:p>
      <w:pPr>
        <w:keepNext w:val="false"/>
        <w:spacing w:after="130" w:before="0" w:line="288"/>
        <w:jc w:val="both"/>
      </w:pPr>
      <w:r>
        <w:rPr>
          <w:rFonts w:ascii="Georgia" w:cs="Georgia" w:eastAsia="Georgia" w:hAnsi="Georgia"/>
          <w:color w:val="1A1A1A"/>
          <w:sz w:val="21"/>
          <w:szCs w:val="21"/>
        </w:rPr>
        <w:t xml:space="preserve">The financial picture is incomplete without the physical one. Harmonized estimates of EROI place biogas in the range of approximately 1.2–11 (with central estimates around 4–5 for well-run systems), biodiesel at roughly 1.3–2.6, and bioethanol from about 0.7 to 10 depending heavily on feedstock and system boundary [61], [62], [63]. For municipal-solid-waste biorefineries, drying and dewatering alone can consume up to 80% of energy demand [64]. These values must be read against the influential argument of Hall, Balogh, and Murphy that a sustainable society requires a minimum EROI of about 3:1 at the point of energy extraction, and that “most biofuels have EROIs of less than 3:1” and therefore “must be subsidized by fossil fuels to be useful” [60]. A distributed appliance, burdened with the parasitic loads of heating and control and denied economies of scale, sits at the unfavorable end of these ranges.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2900"/>
        <w:gridCol w:w="2310"/>
        <w:gridCol w:w="1600"/>
      </w:tblGrid>
      <w:tr>
        <w:trPr>
          <w:tblHeader/>
        </w:trPr>
        <w:tc>
          <w:tcPr>
            <w:tcW w:type="dxa" w:w="255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5"/>
                <w:szCs w:val="15"/>
              </w:rPr>
              <w:t xml:space="preserve">System / pathway</w:t>
            </w:r>
          </w:p>
        </w:tc>
        <w:tc>
          <w:tcPr>
            <w:tcW w:type="dxa" w:w="290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5"/>
                <w:szCs w:val="15"/>
              </w:rPr>
              <w:t xml:space="preserve">Key economic result</w:t>
            </w:r>
          </w:p>
        </w:tc>
        <w:tc>
          <w:tcPr>
            <w:tcW w:type="dxa" w:w="231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5"/>
                <w:szCs w:val="15"/>
              </w:rPr>
              <w:t xml:space="preserve">Critical dependency</w:t>
            </w:r>
          </w:p>
        </w:tc>
        <w:tc>
          <w:tcPr>
            <w:tcW w:type="dxa" w:w="160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5"/>
                <w:szCs w:val="15"/>
              </w:rPr>
              <w:t xml:space="preserve">Source</w:t>
            </w:r>
          </w:p>
        </w:tc>
      </w:tr>
      <w:tr>
        <w:tc>
          <w:tcPr>
            <w:tcW w:type="dxa" w:w="25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WCO biodiesel (homogeneous catalyst)</w:t>
            </w:r>
          </w:p>
        </w:tc>
        <w:tc>
          <w:tcPr>
            <w:tcW w:type="dxa" w:w="29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Unit cost ≈ $1.07/kg; payback ≈ 1 yr; ROI &gt; 74%</w:t>
            </w:r>
          </w:p>
        </w:tc>
        <w:tc>
          <w:tcPr>
            <w:tcW w:type="dxa" w:w="231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Feedstock price (≈ 90% of cost)</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[6]</w:t>
            </w:r>
          </w:p>
        </w:tc>
      </w:tr>
      <w:tr>
        <w:tc>
          <w:tcPr>
            <w:tcW w:type="dxa" w:w="255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WCO biodiesel (Greek case)</w:t>
            </w:r>
          </w:p>
        </w:tc>
        <w:tc>
          <w:tcPr>
            <w:tcW w:type="dxa" w:w="29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Production cost ≈ $0.515/L vs diesel ≈ $0.677/L</w:t>
            </w:r>
          </w:p>
        </w:tc>
        <w:tc>
          <w:tcPr>
            <w:tcW w:type="dxa" w:w="231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Free/low-cost WCO</w:t>
            </w:r>
          </w:p>
        </w:tc>
        <w:tc>
          <w:tcPr>
            <w:tcW w:type="dxa" w:w="16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[12]</w:t>
            </w:r>
          </w:p>
        </w:tc>
      </w:tr>
      <w:tr>
        <w:tc>
          <w:tcPr>
            <w:tcW w:type="dxa" w:w="25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Food-waste AD (techno-economic)</w:t>
            </w:r>
          </w:p>
        </w:tc>
        <w:tc>
          <w:tcPr>
            <w:tcW w:type="dxa" w:w="29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Break-even gas value ≈ $0.294/m³; +NPV at $0.39/m³</w:t>
            </w:r>
          </w:p>
        </w:tc>
        <w:tc>
          <w:tcPr>
            <w:tcW w:type="dxa" w:w="231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Gas value; tipping fees</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[19]</w:t>
            </w:r>
          </w:p>
        </w:tc>
      </w:tr>
      <w:tr>
        <w:tc>
          <w:tcPr>
            <w:tcW w:type="dxa" w:w="255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Small (500 L) digester, subtropical</w:t>
            </w:r>
          </w:p>
        </w:tc>
        <w:tc>
          <w:tcPr>
            <w:tcW w:type="dxa" w:w="29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NPV AUD 2,834; IRR 13.5%; payback 3.2 yr</w:t>
            </w:r>
          </w:p>
        </w:tc>
        <w:tc>
          <w:tcPr>
            <w:tcW w:type="dxa" w:w="231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Stacked value streams; energy prices</w:t>
            </w:r>
          </w:p>
        </w:tc>
        <w:tc>
          <w:tcPr>
            <w:tcW w:type="dxa" w:w="16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[20]</w:t>
            </w:r>
          </w:p>
        </w:tc>
      </w:tr>
      <w:tr>
        <w:tc>
          <w:tcPr>
            <w:tcW w:type="dxa" w:w="25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Small-scale biogas (El Alto)</w:t>
            </w:r>
          </w:p>
        </w:tc>
        <w:tc>
          <w:tcPr>
            <w:tcW w:type="dxa" w:w="29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LCOE 0.17–0.26 USD/kWh (“very high”)</w:t>
            </w:r>
          </w:p>
        </w:tc>
        <w:tc>
          <w:tcPr>
            <w:tcW w:type="dxa" w:w="231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Scale; capital cost</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[46]</w:t>
            </w:r>
          </w:p>
        </w:tc>
      </w:tr>
      <w:tr>
        <w:tc>
          <w:tcPr>
            <w:tcW w:type="dxa" w:w="255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EROI envelope (biogas / biodiesel)</w:t>
            </w:r>
          </w:p>
        </w:tc>
        <w:tc>
          <w:tcPr>
            <w:tcW w:type="dxa" w:w="29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 1.2–11 / 1.3–2.6; threshold ≈ 3:1</w:t>
            </w:r>
          </w:p>
        </w:tc>
        <w:tc>
          <w:tcPr>
            <w:tcW w:type="dxa" w:w="231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Parasitic loads; system boundary</w:t>
            </w:r>
          </w:p>
        </w:tc>
        <w:tc>
          <w:tcPr>
            <w:tcW w:type="dxa" w:w="16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[61], [60]</w:t>
            </w:r>
          </w:p>
        </w:tc>
      </w:tr>
    </w:tbl>
    <w:p>
      <w:pPr>
        <w:spacing w:after="140" w:before="60"/>
        <w:jc w:val="left"/>
      </w:pPr>
      <w:r>
        <w:rPr>
          <w:rFonts w:ascii="Arial" w:cs="Arial" w:eastAsia="Arial" w:hAnsi="Arial"/>
          <w:color w:val="5A5A5A"/>
          <w:sz w:val="17"/>
          <w:szCs w:val="17"/>
        </w:rPr>
        <w:t xml:space="preserve">Table 2.  Representative techno-economic and net-energy results from the literature, with the dependency that dominates each outcome. The recurring pattern—profitability contingent on free feedstock, stacked value streams, scale, and credits—is the basis for the feasibility verdict in Section 9.</w:t>
      </w:r>
    </w:p>
    <w:p>
      <w:pPr>
        <w:spacing w:after="40"/>
      </w:pPr>
      <w:r>
        <w:t xml:space="preserve"/>
      </w:r>
    </w:p>
    <w:p>
      <w:pPr>
        <w:pStyle w:val="Heading2"/>
      </w:pPr>
      <w:r>
        <w:rPr>
          <w:rFonts w:ascii="Georgia" w:cs="Georgia" w:eastAsia="Georgia" w:hAnsi="Georgia"/>
          <w:color w:val="1B2A4A"/>
          <w:sz w:val="22"/>
          <w:szCs w:val="22"/>
        </w:rPr>
        <w:t xml:space="preserve">3.4  Sensitivity and the dominant variables</w:t>
      </w:r>
    </w:p>
    <w:p>
      <w:pPr>
        <w:keepNext w:val="false"/>
        <w:spacing w:after="130" w:before="0" w:line="288"/>
        <w:jc w:val="both"/>
      </w:pPr>
      <w:r>
        <w:rPr>
          <w:rFonts w:ascii="Georgia" w:cs="Georgia" w:eastAsia="Georgia" w:hAnsi="Georgia"/>
          <w:color w:val="1A1A1A"/>
          <w:sz w:val="21"/>
          <w:szCs w:val="21"/>
        </w:rPr>
        <w:t xml:space="preserve">Across the literature, four variables dominate the techno-economics of distributed waste-to-fuel: feedstock cost, capacity factor (the fraction of nameplate capacity actually used, which depends on a household’s waste-generation rate and engagement), installed capital cost per unit capacity, and the value captured per unit of output—which, critically, includes not only the fuel or electricity but waste-disposal tipping fees, fertilizer co-products, and policy credits. The single most important structural conclusion is that a household unit, considered in isolation as a fuel producer, is unlikely to be economic, because it forgoes scale economies and typically cannot capture tipping fees or production credits at meaningful scale. The conditions under which the verdict reverses—genuinely free feedstock, aggregation to capture scale and credits, and the inclusion of avoided-cost and co-product value—are precisely the conditions that point away from a standalone consumer appliance and toward the community-aggregation model developed in Sections 6 and 9.</w:t>
      </w:r>
    </w:p>
    <w:p>
      <w:pPr>
        <w:pStyle w:val="Heading1"/>
      </w:pPr>
      <w:r>
        <w:rPr>
          <w:rFonts w:ascii="Georgia" w:cs="Georgia" w:eastAsia="Georgia" w:hAnsi="Georgia"/>
          <w:color w:val="1B2A4A"/>
          <w:sz w:val="25"/>
          <w:szCs w:val="25"/>
        </w:rPr>
        <w:t xml:space="preserve">4.  Lifecycle Assessment and Carbon Intensity</w:t>
      </w:r>
    </w:p>
    <w:p>
      <w:pPr>
        <w:keepNext w:val="false"/>
        <w:spacing w:after="130" w:before="0" w:line="288"/>
        <w:jc w:val="both"/>
      </w:pPr>
      <w:r>
        <w:rPr>
          <w:rFonts w:ascii="Georgia" w:cs="Georgia" w:eastAsia="Georgia" w:hAnsi="Georgia"/>
          <w:color w:val="1A1A1A"/>
          <w:sz w:val="21"/>
          <w:szCs w:val="21"/>
        </w:rPr>
        <w:t xml:space="preserve">If the economic case for a distributed appliance is contingent, the environmental case is the program’s primary justification—but only if it is stated with the precision the lifecycle literature now demands. This section distinguishes the carbon intensity of the fuels themselves from the avoided-emissions credit of waste diversion, and confronts the controversy over how that credit is counted.</w:t>
      </w:r>
    </w:p>
    <w:p>
      <w:pPr>
        <w:pStyle w:val="Heading2"/>
      </w:pPr>
      <w:r>
        <w:rPr>
          <w:rFonts w:ascii="Georgia" w:cs="Georgia" w:eastAsia="Georgia" w:hAnsi="Georgia"/>
          <w:color w:val="1B2A4A"/>
          <w:sz w:val="22"/>
          <w:szCs w:val="22"/>
        </w:rPr>
        <w:t xml:space="preserve">4.1  Carbon intensity of waste-derived fuels</w:t>
      </w:r>
    </w:p>
    <w:p>
      <w:pPr>
        <w:keepNext w:val="false"/>
        <w:spacing w:after="130" w:before="0" w:line="288"/>
        <w:jc w:val="both"/>
      </w:pPr>
      <w:r>
        <w:rPr>
          <w:rFonts w:ascii="Georgia" w:cs="Georgia" w:eastAsia="Georgia" w:hAnsi="Georgia"/>
          <w:color w:val="1A1A1A"/>
          <w:sz w:val="21"/>
          <w:szCs w:val="21"/>
        </w:rPr>
        <w:t xml:space="preserve">On a lifecycle basis, fuels derived from waste feedstocks have low carbon intensity (CI), conventionally expressed in grams of CO₂-equivalent per megajoule (gCO₂e/MJ). Waste-cooking-oil biodiesel is certified by the California Air Resources Board at a CI near 20.4 gCO₂e/MJ, and a recent lifecycle assessment using SimaPro and the GREET model reports values as low as 5.5–6.8 gCO₂e/MJ [53], [55]. These compare with a California ultra-low-sulfur diesel baseline of 102 gCO₂e/MJ as reported by the U.S. Energy Information Administration citing CARB data [54]. A frequent error in the popular and even technical literature is to compare biodiesel against a baseline of approximately 93 gCO₂e/MJ; that figure is in fact the EPA gasoline baseline (93.10 gCO₂e/MJ), not the diesel baseline, and using it understates the comparative benefit of a diesel-substituting fuel. Argonne National Laboratory’s GREET-based work finds lifecycle greenhouse-gas reductions of 40–86% for biodiesel and renewable diesel relative to petroleum diesel, with waste oils and fats carrying no upstream agricultural burden because they are treated as byproducts [50], [52].</w:t>
      </w:r>
    </w:p>
    <w:p>
      <w:pPr>
        <w:pStyle w:val="Heading2"/>
      </w:pPr>
      <w:r>
        <w:rPr>
          <w:rFonts w:ascii="Georgia" w:cs="Georgia" w:eastAsia="Georgia" w:hAnsi="Georgia"/>
          <w:color w:val="1B2A4A"/>
          <w:sz w:val="22"/>
          <w:szCs w:val="22"/>
        </w:rPr>
        <w:t xml:space="preserve">4.2  Avoided landfill methane: the strongest climate argument</w:t>
      </w:r>
    </w:p>
    <w:p>
      <w:pPr>
        <w:keepNext w:val="false"/>
        <w:spacing w:after="130" w:before="0" w:line="288"/>
        <w:jc w:val="both"/>
      </w:pPr>
      <w:r>
        <w:rPr>
          <w:rFonts w:ascii="Georgia" w:cs="Georgia" w:eastAsia="Georgia" w:hAnsi="Georgia"/>
          <w:color w:val="1A1A1A"/>
          <w:sz w:val="21"/>
          <w:szCs w:val="21"/>
        </w:rPr>
        <w:t xml:space="preserve">The most powerful element of the environmental case is not the fuel’s own low CI but the emissions avoided by diverting organic waste from landfill, where it would otherwise decompose anaerobically and release methane—a greenhouse gas with a global-warming potential many times that of CO₂—often without capture. When this avoided methane is credited, food-waste-to-renewable-natural-gas pathways can achieve net-negative carbon intensities: one facility is certified by CARB at approximately −80 gCO₂e/MJ [57], and analyses of anaerobic digestion coupled with carbon capture report values from roughly −50 to −110 gCO₂e/MJ for food waste and far more negative values for dairy manure [56]. The diversion logic is also what underpins the waste-management value streams (tipping fees, avoided-disposal cost) that, as Section 3 showed, are often necessary to close the economic case [67], [68].</w:t>
      </w:r>
    </w:p>
    <w:p>
      <w:pPr>
        <w:pStyle w:val="Heading2"/>
      </w:pPr>
      <w:r>
        <w:rPr>
          <w:rFonts w:ascii="Georgia" w:cs="Georgia" w:eastAsia="Georgia" w:hAnsi="Georgia"/>
          <w:color w:val="1B2A4A"/>
          <w:sz w:val="22"/>
          <w:szCs w:val="22"/>
        </w:rPr>
        <w:t xml:space="preserve">4.3  The accounting controversy and the combustion caveat</w:t>
      </w:r>
    </w:p>
    <w:p>
      <w:pPr>
        <w:keepNext w:val="false"/>
        <w:spacing w:after="130" w:before="0" w:line="288"/>
        <w:jc w:val="both"/>
      </w:pPr>
      <w:r>
        <w:rPr>
          <w:rFonts w:ascii="Georgia" w:cs="Georgia" w:eastAsia="Georgia" w:hAnsi="Georgia"/>
          <w:color w:val="1A1A1A"/>
          <w:sz w:val="21"/>
          <w:szCs w:val="21"/>
        </w:rPr>
        <w:t xml:space="preserve">Intellectual honesty requires three caveats that the feasibility case must carry. First, net-negative carbon intensities are accounting outputs, not physical measurements, and the practice of crediting avoided methane is contested: critics argue that it can over-reward certain feedstocks and create perverse incentives, and that indirect land-use change and waste-oil supply-chain fraud can add 5–25 gCO₂e/MJ to nominal figures [59], [58]. Second, the household-scale climate benefit, while real, is modest in absolute terms, and at least one recent economic analysis finds that household landfill-diversion programs can cost a median of roughly $478 per ton of CO₂-equivalent avoided—expensive relative to many alternatives [66]. Third, and most important for a residential appliance, burning biofuel is not emission-free: combustion of biodiesel and biogas still produces nitrogen oxides, carbon monoxide, and particulate matter. Relative to petroleum diesel, biodiesel combustion generally lowers particulate matter, carbon monoxide, and unburned hydrocarbons but tends to raise NOx modestly—on the order of 2–4% for a B20 blend—and the indoor or near-dwelling combustion of these fuels is itself an air-quality hazard that the systems design must address [69], [70], [71].</w:t>
      </w:r>
    </w:p>
    <w:p>
      <w:pPr>
        <w:keepNext w:val="false"/>
        <w:spacing w:after="130" w:before="0" w:line="288"/>
        <w:jc w:val="both"/>
      </w:pPr>
      <w:r>
        <w:rPr>
          <w:rFonts w:ascii="Georgia" w:cs="Georgia" w:eastAsia="Georgia" w:hAnsi="Georgia"/>
          <w:color w:val="1A1A1A"/>
          <w:sz w:val="21"/>
          <w:szCs w:val="21"/>
        </w:rPr>
        <w:t xml:space="preserve">The environmental case for Biotank is therefore best stated not as “clean fuel” in the abstract but as </w:t>
      </w:r>
      <w:r>
        <w:rPr>
          <w:rFonts w:ascii="Georgia" w:cs="Georgia" w:eastAsia="Georgia" w:hAnsi="Georgia"/>
          <w:i/>
          <w:iCs/>
          <w:color w:val="1A1A1A"/>
          <w:sz w:val="21"/>
          <w:szCs w:val="21"/>
        </w:rPr>
        <w:t xml:space="preserve">circularity plus avoided methane at distributed scale, reported on a net, lifecycle-aware basis, and net of combustion emissions.</w:t>
      </w:r>
      <w:r>
        <w:rPr>
          <w:rFonts w:ascii="Georgia" w:cs="Georgia" w:eastAsia="Georgia" w:hAnsi="Georgia"/>
          <w:color w:val="1A1A1A"/>
          <w:sz w:val="21"/>
          <w:szCs w:val="21"/>
        </w:rPr>
        <w:t xml:space="preserve"> This framing is both more defensible and more honest than the zero-emission language that consumer energy products often adopt, and—as Section 6 argues—the same verification infrastructure that secures the community competition can be used to keep these environmental claims grounded in measured data.</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860"/>
        <w:gridCol w:w="1600"/>
      </w:tblGrid>
      <w:tr>
        <w:trPr>
          <w:tblHeader/>
        </w:trPr>
        <w:tc>
          <w:tcPr>
            <w:tcW w:type="dxa" w:w="270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5"/>
                <w:szCs w:val="15"/>
              </w:rPr>
              <w:t xml:space="preserve">Fuel / pathway</w:t>
            </w:r>
          </w:p>
        </w:tc>
        <w:tc>
          <w:tcPr>
            <w:tcW w:type="dxa" w:w="220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5"/>
                <w:szCs w:val="15"/>
              </w:rPr>
              <w:t xml:space="preserve">Carbon intensity (gCO₂e/MJ)</w:t>
            </w:r>
          </w:p>
        </w:tc>
        <w:tc>
          <w:tcPr>
            <w:tcW w:type="dxa" w:w="286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5"/>
                <w:szCs w:val="15"/>
              </w:rPr>
              <w:t xml:space="preserve">Note</w:t>
            </w:r>
          </w:p>
        </w:tc>
        <w:tc>
          <w:tcPr>
            <w:tcW w:type="dxa" w:w="160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5"/>
                <w:szCs w:val="15"/>
              </w:rPr>
              <w:t xml:space="preserve">Source</w:t>
            </w:r>
          </w:p>
        </w:tc>
      </w:tr>
      <w:tr>
        <w:tc>
          <w:tcPr>
            <w:tcW w:type="dxa" w:w="27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Petroleum diesel (California ULSD)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102</w:t>
            </w:r>
          </w:p>
        </w:tc>
        <w:tc>
          <w:tcPr>
            <w:tcW w:type="dxa" w:w="286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Correct diesel baseline</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[54]</w:t>
            </w:r>
          </w:p>
        </w:tc>
      </w:tr>
      <w:tr>
        <w:tc>
          <w:tcPr>
            <w:tcW w:type="dxa" w:w="27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Gasoline (EPA baseline)</w:t>
            </w:r>
          </w:p>
        </w:tc>
        <w:tc>
          <w:tcPr>
            <w:tcW w:type="dxa" w:w="22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93.10</w:t>
            </w:r>
          </w:p>
        </w:tc>
        <w:tc>
          <w:tcPr>
            <w:tcW w:type="dxa" w:w="286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Often misquoted as the diesel baseline</w:t>
            </w:r>
          </w:p>
        </w:tc>
        <w:tc>
          <w:tcPr>
            <w:tcW w:type="dxa" w:w="16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[54]</w:t>
            </w:r>
          </w:p>
        </w:tc>
      </w:tr>
      <w:tr>
        <w:tc>
          <w:tcPr>
            <w:tcW w:type="dxa" w:w="27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WCO biodiesel (CARB pathway)</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 20.4</w:t>
            </w:r>
          </w:p>
        </w:tc>
        <w:tc>
          <w:tcPr>
            <w:tcW w:type="dxa" w:w="286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Certified pathway</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[53]</w:t>
            </w:r>
          </w:p>
        </w:tc>
      </w:tr>
      <w:tr>
        <w:tc>
          <w:tcPr>
            <w:tcW w:type="dxa" w:w="27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WCO biodiesel (SimaPro/GREET LCA)</w:t>
            </w:r>
          </w:p>
        </w:tc>
        <w:tc>
          <w:tcPr>
            <w:tcW w:type="dxa" w:w="22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5.5–6.8</w:t>
            </w:r>
          </w:p>
        </w:tc>
        <w:tc>
          <w:tcPr>
            <w:tcW w:type="dxa" w:w="286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Byproduct feedstock, no upstream burden</w:t>
            </w:r>
          </w:p>
        </w:tc>
        <w:tc>
          <w:tcPr>
            <w:tcW w:type="dxa" w:w="16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[55]</w:t>
            </w:r>
          </w:p>
        </w:tc>
      </w:tr>
      <w:tr>
        <w:tc>
          <w:tcPr>
            <w:tcW w:type="dxa" w:w="27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Biodiesel / renewable diesel (GREET)</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40–86% below diesel</w:t>
            </w:r>
          </w:p>
        </w:tc>
        <w:tc>
          <w:tcPr>
            <w:tcW w:type="dxa" w:w="286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Range across feedstocks</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[50]</w:t>
            </w:r>
          </w:p>
        </w:tc>
      </w:tr>
      <w:tr>
        <w:tc>
          <w:tcPr>
            <w:tcW w:type="dxa" w:w="27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Food-waste RNG (CARB-certified facility)</w:t>
            </w:r>
          </w:p>
        </w:tc>
        <w:tc>
          <w:tcPr>
            <w:tcW w:type="dxa" w:w="22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 −80</w:t>
            </w:r>
          </w:p>
        </w:tc>
        <w:tc>
          <w:tcPr>
            <w:tcW w:type="dxa" w:w="286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Net-negative via avoided methane</w:t>
            </w:r>
          </w:p>
        </w:tc>
        <w:tc>
          <w:tcPr>
            <w:tcW w:type="dxa" w:w="16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[57]</w:t>
            </w:r>
          </w:p>
        </w:tc>
      </w:tr>
      <w:tr>
        <w:tc>
          <w:tcPr>
            <w:tcW w:type="dxa" w:w="27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AD + carbon capture (food waste)</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−50 to −110</w:t>
            </w:r>
          </w:p>
        </w:tc>
        <w:tc>
          <w:tcPr>
            <w:tcW w:type="dxa" w:w="286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Accounting contested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[56]</w:t>
            </w:r>
          </w:p>
        </w:tc>
      </w:tr>
    </w:tbl>
    <w:p>
      <w:pPr>
        <w:spacing w:after="140" w:before="60"/>
        <w:jc w:val="left"/>
      </w:pPr>
      <w:r>
        <w:rPr>
          <w:rFonts w:ascii="Arial" w:cs="Arial" w:eastAsia="Arial" w:hAnsi="Arial"/>
          <w:color w:val="5A5A5A"/>
          <w:sz w:val="17"/>
          <w:szCs w:val="17"/>
        </w:rPr>
        <w:t xml:space="preserve">Table 3.  Lifecycle carbon intensities relevant to the Biotank pathways. Negative values arise from crediting avoided landfill methane and are accounting outputs rather than physical measurements; see Section 4.3 for the associated caveats.</w:t>
      </w:r>
    </w:p>
    <w:p>
      <w:pPr>
        <w:pStyle w:val="Heading1"/>
      </w:pPr>
      <w:r>
        <w:rPr>
          <w:rFonts w:ascii="Georgia" w:cs="Georgia" w:eastAsia="Georgia" w:hAnsi="Georgia"/>
          <w:color w:val="1B2A4A"/>
          <w:sz w:val="25"/>
          <w:szCs w:val="25"/>
        </w:rPr>
        <w:t xml:space="preserve">5.  System Architecture, Sensing, and Digital-Twin Modeling</w:t>
      </w:r>
    </w:p>
    <w:p>
      <w:pPr>
        <w:keepNext w:val="false"/>
        <w:spacing w:after="130" w:before="0" w:line="288"/>
        <w:jc w:val="both"/>
      </w:pPr>
      <w:r>
        <w:rPr>
          <w:rFonts w:ascii="Georgia" w:cs="Georgia" w:eastAsia="Georgia" w:hAnsi="Georgia"/>
          <w:color w:val="1A1A1A"/>
          <w:sz w:val="21"/>
          <w:szCs w:val="21"/>
        </w:rPr>
        <w:t xml:space="preserve">Having established what the conversion pathways can do and what they cost, we turn to how a system integrating them should be architected. The design problem is to combine incompatible processes—a benign biological digestion and a hazardous chemical transesterification—into one serviceable, instrumented, and controllable appliance, and to connect that appliance to a software layer capable of monitoring, simulation, and optimization.</w:t>
      </w:r>
    </w:p>
    <w:p>
      <w:pPr>
        <w:pStyle w:val="Heading2"/>
      </w:pPr>
      <w:r>
        <w:rPr>
          <w:rFonts w:ascii="Georgia" w:cs="Georgia" w:eastAsia="Georgia" w:hAnsi="Georgia"/>
          <w:color w:val="1B2A4A"/>
          <w:sz w:val="22"/>
          <w:szCs w:val="22"/>
        </w:rPr>
        <w:t xml:space="preserve">5.1  Modular architecture and hazard zoning</w:t>
      </w:r>
    </w:p>
    <w:p>
      <w:pPr>
        <w:keepNext w:val="false"/>
        <w:spacing w:after="130" w:before="0" w:line="288"/>
        <w:jc w:val="both"/>
      </w:pPr>
      <w:r>
        <w:rPr>
          <w:rFonts w:ascii="Georgia" w:cs="Georgia" w:eastAsia="Georgia" w:hAnsi="Georgia"/>
          <w:color w:val="1A1A1A"/>
          <w:sz w:val="21"/>
          <w:szCs w:val="21"/>
        </w:rPr>
        <w:t xml:space="preserve">We propose a modular architecture in which conversion capability is delivered through swappable modules docking to a common utilities bus (power, water, waste, and data) on a base chassis. This modularity serves three distinct purposes: it contains risk, by allowing a hazardous process to be developed and certified as an isolated module rather than as a redesign of the whole appliance; it enables a business model of modules and consumables; and it admits an ecosystem of vetted third-party modules through standardized interfaces, echoing the role of open interfaces in platform systems and in open-source hardware [84].</w:t>
      </w:r>
    </w:p>
    <w:p>
      <w:pPr>
        <w:keepNext w:val="false"/>
        <w:spacing w:after="130" w:before="0" w:line="288"/>
        <w:jc w:val="both"/>
      </w:pPr>
      <w:r>
        <w:rPr>
          <w:rFonts w:ascii="Georgia" w:cs="Georgia" w:eastAsia="Georgia" w:hAnsi="Georgia"/>
          <w:color w:val="1A1A1A"/>
          <w:sz w:val="21"/>
          <w:szCs w:val="21"/>
        </w:rPr>
        <w:t xml:space="preserve">The single most important architectural decision is the physical separation of incompatible hazards into distinct zones: a low-hazard </w:t>
      </w:r>
      <w:r>
        <w:rPr>
          <w:rFonts w:ascii="Georgia" w:cs="Georgia" w:eastAsia="Georgia" w:hAnsi="Georgia"/>
          <w:i/>
          <w:iCs/>
          <w:color w:val="1A1A1A"/>
          <w:sz w:val="21"/>
          <w:szCs w:val="21"/>
        </w:rPr>
        <w:t xml:space="preserve">wet zone</w:t>
      </w:r>
      <w:r>
        <w:rPr>
          <w:rFonts w:ascii="Georgia" w:cs="Georgia" w:eastAsia="Georgia" w:hAnsi="Georgia"/>
          <w:color w:val="1A1A1A"/>
          <w:sz w:val="21"/>
          <w:szCs w:val="21"/>
        </w:rPr>
        <w:t xml:space="preserve"> for biological digestion, a fire-bulkheaded and independently ventilated </w:t>
      </w:r>
      <w:r>
        <w:rPr>
          <w:rFonts w:ascii="Georgia" w:cs="Georgia" w:eastAsia="Georgia" w:hAnsi="Georgia"/>
          <w:i/>
          <w:iCs/>
          <w:color w:val="1A1A1A"/>
          <w:sz w:val="21"/>
          <w:szCs w:val="21"/>
        </w:rPr>
        <w:t xml:space="preserve">thermo-chemical zone</w:t>
      </w:r>
      <w:r>
        <w:rPr>
          <w:rFonts w:ascii="Georgia" w:cs="Georgia" w:eastAsia="Georgia" w:hAnsi="Georgia"/>
          <w:color w:val="1A1A1A"/>
          <w:sz w:val="21"/>
          <w:szCs w:val="21"/>
        </w:rPr>
        <w:t xml:space="preserve"> for transesterification and its methanol handling, and an isolated </w:t>
      </w:r>
      <w:r>
        <w:rPr>
          <w:rFonts w:ascii="Georgia" w:cs="Georgia" w:eastAsia="Georgia" w:hAnsi="Georgia"/>
          <w:i/>
          <w:iCs/>
          <w:color w:val="1A1A1A"/>
          <w:sz w:val="21"/>
          <w:szCs w:val="21"/>
        </w:rPr>
        <w:t xml:space="preserve">dry zone</w:t>
      </w:r>
      <w:r>
        <w:rPr>
          <w:rFonts w:ascii="Georgia" w:cs="Georgia" w:eastAsia="Georgia" w:hAnsi="Georgia"/>
          <w:color w:val="1A1A1A"/>
          <w:sz w:val="21"/>
          <w:szCs w:val="21"/>
        </w:rPr>
        <w:t xml:space="preserve"> for control electronics and power conditioning, with a dedicated gas-exhaust path and gas detection in every zone. The guiding design rule, developed further in Section 7, is that containment and sensing precede conversion: the appliance must be able to contain and detect what it processes before it processes it at meaningful capacity.</w:t>
      </w:r>
    </w:p>
    <w:p>
      <w:pPr>
        <w:pStyle w:val="Heading2"/>
      </w:pPr>
      <w:r>
        <w:rPr>
          <w:rFonts w:ascii="Georgia" w:cs="Georgia" w:eastAsia="Georgia" w:hAnsi="Georgia"/>
          <w:color w:val="1B2A4A"/>
          <w:sz w:val="22"/>
          <w:szCs w:val="22"/>
        </w:rPr>
        <w:t xml:space="preserve">5.2  Sensing and instrumentation</w:t>
      </w:r>
    </w:p>
    <w:p>
      <w:pPr>
        <w:keepNext w:val="false"/>
        <w:spacing w:after="130" w:before="0" w:line="288"/>
        <w:jc w:val="both"/>
      </w:pPr>
      <w:r>
        <w:rPr>
          <w:rFonts w:ascii="Georgia" w:cs="Georgia" w:eastAsia="Georgia" w:hAnsi="Georgia"/>
          <w:color w:val="1A1A1A"/>
          <w:sz w:val="21"/>
          <w:szCs w:val="21"/>
        </w:rPr>
        <w:t xml:space="preserve">The control system is simultaneously the appliance’s optimization engine and its primary safety mechanism. The relevant process variables—temperature, pH and oxidation-reduction potential, pressure, liquid level and flow, biogas composition (methane, carbon dioxide, hydrogen sulphide), and combustible and toxic gas concentrations—are all measurable, and recent work demonstrates that even low-cost microcontroller platforms can instrument an anaerobic digester effectively. An ESP32-based monitoring system for an AD reactor and an Internet-of-Things food-waste digestion study both show that continuous, networked sensing of digestion is achievable at low cost [86], [85]. The critical caveat, detailed in Section 7, is that safety-relevant gas detection must use industrial, hazardous-area-rated devices rather than hobby-grade sensors, whose accuracy and longevity are inadequate for life-safety duty.</w:t>
      </w:r>
    </w:p>
    <w:p>
      <w:pPr>
        <w:pStyle w:val="Heading2"/>
      </w:pPr>
      <w:r>
        <w:rPr>
          <w:rFonts w:ascii="Georgia" w:cs="Georgia" w:eastAsia="Georgia" w:hAnsi="Georgia"/>
          <w:color w:val="1B2A4A"/>
          <w:sz w:val="22"/>
          <w:szCs w:val="22"/>
        </w:rPr>
        <w:t xml:space="preserve">5.3  Digital twin and machine-learning optimization</w:t>
      </w:r>
    </w:p>
    <w:p>
      <w:pPr>
        <w:keepNext w:val="false"/>
        <w:spacing w:after="130" w:before="0" w:line="288"/>
        <w:jc w:val="both"/>
      </w:pPr>
      <w:r>
        <w:rPr>
          <w:rFonts w:ascii="Georgia" w:cs="Georgia" w:eastAsia="Georgia" w:hAnsi="Georgia"/>
          <w:color w:val="1A1A1A"/>
          <w:sz w:val="21"/>
          <w:szCs w:val="21"/>
        </w:rPr>
        <w:t xml:space="preserve">The Biotank Hub’s simulator is, in the language of contemporary bioprocess engineering, a </w:t>
      </w:r>
      <w:r>
        <w:rPr>
          <w:rFonts w:ascii="Georgia" w:cs="Georgia" w:eastAsia="Georgia" w:hAnsi="Georgia"/>
          <w:i/>
          <w:iCs/>
          <w:color w:val="1A1A1A"/>
          <w:sz w:val="21"/>
          <w:szCs w:val="21"/>
        </w:rPr>
        <w:t xml:space="preserve">digital twin</w:t>
      </w:r>
      <w:r>
        <w:rPr>
          <w:rFonts w:ascii="Georgia" w:cs="Georgia" w:eastAsia="Georgia" w:hAnsi="Georgia"/>
          <w:color w:val="1A1A1A"/>
          <w:sz w:val="21"/>
          <w:szCs w:val="21"/>
        </w:rPr>
        <w:t xml:space="preserve">: a computational model of the physical unit, calibrated by its telemetry, used to predict and optimize performance before feedstock is committed. The digestion component can be founded on the ADM1 framework [13], and recent work has extended ADM1 into explicit digital-twin form with added hydrogen-sulphide and oxygen kinetics for co-digestion [87]. A systematic literature on digital twins for bioprocessing and bioenergy now exists and provides design precedent for such a layer [88], [89].</w:t>
      </w:r>
    </w:p>
    <w:p>
      <w:pPr>
        <w:keepNext w:val="false"/>
        <w:spacing w:after="130" w:before="0" w:line="288"/>
        <w:jc w:val="both"/>
      </w:pPr>
      <w:r>
        <w:rPr>
          <w:rFonts w:ascii="Georgia" w:cs="Georgia" w:eastAsia="Georgia" w:hAnsi="Georgia"/>
          <w:color w:val="1A1A1A"/>
          <w:sz w:val="21"/>
          <w:szCs w:val="21"/>
        </w:rPr>
        <w:t xml:space="preserve">Where mechanistic models are difficult to calibrate, data-driven methods are increasingly effective. Machine-learning models predict methane yield from feedstock and process parameters with reported coefficients of determination in the range R² ≈ 0.82–0.95—using gradient boosting, support-vector regression with recursive feature elimination, and random forests—with volatile-solids content, lignin, and carbon-to-nitrogen ratio emerging as dominant predictors [90], [91], [92]. Such models can approximate ADM1 behavior with substantially less calibration data [93]. This evidence directly supports the feasibility of the Hub’s two core software functions: a predictive simulator that lets users plan recipes, and an optimization engine that improves as real telemetry accumulates. It also establishes the technical basis for the data asset discussed next: a large, growing corpus of real-world performance data is precisely the input these models require.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2900"/>
        <w:gridCol w:w="2510"/>
        <w:gridCol w:w="1600"/>
      </w:tblGrid>
      <w:tr>
        <w:trPr>
          <w:tblHeader/>
        </w:trPr>
        <w:tc>
          <w:tcPr>
            <w:tcW w:type="dxa" w:w="235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5"/>
                <w:szCs w:val="15"/>
              </w:rPr>
              <w:t xml:space="preserve">Hub function</w:t>
            </w:r>
          </w:p>
        </w:tc>
        <w:tc>
          <w:tcPr>
            <w:tcW w:type="dxa" w:w="290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5"/>
                <w:szCs w:val="15"/>
              </w:rPr>
              <w:t xml:space="preserve">Modeling basis</w:t>
            </w:r>
          </w:p>
        </w:tc>
        <w:tc>
          <w:tcPr>
            <w:tcW w:type="dxa" w:w="251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5"/>
                <w:szCs w:val="15"/>
              </w:rPr>
              <w:t xml:space="preserve">Reported performance</w:t>
            </w:r>
          </w:p>
        </w:tc>
        <w:tc>
          <w:tcPr>
            <w:tcW w:type="dxa" w:w="160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5"/>
                <w:szCs w:val="15"/>
              </w:rPr>
              <w:t xml:space="preserve">Source</w:t>
            </w:r>
          </w:p>
        </w:tc>
      </w:tr>
      <w:tr>
        <w:tc>
          <w:tcPr>
            <w:tcW w:type="dxa" w:w="23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Digestion simulation</w:t>
            </w:r>
          </w:p>
        </w:tc>
        <w:tc>
          <w:tcPr>
            <w:tcW w:type="dxa" w:w="29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ADM1 mechanistic model + digital-twin extension</w:t>
            </w:r>
          </w:p>
        </w:tc>
        <w:tc>
          <w:tcPr>
            <w:tcW w:type="dxa" w:w="251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Standard reference framework; H₂S/O₂ kinetics added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[13], [87]</w:t>
            </w:r>
          </w:p>
        </w:tc>
      </w:tr>
      <w:tr>
        <w:tc>
          <w:tcPr>
            <w:tcW w:type="dxa" w:w="235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Methane-yield prediction</w:t>
            </w:r>
          </w:p>
        </w:tc>
        <w:tc>
          <w:tcPr>
            <w:tcW w:type="dxa" w:w="29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Gradient boosting / SVR-RFE / random forest</w:t>
            </w:r>
          </w:p>
        </w:tc>
        <w:tc>
          <w:tcPr>
            <w:tcW w:type="dxa" w:w="251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R² ≈ 0.82–0.95</w:t>
            </w:r>
          </w:p>
        </w:tc>
        <w:tc>
          <w:tcPr>
            <w:tcW w:type="dxa" w:w="16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[90], [91], [92]</w:t>
            </w:r>
          </w:p>
        </w:tc>
      </w:tr>
      <w:tr>
        <w:tc>
          <w:tcPr>
            <w:tcW w:type="dxa" w:w="23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Low-cost telemetry</w:t>
            </w:r>
          </w:p>
        </w:tc>
        <w:tc>
          <w:tcPr>
            <w:tcW w:type="dxa" w:w="29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ESP32 / IoT sensing of AD reactor</w:t>
            </w:r>
          </w:p>
        </w:tc>
        <w:tc>
          <w:tcPr>
            <w:tcW w:type="dxa" w:w="251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Continuous networked monitoring demonstrated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[86], [85]</w:t>
            </w:r>
          </w:p>
        </w:tc>
      </w:tr>
      <w:tr>
        <w:tc>
          <w:tcPr>
            <w:tcW w:type="dxa" w:w="235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Surrogate modeling</w:t>
            </w:r>
          </w:p>
        </w:tc>
        <w:tc>
          <w:tcPr>
            <w:tcW w:type="dxa" w:w="29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ML trained to approximate ADM1</w:t>
            </w:r>
          </w:p>
        </w:tc>
        <w:tc>
          <w:tcPr>
            <w:tcW w:type="dxa" w:w="251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Comparable accuracy with less data</w:t>
            </w:r>
          </w:p>
        </w:tc>
        <w:tc>
          <w:tcPr>
            <w:tcW w:type="dxa" w:w="16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5"/>
                <w:szCs w:val="15"/>
              </w:rPr>
              <w:t xml:space="preserve">[93]</w:t>
            </w:r>
          </w:p>
        </w:tc>
      </w:tr>
    </w:tbl>
    <w:p>
      <w:pPr>
        <w:spacing w:after="140" w:before="60"/>
        <w:jc w:val="left"/>
      </w:pPr>
      <w:r>
        <w:rPr>
          <w:rFonts w:ascii="Arial" w:cs="Arial" w:eastAsia="Arial" w:hAnsi="Arial"/>
          <w:color w:val="5A5A5A"/>
          <w:sz w:val="17"/>
          <w:szCs w:val="17"/>
        </w:rPr>
        <w:t xml:space="preserve">Table 4.  Evidence supporting the Biotank Hub’s simulation and optimization functions. The combination of a mechanistic ADM1 digital twin with data-driven yield prediction is well precedented in the bioprocess literature.</w:t>
      </w:r>
    </w:p>
    <w:p>
      <w:pPr>
        <w:spacing w:after="40"/>
      </w:pPr>
      <w:r>
        <w:t xml:space="preserve"/>
      </w:r>
    </w:p>
    <w:p>
      <w:pPr>
        <w:pStyle w:val="Heading1"/>
      </w:pPr>
      <w:r>
        <w:rPr>
          <w:rFonts w:ascii="Georgia" w:cs="Georgia" w:eastAsia="Georgia" w:hAnsi="Georgia"/>
          <w:color w:val="1B2A4A"/>
          <w:sz w:val="25"/>
          <w:szCs w:val="25"/>
        </w:rPr>
        <w:t xml:space="preserve">6.  The Decentralized Community-Innovation Layer</w:t>
      </w:r>
    </w:p>
    <w:p>
      <w:pPr>
        <w:keepNext w:val="false"/>
        <w:spacing w:after="130" w:before="0" w:line="288"/>
        <w:jc w:val="both"/>
      </w:pPr>
      <w:r>
        <w:rPr>
          <w:rFonts w:ascii="Georgia" w:cs="Georgia" w:eastAsia="Georgia" w:hAnsi="Georgia"/>
          <w:color w:val="1A1A1A"/>
          <w:sz w:val="21"/>
          <w:szCs w:val="21"/>
        </w:rPr>
        <w:t xml:space="preserve">Biotank’s most distinctive—and most speculative—feature is a software layer that turns users into a distributed research community: a competition in which “backyard scientists” propose, run, and score fuel recipes, with contributions rewarded by tokens and results recorded for provenance. This section assesses whether such a mechanism can work, drawing on three literatures: crowdsourced and citizen-science innovation, decentralized science and token engineering, and the verification methods needed to keep distributed contributions trustworthy. We treat the layer as an emerging contribution and are explicit about its risks.</w:t>
      </w:r>
    </w:p>
    <w:p>
      <w:pPr>
        <w:pStyle w:val="Heading2"/>
      </w:pPr>
      <w:r>
        <w:rPr>
          <w:rFonts w:ascii="Georgia" w:cs="Georgia" w:eastAsia="Georgia" w:hAnsi="Georgia"/>
          <w:color w:val="1B2A4A"/>
          <w:sz w:val="22"/>
          <w:szCs w:val="22"/>
        </w:rPr>
        <w:t xml:space="preserve">6.1  Can distributed contributors solve technical problems?</w:t>
      </w:r>
    </w:p>
    <w:p>
      <w:pPr>
        <w:keepNext w:val="false"/>
        <w:spacing w:after="130" w:before="0" w:line="288"/>
        <w:jc w:val="both"/>
      </w:pPr>
      <w:r>
        <w:rPr>
          <w:rFonts w:ascii="Georgia" w:cs="Georgia" w:eastAsia="Georgia" w:hAnsi="Georgia"/>
          <w:color w:val="1A1A1A"/>
          <w:sz w:val="21"/>
          <w:szCs w:val="21"/>
        </w:rPr>
        <w:t xml:space="preserve">The premise that a distributed, non-professional community can make genuine technical progress is supported by strong precedents. In broadcast-search innovation contests run through InnoCentive, problems drawn from the research-and-development laboratories of established firms were solved by an external crowd at a substantial rate; the foundational study reports that 49 of 166 broadcast problems (29.5%) were solved by the InnoCentive community, with problem-solving success increasing with the </w:t>
      </w:r>
      <w:r>
        <w:rPr>
          <w:rFonts w:ascii="Georgia" w:cs="Georgia" w:eastAsia="Georgia" w:hAnsi="Georgia"/>
          <w:i/>
          <w:iCs/>
          <w:color w:val="1A1A1A"/>
          <w:sz w:val="21"/>
          <w:szCs w:val="21"/>
        </w:rPr>
        <w:t xml:space="preserve">distance</w:t>
      </w:r>
      <w:r>
        <w:rPr>
          <w:rFonts w:ascii="Georgia" w:cs="Georgia" w:eastAsia="Georgia" w:hAnsi="Georgia"/>
          <w:color w:val="1A1A1A"/>
          <w:sz w:val="21"/>
          <w:szCs w:val="21"/>
        </w:rPr>
        <w:t xml:space="preserve"> between the solver’s field of expertise and the problem’s domain [97], [98]. In structural biology, players of the online game Foldit produced protein-folding solutions competitive with algorithms and later designed de novo proteins and dramatically improved an enzyme’s activity [99], [100]. In astronomy, the Galaxy Zoo project obtained tens of millions of galaxy classifications from roughly one hundred thousand volunteers, with aggregated amateur classifications agreeing closely with professional ones [101]. And contest theory provides a mechanism-level rationale: adding competitors to an innovation contest increases the probability of an extreme (high-quality) solution for high-uncertainty problems, even as it dampens the incentive of any individual entrant [102]. Collectively, this evidence supports the proposition that a well-designed Biotank competition could surface genuinely better recipes than a single central laboratory.</w:t>
      </w:r>
    </w:p>
    <w:p>
      <w:pPr>
        <w:pStyle w:val="Heading2"/>
      </w:pPr>
      <w:r>
        <w:rPr>
          <w:rFonts w:ascii="Georgia" w:cs="Georgia" w:eastAsia="Georgia" w:hAnsi="Georgia"/>
          <w:color w:val="1B2A4A"/>
          <w:sz w:val="22"/>
          <w:szCs w:val="22"/>
        </w:rPr>
        <w:t xml:space="preserve">6.2  Decentralized science and tokenized incentives</w:t>
      </w:r>
    </w:p>
    <w:p>
      <w:pPr>
        <w:keepNext w:val="false"/>
        <w:spacing w:after="130" w:before="0" w:line="288"/>
        <w:jc w:val="both"/>
      </w:pPr>
      <w:r>
        <w:rPr>
          <w:rFonts w:ascii="Georgia" w:cs="Georgia" w:eastAsia="Georgia" w:hAnsi="Georgia"/>
          <w:color w:val="1A1A1A"/>
          <w:sz w:val="21"/>
          <w:szCs w:val="21"/>
        </w:rPr>
        <w:t xml:space="preserve">The mechanism Biotank proposes—tokenized rewards for verified contributions to a shared body of technical knowledge—belongs to the emerging field of decentralized science (DeSci). A recent expert-survey definition characterizes DeSci by values of openness, verifiability, and community governance, with tokenized incentives a recognized though not universal element [94]. The design of such incentives is the subject of a growing token-engineering literature that catalogues the failure modes a naive scheme would suffer—Sybil attacks (one actor masquerading as many to capture rewards), plutocracy (token-weighted influence concentrating among the wealthy), and outright gaming of the scoring rule—and proposes mitigations including reputation weighting, quadratic mechanisms, and Sybil-tolerant reputation systems [95], [96]. The clear implication for Biotank is that the token layer must be engineered, not merely attached: rewards must be tied to verified outcomes, identity must be protected against Sybil attacks, and the scoring rule must be robust to manipulation.</w:t>
      </w:r>
    </w:p>
    <w:p>
      <w:pPr>
        <w:pStyle w:val="Heading2"/>
      </w:pPr>
      <w:r>
        <w:rPr>
          <w:rFonts w:ascii="Georgia" w:cs="Georgia" w:eastAsia="Georgia" w:hAnsi="Georgia"/>
          <w:color w:val="1B2A4A"/>
          <w:sz w:val="22"/>
          <w:szCs w:val="22"/>
        </w:rPr>
        <w:t xml:space="preserve">6.3  Verification as the keystone</w:t>
      </w:r>
    </w:p>
    <w:p>
      <w:pPr>
        <w:keepNext w:val="false"/>
        <w:spacing w:after="130" w:before="0" w:line="288"/>
        <w:jc w:val="both"/>
      </w:pPr>
      <w:r>
        <w:rPr>
          <w:rFonts w:ascii="Georgia" w:cs="Georgia" w:eastAsia="Georgia" w:hAnsi="Georgia"/>
          <w:color w:val="1A1A1A"/>
          <w:sz w:val="21"/>
          <w:szCs w:val="21"/>
        </w:rPr>
        <w:t xml:space="preserve">The integrity of the community layer is the integrity of the whole proposition, and it reduces to a verification problem. The citizen-science literature is explicit that distributed data can match or surpass professional quality—but only with training, validation, and replication; data quality is something that must be engineered into a citizen-science system, not assumed [103], [104]. For Biotank this dictates a layered verification design: appliance telemetry provides a continuous, tamper-evident record of each run; recipes that are prize-eligible or destined for the official library additionally require a sealed physical sample analyzed by an accredited laboratory; and the combination of telemetry and the laboratory certificate is recorded immutably (for example, hashed on a low-cost distributed ledger) to establish provenance. This verification layer is also what makes any downstream fuel claim or environmental claim defensible: no recipe is certified for use, and no avoided-emissions claim is made, on self-reported data alone. Verification thus simultaneously secures the competition against gaming, grounds the environmental claims of Section 4, and produces the high-quality labeled dataset that the machine-learning models of Section 5 require—a single mechanism serving three ends.</w:t>
      </w:r>
    </w:p>
    <w:p>
      <w:pPr>
        <w:pStyle w:val="Heading2"/>
      </w:pPr>
      <w:r>
        <w:rPr>
          <w:rFonts w:ascii="Georgia" w:cs="Georgia" w:eastAsia="Georgia" w:hAnsi="Georgia"/>
          <w:color w:val="1B2A4A"/>
          <w:sz w:val="22"/>
          <w:szCs w:val="22"/>
        </w:rPr>
        <w:t xml:space="preserve">6.4  An honest assessment of the community layer</w:t>
      </w:r>
    </w:p>
    <w:p>
      <w:pPr>
        <w:keepNext w:val="false"/>
        <w:spacing w:after="130" w:before="0" w:line="288"/>
        <w:jc w:val="both"/>
      </w:pPr>
      <w:r>
        <w:rPr>
          <w:rFonts w:ascii="Georgia" w:cs="Georgia" w:eastAsia="Georgia" w:hAnsi="Georgia"/>
          <w:color w:val="1A1A1A"/>
          <w:sz w:val="21"/>
          <w:szCs w:val="21"/>
        </w:rPr>
        <w:t xml:space="preserve">We assess this layer as promising but unproven. The evidence that distributed communities can solve technical problems is strong; the evidence that </w:t>
      </w:r>
      <w:r>
        <w:rPr>
          <w:rFonts w:ascii="Georgia" w:cs="Georgia" w:eastAsia="Georgia" w:hAnsi="Georgia"/>
          <w:i/>
          <w:iCs/>
          <w:color w:val="1A1A1A"/>
          <w:sz w:val="21"/>
          <w:szCs w:val="21"/>
        </w:rPr>
        <w:t xml:space="preserve">tokenized</w:t>
      </w:r>
      <w:r>
        <w:rPr>
          <w:rFonts w:ascii="Georgia" w:cs="Georgia" w:eastAsia="Georgia" w:hAnsi="Georgia"/>
          <w:color w:val="1A1A1A"/>
          <w:sz w:val="21"/>
          <w:szCs w:val="21"/>
        </w:rPr>
        <w:t xml:space="preserve"> incentives specifically will elicit high-quality contributions without being gamed is thin and drawn largely from an emerging, partly non-peer-reviewed literature. The prudent design course—reflected in the staged pathway of Section 9—is to build the community and verification infrastructure first, to launch the reward layer initially as non-monetary utility (recognition, access, and discounts) rather than as a speculative token, and to introduce stronger economic incentives only after the verification mechanism has demonstrated that it can keep contributions trustworthy. This sequencing also defers the most acute regulatory questions, discussed in Section 8, until the mechanism that would trigger them is proven.</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2750"/>
        <w:gridCol w:w="2660"/>
        <w:gridCol w:w="1600"/>
      </w:tblGrid>
      <w:tr>
        <w:trPr>
          <w:tblHeader/>
        </w:trPr>
        <w:tc>
          <w:tcPr>
            <w:tcW w:type="dxa" w:w="235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4"/>
                <w:szCs w:val="14"/>
              </w:rPr>
              <w:t xml:space="preserve">Precedent / concept</w:t>
            </w:r>
          </w:p>
        </w:tc>
        <w:tc>
          <w:tcPr>
            <w:tcW w:type="dxa" w:w="275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4"/>
                <w:szCs w:val="14"/>
              </w:rPr>
              <w:t xml:space="preserve">What it demonstrates</w:t>
            </w:r>
          </w:p>
        </w:tc>
        <w:tc>
          <w:tcPr>
            <w:tcW w:type="dxa" w:w="266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4"/>
                <w:szCs w:val="14"/>
              </w:rPr>
              <w:t xml:space="preserve">Relevance to Biotank</w:t>
            </w:r>
          </w:p>
        </w:tc>
        <w:tc>
          <w:tcPr>
            <w:tcW w:type="dxa" w:w="160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4"/>
                <w:szCs w:val="14"/>
              </w:rPr>
              <w:t xml:space="preserve">Source</w:t>
            </w:r>
          </w:p>
        </w:tc>
      </w:tr>
      <w:tr>
        <w:tc>
          <w:tcPr>
            <w:tcW w:type="dxa" w:w="23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InnoCentive broadcast search</w:t>
            </w:r>
          </w:p>
        </w:tc>
        <w:tc>
          <w:tcPr>
            <w:tcW w:type="dxa" w:w="27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29.5% of firm R&amp;D problems solved by an external crowd; distant solvers win more</w:t>
            </w:r>
          </w:p>
        </w:tc>
        <w:tc>
          <w:tcPr>
            <w:tcW w:type="dxa" w:w="266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Distributed users can solve real technical problems</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[97], [98]</w:t>
            </w:r>
          </w:p>
        </w:tc>
      </w:tr>
      <w:tr>
        <w:tc>
          <w:tcPr>
            <w:tcW w:type="dxa" w:w="235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Foldit</w:t>
            </w:r>
          </w:p>
        </w:tc>
        <w:tc>
          <w:tcPr>
            <w:tcW w:type="dxa" w:w="275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Citizens fold and design proteins competitively with algorithms</w:t>
            </w:r>
          </w:p>
        </w:tc>
        <w:tc>
          <w:tcPr>
            <w:tcW w:type="dxa" w:w="266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Gamified technical optimization works</w:t>
            </w:r>
          </w:p>
        </w:tc>
        <w:tc>
          <w:tcPr>
            <w:tcW w:type="dxa" w:w="16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[99], [100]</w:t>
            </w:r>
          </w:p>
        </w:tc>
      </w:tr>
      <w:tr>
        <w:tc>
          <w:tcPr>
            <w:tcW w:type="dxa" w:w="23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Galaxy Zoo</w:t>
            </w:r>
          </w:p>
        </w:tc>
        <w:tc>
          <w:tcPr>
            <w:tcW w:type="dxa" w:w="27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Tens of millions of classifications; amateur ≈ professional</w:t>
            </w:r>
          </w:p>
        </w:tc>
        <w:tc>
          <w:tcPr>
            <w:tcW w:type="dxa" w:w="266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Aggregated amateur data is reliable</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[101]</w:t>
            </w:r>
          </w:p>
        </w:tc>
      </w:tr>
      <w:tr>
        <w:tc>
          <w:tcPr>
            <w:tcW w:type="dxa" w:w="235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Innovation-contest theory</w:t>
            </w:r>
          </w:p>
        </w:tc>
        <w:tc>
          <w:tcPr>
            <w:tcW w:type="dxa" w:w="275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More entrants → better extreme solutions for hard problems</w:t>
            </w:r>
          </w:p>
        </w:tc>
        <w:tc>
          <w:tcPr>
            <w:tcW w:type="dxa" w:w="266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Competition mechanics favor recipe discovery</w:t>
            </w:r>
          </w:p>
        </w:tc>
        <w:tc>
          <w:tcPr>
            <w:tcW w:type="dxa" w:w="16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[102]</w:t>
            </w:r>
          </w:p>
        </w:tc>
      </w:tr>
      <w:tr>
        <w:tc>
          <w:tcPr>
            <w:tcW w:type="dxa" w:w="23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Token engineering / MeritRank</w:t>
            </w:r>
          </w:p>
        </w:tc>
        <w:tc>
          <w:tcPr>
            <w:tcW w:type="dxa" w:w="27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Catalogues Sybil, plutocracy, gaming; offers mitigations</w:t>
            </w:r>
          </w:p>
        </w:tc>
        <w:tc>
          <w:tcPr>
            <w:tcW w:type="dxa" w:w="266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Token layer must be engineered against attacks</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[95], [96]</w:t>
            </w:r>
          </w:p>
        </w:tc>
      </w:tr>
      <w:tr>
        <w:tc>
          <w:tcPr>
            <w:tcW w:type="dxa" w:w="235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Citizen-science data quality</w:t>
            </w:r>
          </w:p>
        </w:tc>
        <w:tc>
          <w:tcPr>
            <w:tcW w:type="dxa" w:w="275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Crowd data matches experts — with validation/replication</w:t>
            </w:r>
          </w:p>
        </w:tc>
        <w:tc>
          <w:tcPr>
            <w:tcW w:type="dxa" w:w="266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Verification is mandatory, not optional</w:t>
            </w:r>
          </w:p>
        </w:tc>
        <w:tc>
          <w:tcPr>
            <w:tcW w:type="dxa" w:w="16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[103], [104]</w:t>
            </w:r>
          </w:p>
        </w:tc>
      </w:tr>
    </w:tbl>
    <w:p>
      <w:pPr>
        <w:spacing w:after="140" w:before="60"/>
        <w:jc w:val="left"/>
      </w:pPr>
      <w:r>
        <w:rPr>
          <w:rFonts w:ascii="Arial" w:cs="Arial" w:eastAsia="Arial" w:hAnsi="Arial"/>
          <w:color w:val="5A5A5A"/>
          <w:sz w:val="17"/>
          <w:szCs w:val="17"/>
        </w:rPr>
        <w:t xml:space="preserve">Table 5.  Evidence and design implications for the decentralized community-innovation layer. The crowdsourcing precedents are strong; the tokenized-incentive element is emerging and is the layer’s principal source of risk.</w:t>
      </w:r>
    </w:p>
    <w:p>
      <w:pPr>
        <w:pStyle w:val="Heading1"/>
      </w:pPr>
      <w:r>
        <w:rPr>
          <w:rFonts w:ascii="Georgia" w:cs="Georgia" w:eastAsia="Georgia" w:hAnsi="Georgia"/>
          <w:color w:val="1B2A4A"/>
          <w:sz w:val="25"/>
          <w:szCs w:val="25"/>
        </w:rPr>
        <w:t xml:space="preserve">7.  Safety Engineering as a Gating Constraint</w:t>
      </w:r>
    </w:p>
    <w:p>
      <w:pPr>
        <w:keepNext w:val="false"/>
        <w:spacing w:after="130" w:before="0" w:line="288"/>
        <w:jc w:val="both"/>
      </w:pPr>
      <w:r>
        <w:rPr>
          <w:rFonts w:ascii="Georgia" w:cs="Georgia" w:eastAsia="Georgia" w:hAnsi="Georgia"/>
          <w:color w:val="1A1A1A"/>
          <w:sz w:val="21"/>
          <w:szCs w:val="21"/>
        </w:rPr>
        <w:t xml:space="preserve">Of all the considerations in this paper, safety is the one most likely to determine whether a residential waste-to-fuel appliance can exist at all. A system that simultaneously handles methane and methanol in a dwelling combines an explosive gas with a flammable, acutely toxic liquid, and the engineering required to make that combination safe is substantial. We treat safety not as a feature to be added but as a constraint that gates the entire design, and we note that it is the area most under-specified in popular conceptions of such an appliance.</w:t>
      </w:r>
    </w:p>
    <w:p>
      <w:pPr>
        <w:pStyle w:val="Heading2"/>
      </w:pPr>
      <w:r>
        <w:rPr>
          <w:rFonts w:ascii="Georgia" w:cs="Georgia" w:eastAsia="Georgia" w:hAnsi="Georgia"/>
          <w:color w:val="1B2A4A"/>
          <w:sz w:val="22"/>
          <w:szCs w:val="22"/>
        </w:rPr>
        <w:t xml:space="preserve">7.1  The hazards, quantified</w:t>
      </w:r>
    </w:p>
    <w:p>
      <w:pPr>
        <w:keepNext w:val="false"/>
        <w:spacing w:after="130" w:before="0" w:line="288"/>
        <w:jc w:val="both"/>
      </w:pPr>
      <w:r>
        <w:rPr>
          <w:rFonts w:ascii="Georgia" w:cs="Georgia" w:eastAsia="Georgia" w:hAnsi="Georgia"/>
          <w:color w:val="1A1A1A"/>
          <w:sz w:val="21"/>
          <w:szCs w:val="21"/>
        </w:rPr>
        <w:t xml:space="preserve">The flammability hazards are precise and well-characterized. Methane is flammable between a lower explosive limit (LEL) of about 5% and an upper explosive limit (UEL) of about 15% by volume in air; methanol vapor is flammable from an LEL of about 6% to a UEL of about 36% [106], [113]. Methane is additionally an asphyxiant at high concentration. The toxicity of methanol is the more insidious hazard: it is acutely poisonous by ingestion, inhalation, and skin absorption, and the U.S. National Oceanic and Atmospheric Administration’s CAMEO Chemicals datasheet, citing the U.S. Coast Guard, states that “high concentrations can produce central nervous system depression and optic nerve damage,” and that an airborne concentration of “50,000 ppm will probably cause death in 1 to 2 hrs” [112]. Hydrogen sulphide, a trace component of biogas, is both toxic and corrosive. These are not hazards that admit casual handling.</w:t>
      </w:r>
    </w:p>
    <w:p>
      <w:pPr>
        <w:pStyle w:val="Heading2"/>
      </w:pPr>
      <w:r>
        <w:rPr>
          <w:rFonts w:ascii="Georgia" w:cs="Georgia" w:eastAsia="Georgia" w:hAnsi="Georgia"/>
          <w:color w:val="1B2A4A"/>
          <w:sz w:val="22"/>
          <w:szCs w:val="22"/>
        </w:rPr>
        <w:t xml:space="preserve">7.2  The applicable safety framework</w:t>
      </w:r>
    </w:p>
    <w:p>
      <w:pPr>
        <w:keepNext w:val="false"/>
        <w:spacing w:after="130" w:before="0" w:line="288"/>
        <w:jc w:val="both"/>
      </w:pPr>
      <w:r>
        <w:rPr>
          <w:rFonts w:ascii="Georgia" w:cs="Georgia" w:eastAsia="Georgia" w:hAnsi="Georgia"/>
          <w:color w:val="1A1A1A"/>
          <w:sz w:val="21"/>
          <w:szCs w:val="21"/>
        </w:rPr>
        <w:t xml:space="preserve">A mature framework exists for engineering such hazards, drawn from process and functional safety. Flammable-liquid storage and handling are governed by NFPA 30 [105]; the classification of hazardous areas where flammable gas or vapor may be present is addressed by NFPA 497 and IEC 60079, and by the European ATEX directive, which together define the zones that dictate the use of explosion-proof or intrinsically safe equipment [106], [110], [111]. Functional safety—the correct, fail-safe behavior of the instrumented protective systems—is governed by IEC 61508 and, for the process sector, IEC 61511, which define safety-integrity levels (SIL) for safety-instrumented functions [107], [108]. The systematic identification of hazards and the analysis of protective layers are addressed by hazard-and-operability (HAZOP) studies and layer-of-protection analysis (LOPA) [109]. The implication is that a Biotank appliance is, in regulatory and engineering terms, a small process plant, and must be engineered as one.</w:t>
      </w:r>
    </w:p>
    <w:p>
      <w:pPr>
        <w:pStyle w:val="Heading2"/>
      </w:pPr>
      <w:r>
        <w:rPr>
          <w:rFonts w:ascii="Georgia" w:cs="Georgia" w:eastAsia="Georgia" w:hAnsi="Georgia"/>
          <w:color w:val="1B2A4A"/>
          <w:sz w:val="22"/>
          <w:szCs w:val="22"/>
        </w:rPr>
        <w:t xml:space="preserve">7.3  Gas detection: a design choice with no casual answer</w:t>
      </w:r>
    </w:p>
    <w:p>
      <w:pPr>
        <w:keepNext w:val="false"/>
        <w:spacing w:after="130" w:before="0" w:line="288"/>
        <w:jc w:val="both"/>
      </w:pPr>
      <w:r>
        <w:rPr>
          <w:rFonts w:ascii="Georgia" w:cs="Georgia" w:eastAsia="Georgia" w:hAnsi="Georgia"/>
          <w:color w:val="1A1A1A"/>
          <w:sz w:val="21"/>
          <w:szCs w:val="21"/>
        </w:rPr>
        <w:t xml:space="preserve">Because gas detection is the appliance’s primary line of defense, the choice of sensing technology is a safety-critical design decision. The principal technologies trade off against one another in ways that matter here: catalytic-bead (pellistor) sensors are inexpensive and detect combustible gases broadly but require oxygen to function and are poisoned by sulphur and silicones; non-dispersive infrared (NDIR) sensors do not require oxygen and resist poisoning but cannot detect hydrogen; electrochemical sensors are well suited to toxic gases such as carbon monoxide and hydrogen sulphide but have limited lifetimes; and metal-oxide-semiconductor sensors are sensitive but cross-react with multiple gases [114]. A defensible design pairs complementary technologies—for example, NDIR for methane with electrochemical sensing for carbon monoxide and hydrogen sulphide—with redundancy on life-safety functions, rather than relying on a single low-cost element. The hobby-grade metal-oxide sensors adequate for prototyping are not adequate for a shipping life-safety system.</w:t>
      </w:r>
    </w:p>
    <w:p>
      <w:pPr>
        <w:pStyle w:val="Heading2"/>
      </w:pPr>
      <w:r>
        <w:rPr>
          <w:rFonts w:ascii="Georgia" w:cs="Georgia" w:eastAsia="Georgia" w:hAnsi="Georgia"/>
          <w:color w:val="1B2A4A"/>
          <w:sz w:val="22"/>
          <w:szCs w:val="22"/>
        </w:rPr>
        <w:t xml:space="preserve">7.4  Combustion emissions indoors</w:t>
      </w:r>
    </w:p>
    <w:p>
      <w:pPr>
        <w:keepNext w:val="false"/>
        <w:spacing w:after="130" w:before="0" w:line="288"/>
        <w:jc w:val="both"/>
      </w:pPr>
      <w:r>
        <w:rPr>
          <w:rFonts w:ascii="Georgia" w:cs="Georgia" w:eastAsia="Georgia" w:hAnsi="Georgia"/>
          <w:color w:val="1A1A1A"/>
          <w:sz w:val="21"/>
          <w:szCs w:val="21"/>
        </w:rPr>
        <w:t xml:space="preserve">A second-order but real safety consideration is the air quality produced by burning the fuel. As noted in Section 4, biodiesel and biogas combustion lowers particulate matter, carbon monoxide, and unburned hydrocarbons relative to petroleum diesel but tends to increase nitrogen oxides modestly [69], [71]. In a residential setting, any on-site generator must therefore be sited and ventilated so that combustion products are exhausted safely, and indoor air quality must be treated as part of the safety case rather than assumed benign.</w:t>
      </w:r>
    </w:p>
    <w:p>
      <w:pPr>
        <w:pStyle w:val="Heading2"/>
      </w:pPr>
      <w:r>
        <w:rPr>
          <w:rFonts w:ascii="Georgia" w:cs="Georgia" w:eastAsia="Georgia" w:hAnsi="Georgia"/>
          <w:color w:val="1B2A4A"/>
          <w:sz w:val="22"/>
          <w:szCs w:val="22"/>
        </w:rPr>
        <w:t xml:space="preserve">7.5  The safety verdict</w:t>
      </w:r>
    </w:p>
    <w:p>
      <w:pPr>
        <w:keepNext w:val="false"/>
        <w:spacing w:after="130" w:before="0" w:line="288"/>
        <w:jc w:val="both"/>
      </w:pPr>
      <w:r>
        <w:rPr>
          <w:rFonts w:ascii="Georgia" w:cs="Georgia" w:eastAsia="Georgia" w:hAnsi="Georgia"/>
          <w:color w:val="1A1A1A"/>
          <w:sz w:val="21"/>
          <w:szCs w:val="21"/>
        </w:rPr>
        <w:t xml:space="preserve">Our assessment is that the safety requirements, while demanding, are not unprecedented: they are the established requirements of small-scale process and functional safety, and they are achievable with engineering discipline—hazard zoning, SIL-rated interlocks, redundant industrial gas detection, sealed reagent handling, forced ventilation, and certified design. But they are expensive, they feed back into the unfavorable economics of Section 3, and they make an unsupervised, uncertified, owner-modified residential installation—the “backyard rig” that the appliance is meant to replace—clearly unsafe. The safety analysis thus reinforces the central recommendation of this paper: that the path forward runs through professional engineering, certification, and supervised deployment, not through an unconstrained consumer device.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2750"/>
        <w:gridCol w:w="2460"/>
        <w:gridCol w:w="1600"/>
      </w:tblGrid>
      <w:tr>
        <w:trPr>
          <w:tblHeader/>
        </w:trPr>
        <w:tc>
          <w:tcPr>
            <w:tcW w:type="dxa" w:w="255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4"/>
                <w:szCs w:val="14"/>
              </w:rPr>
              <w:t xml:space="preserve">Hazard / requirement</w:t>
            </w:r>
          </w:p>
        </w:tc>
        <w:tc>
          <w:tcPr>
            <w:tcW w:type="dxa" w:w="275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4"/>
                <w:szCs w:val="14"/>
              </w:rPr>
              <w:t xml:space="preserve">Quantitative basis</w:t>
            </w:r>
          </w:p>
        </w:tc>
        <w:tc>
          <w:tcPr>
            <w:tcW w:type="dxa" w:w="246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4"/>
                <w:szCs w:val="14"/>
              </w:rPr>
              <w:t xml:space="preserve">Governing standard</w:t>
            </w:r>
          </w:p>
        </w:tc>
        <w:tc>
          <w:tcPr>
            <w:tcW w:type="dxa" w:w="160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4"/>
                <w:szCs w:val="14"/>
              </w:rPr>
              <w:t xml:space="preserve">Source</w:t>
            </w:r>
          </w:p>
        </w:tc>
      </w:tr>
      <w:tr>
        <w:tc>
          <w:tcPr>
            <w:tcW w:type="dxa" w:w="25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Methane flammability</w:t>
            </w:r>
          </w:p>
        </w:tc>
        <w:tc>
          <w:tcPr>
            <w:tcW w:type="dxa" w:w="27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LEL ≈ 5%, UEL ≈ 15% in air</w:t>
            </w:r>
          </w:p>
        </w:tc>
        <w:tc>
          <w:tcPr>
            <w:tcW w:type="dxa" w:w="246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NFPA 497 / IEC 60079-20-1</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[106]</w:t>
            </w:r>
          </w:p>
        </w:tc>
      </w:tr>
      <w:tr>
        <w:tc>
          <w:tcPr>
            <w:tcW w:type="dxa" w:w="255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Methanol flammability</w:t>
            </w:r>
          </w:p>
        </w:tc>
        <w:tc>
          <w:tcPr>
            <w:tcW w:type="dxa" w:w="275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LEL ≈ 6%, UEL ≈ 36%</w:t>
            </w:r>
          </w:p>
        </w:tc>
        <w:tc>
          <w:tcPr>
            <w:tcW w:type="dxa" w:w="246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NFPA 30 / NFPA 497</w:t>
            </w:r>
          </w:p>
        </w:tc>
        <w:tc>
          <w:tcPr>
            <w:tcW w:type="dxa" w:w="16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[105], [106]</w:t>
            </w:r>
          </w:p>
        </w:tc>
      </w:tr>
      <w:tr>
        <w:tc>
          <w:tcPr>
            <w:tcW w:type="dxa" w:w="25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Methanol toxicity</w:t>
            </w:r>
          </w:p>
        </w:tc>
        <w:tc>
          <w:tcPr>
            <w:tcW w:type="dxa" w:w="27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50,000 ppm → death in 1–2 h; optic-nerve damage</w:t>
            </w:r>
          </w:p>
        </w:tc>
        <w:tc>
          <w:tcPr>
            <w:tcW w:type="dxa" w:w="246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CAMEO / USCG</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[112]</w:t>
            </w:r>
          </w:p>
        </w:tc>
      </w:tr>
      <w:tr>
        <w:tc>
          <w:tcPr>
            <w:tcW w:type="dxa" w:w="255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Hazardous-area classification</w:t>
            </w:r>
          </w:p>
        </w:tc>
        <w:tc>
          <w:tcPr>
            <w:tcW w:type="dxa" w:w="275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Zone definitions for flammable atmospheres</w:t>
            </w:r>
          </w:p>
        </w:tc>
        <w:tc>
          <w:tcPr>
            <w:tcW w:type="dxa" w:w="246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IEC 60079 / ATEX 2014/34/EU</w:t>
            </w:r>
          </w:p>
        </w:tc>
        <w:tc>
          <w:tcPr>
            <w:tcW w:type="dxa" w:w="16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[110], [111]</w:t>
            </w:r>
          </w:p>
        </w:tc>
      </w:tr>
      <w:tr>
        <w:tc>
          <w:tcPr>
            <w:tcW w:type="dxa" w:w="25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Functional safety (interlocks)</w:t>
            </w:r>
          </w:p>
        </w:tc>
        <w:tc>
          <w:tcPr>
            <w:tcW w:type="dxa" w:w="27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Safety-integrity levels SIL 1–4</w:t>
            </w:r>
          </w:p>
        </w:tc>
        <w:tc>
          <w:tcPr>
            <w:tcW w:type="dxa" w:w="246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IEC 61508 / IEC 61511</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[107], [108]</w:t>
            </w:r>
          </w:p>
        </w:tc>
      </w:tr>
      <w:tr>
        <w:tc>
          <w:tcPr>
            <w:tcW w:type="dxa" w:w="255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Hazard analysis</w:t>
            </w:r>
          </w:p>
        </w:tc>
        <w:tc>
          <w:tcPr>
            <w:tcW w:type="dxa" w:w="275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HAZOP; layers-of-protection analysis</w:t>
            </w:r>
          </w:p>
        </w:tc>
        <w:tc>
          <w:tcPr>
            <w:tcW w:type="dxa" w:w="246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CCPS LOPA</w:t>
            </w:r>
          </w:p>
        </w:tc>
        <w:tc>
          <w:tcPr>
            <w:tcW w:type="dxa" w:w="16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4"/>
                <w:szCs w:val="14"/>
              </w:rPr>
              <w:t xml:space="preserve">[109]</w:t>
            </w:r>
          </w:p>
        </w:tc>
      </w:tr>
    </w:tbl>
    <w:p>
      <w:pPr>
        <w:spacing w:after="140" w:before="60"/>
        <w:jc w:val="left"/>
      </w:pPr>
      <w:r>
        <w:rPr>
          <w:rFonts w:ascii="Arial" w:cs="Arial" w:eastAsia="Arial" w:hAnsi="Arial"/>
          <w:color w:val="5A5A5A"/>
          <w:sz w:val="17"/>
          <w:szCs w:val="17"/>
        </w:rPr>
        <w:t xml:space="preserve">Table 6.  The safety envelope of a residential waste-to-fuel appliance. The requirements are those of small-scale process and functional safety; meeting them is feasible but costly, and is incompatible with unsupervised, owner-modified installation.</w:t>
      </w:r>
    </w:p>
    <w:p>
      <w:pPr>
        <w:spacing w:after="40"/>
      </w:pPr>
      <w:r>
        <w:t xml:space="preserve"/>
      </w:r>
    </w:p>
    <w:p>
      <w:pPr>
        <w:pStyle w:val="Heading1"/>
      </w:pPr>
      <w:r>
        <w:rPr>
          <w:rFonts w:ascii="Georgia" w:cs="Georgia" w:eastAsia="Georgia" w:hAnsi="Georgia"/>
          <w:color w:val="1B2A4A"/>
          <w:sz w:val="25"/>
          <w:szCs w:val="25"/>
        </w:rPr>
        <w:t xml:space="preserve">8.  Distributed-Energy Context and Regulatory Posture</w:t>
      </w:r>
    </w:p>
    <w:p>
      <w:pPr>
        <w:keepNext w:val="false"/>
        <w:spacing w:after="130" w:before="0" w:line="288"/>
        <w:jc w:val="both"/>
      </w:pPr>
      <w:r>
        <w:rPr>
          <w:rFonts w:ascii="Georgia" w:cs="Georgia" w:eastAsia="Georgia" w:hAnsi="Georgia"/>
          <w:color w:val="1A1A1A"/>
          <w:sz w:val="21"/>
          <w:szCs w:val="21"/>
        </w:rPr>
        <w:t xml:space="preserve">Biotank is an instance of a broader movement toward distributed, prosumer-driven energy, and its feasibility is shaped by both the theory of decentralized energy systems and the concrete regulation of fuel production. This section situates the appliance in that context.</w:t>
      </w:r>
    </w:p>
    <w:p>
      <w:pPr>
        <w:pStyle w:val="Heading2"/>
      </w:pPr>
      <w:r>
        <w:rPr>
          <w:rFonts w:ascii="Georgia" w:cs="Georgia" w:eastAsia="Georgia" w:hAnsi="Georgia"/>
          <w:color w:val="1B2A4A"/>
          <w:sz w:val="22"/>
          <w:szCs w:val="22"/>
        </w:rPr>
        <w:t xml:space="preserve">8.1  The prosumer and distributed-generation framing</w:t>
      </w:r>
    </w:p>
    <w:p>
      <w:pPr>
        <w:keepNext w:val="false"/>
        <w:spacing w:after="130" w:before="0" w:line="288"/>
        <w:jc w:val="both"/>
      </w:pPr>
      <w:r>
        <w:rPr>
          <w:rFonts w:ascii="Georgia" w:cs="Georgia" w:eastAsia="Georgia" w:hAnsi="Georgia"/>
          <w:color w:val="1A1A1A"/>
          <w:sz w:val="21"/>
          <w:szCs w:val="21"/>
        </w:rPr>
        <w:t xml:space="preserve">The household that produces and consumes its own energy is, in the language of energy-systems research, a </w:t>
      </w:r>
      <w:r>
        <w:rPr>
          <w:rFonts w:ascii="Georgia" w:cs="Georgia" w:eastAsia="Georgia" w:hAnsi="Georgia"/>
          <w:i/>
          <w:iCs/>
          <w:color w:val="1A1A1A"/>
          <w:sz w:val="21"/>
          <w:szCs w:val="21"/>
        </w:rPr>
        <w:t xml:space="preserve">prosumer</w:t>
      </w:r>
      <w:r>
        <w:rPr>
          <w:rFonts w:ascii="Georgia" w:cs="Georgia" w:eastAsia="Georgia" w:hAnsi="Georgia"/>
          <w:color w:val="1A1A1A"/>
          <w:sz w:val="21"/>
          <w:szCs w:val="21"/>
        </w:rPr>
        <w:t xml:space="preserve">, and a substantial literature analyzes the shift from centralized generation to distributed energy resources, peer-to-peer energy trading, and community-based energy markets [73], [77]. Distributed renewable systems are credited with benefits in resilience, energy autonomy, and democratization of supply, and with system-level environmental benefits, while also posing integration and governance challenges [75], [76]. Recent work explores the coordination of prosumer communities through distributed-ledger, IoT, and artificial-intelligence techniques, and through blockchain-mediated demand-side management—the same technical substrate Biotank proposes for its community layer [74], [79], [78], [80]. Conceptually, Biotank also belongs to the tradition of commons-based peer production analyzed by Benkler, in which distributed individuals produce value outside both firm and market through networked collaboration—here applied to the co-production of fuel-recipe knowledge [81], [82], [83].</w:t>
      </w:r>
    </w:p>
    <w:p>
      <w:pPr>
        <w:keepNext w:val="false"/>
        <w:spacing w:after="130" w:before="0" w:line="288"/>
        <w:jc w:val="both"/>
      </w:pPr>
      <w:r>
        <w:rPr>
          <w:rFonts w:ascii="Georgia" w:cs="Georgia" w:eastAsia="Georgia" w:hAnsi="Georgia"/>
          <w:color w:val="1A1A1A"/>
          <w:sz w:val="21"/>
          <w:szCs w:val="21"/>
        </w:rPr>
        <w:t xml:space="preserve">This framing strengthens the case for the </w:t>
      </w:r>
      <w:r>
        <w:rPr>
          <w:rFonts w:ascii="Georgia" w:cs="Georgia" w:eastAsia="Georgia" w:hAnsi="Georgia"/>
          <w:i/>
          <w:iCs/>
          <w:color w:val="1A1A1A"/>
          <w:sz w:val="21"/>
          <w:szCs w:val="21"/>
        </w:rPr>
        <w:t xml:space="preserve">community-aggregation</w:t>
      </w:r>
      <w:r>
        <w:rPr>
          <w:rFonts w:ascii="Georgia" w:cs="Georgia" w:eastAsia="Georgia" w:hAnsi="Georgia"/>
          <w:color w:val="1A1A1A"/>
          <w:sz w:val="21"/>
          <w:szCs w:val="21"/>
        </w:rPr>
        <w:t xml:space="preserve"> model over the standalone appliance. The distributed-energy literature consistently finds that aggregation and coordination—not isolated self-generation—are what deliver resilience and economic value, which aligns with the techno-economic conclusion of Section 3 that scale, stacked value, and credit capture are necessary to close the business case.</w:t>
      </w:r>
    </w:p>
    <w:p>
      <w:pPr>
        <w:pStyle w:val="Heading2"/>
      </w:pPr>
      <w:r>
        <w:rPr>
          <w:rFonts w:ascii="Georgia" w:cs="Georgia" w:eastAsia="Georgia" w:hAnsi="Georgia"/>
          <w:color w:val="1B2A4A"/>
          <w:sz w:val="22"/>
          <w:szCs w:val="22"/>
        </w:rPr>
        <w:t xml:space="preserve">8.2  Regulatory posture</w:t>
      </w:r>
    </w:p>
    <w:p>
      <w:pPr>
        <w:keepNext w:val="false"/>
        <w:spacing w:after="130" w:before="0" w:line="288"/>
        <w:jc w:val="both"/>
      </w:pPr>
      <w:r>
        <w:rPr>
          <w:rFonts w:ascii="Georgia" w:cs="Georgia" w:eastAsia="Georgia" w:hAnsi="Georgia"/>
          <w:color w:val="1A1A1A"/>
          <w:sz w:val="21"/>
          <w:szCs w:val="21"/>
        </w:rPr>
        <w:t xml:space="preserve">Regulation materially affects feasibility, and the key distinction is between personal use and sale. Personal, on-site production and use of biofuel is comparatively lightly regulated; the sale of fuel, or the transfer of value tied to fuel, triggers a substantially heavier regime. In the United States, the Environmental Protection Agency administers the Renewable Fuel Standard, whose 2026–2027 “Set 2” final rule set record biomass-based diesel volumes and defines the Renewable Identification Number system that applies to fuel producers [122]. Home production of fuel ethanol requires an Alcohol Fuel Producer permit from the Alcohol and Tobacco Tax and Trade Bureau, with denaturing requirements and a bonding threshold [37]. The legal status of home distillation shifted with a 2024 federal decision, upheld on appeal in 2026, striking the long-standing prohibition—though fuel-permit and state-law requirements persist [125]. Production incentives such as the federal clean-fuel production credit reward registered producers rather than household hobbyists [124], [123]. The regulatory implication for Biotank is twofold: a personal-use posture is the appropriate initial frame, and the community competition’s value transfer must be analyzed carefully, because the point at which rewards acquire real monetary value tied to fuel is the point at which the heavier fuel-sale and securities-adjacent regimes may attach—reinforcing the staged, utility-first approach to the token layer recommended in Section 6.</w:t>
      </w:r>
    </w:p>
    <w:p>
      <w:pPr>
        <w:pStyle w:val="Heading1"/>
      </w:pPr>
      <w:r>
        <w:rPr>
          <w:rFonts w:ascii="Georgia" w:cs="Georgia" w:eastAsia="Georgia" w:hAnsi="Georgia"/>
          <w:color w:val="1B2A4A"/>
          <w:sz w:val="25"/>
          <w:szCs w:val="25"/>
        </w:rPr>
        <w:t xml:space="preserve">9.  Synthesis, Feasibility Verdict, and Development Pathway</w:t>
      </w:r>
    </w:p>
    <w:p>
      <w:pPr>
        <w:keepNext w:val="false"/>
        <w:spacing w:after="130" w:before="0" w:line="288"/>
        <w:jc w:val="both"/>
      </w:pPr>
      <w:r>
        <w:rPr>
          <w:rFonts w:ascii="Georgia" w:cs="Georgia" w:eastAsia="Georgia" w:hAnsi="Georgia"/>
          <w:color w:val="1A1A1A"/>
          <w:sz w:val="21"/>
          <w:szCs w:val="21"/>
        </w:rPr>
        <w:t xml:space="preserve">We now integrate the preceding analyses into an overall feasibility verdict, state the quantitative benchmarks that would change it, and outline a development pathway consistent with the evidence.</w:t>
      </w:r>
    </w:p>
    <w:p>
      <w:pPr>
        <w:pStyle w:val="Heading2"/>
      </w:pPr>
      <w:r>
        <w:rPr>
          <w:rFonts w:ascii="Georgia" w:cs="Georgia" w:eastAsia="Georgia" w:hAnsi="Georgia"/>
          <w:color w:val="1B2A4A"/>
          <w:sz w:val="22"/>
          <w:szCs w:val="22"/>
        </w:rPr>
        <w:t xml:space="preserve">9.1  The verdict</w:t>
      </w:r>
    </w:p>
    <w:p>
      <w:pPr>
        <w:keepNext w:val="false"/>
        <w:spacing w:after="130" w:before="0" w:line="288"/>
        <w:jc w:val="both"/>
      </w:pPr>
      <w:r>
        <w:rPr>
          <w:rFonts w:ascii="Georgia" w:cs="Georgia" w:eastAsia="Georgia" w:hAnsi="Georgia"/>
          <w:color w:val="1A1A1A"/>
          <w:sz w:val="21"/>
          <w:szCs w:val="21"/>
        </w:rPr>
        <w:t xml:space="preserve">The feasibility of Biotank is best expressed as a pair of qualified judgments. As a </w:t>
      </w:r>
      <w:r>
        <w:rPr>
          <w:rFonts w:ascii="Georgia" w:cs="Georgia" w:eastAsia="Georgia" w:hAnsi="Georgia"/>
          <w:i/>
          <w:iCs/>
          <w:color w:val="1A1A1A"/>
          <w:sz w:val="21"/>
          <w:szCs w:val="21"/>
        </w:rPr>
        <w:t xml:space="preserve">standalone household fuel producer</w:t>
      </w:r>
      <w:r>
        <w:rPr>
          <w:rFonts w:ascii="Georgia" w:cs="Georgia" w:eastAsia="Georgia" w:hAnsi="Georgia"/>
          <w:color w:val="1A1A1A"/>
          <w:sz w:val="21"/>
          <w:szCs w:val="21"/>
        </w:rPr>
        <w:t xml:space="preserve">, the system is </w:t>
      </w:r>
      <w:r>
        <w:rPr>
          <w:rFonts w:ascii="Georgia" w:cs="Georgia" w:eastAsia="Georgia" w:hAnsi="Georgia"/>
          <w:b/>
          <w:bCs/>
          <w:color w:val="1A1A1A"/>
          <w:sz w:val="21"/>
          <w:szCs w:val="21"/>
        </w:rPr>
        <w:t xml:space="preserve">not feasible under realistic present-day assumptions</w:t>
      </w:r>
      <w:r>
        <w:rPr>
          <w:rFonts w:ascii="Georgia" w:cs="Georgia" w:eastAsia="Georgia" w:hAnsi="Georgia"/>
          <w:color w:val="1A1A1A"/>
          <w:sz w:val="21"/>
          <w:szCs w:val="21"/>
        </w:rPr>
        <w:t xml:space="preserve">: the conversion science works, but the economics are unfavorable—dominated by feedstock cost, denied economies of scale (small-scale capital cost of order $500–$12,000 per kW), and burdened by an energy return on investment (roughly 1.2–2.6 for these fuels) that sits at or below the approximately 3:1 threshold associated with sustainable net energy [60], [61]—and the safety burden of handling methanol and methane in a dwelling is high. As a </w:t>
      </w:r>
      <w:r>
        <w:rPr>
          <w:rFonts w:ascii="Georgia" w:cs="Georgia" w:eastAsia="Georgia" w:hAnsi="Georgia"/>
          <w:i/>
          <w:iCs/>
          <w:color w:val="1A1A1A"/>
          <w:sz w:val="21"/>
          <w:szCs w:val="21"/>
        </w:rPr>
        <w:t xml:space="preserve">distributed, community-aggregated, verification-gated waste-valorization system</w:t>
      </w:r>
      <w:r>
        <w:rPr>
          <w:rFonts w:ascii="Georgia" w:cs="Georgia" w:eastAsia="Georgia" w:hAnsi="Georgia"/>
          <w:color w:val="1A1A1A"/>
          <w:sz w:val="21"/>
          <w:szCs w:val="21"/>
        </w:rPr>
        <w:t xml:space="preserve">, the concept is </w:t>
      </w:r>
      <w:r>
        <w:rPr>
          <w:rFonts w:ascii="Georgia" w:cs="Georgia" w:eastAsia="Georgia" w:hAnsi="Georgia"/>
          <w:b/>
          <w:bCs/>
          <w:color w:val="1A1A1A"/>
          <w:sz w:val="21"/>
          <w:szCs w:val="21"/>
        </w:rPr>
        <w:t xml:space="preserve">conditionally feasible and considerably more defensible</w:t>
      </w:r>
      <w:r>
        <w:rPr>
          <w:rFonts w:ascii="Georgia" w:cs="Georgia" w:eastAsia="Georgia" w:hAnsi="Georgia"/>
          <w:color w:val="1A1A1A"/>
          <w:sz w:val="21"/>
          <w:szCs w:val="21"/>
        </w:rPr>
        <w:t xml:space="preserve">: its justification shifts from fuel autarky to waste diversion and avoided landfill methane, its economics improve through aggregation and the stacking of tipping fees, co-products, and policy credits, and its community layer is supported by strong crowdsourcing precedents. The honest headline is therefore not “yes” or “no” but “not as imagined, but plausibly as redesigned.”</w:t>
      </w:r>
    </w:p>
    <w:p>
      <w:pPr>
        <w:pStyle w:val="Heading2"/>
      </w:pPr>
      <w:r>
        <w:rPr>
          <w:rFonts w:ascii="Georgia" w:cs="Georgia" w:eastAsia="Georgia" w:hAnsi="Georgia"/>
          <w:color w:val="1B2A4A"/>
          <w:sz w:val="22"/>
          <w:szCs w:val="22"/>
        </w:rPr>
        <w:t xml:space="preserve">9.2  Five benchmarks that would change the verdict</w:t>
      </w:r>
    </w:p>
    <w:p>
      <w:pPr>
        <w:keepNext w:val="false"/>
        <w:spacing w:after="130" w:before="0" w:line="288"/>
        <w:jc w:val="both"/>
      </w:pPr>
      <w:r>
        <w:rPr>
          <w:rFonts w:ascii="Georgia" w:cs="Georgia" w:eastAsia="Georgia" w:hAnsi="Georgia"/>
          <w:color w:val="1A1A1A"/>
          <w:sz w:val="21"/>
          <w:szCs w:val="21"/>
        </w:rPr>
        <w:t xml:space="preserve">To make this verdict falsifiable, we state five quantitative benchmarks. If future empirical work meets them, the feasibility judgment for a distributed appliance should shift from negative toward positive; failing them, the standalone concept should be regarded as an energy and economic net loss whose justification is diversion and behavior change rather than fuel production.</w:t>
      </w:r>
    </w:p>
    <w:p>
      <w:pPr>
        <w:pStyle w:val="ListParagraph"/>
        <w:numPr>
          <w:ilvl w:val="0"/>
          <w:numId w:val="2"/>
        </w:numPr>
        <w:spacing w:after="70" w:line="276"/>
        <w:jc w:val="both"/>
      </w:pPr>
      <w:r>
        <w:rPr>
          <w:rFonts w:ascii="Georgia" w:cs="Georgia" w:eastAsia="Georgia" w:hAnsi="Georgia"/>
          <w:b/>
          <w:bCs/>
          <w:color w:val="1A1A1A"/>
          <w:sz w:val="21"/>
          <w:szCs w:val="21"/>
        </w:rPr>
        <w:t xml:space="preserve">Capital cost</w:t>
      </w:r>
      <w:r>
        <w:rPr>
          <w:rFonts w:ascii="Georgia" w:cs="Georgia" w:eastAsia="Georgia" w:hAnsi="Georgia"/>
          <w:color w:val="1A1A1A"/>
          <w:sz w:val="21"/>
          <w:szCs w:val="21"/>
        </w:rPr>
        <w:t xml:space="preserve"> for a home or modular unit falling below approximately $1,500 per kW installed, bringing it within the favorable end of the small-scale cost curve [26], [27].</w:t>
      </w:r>
    </w:p>
    <w:p>
      <w:pPr>
        <w:pStyle w:val="ListParagraph"/>
        <w:numPr>
          <w:ilvl w:val="0"/>
          <w:numId w:val="2"/>
        </w:numPr>
        <w:spacing w:after="70" w:line="276"/>
        <w:jc w:val="both"/>
      </w:pPr>
      <w:r>
        <w:rPr>
          <w:rFonts w:ascii="Georgia" w:cs="Georgia" w:eastAsia="Georgia" w:hAnsi="Georgia"/>
          <w:b/>
          <w:bCs/>
          <w:color w:val="1A1A1A"/>
          <w:sz w:val="21"/>
          <w:szCs w:val="21"/>
        </w:rPr>
        <w:t xml:space="preserve">Feedstock</w:t>
      </w:r>
      <w:r>
        <w:rPr>
          <w:rFonts w:ascii="Georgia" w:cs="Georgia" w:eastAsia="Georgia" w:hAnsi="Georgia"/>
          <w:color w:val="1A1A1A"/>
          <w:sz w:val="21"/>
          <w:szCs w:val="21"/>
        </w:rPr>
        <w:t xml:space="preserve"> that is genuinely free or negative-cost at the point of use, combined with capture of tipping-fee or clean-fuel-credit value—the conditions under which the techno-economic studies turn positive [19], [6].</w:t>
      </w:r>
    </w:p>
    <w:p>
      <w:pPr>
        <w:pStyle w:val="ListParagraph"/>
        <w:numPr>
          <w:ilvl w:val="0"/>
          <w:numId w:val="2"/>
        </w:numPr>
        <w:spacing w:after="70" w:line="276"/>
        <w:jc w:val="both"/>
      </w:pPr>
      <w:r>
        <w:rPr>
          <w:rFonts w:ascii="Georgia" w:cs="Georgia" w:eastAsia="Georgia" w:hAnsi="Georgia"/>
          <w:b/>
          <w:bCs/>
          <w:color w:val="1A1A1A"/>
          <w:sz w:val="21"/>
          <w:szCs w:val="21"/>
        </w:rPr>
        <w:t xml:space="preserve">Verified field energy return on investment greater than 3:1</w:t>
      </w:r>
      <w:r>
        <w:rPr>
          <w:rFonts w:ascii="Georgia" w:cs="Georgia" w:eastAsia="Georgia" w:hAnsi="Georgia"/>
          <w:color w:val="1A1A1A"/>
          <w:sz w:val="21"/>
          <w:szCs w:val="21"/>
        </w:rPr>
        <w:t xml:space="preserve">, demonstrating that the system is a net energy producer after parasitic loads, against the Hall–Balogh–Murphy sustainability threshold [60].</w:t>
      </w:r>
    </w:p>
    <w:p>
      <w:pPr>
        <w:pStyle w:val="ListParagraph"/>
        <w:numPr>
          <w:ilvl w:val="0"/>
          <w:numId w:val="2"/>
        </w:numPr>
        <w:spacing w:after="70" w:line="276"/>
        <w:jc w:val="both"/>
      </w:pPr>
      <w:r>
        <w:rPr>
          <w:rFonts w:ascii="Georgia" w:cs="Georgia" w:eastAsia="Georgia" w:hAnsi="Georgia"/>
          <w:b/>
          <w:bCs/>
          <w:color w:val="1A1A1A"/>
          <w:sz w:val="21"/>
          <w:szCs w:val="21"/>
        </w:rPr>
        <w:t xml:space="preserve">A demonstrated functional-safety case</w:t>
      </w:r>
      <w:r>
        <w:rPr>
          <w:rFonts w:ascii="Georgia" w:cs="Georgia" w:eastAsia="Georgia" w:hAnsi="Georgia"/>
          <w:color w:val="1A1A1A"/>
          <w:sz w:val="21"/>
          <w:szCs w:val="21"/>
        </w:rPr>
        <w:t xml:space="preserve"> at SIL-2 or better for the hazardous functions, with certified hazardous-area-rated gas detection, establishing that the appliance can be made safe for supervised residential use [108], [106].</w:t>
      </w:r>
    </w:p>
    <w:p>
      <w:pPr>
        <w:pStyle w:val="ListParagraph"/>
        <w:numPr>
          <w:ilvl w:val="0"/>
          <w:numId w:val="2"/>
        </w:numPr>
        <w:spacing w:after="70" w:line="276"/>
        <w:jc w:val="both"/>
      </w:pPr>
      <w:r>
        <w:rPr>
          <w:rFonts w:ascii="Georgia" w:cs="Georgia" w:eastAsia="Georgia" w:hAnsi="Georgia"/>
          <w:b/>
          <w:bCs/>
          <w:color w:val="1A1A1A"/>
          <w:sz w:val="21"/>
          <w:szCs w:val="21"/>
        </w:rPr>
        <w:t xml:space="preserve">Deployed digital-twin or machine-learning control achieving R² greater than 0.9</w:t>
      </w:r>
      <w:r>
        <w:rPr>
          <w:rFonts w:ascii="Georgia" w:cs="Georgia" w:eastAsia="Georgia" w:hAnsi="Georgia"/>
          <w:color w:val="1A1A1A"/>
          <w:sz w:val="21"/>
          <w:szCs w:val="21"/>
        </w:rPr>
        <w:t xml:space="preserve"> for yield prediction in fielded units, confirming that the optimization and simulation layer delivers real value at scale [90].</w:t>
      </w:r>
    </w:p>
    <w:p>
      <w:pPr>
        <w:pStyle w:val="Heading2"/>
      </w:pPr>
      <w:r>
        <w:rPr>
          <w:rFonts w:ascii="Georgia" w:cs="Georgia" w:eastAsia="Georgia" w:hAnsi="Georgia"/>
          <w:color w:val="1B2A4A"/>
          <w:sz w:val="22"/>
          <w:szCs w:val="22"/>
        </w:rPr>
        <w:t xml:space="preserve">9.3  A staged development pathway</w:t>
      </w:r>
    </w:p>
    <w:p>
      <w:pPr>
        <w:keepNext w:val="false"/>
        <w:spacing w:after="130" w:before="0" w:line="288"/>
        <w:jc w:val="both"/>
      </w:pPr>
      <w:r>
        <w:rPr>
          <w:rFonts w:ascii="Georgia" w:cs="Georgia" w:eastAsia="Georgia" w:hAnsi="Georgia"/>
          <w:color w:val="1A1A1A"/>
          <w:sz w:val="21"/>
          <w:szCs w:val="21"/>
        </w:rPr>
        <w:t xml:space="preserve">The evidence points to a development sequence that does the cheapest, safest, most decision-relevant work first and escalates commitment only as benchmarks are met. We summarize it in three stages. In the first stage, the priority is a safety-validated single-unit prototype operating the two mature, lower-hazard-ordered pathways (anaerobic digestion first, then enclosed biodiesel), together with the software beachhead—the simulator and an initial, non-monetary community competition—and an explicit regulatory and certification engagement. In the second stage, the priority shifts to a </w:t>
      </w:r>
      <w:r>
        <w:rPr>
          <w:rFonts w:ascii="Georgia" w:cs="Georgia" w:eastAsia="Georgia" w:hAnsi="Georgia"/>
          <w:i/>
          <w:iCs/>
          <w:color w:val="1A1A1A"/>
          <w:sz w:val="21"/>
          <w:szCs w:val="21"/>
        </w:rPr>
        <w:t xml:space="preserve">community-aggregation pilot</w:t>
      </w:r>
      <w:r>
        <w:rPr>
          <w:rFonts w:ascii="Georgia" w:cs="Georgia" w:eastAsia="Georgia" w:hAnsi="Georgia"/>
          <w:color w:val="1A1A1A"/>
          <w:sz w:val="21"/>
          <w:szCs w:val="21"/>
        </w:rPr>
        <w:t xml:space="preserve"> designed specifically to capture the scale economies, tipping fees, and policy credits that the techno-economic analysis identifies as necessary, with laboratory-gated verification of both fuel quality and environmental claims. Only in the third stage, and only if the benchmarks of Section 9.2 are met, does commercial production and a value-bearing token layer become appropriate. This staging aligns the program’s escalation of technical, financial, and regulatory risk with the accumulation of evidence, and it embodies the paper’s central finding: that the promise of distributed waste-to-fuel is real but is realized through safety, verification, and aggregation rather than through an unconstrained consumer appliance.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60"/>
        <w:gridCol w:w="3100"/>
        <w:gridCol w:w="1600"/>
      </w:tblGrid>
      <w:tr>
        <w:trPr>
          <w:tblHeader/>
        </w:trPr>
        <w:tc>
          <w:tcPr>
            <w:tcW w:type="dxa" w:w="60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6"/>
                <w:szCs w:val="16"/>
              </w:rPr>
              <w:t xml:space="preserve">#</w:t>
            </w:r>
          </w:p>
        </w:tc>
        <w:tc>
          <w:tcPr>
            <w:tcW w:type="dxa" w:w="406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6"/>
                <w:szCs w:val="16"/>
              </w:rPr>
              <w:t xml:space="preserve">Benchmark</w:t>
            </w:r>
          </w:p>
        </w:tc>
        <w:tc>
          <w:tcPr>
            <w:tcW w:type="dxa" w:w="310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6"/>
                <w:szCs w:val="16"/>
              </w:rPr>
              <w:t xml:space="preserve">Threshold</w:t>
            </w:r>
          </w:p>
        </w:tc>
        <w:tc>
          <w:tcPr>
            <w:tcW w:type="dxa" w:w="1600"/>
            <w:tcBorders>
              <w:top w:val="single" w:color="B0B0B0" w:sz="1"/>
              <w:left w:val="single" w:color="B0B0B0" w:sz="1"/>
              <w:bottom w:val="single" w:color="B0B0B0" w:sz="1"/>
              <w:right w:val="single" w:color="B0B0B0" w:sz="1"/>
            </w:tcBorders>
            <w:shd w:fill="2C3A52" w:val="clear"/>
            <w:tcMar>
              <w:top w:type="dxa" w:w="64"/>
              <w:left w:type="dxa" w:w="100"/>
              <w:bottom w:type="dxa" w:w="64"/>
              <w:right w:type="dxa" w:w="100"/>
            </w:tcMar>
            <w:vAlign w:val="center"/>
          </w:tcPr>
          <w:p>
            <w:pPr>
              <w:spacing w:after="0" w:line="240"/>
              <w:jc w:val="left"/>
            </w:pPr>
            <w:r>
              <w:rPr>
                <w:rFonts w:ascii="Arial" w:cs="Arial" w:eastAsia="Arial" w:hAnsi="Arial"/>
                <w:color w:val="FFFFFF"/>
                <w:sz w:val="16"/>
                <w:szCs w:val="16"/>
              </w:rPr>
              <w:t xml:space="preserve">Anchored to</w:t>
            </w:r>
          </w:p>
        </w:tc>
      </w:tr>
      <w:tr>
        <w:tc>
          <w:tcPr>
            <w:tcW w:type="dxa" w:w="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6"/>
                <w:szCs w:val="16"/>
              </w:rPr>
              <w:t xml:space="preserve">B1</w:t>
            </w:r>
          </w:p>
        </w:tc>
        <w:tc>
          <w:tcPr>
            <w:tcW w:type="dxa" w:w="406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6"/>
                <w:szCs w:val="16"/>
              </w:rPr>
              <w:t xml:space="preserve">Installed capital cost (home/modular unit)</w:t>
            </w:r>
          </w:p>
        </w:tc>
        <w:tc>
          <w:tcPr>
            <w:tcW w:type="dxa" w:w="31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6"/>
                <w:szCs w:val="16"/>
              </w:rPr>
              <w:t xml:space="preserve">&lt; ~$1,500 / kW</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6"/>
                <w:szCs w:val="16"/>
              </w:rPr>
              <w:t xml:space="preserve">[26]</w:t>
            </w:r>
          </w:p>
        </w:tc>
      </w:tr>
      <w:tr>
        <w:tc>
          <w:tcPr>
            <w:tcW w:type="dxa" w:w="6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6"/>
                <w:szCs w:val="16"/>
              </w:rPr>
              <w:t xml:space="preserve">B2</w:t>
            </w:r>
          </w:p>
        </w:tc>
        <w:tc>
          <w:tcPr>
            <w:tcW w:type="dxa" w:w="406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6"/>
                <w:szCs w:val="16"/>
              </w:rPr>
              <w:t xml:space="preserve">Feedstock + value capture</w:t>
            </w:r>
          </w:p>
        </w:tc>
        <w:tc>
          <w:tcPr>
            <w:tcW w:type="dxa" w:w="31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6"/>
                <w:szCs w:val="16"/>
              </w:rPr>
              <w:t xml:space="preserve">Free feedstock + tipping/credit capture</w:t>
            </w:r>
          </w:p>
        </w:tc>
        <w:tc>
          <w:tcPr>
            <w:tcW w:type="dxa" w:w="16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6"/>
                <w:szCs w:val="16"/>
              </w:rPr>
              <w:t xml:space="preserve">[19]</w:t>
            </w:r>
          </w:p>
        </w:tc>
      </w:tr>
      <w:tr>
        <w:tc>
          <w:tcPr>
            <w:tcW w:type="dxa" w:w="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6"/>
                <w:szCs w:val="16"/>
              </w:rPr>
              <w:t xml:space="preserve">B3</w:t>
            </w:r>
          </w:p>
        </w:tc>
        <w:tc>
          <w:tcPr>
            <w:tcW w:type="dxa" w:w="406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6"/>
                <w:szCs w:val="16"/>
              </w:rPr>
              <w:t xml:space="preserve">Verified field EROI</w:t>
            </w:r>
          </w:p>
        </w:tc>
        <w:tc>
          <w:tcPr>
            <w:tcW w:type="dxa" w:w="31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6"/>
                <w:szCs w:val="16"/>
              </w:rPr>
              <w:t xml:space="preserve">&gt; 3 : 1</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6"/>
                <w:szCs w:val="16"/>
              </w:rPr>
              <w:t xml:space="preserve">[60]</w:t>
            </w:r>
          </w:p>
        </w:tc>
      </w:tr>
      <w:tr>
        <w:tc>
          <w:tcPr>
            <w:tcW w:type="dxa" w:w="6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6"/>
                <w:szCs w:val="16"/>
              </w:rPr>
              <w:t xml:space="preserve">B4</w:t>
            </w:r>
          </w:p>
        </w:tc>
        <w:tc>
          <w:tcPr>
            <w:tcW w:type="dxa" w:w="406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6"/>
                <w:szCs w:val="16"/>
              </w:rPr>
              <w:t xml:space="preserve">Functional-safety case</w:t>
            </w:r>
          </w:p>
        </w:tc>
        <w:tc>
          <w:tcPr>
            <w:tcW w:type="dxa" w:w="31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6"/>
                <w:szCs w:val="16"/>
              </w:rPr>
              <w:t xml:space="preserve">≥ SIL-2; certified gas detection</w:t>
            </w:r>
          </w:p>
        </w:tc>
        <w:tc>
          <w:tcPr>
            <w:tcW w:type="dxa" w:w="1600"/>
            <w:tcBorders>
              <w:top w:val="single" w:color="B0B0B0" w:sz="1"/>
              <w:left w:val="single" w:color="B0B0B0" w:sz="1"/>
              <w:bottom w:val="single" w:color="B0B0B0" w:sz="1"/>
              <w:right w:val="single" w:color="B0B0B0" w:sz="1"/>
            </w:tcBorders>
            <w:shd w:fill="F0F2F5"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6"/>
                <w:szCs w:val="16"/>
              </w:rPr>
              <w:t xml:space="preserve">[108]</w:t>
            </w:r>
          </w:p>
        </w:tc>
      </w:tr>
      <w:tr>
        <w:tc>
          <w:tcPr>
            <w:tcW w:type="dxa" w:w="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6"/>
                <w:szCs w:val="16"/>
              </w:rPr>
              <w:t xml:space="preserve">B5</w:t>
            </w:r>
          </w:p>
        </w:tc>
        <w:tc>
          <w:tcPr>
            <w:tcW w:type="dxa" w:w="406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6"/>
                <w:szCs w:val="16"/>
              </w:rPr>
              <w:t xml:space="preserve">Deployed ML/digital-twin yield prediction</w:t>
            </w:r>
          </w:p>
        </w:tc>
        <w:tc>
          <w:tcPr>
            <w:tcW w:type="dxa" w:w="31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6"/>
                <w:szCs w:val="16"/>
              </w:rPr>
              <w:t xml:space="preserve">R² &gt; 0.9 in fielded units</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line="240"/>
              <w:jc w:val="left"/>
            </w:pPr>
            <w:r>
              <w:rPr>
                <w:rFonts w:ascii="Georgia" w:cs="Georgia" w:eastAsia="Georgia" w:hAnsi="Georgia"/>
                <w:color w:val="1A1A1A"/>
                <w:sz w:val="16"/>
                <w:szCs w:val="16"/>
              </w:rPr>
              <w:t xml:space="preserve">[90]</w:t>
            </w:r>
          </w:p>
        </w:tc>
      </w:tr>
    </w:tbl>
    <w:p>
      <w:pPr>
        <w:spacing w:after="140" w:before="60"/>
        <w:jc w:val="left"/>
      </w:pPr>
      <w:r>
        <w:rPr>
          <w:rFonts w:ascii="Arial" w:cs="Arial" w:eastAsia="Arial" w:hAnsi="Arial"/>
          <w:color w:val="5A5A5A"/>
          <w:sz w:val="17"/>
          <w:szCs w:val="17"/>
        </w:rPr>
        <w:t xml:space="preserve">Table 7.  Five falsifiable benchmarks that would shift the feasibility verdict for a distributed Biotank appliance from negative toward positive. Each is anchored to a quantitative result in the literature.</w:t>
      </w:r>
    </w:p>
    <w:p>
      <w:pPr>
        <w:pStyle w:val="Heading1"/>
      </w:pPr>
      <w:r>
        <w:rPr>
          <w:rFonts w:ascii="Georgia" w:cs="Georgia" w:eastAsia="Georgia" w:hAnsi="Georgia"/>
          <w:color w:val="1B2A4A"/>
          <w:sz w:val="25"/>
          <w:szCs w:val="25"/>
        </w:rPr>
        <w:t xml:space="preserve">10.  Conclusion</w:t>
      </w:r>
    </w:p>
    <w:p>
      <w:pPr>
        <w:keepNext w:val="false"/>
        <w:spacing w:after="130" w:before="0" w:line="288"/>
        <w:jc w:val="both"/>
      </w:pPr>
      <w:r>
        <w:rPr>
          <w:rFonts w:ascii="Georgia" w:cs="Georgia" w:eastAsia="Georgia" w:hAnsi="Georgia"/>
          <w:color w:val="1A1A1A"/>
          <w:sz w:val="21"/>
          <w:szCs w:val="21"/>
        </w:rPr>
        <w:t xml:space="preserve">This paper has assessed the techno-economic and systems-design feasibility of Biotank, a smart, modular home appliance for converting household organic waste into biofuel and electricity, coupled to a decentralized community-innovation platform. The conclusion is nuanced by design. The component science is mature and the individual processes are well understood; the obstacles are not chemical but economic, energetic, and safety-related. A single household unit, considered as a fuel producer, is unlikely to be economic or to deliver a favorable net energy return, and it carries a significant safety burden from the residential handling of methanol and methane. The concept becomes defensible when it is reframed around its genuine strengths: the diversion of organic waste from landfill and the associated avoided methane, the aggregation of distributed units to capture scale and policy value, the use of IoT sensing and digital-twin modeling to optimize performance, and a verification-gated community that can credibly improve the system over time.</w:t>
      </w:r>
    </w:p>
    <w:p>
      <w:pPr>
        <w:keepNext w:val="false"/>
        <w:spacing w:after="130" w:before="0" w:line="288"/>
        <w:jc w:val="both"/>
      </w:pPr>
      <w:r>
        <w:rPr>
          <w:rFonts w:ascii="Georgia" w:cs="Georgia" w:eastAsia="Georgia" w:hAnsi="Georgia"/>
          <w:color w:val="1A1A1A"/>
          <w:sz w:val="21"/>
          <w:szCs w:val="21"/>
        </w:rPr>
        <w:t xml:space="preserve">Three themes recur and deserve emphasis. First, </w:t>
      </w:r>
      <w:r>
        <w:rPr>
          <w:rFonts w:ascii="Georgia" w:cs="Georgia" w:eastAsia="Georgia" w:hAnsi="Georgia"/>
          <w:i/>
          <w:iCs/>
          <w:color w:val="1A1A1A"/>
          <w:sz w:val="21"/>
          <w:szCs w:val="21"/>
        </w:rPr>
        <w:t xml:space="preserve">verification is the keystone</w:t>
      </w:r>
      <w:r>
        <w:rPr>
          <w:rFonts w:ascii="Georgia" w:cs="Georgia" w:eastAsia="Georgia" w:hAnsi="Georgia"/>
          <w:color w:val="1A1A1A"/>
          <w:sz w:val="21"/>
          <w:szCs w:val="21"/>
        </w:rPr>
        <w:t xml:space="preserve">: a single laboratory-and-telemetry verification layer simultaneously secures the community competition against gaming, grounds the environmental claims against the well-documented hazards of over-counting, and produces the labeled data that the optimization models require. Second, </w:t>
      </w:r>
      <w:r>
        <w:rPr>
          <w:rFonts w:ascii="Georgia" w:cs="Georgia" w:eastAsia="Georgia" w:hAnsi="Georgia"/>
          <w:i/>
          <w:iCs/>
          <w:color w:val="1A1A1A"/>
          <w:sz w:val="21"/>
          <w:szCs w:val="21"/>
        </w:rPr>
        <w:t xml:space="preserve">safety is a gating constraint, not a feature</w:t>
      </w:r>
      <w:r>
        <w:rPr>
          <w:rFonts w:ascii="Georgia" w:cs="Georgia" w:eastAsia="Georgia" w:hAnsi="Georgia"/>
          <w:color w:val="1A1A1A"/>
          <w:sz w:val="21"/>
          <w:szCs w:val="21"/>
        </w:rPr>
        <w:t xml:space="preserve">, and it pushes the entire concept toward professional engineering, certification, and supervised deployment. Third, </w:t>
      </w:r>
      <w:r>
        <w:rPr>
          <w:rFonts w:ascii="Georgia" w:cs="Georgia" w:eastAsia="Georgia" w:hAnsi="Georgia"/>
          <w:i/>
          <w:iCs/>
          <w:color w:val="1A1A1A"/>
          <w:sz w:val="21"/>
          <w:szCs w:val="21"/>
        </w:rPr>
        <w:t xml:space="preserve">honesty is strategic</w:t>
      </w:r>
      <w:r>
        <w:rPr>
          <w:rFonts w:ascii="Georgia" w:cs="Georgia" w:eastAsia="Georgia" w:hAnsi="Georgia"/>
          <w:color w:val="1A1A1A"/>
          <w:sz w:val="21"/>
          <w:szCs w:val="21"/>
        </w:rPr>
        <w:t xml:space="preserve">: the case for distributed waste-to-fuel is strongest when its modest household-scale benefits, contested carbon accounting, and real combustion emissions are stated plainly rather than obscured, because a proposition built on verifiable, qualified claims is more robust than one built on the zero-emission language that consumer energy products often adopt.</w:t>
      </w:r>
    </w:p>
    <w:p>
      <w:pPr>
        <w:keepNext w:val="false"/>
        <w:spacing w:after="130" w:before="0" w:line="288"/>
        <w:jc w:val="both"/>
      </w:pPr>
      <w:r>
        <w:rPr>
          <w:rFonts w:ascii="Georgia" w:cs="Georgia" w:eastAsia="Georgia" w:hAnsi="Georgia"/>
          <w:color w:val="1A1A1A"/>
          <w:sz w:val="21"/>
          <w:szCs w:val="21"/>
        </w:rPr>
        <w:t xml:space="preserve">We have stated five falsifiable benchmarks—on capital cost, feedstock and value capture, energy return on investment, functional safety, and deployed model accuracy—whose satisfaction would shift the feasibility verdict, and we have outlined a staged pathway that sequences safety validation, community aggregation, and credit capture ahead of any claim of household fuel autarky. Whether or not the specific appliance described here is ever built, the analysis suggests a general lesson for distributed bioenergy: the frontier of feasibility lies not in the conversion chemistry, which is solved, but in the integration of safety, verification, economics of aggregation, and trustworthy community participation. Future work should test the benchmarks empirically, beginning with a safety-validated prototype and a community-aggregation pilot instrumented to measure—rather than assume—the energy, economic, and environmental performance of waste-to-fuel at distributed scale.</w:t>
      </w:r>
    </w:p>
    <w:p>
      <w:pPr>
        <w:spacing w:after="80"/>
      </w:pPr>
      <w:r>
        <w:t xml:space="preserve"/>
      </w:r>
    </w:p>
    <w:p>
      <w:pPr>
        <w:keepNext w:val="false"/>
        <w:spacing w:after="130" w:before="0" w:line="288"/>
        <w:jc w:val="both"/>
      </w:pPr>
      <w:r>
        <w:rPr>
          <w:rFonts w:ascii="Georgia" w:cs="Georgia" w:eastAsia="Georgia" w:hAnsi="Georgia"/>
          <w:b/>
          <w:bCs/>
          <w:color w:val="1A1A1A"/>
          <w:sz w:val="18"/>
          <w:szCs w:val="18"/>
        </w:rPr>
        <w:t xml:space="preserve">Acknowledgment.</w:t>
      </w:r>
      <w:r>
        <w:rPr>
          <w:rFonts w:ascii="Georgia" w:cs="Georgia" w:eastAsia="Georgia" w:hAnsi="Georgia"/>
          <w:color w:val="1A1A1A"/>
          <w:sz w:val="18"/>
          <w:szCs w:val="18"/>
        </w:rPr>
        <w:t xml:space="preserve"> This working paper synthesizes published literature and authoritative sources; it reports no new experimental data. All quantitative claims are attributed to the cited sources, and the limitations of those sources—wide cost ranges, contested carbon accounting, and an emerging token-engineering literature—are noted in the text.</w:t>
      </w:r>
    </w:p>
    <w:p>
      <w:pPr>
        <w:pStyle w:val="Heading1"/>
        <w:pageBreakBefore/>
      </w:pPr>
      <w:r>
        <w:rPr>
          <w:rFonts w:ascii="Georgia" w:cs="Georgia" w:eastAsia="Georgia" w:hAnsi="Georgia"/>
          <w:color w:val="1B2A4A"/>
          <w:sz w:val="25"/>
          <w:szCs w:val="25"/>
        </w:rPr>
        <w:t xml:space="preserve">References</w:t>
      </w:r>
    </w:p>
    <w:p>
      <w:pPr>
        <w:spacing w:after="140"/>
      </w:pPr>
      <w:r>
        <w:rPr>
          <w:rFonts w:ascii="Arial" w:cs="Arial" w:eastAsia="Arial" w:hAnsi="Arial"/>
          <w:i/>
          <w:iCs/>
          <w:color w:val="5A5A5A"/>
          <w:sz w:val="17"/>
          <w:szCs w:val="17"/>
        </w:rPr>
        <w:t xml:space="preserve">References follow IEEE style. Where a digital object identifier (DOI) or stable URL was available it is included. A small number of entries are working papers, standards, industry analyses, or government and laboratory reports rather than peer-reviewed articles; these are identified as such in the text and are used for engineering, regulatory, and market facts rather than for novel scientific claims.</w:t>
      </w:r>
    </w:p>
    <w:p>
      <w:pPr>
        <w:pStyle w:val="RefItem"/>
        <w:tabs>
          <w:tab w:val="left" w:pos="460"/>
        </w:tabs>
      </w:pPr>
      <w:r>
        <w:rPr>
          <w:rFonts w:ascii="Georgia" w:cs="Georgia" w:eastAsia="Georgia" w:hAnsi="Georgia"/>
          <w:color w:val="1A1A1A"/>
          <w:sz w:val="18"/>
          <w:szCs w:val="18"/>
        </w:rPr>
        <w:t xml:space="preserve">[1]</w:t>
      </w:r>
      <w:r>
        <w:rPr>
          <w:sz w:val="18"/>
          <w:szCs w:val="18"/>
        </w:rPr>
        <w:t xml:space="preserve">	</w:t>
      </w:r>
      <w:r>
        <w:rPr>
          <w:rFonts w:ascii="Georgia" w:cs="Georgia" w:eastAsia="Georgia" w:hAnsi="Georgia"/>
          <w:color w:val="1A1A1A"/>
          <w:sz w:val="18"/>
          <w:szCs w:val="18"/>
        </w:rPr>
        <w:t xml:space="preserve">A. Demirbas, “Progress and recent trends in biodiesel fuels,” Energy Conversion and Management, vol. 50, no. 1, pp. 14–34, 2009, doi: 10.1016/j.enconman.2008.09.001.</w:t>
      </w:r>
    </w:p>
    <w:p>
      <w:pPr>
        <w:pStyle w:val="RefItem"/>
        <w:tabs>
          <w:tab w:val="left" w:pos="460"/>
        </w:tabs>
      </w:pPr>
      <w:r>
        <w:rPr>
          <w:rFonts w:ascii="Georgia" w:cs="Georgia" w:eastAsia="Georgia" w:hAnsi="Georgia"/>
          <w:color w:val="1A1A1A"/>
          <w:sz w:val="18"/>
          <w:szCs w:val="18"/>
        </w:rPr>
        <w:t xml:space="preserve">[2]</w:t>
      </w:r>
      <w:r>
        <w:rPr>
          <w:sz w:val="18"/>
          <w:szCs w:val="18"/>
        </w:rPr>
        <w:t xml:space="preserve">	</w:t>
      </w:r>
      <w:r>
        <w:rPr>
          <w:rFonts w:ascii="Georgia" w:cs="Georgia" w:eastAsia="Georgia" w:hAnsi="Georgia"/>
          <w:color w:val="1A1A1A"/>
          <w:sz w:val="18"/>
          <w:szCs w:val="18"/>
        </w:rPr>
        <w:t xml:space="preserve">M. C. Math, S. P. Kumar, and S. V. Chetty, “Technologies for biodiesel production from used cooking oil — A review,” Energy for Sustainable Development, vol. 14, no. 4, pp. 339–345, 2010, doi: 10.1016/j.esd.2010.08.001.</w:t>
      </w:r>
    </w:p>
    <w:p>
      <w:pPr>
        <w:pStyle w:val="RefItem"/>
        <w:tabs>
          <w:tab w:val="left" w:pos="460"/>
        </w:tabs>
      </w:pPr>
      <w:r>
        <w:rPr>
          <w:rFonts w:ascii="Georgia" w:cs="Georgia" w:eastAsia="Georgia" w:hAnsi="Georgia"/>
          <w:color w:val="1A1A1A"/>
          <w:sz w:val="18"/>
          <w:szCs w:val="18"/>
        </w:rPr>
        <w:t xml:space="preserve">[3]</w:t>
      </w:r>
      <w:r>
        <w:rPr>
          <w:sz w:val="18"/>
          <w:szCs w:val="18"/>
        </w:rPr>
        <w:t xml:space="preserve">	</w:t>
      </w:r>
      <w:r>
        <w:rPr>
          <w:rFonts w:ascii="Georgia" w:cs="Georgia" w:eastAsia="Georgia" w:hAnsi="Georgia"/>
          <w:color w:val="1A1A1A"/>
          <w:sz w:val="18"/>
          <w:szCs w:val="18"/>
        </w:rPr>
        <w:t xml:space="preserve">G. Knothe, “Biodiesel and renewable diesel: A comparison,” Progress in Energy and Combustion Science, vol. 36, no. 3, pp. 364–373, 2010, doi: 10.1016/j.pecs.2009.11.004.</w:t>
      </w:r>
    </w:p>
    <w:p>
      <w:pPr>
        <w:pStyle w:val="RefItem"/>
        <w:tabs>
          <w:tab w:val="left" w:pos="460"/>
        </w:tabs>
      </w:pPr>
      <w:r>
        <w:rPr>
          <w:rFonts w:ascii="Georgia" w:cs="Georgia" w:eastAsia="Georgia" w:hAnsi="Georgia"/>
          <w:color w:val="1A1A1A"/>
          <w:sz w:val="18"/>
          <w:szCs w:val="18"/>
        </w:rPr>
        <w:t xml:space="preserve">[4]</w:t>
      </w:r>
      <w:r>
        <w:rPr>
          <w:sz w:val="18"/>
          <w:szCs w:val="18"/>
        </w:rPr>
        <w:t xml:space="preserve">	</w:t>
      </w:r>
      <w:r>
        <w:rPr>
          <w:rFonts w:ascii="Georgia" w:cs="Georgia" w:eastAsia="Georgia" w:hAnsi="Georgia"/>
          <w:color w:val="1A1A1A"/>
          <w:sz w:val="18"/>
          <w:szCs w:val="18"/>
        </w:rPr>
        <w:t xml:space="preserve">I. M. Atadashi, M. K. Aroua, A. R. Abdul Aziz, and N. M. N. Sulaiman, “Production of biodiesel using high free fatty acid feedstocks,” Renewable and Sustainable Energy Reviews, vol. 16, no. 5, pp. 3275–3285, 2012, doi: 10.1016/j.rser.2012.02.063.</w:t>
      </w:r>
    </w:p>
    <w:p>
      <w:pPr>
        <w:pStyle w:val="RefItem"/>
        <w:tabs>
          <w:tab w:val="left" w:pos="460"/>
        </w:tabs>
      </w:pPr>
      <w:r>
        <w:rPr>
          <w:rFonts w:ascii="Georgia" w:cs="Georgia" w:eastAsia="Georgia" w:hAnsi="Georgia"/>
          <w:color w:val="1A1A1A"/>
          <w:sz w:val="18"/>
          <w:szCs w:val="18"/>
        </w:rPr>
        <w:t xml:space="preserve">[5]</w:t>
      </w:r>
      <w:r>
        <w:rPr>
          <w:sz w:val="18"/>
          <w:szCs w:val="18"/>
        </w:rPr>
        <w:t xml:space="preserve">	</w:t>
      </w:r>
      <w:r>
        <w:rPr>
          <w:rFonts w:ascii="Georgia" w:cs="Georgia" w:eastAsia="Georgia" w:hAnsi="Georgia"/>
          <w:color w:val="1A1A1A"/>
          <w:sz w:val="18"/>
          <w:szCs w:val="18"/>
        </w:rPr>
        <w:t xml:space="preserve">D. Y. C. Leung, X. Wu, and M. K. H. Leung, “A review on biodiesel production using catalyzed transesterification,” Applied Energy, vol. 87, no. 4, pp. 1083–1095, 2010, doi: 10.1016/j.apenergy.2009.10.006.</w:t>
      </w:r>
    </w:p>
    <w:p>
      <w:pPr>
        <w:pStyle w:val="RefItem"/>
        <w:tabs>
          <w:tab w:val="left" w:pos="460"/>
        </w:tabs>
      </w:pPr>
      <w:r>
        <w:rPr>
          <w:rFonts w:ascii="Georgia" w:cs="Georgia" w:eastAsia="Georgia" w:hAnsi="Georgia"/>
          <w:color w:val="1A1A1A"/>
          <w:sz w:val="18"/>
          <w:szCs w:val="18"/>
        </w:rPr>
        <w:t xml:space="preserve">[6]</w:t>
      </w:r>
      <w:r>
        <w:rPr>
          <w:sz w:val="18"/>
          <w:szCs w:val="18"/>
        </w:rPr>
        <w:t xml:space="preserve">	</w:t>
      </w:r>
      <w:r>
        <w:rPr>
          <w:rFonts w:ascii="Georgia" w:cs="Georgia" w:eastAsia="Georgia" w:hAnsi="Georgia"/>
          <w:color w:val="1A1A1A"/>
          <w:sz w:val="18"/>
          <w:szCs w:val="18"/>
        </w:rPr>
        <w:t xml:space="preserve">E. G. Al-Sakkari et al., “Comparative technoeconomic analysis of using waste and virgin cooking oils for biodiesel production,” Frontiers in Energy Research, vol. 8, art. 583357, 2020, doi: 10.3389/fenrg.2020.583357.</w:t>
      </w:r>
    </w:p>
    <w:p>
      <w:pPr>
        <w:pStyle w:val="RefItem"/>
        <w:tabs>
          <w:tab w:val="left" w:pos="460"/>
        </w:tabs>
      </w:pPr>
      <w:r>
        <w:rPr>
          <w:rFonts w:ascii="Georgia" w:cs="Georgia" w:eastAsia="Georgia" w:hAnsi="Georgia"/>
          <w:color w:val="1A1A1A"/>
          <w:sz w:val="18"/>
          <w:szCs w:val="18"/>
        </w:rPr>
        <w:t xml:space="preserve">[7]</w:t>
      </w:r>
      <w:r>
        <w:rPr>
          <w:sz w:val="18"/>
          <w:szCs w:val="18"/>
        </w:rPr>
        <w:t xml:space="preserve">	</w:t>
      </w:r>
      <w:r>
        <w:rPr>
          <w:rFonts w:ascii="Georgia" w:cs="Georgia" w:eastAsia="Georgia" w:hAnsi="Georgia"/>
          <w:color w:val="1A1A1A"/>
          <w:sz w:val="18"/>
          <w:szCs w:val="18"/>
        </w:rPr>
        <w:t xml:space="preserve">S. C. Chua, X. Xu, and Z. Guo, “Emerging sustainable technology for biodiesel production: An overview of feasibility of waste cooking oil utilisation,” Processes (techno-economic assessment, Hong Kong), 2010, PMC4394424.</w:t>
      </w:r>
    </w:p>
    <w:p>
      <w:pPr>
        <w:pStyle w:val="RefItem"/>
        <w:tabs>
          <w:tab w:val="left" w:pos="460"/>
        </w:tabs>
      </w:pPr>
      <w:r>
        <w:rPr>
          <w:rFonts w:ascii="Georgia" w:cs="Georgia" w:eastAsia="Georgia" w:hAnsi="Georgia"/>
          <w:color w:val="1A1A1A"/>
          <w:sz w:val="18"/>
          <w:szCs w:val="18"/>
        </w:rPr>
        <w:t xml:space="preserve">[8]</w:t>
      </w:r>
      <w:r>
        <w:rPr>
          <w:sz w:val="18"/>
          <w:szCs w:val="18"/>
        </w:rPr>
        <w:t xml:space="preserve">	</w:t>
      </w:r>
      <w:r>
        <w:rPr>
          <w:rFonts w:ascii="Georgia" w:cs="Georgia" w:eastAsia="Georgia" w:hAnsi="Georgia"/>
          <w:color w:val="1A1A1A"/>
          <w:sz w:val="18"/>
          <w:szCs w:val="18"/>
        </w:rPr>
        <w:t xml:space="preserve">S. Talebian-Kiakalaieh, N. A. S. Amin, and H. Mazaheri, “A review on novel processes of biodiesel production from waste cooking oil,” Applied Energy, vol. 104, pp. 683–710, 2013, doi: 10.1016/j.apenergy.2012.11.061.</w:t>
      </w:r>
    </w:p>
    <w:p>
      <w:pPr>
        <w:pStyle w:val="RefItem"/>
        <w:tabs>
          <w:tab w:val="left" w:pos="460"/>
        </w:tabs>
      </w:pPr>
      <w:r>
        <w:rPr>
          <w:rFonts w:ascii="Georgia" w:cs="Georgia" w:eastAsia="Georgia" w:hAnsi="Georgia"/>
          <w:color w:val="1A1A1A"/>
          <w:sz w:val="18"/>
          <w:szCs w:val="18"/>
        </w:rPr>
        <w:t xml:space="preserve">[9]</w:t>
      </w:r>
      <w:r>
        <w:rPr>
          <w:sz w:val="18"/>
          <w:szCs w:val="18"/>
        </w:rPr>
        <w:t xml:space="preserve">	</w:t>
      </w:r>
      <w:r>
        <w:rPr>
          <w:rFonts w:ascii="Georgia" w:cs="Georgia" w:eastAsia="Georgia" w:hAnsi="Georgia"/>
          <w:color w:val="1A1A1A"/>
          <w:sz w:val="18"/>
          <w:szCs w:val="18"/>
        </w:rPr>
        <w:t xml:space="preserve">J. M. Fonseca, J. G. Teleken, V. de Cinque Almeida, and C. da Silva, “Biodiesel from waste frying oils: Methods of production and purification,” Energy Conversion and Management, vol. 184, pp. 205–218, 2019, doi: 10.1016/j.enconman.2019.01.061.</w:t>
      </w:r>
    </w:p>
    <w:p>
      <w:pPr>
        <w:pStyle w:val="RefItem"/>
        <w:tabs>
          <w:tab w:val="left" w:pos="460"/>
        </w:tabs>
      </w:pPr>
      <w:r>
        <w:rPr>
          <w:rFonts w:ascii="Georgia" w:cs="Georgia" w:eastAsia="Georgia" w:hAnsi="Georgia"/>
          <w:color w:val="1A1A1A"/>
          <w:sz w:val="18"/>
          <w:szCs w:val="18"/>
        </w:rPr>
        <w:t xml:space="preserve">[10]</w:t>
      </w:r>
      <w:r>
        <w:rPr>
          <w:sz w:val="18"/>
          <w:szCs w:val="18"/>
        </w:rPr>
        <w:t xml:space="preserve">	</w:t>
      </w:r>
      <w:r>
        <w:rPr>
          <w:rFonts w:ascii="Georgia" w:cs="Georgia" w:eastAsia="Georgia" w:hAnsi="Georgia"/>
          <w:color w:val="1A1A1A"/>
          <w:sz w:val="18"/>
          <w:szCs w:val="18"/>
        </w:rPr>
        <w:t xml:space="preserve">ASTM International, ASTM D6751-20a: Standard Specification for Biodiesel Fuel Blend Stock (B100) for Middle Distillate Fuels, West Conshohocken, PA, 2020.</w:t>
      </w:r>
    </w:p>
    <w:p>
      <w:pPr>
        <w:pStyle w:val="RefItem"/>
        <w:tabs>
          <w:tab w:val="left" w:pos="460"/>
        </w:tabs>
      </w:pPr>
      <w:r>
        <w:rPr>
          <w:rFonts w:ascii="Georgia" w:cs="Georgia" w:eastAsia="Georgia" w:hAnsi="Georgia"/>
          <w:color w:val="1A1A1A"/>
          <w:sz w:val="18"/>
          <w:szCs w:val="18"/>
        </w:rPr>
        <w:t xml:space="preserve">[11]</w:t>
      </w:r>
      <w:r>
        <w:rPr>
          <w:sz w:val="18"/>
          <w:szCs w:val="18"/>
        </w:rPr>
        <w:t xml:space="preserve">	</w:t>
      </w:r>
      <w:r>
        <w:rPr>
          <w:rFonts w:ascii="Georgia" w:cs="Georgia" w:eastAsia="Georgia" w:hAnsi="Georgia"/>
          <w:color w:val="1A1A1A"/>
          <w:sz w:val="18"/>
          <w:szCs w:val="18"/>
        </w:rPr>
        <w:t xml:space="preserve">European Committee for Standardization, EN 14214:2012+A2:2019, Liquid petroleum products — Fatty acid methyl esters (FAME) for use in diesel engines and heating applications, Brussels, 2019.</w:t>
      </w:r>
    </w:p>
    <w:p>
      <w:pPr>
        <w:pStyle w:val="RefItem"/>
        <w:tabs>
          <w:tab w:val="left" w:pos="460"/>
        </w:tabs>
      </w:pPr>
      <w:r>
        <w:rPr>
          <w:rFonts w:ascii="Georgia" w:cs="Georgia" w:eastAsia="Georgia" w:hAnsi="Georgia"/>
          <w:color w:val="1A1A1A"/>
          <w:sz w:val="18"/>
          <w:szCs w:val="18"/>
        </w:rPr>
        <w:t xml:space="preserve">[12]</w:t>
      </w:r>
      <w:r>
        <w:rPr>
          <w:sz w:val="18"/>
          <w:szCs w:val="18"/>
        </w:rPr>
        <w:t xml:space="preserve">	</w:t>
      </w:r>
      <w:r>
        <w:rPr>
          <w:rFonts w:ascii="Georgia" w:cs="Georgia" w:eastAsia="Georgia" w:hAnsi="Georgia"/>
          <w:color w:val="1A1A1A"/>
          <w:sz w:val="18"/>
          <w:szCs w:val="18"/>
        </w:rPr>
        <w:t xml:space="preserve">“Comparative techno-economic analysis of biodiesel production from waste cooking oil and microalgae,” Processes, vol. 13, no. 11, art. 3526, 2025, doi: 10.3390/pr13113526.</w:t>
      </w:r>
    </w:p>
    <w:p>
      <w:pPr>
        <w:pStyle w:val="RefItem"/>
        <w:tabs>
          <w:tab w:val="left" w:pos="460"/>
        </w:tabs>
      </w:pPr>
      <w:r>
        <w:rPr>
          <w:rFonts w:ascii="Georgia" w:cs="Georgia" w:eastAsia="Georgia" w:hAnsi="Georgia"/>
          <w:color w:val="1A1A1A"/>
          <w:sz w:val="18"/>
          <w:szCs w:val="18"/>
        </w:rPr>
        <w:t xml:space="preserve">[13]</w:t>
      </w:r>
      <w:r>
        <w:rPr>
          <w:sz w:val="18"/>
          <w:szCs w:val="18"/>
        </w:rPr>
        <w:t xml:space="preserve">	</w:t>
      </w:r>
      <w:r>
        <w:rPr>
          <w:rFonts w:ascii="Georgia" w:cs="Georgia" w:eastAsia="Georgia" w:hAnsi="Georgia"/>
          <w:color w:val="1A1A1A"/>
          <w:sz w:val="18"/>
          <w:szCs w:val="18"/>
        </w:rPr>
        <w:t xml:space="preserve">D. J. Batstone et al., “The IWA Anaerobic Digestion Model No. 1 (ADM1),” Water Science and Technology, vol. 45, no. 10, pp. 65–73, 2002, doi: 10.2166/wst.2002.0292.</w:t>
      </w:r>
    </w:p>
    <w:p>
      <w:pPr>
        <w:pStyle w:val="RefItem"/>
        <w:tabs>
          <w:tab w:val="left" w:pos="460"/>
        </w:tabs>
      </w:pPr>
      <w:r>
        <w:rPr>
          <w:rFonts w:ascii="Georgia" w:cs="Georgia" w:eastAsia="Georgia" w:hAnsi="Georgia"/>
          <w:color w:val="1A1A1A"/>
          <w:sz w:val="18"/>
          <w:szCs w:val="18"/>
        </w:rPr>
        <w:t xml:space="preserve">[14]</w:t>
      </w:r>
      <w:r>
        <w:rPr>
          <w:sz w:val="18"/>
          <w:szCs w:val="18"/>
        </w:rPr>
        <w:t xml:space="preserve">	</w:t>
      </w:r>
      <w:r>
        <w:rPr>
          <w:rFonts w:ascii="Georgia" w:cs="Georgia" w:eastAsia="Georgia" w:hAnsi="Georgia"/>
          <w:color w:val="1A1A1A"/>
          <w:sz w:val="18"/>
          <w:szCs w:val="18"/>
        </w:rPr>
        <w:t xml:space="preserve">C. Mao, Y. Feng, X. Wang, and G. Ren, “Review on research achievements of biogas from anaerobic digestion,” Renewable and Sustainable Energy Reviews, vol. 45, pp. 540–555, 2015, doi: 10.1016/j.rser.2015.02.032.</w:t>
      </w:r>
    </w:p>
    <w:p>
      <w:pPr>
        <w:pStyle w:val="RefItem"/>
        <w:tabs>
          <w:tab w:val="left" w:pos="460"/>
        </w:tabs>
      </w:pPr>
      <w:r>
        <w:rPr>
          <w:rFonts w:ascii="Georgia" w:cs="Georgia" w:eastAsia="Georgia" w:hAnsi="Georgia"/>
          <w:color w:val="1A1A1A"/>
          <w:sz w:val="18"/>
          <w:szCs w:val="18"/>
        </w:rPr>
        <w:t xml:space="preserve">[15]</w:t>
      </w:r>
      <w:r>
        <w:rPr>
          <w:sz w:val="18"/>
          <w:szCs w:val="18"/>
        </w:rPr>
        <w:t xml:space="preserve">	</w:t>
      </w:r>
      <w:r>
        <w:rPr>
          <w:rFonts w:ascii="Georgia" w:cs="Georgia" w:eastAsia="Georgia" w:hAnsi="Georgia"/>
          <w:color w:val="1A1A1A"/>
          <w:sz w:val="18"/>
          <w:szCs w:val="18"/>
        </w:rPr>
        <w:t xml:space="preserve">D. Kondusamy and A. S. Kalamdhad, “Pre-treatment and anaerobic digestion of food waste for high rate methane production — A review,” Journal of Environmental Chemical Engineering, vol. 2, no. 3, pp. 1821–1830, 2014, doi: 10.1016/j.jece.2014.07.024.</w:t>
      </w:r>
    </w:p>
    <w:p>
      <w:pPr>
        <w:pStyle w:val="RefItem"/>
        <w:tabs>
          <w:tab w:val="left" w:pos="460"/>
        </w:tabs>
      </w:pPr>
      <w:r>
        <w:rPr>
          <w:rFonts w:ascii="Georgia" w:cs="Georgia" w:eastAsia="Georgia" w:hAnsi="Georgia"/>
          <w:color w:val="1A1A1A"/>
          <w:sz w:val="18"/>
          <w:szCs w:val="18"/>
        </w:rPr>
        <w:t xml:space="preserve">[16]</w:t>
      </w:r>
      <w:r>
        <w:rPr>
          <w:sz w:val="18"/>
          <w:szCs w:val="18"/>
        </w:rPr>
        <w:t xml:space="preserve">	</w:t>
      </w:r>
      <w:r>
        <w:rPr>
          <w:rFonts w:ascii="Georgia" w:cs="Georgia" w:eastAsia="Georgia" w:hAnsi="Georgia"/>
          <w:color w:val="1A1A1A"/>
          <w:sz w:val="18"/>
          <w:szCs w:val="18"/>
        </w:rPr>
        <w:t xml:space="preserve">C. Zhang, H. Su, J. Baeyens, and T. Tan, “Reviewing the anaerobic digestion of food waste for biogas production,” Renewable and Sustainable Energy Reviews, vol. 38, pp. 383–392, 2014, doi: 10.1016/j.rser.2014.05.038.</w:t>
      </w:r>
    </w:p>
    <w:p>
      <w:pPr>
        <w:pStyle w:val="RefItem"/>
        <w:tabs>
          <w:tab w:val="left" w:pos="460"/>
        </w:tabs>
      </w:pPr>
      <w:r>
        <w:rPr>
          <w:rFonts w:ascii="Georgia" w:cs="Georgia" w:eastAsia="Georgia" w:hAnsi="Georgia"/>
          <w:color w:val="1A1A1A"/>
          <w:sz w:val="18"/>
          <w:szCs w:val="18"/>
        </w:rPr>
        <w:t xml:space="preserve">[17]</w:t>
      </w:r>
      <w:r>
        <w:rPr>
          <w:sz w:val="18"/>
          <w:szCs w:val="18"/>
        </w:rPr>
        <w:t xml:space="preserve">	</w:t>
      </w:r>
      <w:r>
        <w:rPr>
          <w:rFonts w:ascii="Georgia" w:cs="Georgia" w:eastAsia="Georgia" w:hAnsi="Georgia"/>
          <w:color w:val="1A1A1A"/>
          <w:sz w:val="18"/>
          <w:szCs w:val="18"/>
        </w:rPr>
        <w:t xml:space="preserve">F. Xu, Y. Li, X. Ge, L. Yang, and Y. Li, “Anaerobic digestion of food waste — Challenges and opportunities,” Bioresource Technology, vol. 247, pp. 1047–1058, 2018, doi: 10.1016/j.biortech.2017.09.020.</w:t>
      </w:r>
    </w:p>
    <w:p>
      <w:pPr>
        <w:pStyle w:val="RefItem"/>
        <w:tabs>
          <w:tab w:val="left" w:pos="460"/>
        </w:tabs>
      </w:pPr>
      <w:r>
        <w:rPr>
          <w:rFonts w:ascii="Georgia" w:cs="Georgia" w:eastAsia="Georgia" w:hAnsi="Georgia"/>
          <w:color w:val="1A1A1A"/>
          <w:sz w:val="18"/>
          <w:szCs w:val="18"/>
        </w:rPr>
        <w:t xml:space="preserve">[18]</w:t>
      </w:r>
      <w:r>
        <w:rPr>
          <w:sz w:val="18"/>
          <w:szCs w:val="18"/>
        </w:rPr>
        <w:t xml:space="preserve">	</w:t>
      </w:r>
      <w:r>
        <w:rPr>
          <w:rFonts w:ascii="Georgia" w:cs="Georgia" w:eastAsia="Georgia" w:hAnsi="Georgia"/>
          <w:color w:val="1A1A1A"/>
          <w:sz w:val="18"/>
          <w:szCs w:val="18"/>
        </w:rPr>
        <w:t xml:space="preserve">K. Hagos, J. Zong, D. Li, C. Liu, and X. Lu, “Anaerobic co-digestion process for biogas production: Progress, challenges and perspectives,” Renewable and Sustainable Energy Reviews, vol. 76, pp. 1485–1496, 2017, doi: 10.1016/j.rser.2016.11.184.</w:t>
      </w:r>
    </w:p>
    <w:p>
      <w:pPr>
        <w:pStyle w:val="RefItem"/>
        <w:tabs>
          <w:tab w:val="left" w:pos="460"/>
        </w:tabs>
      </w:pPr>
      <w:r>
        <w:rPr>
          <w:rFonts w:ascii="Georgia" w:cs="Georgia" w:eastAsia="Georgia" w:hAnsi="Georgia"/>
          <w:color w:val="1A1A1A"/>
          <w:sz w:val="18"/>
          <w:szCs w:val="18"/>
        </w:rPr>
        <w:t xml:space="preserve">[19]</w:t>
      </w:r>
      <w:r>
        <w:rPr>
          <w:sz w:val="18"/>
          <w:szCs w:val="18"/>
        </w:rPr>
        <w:t xml:space="preserve">	</w:t>
      </w:r>
      <w:r>
        <w:rPr>
          <w:rFonts w:ascii="Georgia" w:cs="Georgia" w:eastAsia="Georgia" w:hAnsi="Georgia"/>
          <w:color w:val="1A1A1A"/>
          <w:sz w:val="18"/>
          <w:szCs w:val="18"/>
        </w:rPr>
        <w:t xml:space="preserve">“Techno-economic evaluation of biogas production from food waste via anaerobic digestion,” Scientific Reports, vol. 10, art. 15963, 2020, doi: 10.1038/s41598-020-72897-5.</w:t>
      </w:r>
    </w:p>
    <w:p>
      <w:pPr>
        <w:pStyle w:val="RefItem"/>
        <w:tabs>
          <w:tab w:val="left" w:pos="460"/>
        </w:tabs>
      </w:pPr>
      <w:r>
        <w:rPr>
          <w:rFonts w:ascii="Georgia" w:cs="Georgia" w:eastAsia="Georgia" w:hAnsi="Georgia"/>
          <w:color w:val="1A1A1A"/>
          <w:sz w:val="18"/>
          <w:szCs w:val="18"/>
        </w:rPr>
        <w:t xml:space="preserve">[20]</w:t>
      </w:r>
      <w:r>
        <w:rPr>
          <w:sz w:val="18"/>
          <w:szCs w:val="18"/>
        </w:rPr>
        <w:t xml:space="preserve">	</w:t>
      </w:r>
      <w:r>
        <w:rPr>
          <w:rFonts w:ascii="Georgia" w:cs="Georgia" w:eastAsia="Georgia" w:hAnsi="Georgia"/>
          <w:color w:val="1A1A1A"/>
          <w:sz w:val="18"/>
          <w:szCs w:val="18"/>
        </w:rPr>
        <w:t xml:space="preserve">“Technoeconomic assessment of biogas production from organic waste via anaerobic digestion in subtropical Central Queensland,” Energies, vol. 18, no. 17, art. 4505, 2025, doi: 10.3390/en18174505.</w:t>
      </w:r>
    </w:p>
    <w:p>
      <w:pPr>
        <w:pStyle w:val="RefItem"/>
        <w:tabs>
          <w:tab w:val="left" w:pos="460"/>
        </w:tabs>
      </w:pPr>
      <w:r>
        <w:rPr>
          <w:rFonts w:ascii="Georgia" w:cs="Georgia" w:eastAsia="Georgia" w:hAnsi="Georgia"/>
          <w:color w:val="1A1A1A"/>
          <w:sz w:val="18"/>
          <w:szCs w:val="18"/>
        </w:rPr>
        <w:t xml:space="preserve">[21]</w:t>
      </w:r>
      <w:r>
        <w:rPr>
          <w:sz w:val="18"/>
          <w:szCs w:val="18"/>
        </w:rPr>
        <w:t xml:space="preserve">	</w:t>
      </w:r>
      <w:r>
        <w:rPr>
          <w:rFonts w:ascii="Georgia" w:cs="Georgia" w:eastAsia="Georgia" w:hAnsi="Georgia"/>
          <w:color w:val="1A1A1A"/>
          <w:sz w:val="18"/>
          <w:szCs w:val="18"/>
        </w:rPr>
        <w:t xml:space="preserve">“Techno-economic analysis of an on-farm biofilm reactor for dairy biogas production,” Sustainability, vol. 13, no. 4, art. 2063, 2021, doi: 10.3390/su13042063.</w:t>
      </w:r>
    </w:p>
    <w:p>
      <w:pPr>
        <w:pStyle w:val="RefItem"/>
        <w:tabs>
          <w:tab w:val="left" w:pos="460"/>
        </w:tabs>
      </w:pPr>
      <w:r>
        <w:rPr>
          <w:rFonts w:ascii="Georgia" w:cs="Georgia" w:eastAsia="Georgia" w:hAnsi="Georgia"/>
          <w:color w:val="1A1A1A"/>
          <w:sz w:val="18"/>
          <w:szCs w:val="18"/>
        </w:rPr>
        <w:t xml:space="preserve">[22]</w:t>
      </w:r>
      <w:r>
        <w:rPr>
          <w:sz w:val="18"/>
          <w:szCs w:val="18"/>
        </w:rPr>
        <w:t xml:space="preserve">	</w:t>
      </w:r>
      <w:r>
        <w:rPr>
          <w:rFonts w:ascii="Georgia" w:cs="Georgia" w:eastAsia="Georgia" w:hAnsi="Georgia"/>
          <w:color w:val="1A1A1A"/>
          <w:sz w:val="18"/>
          <w:szCs w:val="18"/>
        </w:rPr>
        <w:t xml:space="preserve">S. Achinas and G. J. W. Euverink, “Economic perspectives of biogas production via anaerobic digestion,” Bioengineering, 2020, PMC7552621.</w:t>
      </w:r>
    </w:p>
    <w:p>
      <w:pPr>
        <w:pStyle w:val="RefItem"/>
        <w:tabs>
          <w:tab w:val="left" w:pos="460"/>
        </w:tabs>
      </w:pPr>
      <w:r>
        <w:rPr>
          <w:rFonts w:ascii="Georgia" w:cs="Georgia" w:eastAsia="Georgia" w:hAnsi="Georgia"/>
          <w:color w:val="1A1A1A"/>
          <w:sz w:val="18"/>
          <w:szCs w:val="18"/>
        </w:rPr>
        <w:t xml:space="preserve">[23]</w:t>
      </w:r>
      <w:r>
        <w:rPr>
          <w:sz w:val="18"/>
          <w:szCs w:val="18"/>
        </w:rPr>
        <w:t xml:space="preserve">	</w:t>
      </w:r>
      <w:r>
        <w:rPr>
          <w:rFonts w:ascii="Georgia" w:cs="Georgia" w:eastAsia="Georgia" w:hAnsi="Georgia"/>
          <w:color w:val="1A1A1A"/>
          <w:sz w:val="18"/>
          <w:szCs w:val="18"/>
        </w:rPr>
        <w:t xml:space="preserve">HomeBiogas Ltd., HomeBiogas System Technical Documentation, 2024. [Online]. Available: https://www.homebiogas.com</w:t>
      </w:r>
    </w:p>
    <w:p>
      <w:pPr>
        <w:pStyle w:val="RefItem"/>
        <w:tabs>
          <w:tab w:val="left" w:pos="460"/>
        </w:tabs>
      </w:pPr>
      <w:r>
        <w:rPr>
          <w:rFonts w:ascii="Georgia" w:cs="Georgia" w:eastAsia="Georgia" w:hAnsi="Georgia"/>
          <w:color w:val="1A1A1A"/>
          <w:sz w:val="18"/>
          <w:szCs w:val="18"/>
        </w:rPr>
        <w:t xml:space="preserve">[24]</w:t>
      </w:r>
      <w:r>
        <w:rPr>
          <w:sz w:val="18"/>
          <w:szCs w:val="18"/>
        </w:rPr>
        <w:t xml:space="preserve">	</w:t>
      </w:r>
      <w:r>
        <w:rPr>
          <w:rFonts w:ascii="Georgia" w:cs="Georgia" w:eastAsia="Georgia" w:hAnsi="Georgia"/>
          <w:color w:val="1A1A1A"/>
          <w:sz w:val="18"/>
          <w:szCs w:val="18"/>
        </w:rPr>
        <w:t xml:space="preserve">Shenzhen Puxin Technology Co., Household Biogas Digester Specifications (PX-ABS-3.4M3). [Online]. Available via Engineering for Change Solutions Library.</w:t>
      </w:r>
    </w:p>
    <w:p>
      <w:pPr>
        <w:pStyle w:val="RefItem"/>
        <w:tabs>
          <w:tab w:val="left" w:pos="460"/>
        </w:tabs>
      </w:pPr>
      <w:r>
        <w:rPr>
          <w:rFonts w:ascii="Georgia" w:cs="Georgia" w:eastAsia="Georgia" w:hAnsi="Georgia"/>
          <w:color w:val="1A1A1A"/>
          <w:sz w:val="18"/>
          <w:szCs w:val="18"/>
        </w:rPr>
        <w:t xml:space="preserve">[25]</w:t>
      </w:r>
      <w:r>
        <w:rPr>
          <w:sz w:val="18"/>
          <w:szCs w:val="18"/>
        </w:rPr>
        <w:t xml:space="preserve">	</w:t>
      </w:r>
      <w:r>
        <w:rPr>
          <w:rFonts w:ascii="Georgia" w:cs="Georgia" w:eastAsia="Georgia" w:hAnsi="Georgia"/>
          <w:color w:val="1A1A1A"/>
          <w:sz w:val="18"/>
          <w:szCs w:val="18"/>
        </w:rPr>
        <w:t xml:space="preserve">International Energy Agency, Outlook for Biogas and Biomethane: Prospects for Organic Growth, Paris: IEA, 2020.</w:t>
      </w:r>
    </w:p>
    <w:p>
      <w:pPr>
        <w:pStyle w:val="RefItem"/>
        <w:tabs>
          <w:tab w:val="left" w:pos="460"/>
        </w:tabs>
      </w:pPr>
      <w:r>
        <w:rPr>
          <w:rFonts w:ascii="Georgia" w:cs="Georgia" w:eastAsia="Georgia" w:hAnsi="Georgia"/>
          <w:color w:val="1A1A1A"/>
          <w:sz w:val="18"/>
          <w:szCs w:val="18"/>
        </w:rPr>
        <w:t xml:space="preserve">[26]</w:t>
      </w:r>
      <w:r>
        <w:rPr>
          <w:sz w:val="18"/>
          <w:szCs w:val="18"/>
        </w:rPr>
        <w:t xml:space="preserve">	</w:t>
      </w:r>
      <w:r>
        <w:rPr>
          <w:rFonts w:ascii="Georgia" w:cs="Georgia" w:eastAsia="Georgia" w:hAnsi="Georgia"/>
          <w:color w:val="1A1A1A"/>
          <w:sz w:val="18"/>
          <w:szCs w:val="18"/>
        </w:rPr>
        <w:t xml:space="preserve">International Renewable Energy Agency, Biogas Cost Reductions to Boost Sustainable Transport, Abu Dhabi: IRENA, 2017.</w:t>
      </w:r>
    </w:p>
    <w:p>
      <w:pPr>
        <w:pStyle w:val="RefItem"/>
        <w:tabs>
          <w:tab w:val="left" w:pos="460"/>
        </w:tabs>
      </w:pPr>
      <w:r>
        <w:rPr>
          <w:rFonts w:ascii="Georgia" w:cs="Georgia" w:eastAsia="Georgia" w:hAnsi="Georgia"/>
          <w:color w:val="1A1A1A"/>
          <w:sz w:val="18"/>
          <w:szCs w:val="18"/>
        </w:rPr>
        <w:t xml:space="preserve">[27]</w:t>
      </w:r>
      <w:r>
        <w:rPr>
          <w:sz w:val="18"/>
          <w:szCs w:val="18"/>
        </w:rPr>
        <w:t xml:space="preserve">	</w:t>
      </w:r>
      <w:r>
        <w:rPr>
          <w:rFonts w:ascii="Georgia" w:cs="Georgia" w:eastAsia="Georgia" w:hAnsi="Georgia"/>
          <w:color w:val="1A1A1A"/>
          <w:sz w:val="18"/>
          <w:szCs w:val="18"/>
        </w:rPr>
        <w:t xml:space="preserve">U.S. Environmental Protection Agency, AgSTAR: Biogas Recovery in the Agriculture Sector — Project and Cost Data, Washington, DC, 2023. [Online]. Available: https://www.epa.gov/agstar</w:t>
      </w:r>
    </w:p>
    <w:p>
      <w:pPr>
        <w:pStyle w:val="RefItem"/>
        <w:tabs>
          <w:tab w:val="left" w:pos="460"/>
        </w:tabs>
      </w:pPr>
      <w:r>
        <w:rPr>
          <w:rFonts w:ascii="Georgia" w:cs="Georgia" w:eastAsia="Georgia" w:hAnsi="Georgia"/>
          <w:color w:val="1A1A1A"/>
          <w:sz w:val="18"/>
          <w:szCs w:val="18"/>
        </w:rPr>
        <w:t xml:space="preserve">[28]</w:t>
      </w:r>
      <w:r>
        <w:rPr>
          <w:sz w:val="18"/>
          <w:szCs w:val="18"/>
        </w:rPr>
        <w:t xml:space="preserve">	</w:t>
      </w:r>
      <w:r>
        <w:rPr>
          <w:rFonts w:ascii="Georgia" w:cs="Georgia" w:eastAsia="Georgia" w:hAnsi="Georgia"/>
          <w:color w:val="1A1A1A"/>
          <w:sz w:val="18"/>
          <w:szCs w:val="18"/>
        </w:rPr>
        <w:t xml:space="preserve">energypedia, “Electricity generation from biogas,” 2023. [Online]. Available: https://energypedia.info/wiki/Electricity_Generation_from_Biogas</w:t>
      </w:r>
    </w:p>
    <w:p>
      <w:pPr>
        <w:pStyle w:val="RefItem"/>
        <w:tabs>
          <w:tab w:val="left" w:pos="460"/>
        </w:tabs>
      </w:pPr>
      <w:r>
        <w:rPr>
          <w:rFonts w:ascii="Georgia" w:cs="Georgia" w:eastAsia="Georgia" w:hAnsi="Georgia"/>
          <w:color w:val="1A1A1A"/>
          <w:sz w:val="18"/>
          <w:szCs w:val="18"/>
        </w:rPr>
        <w:t xml:space="preserve">[29]</w:t>
      </w:r>
      <w:r>
        <w:rPr>
          <w:sz w:val="18"/>
          <w:szCs w:val="18"/>
        </w:rPr>
        <w:t xml:space="preserve">	</w:t>
      </w:r>
      <w:r>
        <w:rPr>
          <w:rFonts w:ascii="Georgia" w:cs="Georgia" w:eastAsia="Georgia" w:hAnsi="Georgia"/>
          <w:color w:val="1A1A1A"/>
          <w:sz w:val="18"/>
          <w:szCs w:val="18"/>
        </w:rPr>
        <w:t xml:space="preserve">Clarke Energy, “Biogas — gas engine CHP applications and efficiency,” technical reference, 2023. [Online]. Available: https://www.clarke-energy.com</w:t>
      </w:r>
    </w:p>
    <w:p>
      <w:pPr>
        <w:pStyle w:val="RefItem"/>
        <w:tabs>
          <w:tab w:val="left" w:pos="460"/>
        </w:tabs>
      </w:pPr>
      <w:r>
        <w:rPr>
          <w:rFonts w:ascii="Georgia" w:cs="Georgia" w:eastAsia="Georgia" w:hAnsi="Georgia"/>
          <w:color w:val="1A1A1A"/>
          <w:sz w:val="18"/>
          <w:szCs w:val="18"/>
        </w:rPr>
        <w:t xml:space="preserve">[30]</w:t>
      </w:r>
      <w:r>
        <w:rPr>
          <w:sz w:val="18"/>
          <w:szCs w:val="18"/>
        </w:rPr>
        <w:t xml:space="preserve">	</w:t>
      </w:r>
      <w:r>
        <w:rPr>
          <w:rFonts w:ascii="Georgia" w:cs="Georgia" w:eastAsia="Georgia" w:hAnsi="Georgia"/>
          <w:color w:val="1A1A1A"/>
          <w:sz w:val="18"/>
          <w:szCs w:val="18"/>
        </w:rPr>
        <w:t xml:space="preserve">INNIO Jenbacher, Type 3 and Type 6 Gas Engine Technical Specifications, 2023. [Online]. Available: https://www.innio.com</w:t>
      </w:r>
    </w:p>
    <w:p>
      <w:pPr>
        <w:pStyle w:val="RefItem"/>
        <w:tabs>
          <w:tab w:val="left" w:pos="460"/>
        </w:tabs>
      </w:pPr>
      <w:r>
        <w:rPr>
          <w:rFonts w:ascii="Georgia" w:cs="Georgia" w:eastAsia="Georgia" w:hAnsi="Georgia"/>
          <w:color w:val="1A1A1A"/>
          <w:sz w:val="18"/>
          <w:szCs w:val="18"/>
        </w:rPr>
        <w:t xml:space="preserve">[31]</w:t>
      </w:r>
      <w:r>
        <w:rPr>
          <w:sz w:val="18"/>
          <w:szCs w:val="18"/>
        </w:rPr>
        <w:t xml:space="preserve">	</w:t>
      </w:r>
      <w:r>
        <w:rPr>
          <w:rFonts w:ascii="Georgia" w:cs="Georgia" w:eastAsia="Georgia" w:hAnsi="Georgia"/>
          <w:color w:val="1A1A1A"/>
          <w:sz w:val="18"/>
          <w:szCs w:val="18"/>
        </w:rPr>
        <w:t xml:space="preserve">D. Deublein and A. Steinhauser, Biogas from Waste and Renewable Resources: An Introduction, Weinheim: Wiley-VCH, 2008.</w:t>
      </w:r>
    </w:p>
    <w:p>
      <w:pPr>
        <w:pStyle w:val="RefItem"/>
        <w:tabs>
          <w:tab w:val="left" w:pos="460"/>
        </w:tabs>
      </w:pPr>
      <w:r>
        <w:rPr>
          <w:rFonts w:ascii="Georgia" w:cs="Georgia" w:eastAsia="Georgia" w:hAnsi="Georgia"/>
          <w:color w:val="1A1A1A"/>
          <w:sz w:val="18"/>
          <w:szCs w:val="18"/>
        </w:rPr>
        <w:t xml:space="preserve">[32]</w:t>
      </w:r>
      <w:r>
        <w:rPr>
          <w:sz w:val="18"/>
          <w:szCs w:val="18"/>
        </w:rPr>
        <w:t xml:space="preserve">	</w:t>
      </w:r>
      <w:r>
        <w:rPr>
          <w:rFonts w:ascii="Georgia" w:cs="Georgia" w:eastAsia="Georgia" w:hAnsi="Georgia"/>
          <w:color w:val="1A1A1A"/>
          <w:sz w:val="18"/>
          <w:szCs w:val="18"/>
        </w:rPr>
        <w:t xml:space="preserve">Fachagentur Nachwachsende Rohstoffe e.V. (FNR), Guide to Biogas: From Production to Use, Gülzow, Germany, 2012.</w:t>
      </w:r>
    </w:p>
    <w:p>
      <w:pPr>
        <w:pStyle w:val="RefItem"/>
        <w:tabs>
          <w:tab w:val="left" w:pos="460"/>
        </w:tabs>
      </w:pPr>
      <w:r>
        <w:rPr>
          <w:rFonts w:ascii="Georgia" w:cs="Georgia" w:eastAsia="Georgia" w:hAnsi="Georgia"/>
          <w:color w:val="1A1A1A"/>
          <w:sz w:val="18"/>
          <w:szCs w:val="18"/>
        </w:rPr>
        <w:t xml:space="preserve">[33]</w:t>
      </w:r>
      <w:r>
        <w:rPr>
          <w:sz w:val="18"/>
          <w:szCs w:val="18"/>
        </w:rPr>
        <w:t xml:space="preserve">	</w:t>
      </w:r>
      <w:r>
        <w:rPr>
          <w:rFonts w:ascii="Georgia" w:cs="Georgia" w:eastAsia="Georgia" w:hAnsi="Georgia"/>
          <w:color w:val="1A1A1A"/>
          <w:sz w:val="18"/>
          <w:szCs w:val="18"/>
        </w:rPr>
        <w:t xml:space="preserve">M. Balat and H. Balat, “Recent trends in global production and utilization of bio-ethanol fuel,” Applied Energy, vol. 86, no. 11, pp. 2273–2282, 2009, doi: 10.1016/j.apenergy.2009.03.015.</w:t>
      </w:r>
    </w:p>
    <w:p>
      <w:pPr>
        <w:pStyle w:val="RefItem"/>
        <w:tabs>
          <w:tab w:val="left" w:pos="460"/>
        </w:tabs>
      </w:pPr>
      <w:r>
        <w:rPr>
          <w:rFonts w:ascii="Georgia" w:cs="Georgia" w:eastAsia="Georgia" w:hAnsi="Georgia"/>
          <w:color w:val="1A1A1A"/>
          <w:sz w:val="18"/>
          <w:szCs w:val="18"/>
        </w:rPr>
        <w:t xml:space="preserve">[34]</w:t>
      </w:r>
      <w:r>
        <w:rPr>
          <w:sz w:val="18"/>
          <w:szCs w:val="18"/>
        </w:rPr>
        <w:t xml:space="preserve">	</w:t>
      </w:r>
      <w:r>
        <w:rPr>
          <w:rFonts w:ascii="Georgia" w:cs="Georgia" w:eastAsia="Georgia" w:hAnsi="Georgia"/>
          <w:color w:val="1A1A1A"/>
          <w:sz w:val="18"/>
          <w:szCs w:val="18"/>
        </w:rPr>
        <w:t xml:space="preserve">J. K. Kim, B. R. Oh, Y. N. Shin, C. Y. Jeong, and S. W. Kim, “Ethanol production from food waste,” Process Biochemistry studies, summarized in Bioresource Technology, 2011.</w:t>
      </w:r>
    </w:p>
    <w:p>
      <w:pPr>
        <w:pStyle w:val="RefItem"/>
        <w:tabs>
          <w:tab w:val="left" w:pos="460"/>
        </w:tabs>
      </w:pPr>
      <w:r>
        <w:rPr>
          <w:rFonts w:ascii="Georgia" w:cs="Georgia" w:eastAsia="Georgia" w:hAnsi="Georgia"/>
          <w:color w:val="1A1A1A"/>
          <w:sz w:val="18"/>
          <w:szCs w:val="18"/>
        </w:rPr>
        <w:t xml:space="preserve">[35]</w:t>
      </w:r>
      <w:r>
        <w:rPr>
          <w:sz w:val="18"/>
          <w:szCs w:val="18"/>
        </w:rPr>
        <w:t xml:space="preserve">	</w:t>
      </w:r>
      <w:r>
        <w:rPr>
          <w:rFonts w:ascii="Georgia" w:cs="Georgia" w:eastAsia="Georgia" w:hAnsi="Georgia"/>
          <w:color w:val="1A1A1A"/>
          <w:sz w:val="18"/>
          <w:szCs w:val="18"/>
        </w:rPr>
        <w:t xml:space="preserve">N. Sarkar, S. K. Ghosh, S. Bannerjee, and K. Aikat, “Bioethanol production from agricultural wastes: An overview,” Renewable Energy, vol. 37, no. 1, pp. 19–27, 2012, doi: 10.1016/j.renene.2011.06.045.</w:t>
      </w:r>
    </w:p>
    <w:p>
      <w:pPr>
        <w:pStyle w:val="RefItem"/>
        <w:tabs>
          <w:tab w:val="left" w:pos="460"/>
        </w:tabs>
      </w:pPr>
      <w:r>
        <w:rPr>
          <w:rFonts w:ascii="Georgia" w:cs="Georgia" w:eastAsia="Georgia" w:hAnsi="Georgia"/>
          <w:color w:val="1A1A1A"/>
          <w:sz w:val="18"/>
          <w:szCs w:val="18"/>
        </w:rPr>
        <w:t xml:space="preserve">[36]</w:t>
      </w:r>
      <w:r>
        <w:rPr>
          <w:sz w:val="18"/>
          <w:szCs w:val="18"/>
        </w:rPr>
        <w:t xml:space="preserve">	</w:t>
      </w:r>
      <w:r>
        <w:rPr>
          <w:rFonts w:ascii="Georgia" w:cs="Georgia" w:eastAsia="Georgia" w:hAnsi="Georgia"/>
          <w:color w:val="1A1A1A"/>
          <w:sz w:val="18"/>
          <w:szCs w:val="18"/>
        </w:rPr>
        <w:t xml:space="preserve">A. Limayem and S. C. Ricke, “Lignocellulosic biomass for bioethanol production: Current perspectives, potential issues and future prospects,” Progress in Energy and Combustion Science, vol. 38, no. 4, pp. 449–467, 2012, doi: 10.1016/j.pecs.2012.03.002.</w:t>
      </w:r>
    </w:p>
    <w:p>
      <w:pPr>
        <w:pStyle w:val="RefItem"/>
        <w:tabs>
          <w:tab w:val="left" w:pos="460"/>
        </w:tabs>
      </w:pPr>
      <w:r>
        <w:rPr>
          <w:rFonts w:ascii="Georgia" w:cs="Georgia" w:eastAsia="Georgia" w:hAnsi="Georgia"/>
          <w:color w:val="1A1A1A"/>
          <w:sz w:val="18"/>
          <w:szCs w:val="18"/>
        </w:rPr>
        <w:t xml:space="preserve">[37]</w:t>
      </w:r>
      <w:r>
        <w:rPr>
          <w:sz w:val="18"/>
          <w:szCs w:val="18"/>
        </w:rPr>
        <w:t xml:space="preserve">	</w:t>
      </w:r>
      <w:r>
        <w:rPr>
          <w:rFonts w:ascii="Georgia" w:cs="Georgia" w:eastAsia="Georgia" w:hAnsi="Georgia"/>
          <w:color w:val="1A1A1A"/>
          <w:sz w:val="18"/>
          <w:szCs w:val="18"/>
        </w:rPr>
        <w:t xml:space="preserve">U.S. Alcohol and Tobacco Tax and Trade Bureau, Alcohol Fuel Producer Permit — Form 5110.74 and 27 CFR Part 19 requirements, Washington, DC, 2023.</w:t>
      </w:r>
    </w:p>
    <w:p>
      <w:pPr>
        <w:pStyle w:val="RefItem"/>
        <w:tabs>
          <w:tab w:val="left" w:pos="460"/>
        </w:tabs>
      </w:pPr>
      <w:r>
        <w:rPr>
          <w:rFonts w:ascii="Georgia" w:cs="Georgia" w:eastAsia="Georgia" w:hAnsi="Georgia"/>
          <w:color w:val="1A1A1A"/>
          <w:sz w:val="18"/>
          <w:szCs w:val="18"/>
        </w:rPr>
        <w:t xml:space="preserve">[38]</w:t>
      </w:r>
      <w:r>
        <w:rPr>
          <w:sz w:val="18"/>
          <w:szCs w:val="18"/>
        </w:rPr>
        <w:t xml:space="preserve">	</w:t>
      </w:r>
      <w:r>
        <w:rPr>
          <w:rFonts w:ascii="Georgia" w:cs="Georgia" w:eastAsia="Georgia" w:hAnsi="Georgia"/>
          <w:color w:val="1A1A1A"/>
          <w:sz w:val="18"/>
          <w:szCs w:val="18"/>
        </w:rPr>
        <w:t xml:space="preserve">S. D. A. Sharuddin, F. Abnisa, W. M. A. W. Daud, and M. K. Aroua, “A review on pyrolysis of plastic solid wastes,” Energy Conversion and Management, vol. 115, pp. 308–326, 2016, doi: 10.1016/j.enconman.2016.02.037.</w:t>
      </w:r>
    </w:p>
    <w:p>
      <w:pPr>
        <w:pStyle w:val="RefItem"/>
        <w:tabs>
          <w:tab w:val="left" w:pos="460"/>
        </w:tabs>
      </w:pPr>
      <w:r>
        <w:rPr>
          <w:rFonts w:ascii="Georgia" w:cs="Georgia" w:eastAsia="Georgia" w:hAnsi="Georgia"/>
          <w:color w:val="1A1A1A"/>
          <w:sz w:val="18"/>
          <w:szCs w:val="18"/>
        </w:rPr>
        <w:t xml:space="preserve">[39]</w:t>
      </w:r>
      <w:r>
        <w:rPr>
          <w:sz w:val="18"/>
          <w:szCs w:val="18"/>
        </w:rPr>
        <w:t xml:space="preserve">	</w:t>
      </w:r>
      <w:r>
        <w:rPr>
          <w:rFonts w:ascii="Georgia" w:cs="Georgia" w:eastAsia="Georgia" w:hAnsi="Georgia"/>
          <w:color w:val="1A1A1A"/>
          <w:sz w:val="18"/>
          <w:szCs w:val="18"/>
        </w:rPr>
        <w:t xml:space="preserve">R. Miandad, M. A. Barakat, A. S. Aburiazaiza, M. Rehan, and A. S. Nizami, “Catalytic pyrolysis of plastic waste: A review,” Process Safety and Environmental Protection, vol. 102, pp. 822–838, 2016, doi: 10.1016/j.psep.2016.06.022.</w:t>
      </w:r>
    </w:p>
    <w:p>
      <w:pPr>
        <w:pStyle w:val="RefItem"/>
        <w:tabs>
          <w:tab w:val="left" w:pos="460"/>
        </w:tabs>
      </w:pPr>
      <w:r>
        <w:rPr>
          <w:rFonts w:ascii="Georgia" w:cs="Georgia" w:eastAsia="Georgia" w:hAnsi="Georgia"/>
          <w:color w:val="1A1A1A"/>
          <w:sz w:val="18"/>
          <w:szCs w:val="18"/>
        </w:rPr>
        <w:t xml:space="preserve">[40]</w:t>
      </w:r>
      <w:r>
        <w:rPr>
          <w:sz w:val="18"/>
          <w:szCs w:val="18"/>
        </w:rPr>
        <w:t xml:space="preserve">	</w:t>
      </w:r>
      <w:r>
        <w:rPr>
          <w:rFonts w:ascii="Georgia" w:cs="Georgia" w:eastAsia="Georgia" w:hAnsi="Georgia"/>
          <w:color w:val="1A1A1A"/>
          <w:sz w:val="18"/>
          <w:szCs w:val="18"/>
        </w:rPr>
        <w:t xml:space="preserve">Y. Chisti, “Biodiesel from microalgae,” Biotechnology Advances, vol. 25, no. 3, pp. 294–306, 2007, doi: 10.1016/j.biotechadv.2007.02.001.</w:t>
      </w:r>
    </w:p>
    <w:p>
      <w:pPr>
        <w:pStyle w:val="RefItem"/>
        <w:tabs>
          <w:tab w:val="left" w:pos="460"/>
        </w:tabs>
      </w:pPr>
      <w:r>
        <w:rPr>
          <w:rFonts w:ascii="Georgia" w:cs="Georgia" w:eastAsia="Georgia" w:hAnsi="Georgia"/>
          <w:color w:val="1A1A1A"/>
          <w:sz w:val="18"/>
          <w:szCs w:val="18"/>
        </w:rPr>
        <w:t xml:space="preserve">[41]</w:t>
      </w:r>
      <w:r>
        <w:rPr>
          <w:sz w:val="18"/>
          <w:szCs w:val="18"/>
        </w:rPr>
        <w:t xml:space="preserve">	</w:t>
      </w:r>
      <w:r>
        <w:rPr>
          <w:rFonts w:ascii="Georgia" w:cs="Georgia" w:eastAsia="Georgia" w:hAnsi="Georgia"/>
          <w:color w:val="1A1A1A"/>
          <w:sz w:val="18"/>
          <w:szCs w:val="18"/>
        </w:rPr>
        <w:t xml:space="preserve">L. Lardon, A. Hélias, B. Sialve, J.-P. Steyer, and O. Bernard, “Life-cycle assessment of biodiesel production from microalgae,” Environmental Science &amp; Technology, vol. 43, no. 17, pp. 6475–6481, 2009, doi: 10.1021/es900705j.</w:t>
      </w:r>
    </w:p>
    <w:p>
      <w:pPr>
        <w:pStyle w:val="RefItem"/>
        <w:tabs>
          <w:tab w:val="left" w:pos="460"/>
        </w:tabs>
      </w:pPr>
      <w:r>
        <w:rPr>
          <w:rFonts w:ascii="Georgia" w:cs="Georgia" w:eastAsia="Georgia" w:hAnsi="Georgia"/>
          <w:color w:val="1A1A1A"/>
          <w:sz w:val="18"/>
          <w:szCs w:val="18"/>
        </w:rPr>
        <w:t xml:space="preserve">[42]</w:t>
      </w:r>
      <w:r>
        <w:rPr>
          <w:sz w:val="18"/>
          <w:szCs w:val="18"/>
        </w:rPr>
        <w:t xml:space="preserve">	</w:t>
      </w:r>
      <w:r>
        <w:rPr>
          <w:rFonts w:ascii="Georgia" w:cs="Georgia" w:eastAsia="Georgia" w:hAnsi="Georgia"/>
          <w:color w:val="1A1A1A"/>
          <w:sz w:val="18"/>
          <w:szCs w:val="18"/>
        </w:rPr>
        <w:t xml:space="preserve">M. Kanellos, “Algae biodiesel: It’s $33 a gallon,” Greentech Media, Feb. 2009 (cost estimate attributed to B. Wilson, Solix/Colorado State University).</w:t>
      </w:r>
    </w:p>
    <w:p>
      <w:pPr>
        <w:pStyle w:val="RefItem"/>
        <w:tabs>
          <w:tab w:val="left" w:pos="460"/>
        </w:tabs>
      </w:pPr>
      <w:r>
        <w:rPr>
          <w:rFonts w:ascii="Georgia" w:cs="Georgia" w:eastAsia="Georgia" w:hAnsi="Georgia"/>
          <w:color w:val="1A1A1A"/>
          <w:sz w:val="18"/>
          <w:szCs w:val="18"/>
        </w:rPr>
        <w:t xml:space="preserve">[43]</w:t>
      </w:r>
      <w:r>
        <w:rPr>
          <w:sz w:val="18"/>
          <w:szCs w:val="18"/>
        </w:rPr>
        <w:t xml:space="preserve">	</w:t>
      </w:r>
      <w:r>
        <w:rPr>
          <w:rFonts w:ascii="Georgia" w:cs="Georgia" w:eastAsia="Georgia" w:hAnsi="Georgia"/>
          <w:color w:val="1A1A1A"/>
          <w:sz w:val="18"/>
          <w:szCs w:val="18"/>
        </w:rPr>
        <w:t xml:space="preserve">“Environmental and health impacts of plastic waste pyrolysis,” Frontiers in Energy Research, vol. 7, art. 27, 2019, doi: 10.3389/fenrg.2019.00027.</w:t>
      </w:r>
    </w:p>
    <w:p>
      <w:pPr>
        <w:pStyle w:val="RefItem"/>
        <w:tabs>
          <w:tab w:val="left" w:pos="460"/>
        </w:tabs>
      </w:pPr>
      <w:r>
        <w:rPr>
          <w:rFonts w:ascii="Georgia" w:cs="Georgia" w:eastAsia="Georgia" w:hAnsi="Georgia"/>
          <w:color w:val="1A1A1A"/>
          <w:sz w:val="18"/>
          <w:szCs w:val="18"/>
        </w:rPr>
        <w:t xml:space="preserve">[44]</w:t>
      </w:r>
      <w:r>
        <w:rPr>
          <w:sz w:val="18"/>
          <w:szCs w:val="18"/>
        </w:rPr>
        <w:t xml:space="preserve">	</w:t>
      </w:r>
      <w:r>
        <w:rPr>
          <w:rFonts w:ascii="Georgia" w:cs="Georgia" w:eastAsia="Georgia" w:hAnsi="Georgia"/>
          <w:color w:val="1A1A1A"/>
          <w:sz w:val="18"/>
          <w:szCs w:val="18"/>
        </w:rPr>
        <w:t xml:space="preserve">W. Short, D. J. Packey, and T. Holt, A Manual for the Economic Evaluation of Energy Efficiency and Renewable Energy Technologies, NREL/TP-462-5173, Golden, CO: National Renewable Energy Laboratory, 1995.</w:t>
      </w:r>
    </w:p>
    <w:p>
      <w:pPr>
        <w:pStyle w:val="RefItem"/>
        <w:tabs>
          <w:tab w:val="left" w:pos="460"/>
        </w:tabs>
      </w:pPr>
      <w:r>
        <w:rPr>
          <w:rFonts w:ascii="Georgia" w:cs="Georgia" w:eastAsia="Georgia" w:hAnsi="Georgia"/>
          <w:color w:val="1A1A1A"/>
          <w:sz w:val="18"/>
          <w:szCs w:val="18"/>
        </w:rPr>
        <w:t xml:space="preserve">[45]</w:t>
      </w:r>
      <w:r>
        <w:rPr>
          <w:sz w:val="18"/>
          <w:szCs w:val="18"/>
        </w:rPr>
        <w:t xml:space="preserve">	</w:t>
      </w:r>
      <w:r>
        <w:rPr>
          <w:rFonts w:ascii="Georgia" w:cs="Georgia" w:eastAsia="Georgia" w:hAnsi="Georgia"/>
          <w:color w:val="1A1A1A"/>
          <w:sz w:val="18"/>
          <w:szCs w:val="18"/>
        </w:rPr>
        <w:t xml:space="preserve">International Renewable Energy Agency, Renewable Power Generation Costs in 2017, Abu Dhabi: IRENA, 2018.</w:t>
      </w:r>
    </w:p>
    <w:p>
      <w:pPr>
        <w:pStyle w:val="RefItem"/>
        <w:tabs>
          <w:tab w:val="left" w:pos="460"/>
        </w:tabs>
      </w:pPr>
      <w:r>
        <w:rPr>
          <w:rFonts w:ascii="Georgia" w:cs="Georgia" w:eastAsia="Georgia" w:hAnsi="Georgia"/>
          <w:color w:val="1A1A1A"/>
          <w:sz w:val="18"/>
          <w:szCs w:val="18"/>
        </w:rPr>
        <w:t xml:space="preserve">[46]</w:t>
      </w:r>
      <w:r>
        <w:rPr>
          <w:sz w:val="18"/>
          <w:szCs w:val="18"/>
        </w:rPr>
        <w:t xml:space="preserve">	</w:t>
      </w:r>
      <w:r>
        <w:rPr>
          <w:rFonts w:ascii="Georgia" w:cs="Georgia" w:eastAsia="Georgia" w:hAnsi="Georgia"/>
          <w:color w:val="1A1A1A"/>
          <w:sz w:val="18"/>
          <w:szCs w:val="18"/>
        </w:rPr>
        <w:t xml:space="preserve">Techno-economic feasibility of small-scale biogas (El Alto case), M.Sc. thesis, KTH Royal Institute of Technology, Stockholm, 2014, urn:nbn:se:kth:diva-153841.</w:t>
      </w:r>
    </w:p>
    <w:p>
      <w:pPr>
        <w:pStyle w:val="RefItem"/>
        <w:tabs>
          <w:tab w:val="left" w:pos="460"/>
        </w:tabs>
      </w:pPr>
      <w:r>
        <w:rPr>
          <w:rFonts w:ascii="Georgia" w:cs="Georgia" w:eastAsia="Georgia" w:hAnsi="Georgia"/>
          <w:color w:val="1A1A1A"/>
          <w:sz w:val="18"/>
          <w:szCs w:val="18"/>
        </w:rPr>
        <w:t xml:space="preserve">[47]</w:t>
      </w:r>
      <w:r>
        <w:rPr>
          <w:sz w:val="18"/>
          <w:szCs w:val="18"/>
        </w:rPr>
        <w:t xml:space="preserve">	</w:t>
      </w:r>
      <w:r>
        <w:rPr>
          <w:rFonts w:ascii="Georgia" w:cs="Georgia" w:eastAsia="Georgia" w:hAnsi="Georgia"/>
          <w:color w:val="1A1A1A"/>
          <w:sz w:val="18"/>
          <w:szCs w:val="18"/>
        </w:rPr>
        <w:t xml:space="preserve">“Techno-economic analysis of renewable diesel via methane-assisted catalytic upgrading,” Journal of Cleaner Production, 2023, doi: 10.1016/j.jclepro.2023.137? (S0959652623016700).</w:t>
      </w:r>
    </w:p>
    <w:p>
      <w:pPr>
        <w:pStyle w:val="RefItem"/>
        <w:tabs>
          <w:tab w:val="left" w:pos="460"/>
        </w:tabs>
      </w:pPr>
      <w:r>
        <w:rPr>
          <w:rFonts w:ascii="Georgia" w:cs="Georgia" w:eastAsia="Georgia" w:hAnsi="Georgia"/>
          <w:color w:val="1A1A1A"/>
          <w:sz w:val="18"/>
          <w:szCs w:val="18"/>
        </w:rPr>
        <w:t xml:space="preserve">[48]</w:t>
      </w:r>
      <w:r>
        <w:rPr>
          <w:sz w:val="18"/>
          <w:szCs w:val="18"/>
        </w:rPr>
        <w:t xml:space="preserve">	</w:t>
      </w:r>
      <w:r>
        <w:rPr>
          <w:rFonts w:ascii="Georgia" w:cs="Georgia" w:eastAsia="Georgia" w:hAnsi="Georgia"/>
          <w:color w:val="1A1A1A"/>
          <w:sz w:val="18"/>
          <w:szCs w:val="18"/>
        </w:rPr>
        <w:t xml:space="preserve">Thunder Said Energy, “Biogas and anaerobic digestion: economics and costs,” industry analysis, 2023. [Online]. Available: https://thundersaidenergy.com</w:t>
      </w:r>
    </w:p>
    <w:p>
      <w:pPr>
        <w:pStyle w:val="RefItem"/>
        <w:tabs>
          <w:tab w:val="left" w:pos="460"/>
        </w:tabs>
      </w:pPr>
      <w:r>
        <w:rPr>
          <w:rFonts w:ascii="Georgia" w:cs="Georgia" w:eastAsia="Georgia" w:hAnsi="Georgia"/>
          <w:color w:val="1A1A1A"/>
          <w:sz w:val="18"/>
          <w:szCs w:val="18"/>
        </w:rPr>
        <w:t xml:space="preserve">[49]</w:t>
      </w:r>
      <w:r>
        <w:rPr>
          <w:sz w:val="18"/>
          <w:szCs w:val="18"/>
        </w:rPr>
        <w:t xml:space="preserve">	</w:t>
      </w:r>
      <w:r>
        <w:rPr>
          <w:rFonts w:ascii="Georgia" w:cs="Georgia" w:eastAsia="Georgia" w:hAnsi="Georgia"/>
          <w:color w:val="1A1A1A"/>
          <w:sz w:val="18"/>
          <w:szCs w:val="18"/>
        </w:rPr>
        <w:t xml:space="preserve">M. S. Peters, K. D. Timmerhaus, and R. E. West, Plant Design and Economics for Chemical Engineers, 5th ed. New York: McGraw-Hill, 2003.</w:t>
      </w:r>
    </w:p>
    <w:p>
      <w:pPr>
        <w:pStyle w:val="RefItem"/>
        <w:tabs>
          <w:tab w:val="left" w:pos="460"/>
        </w:tabs>
      </w:pPr>
      <w:r>
        <w:rPr>
          <w:rFonts w:ascii="Georgia" w:cs="Georgia" w:eastAsia="Georgia" w:hAnsi="Georgia"/>
          <w:color w:val="1A1A1A"/>
          <w:sz w:val="18"/>
          <w:szCs w:val="18"/>
        </w:rPr>
        <w:t xml:space="preserve">[50]</w:t>
      </w:r>
      <w:r>
        <w:rPr>
          <w:sz w:val="18"/>
          <w:szCs w:val="18"/>
        </w:rPr>
        <w:t xml:space="preserve">	</w:t>
      </w:r>
      <w:r>
        <w:rPr>
          <w:rFonts w:ascii="Georgia" w:cs="Georgia" w:eastAsia="Georgia" w:hAnsi="Georgia"/>
          <w:color w:val="1A1A1A"/>
          <w:sz w:val="18"/>
          <w:szCs w:val="18"/>
        </w:rPr>
        <w:t xml:space="preserve">H. Xu et al., “Life cycle greenhouse gas emissions of biodiesel and renewable diesel production in the United States,” Environmental Science &amp; Technology, vol. 56, no. 12, pp. 7512–7523, 2022, doi: 10.1021/acs.est.2c00289.</w:t>
      </w:r>
    </w:p>
    <w:p>
      <w:pPr>
        <w:pStyle w:val="RefItem"/>
        <w:tabs>
          <w:tab w:val="left" w:pos="460"/>
        </w:tabs>
      </w:pPr>
      <w:r>
        <w:rPr>
          <w:rFonts w:ascii="Georgia" w:cs="Georgia" w:eastAsia="Georgia" w:hAnsi="Georgia"/>
          <w:color w:val="1A1A1A"/>
          <w:sz w:val="18"/>
          <w:szCs w:val="18"/>
        </w:rPr>
        <w:t xml:space="preserve">[51]</w:t>
      </w:r>
      <w:r>
        <w:rPr>
          <w:sz w:val="18"/>
          <w:szCs w:val="18"/>
        </w:rPr>
        <w:t xml:space="preserve">	</w:t>
      </w:r>
      <w:r>
        <w:rPr>
          <w:rFonts w:ascii="Georgia" w:cs="Georgia" w:eastAsia="Georgia" w:hAnsi="Georgia"/>
          <w:color w:val="1A1A1A"/>
          <w:sz w:val="18"/>
          <w:szCs w:val="18"/>
        </w:rPr>
        <w:t xml:space="preserve">M. Wang, J. Han, J. B. Dunn, H. Cai, and A. Elgowainy, “Well-to-wheels energy use and greenhouse gas emissions of ethanol from corn, sugarcane and cellulosic biomass for US use,” Environmental Research Letters, vol. 7, no. 4, art. 045905, 2012, doi: 10.1088/1748-9326/7/4/045905.</w:t>
      </w:r>
    </w:p>
    <w:p>
      <w:pPr>
        <w:pStyle w:val="RefItem"/>
        <w:tabs>
          <w:tab w:val="left" w:pos="460"/>
        </w:tabs>
      </w:pPr>
      <w:r>
        <w:rPr>
          <w:rFonts w:ascii="Georgia" w:cs="Georgia" w:eastAsia="Georgia" w:hAnsi="Georgia"/>
          <w:color w:val="1A1A1A"/>
          <w:sz w:val="18"/>
          <w:szCs w:val="18"/>
        </w:rPr>
        <w:t xml:space="preserve">[52]</w:t>
      </w:r>
      <w:r>
        <w:rPr>
          <w:sz w:val="18"/>
          <w:szCs w:val="18"/>
        </w:rPr>
        <w:t xml:space="preserve">	</w:t>
      </w:r>
      <w:r>
        <w:rPr>
          <w:rFonts w:ascii="Georgia" w:cs="Georgia" w:eastAsia="Georgia" w:hAnsi="Georgia"/>
          <w:color w:val="1A1A1A"/>
          <w:sz w:val="18"/>
          <w:szCs w:val="18"/>
        </w:rPr>
        <w:t xml:space="preserve">Argonne National Laboratory, Greenhouse gases, Regulated Emissions, and Energy use in Technologies (GREET) Model, 2024 release, ANL/ESIA-24/21, 2025.</w:t>
      </w:r>
    </w:p>
    <w:p>
      <w:pPr>
        <w:pStyle w:val="RefItem"/>
        <w:tabs>
          <w:tab w:val="left" w:pos="460"/>
        </w:tabs>
      </w:pPr>
      <w:r>
        <w:rPr>
          <w:rFonts w:ascii="Georgia" w:cs="Georgia" w:eastAsia="Georgia" w:hAnsi="Georgia"/>
          <w:color w:val="1A1A1A"/>
          <w:sz w:val="18"/>
          <w:szCs w:val="18"/>
        </w:rPr>
        <w:t xml:space="preserve">[53]</w:t>
      </w:r>
      <w:r>
        <w:rPr>
          <w:sz w:val="18"/>
          <w:szCs w:val="18"/>
        </w:rPr>
        <w:t xml:space="preserve">	</w:t>
      </w:r>
      <w:r>
        <w:rPr>
          <w:rFonts w:ascii="Georgia" w:cs="Georgia" w:eastAsia="Georgia" w:hAnsi="Georgia"/>
          <w:color w:val="1A1A1A"/>
          <w:sz w:val="18"/>
          <w:szCs w:val="18"/>
        </w:rPr>
        <w:t xml:space="preserve">California Air Resources Board, Low Carbon Fuel Standard — Certified Carbon Intensity Pathways, Sacramento, CA, 2023. [Online]. Available: https://ww2.arb.ca.gov/our-work/programs/low-carbon-fuel-standard</w:t>
      </w:r>
    </w:p>
    <w:p>
      <w:pPr>
        <w:pStyle w:val="RefItem"/>
        <w:tabs>
          <w:tab w:val="left" w:pos="460"/>
        </w:tabs>
      </w:pPr>
      <w:r>
        <w:rPr>
          <w:rFonts w:ascii="Georgia" w:cs="Georgia" w:eastAsia="Georgia" w:hAnsi="Georgia"/>
          <w:color w:val="1A1A1A"/>
          <w:sz w:val="18"/>
          <w:szCs w:val="18"/>
        </w:rPr>
        <w:t xml:space="preserve">[54]</w:t>
      </w:r>
      <w:r>
        <w:rPr>
          <w:sz w:val="18"/>
          <w:szCs w:val="18"/>
        </w:rPr>
        <w:t xml:space="preserve">	</w:t>
      </w:r>
      <w:r>
        <w:rPr>
          <w:rFonts w:ascii="Georgia" w:cs="Georgia" w:eastAsia="Georgia" w:hAnsi="Georgia"/>
          <w:color w:val="1A1A1A"/>
          <w:sz w:val="18"/>
          <w:szCs w:val="18"/>
        </w:rPr>
        <w:t xml:space="preserve">U.S. Energy Information Administration, “Carbon intensity of transportation fuels” (citing CARB pathway data; California ULSD baseline 102 gCO2e/MJ), 2023.</w:t>
      </w:r>
    </w:p>
    <w:p>
      <w:pPr>
        <w:pStyle w:val="RefItem"/>
        <w:tabs>
          <w:tab w:val="left" w:pos="460"/>
        </w:tabs>
      </w:pPr>
      <w:r>
        <w:rPr>
          <w:rFonts w:ascii="Georgia" w:cs="Georgia" w:eastAsia="Georgia" w:hAnsi="Georgia"/>
          <w:color w:val="1A1A1A"/>
          <w:sz w:val="18"/>
          <w:szCs w:val="18"/>
        </w:rPr>
        <w:t xml:space="preserve">[55]</w:t>
      </w:r>
      <w:r>
        <w:rPr>
          <w:sz w:val="18"/>
          <w:szCs w:val="18"/>
        </w:rPr>
        <w:t xml:space="preserve">	</w:t>
      </w:r>
      <w:r>
        <w:rPr>
          <w:rFonts w:ascii="Georgia" w:cs="Georgia" w:eastAsia="Georgia" w:hAnsi="Georgia"/>
          <w:color w:val="1A1A1A"/>
          <w:sz w:val="18"/>
          <w:szCs w:val="18"/>
        </w:rPr>
        <w:t xml:space="preserve">“Life cycle assessment of biodiesel from waste cooking oil using SimaPro and GREET,” Carbon Management, 2025, doi: 10.1080/17583004.2025.2564717.</w:t>
      </w:r>
    </w:p>
    <w:p>
      <w:pPr>
        <w:pStyle w:val="RefItem"/>
        <w:tabs>
          <w:tab w:val="left" w:pos="460"/>
        </w:tabs>
      </w:pPr>
      <w:r>
        <w:rPr>
          <w:rFonts w:ascii="Georgia" w:cs="Georgia" w:eastAsia="Georgia" w:hAnsi="Georgia"/>
          <w:color w:val="1A1A1A"/>
          <w:sz w:val="18"/>
          <w:szCs w:val="18"/>
        </w:rPr>
        <w:t xml:space="preserve">[56]</w:t>
      </w:r>
      <w:r>
        <w:rPr>
          <w:sz w:val="18"/>
          <w:szCs w:val="18"/>
        </w:rPr>
        <w:t xml:space="preserve">	</w:t>
      </w:r>
      <w:r>
        <w:rPr>
          <w:rFonts w:ascii="Georgia" w:cs="Georgia" w:eastAsia="Georgia" w:hAnsi="Georgia"/>
          <w:color w:val="1A1A1A"/>
          <w:sz w:val="18"/>
          <w:szCs w:val="18"/>
        </w:rPr>
        <w:t xml:space="preserve">“Policy analysis of CO2 capture and sequestration with anaerobic digestion for transportation fuel production,” Environmental Science &amp; Technology, 2023, doi: 10.1021/acs.est.3c02727.</w:t>
      </w:r>
    </w:p>
    <w:p>
      <w:pPr>
        <w:pStyle w:val="RefItem"/>
        <w:tabs>
          <w:tab w:val="left" w:pos="460"/>
        </w:tabs>
      </w:pPr>
      <w:r>
        <w:rPr>
          <w:rFonts w:ascii="Georgia" w:cs="Georgia" w:eastAsia="Georgia" w:hAnsi="Georgia"/>
          <w:color w:val="1A1A1A"/>
          <w:sz w:val="18"/>
          <w:szCs w:val="18"/>
        </w:rPr>
        <w:t xml:space="preserve">[57]</w:t>
      </w:r>
      <w:r>
        <w:rPr>
          <w:sz w:val="18"/>
          <w:szCs w:val="18"/>
        </w:rPr>
        <w:t xml:space="preserve">	</w:t>
      </w:r>
      <w:r>
        <w:rPr>
          <w:rFonts w:ascii="Georgia" w:cs="Georgia" w:eastAsia="Georgia" w:hAnsi="Georgia"/>
          <w:color w:val="1A1A1A"/>
          <w:sz w:val="18"/>
          <w:szCs w:val="18"/>
        </w:rPr>
        <w:t xml:space="preserve">“Renewable natural gas from food waste offers negative carbon intensity as LCFS pathway: −80 gCO2e/MJ,” Green Car Congress, Mar. 2021. [Online]. Available: https://www.greencarcongress.com/2021/03/20210309-ssfsc.html</w:t>
      </w:r>
    </w:p>
    <w:p>
      <w:pPr>
        <w:pStyle w:val="RefItem"/>
        <w:tabs>
          <w:tab w:val="left" w:pos="460"/>
        </w:tabs>
      </w:pPr>
      <w:r>
        <w:rPr>
          <w:rFonts w:ascii="Georgia" w:cs="Georgia" w:eastAsia="Georgia" w:hAnsi="Georgia"/>
          <w:color w:val="1A1A1A"/>
          <w:sz w:val="18"/>
          <w:szCs w:val="18"/>
        </w:rPr>
        <w:t xml:space="preserve">[58]</w:t>
      </w:r>
      <w:r>
        <w:rPr>
          <w:sz w:val="18"/>
          <w:szCs w:val="18"/>
        </w:rPr>
        <w:t xml:space="preserve">	</w:t>
      </w:r>
      <w:r>
        <w:rPr>
          <w:rFonts w:ascii="Georgia" w:cs="Georgia" w:eastAsia="Georgia" w:hAnsi="Georgia"/>
          <w:color w:val="1A1A1A"/>
          <w:sz w:val="18"/>
          <w:szCs w:val="18"/>
        </w:rPr>
        <w:t xml:space="preserve">International Council on Clean Transportation, Indirect Land-Use Change and Waste-Based Fuels: Accounting Considerations, Washington, DC, 2023.</w:t>
      </w:r>
    </w:p>
    <w:p>
      <w:pPr>
        <w:pStyle w:val="RefItem"/>
        <w:tabs>
          <w:tab w:val="left" w:pos="460"/>
        </w:tabs>
      </w:pPr>
      <w:r>
        <w:rPr>
          <w:rFonts w:ascii="Georgia" w:cs="Georgia" w:eastAsia="Georgia" w:hAnsi="Georgia"/>
          <w:color w:val="1A1A1A"/>
          <w:sz w:val="18"/>
          <w:szCs w:val="18"/>
        </w:rPr>
        <w:t xml:space="preserve">[59]</w:t>
      </w:r>
      <w:r>
        <w:rPr>
          <w:sz w:val="18"/>
          <w:szCs w:val="18"/>
        </w:rPr>
        <w:t xml:space="preserve">	</w:t>
      </w:r>
      <w:r>
        <w:rPr>
          <w:rFonts w:ascii="Georgia" w:cs="Georgia" w:eastAsia="Georgia" w:hAnsi="Georgia"/>
          <w:color w:val="1A1A1A"/>
          <w:sz w:val="18"/>
          <w:szCs w:val="18"/>
        </w:rPr>
        <w:t xml:space="preserve">Union of Concerned Scientists, “The accounting controversy over negative-carbon-intensity biomethane,” policy brief, 2023.</w:t>
      </w:r>
    </w:p>
    <w:p>
      <w:pPr>
        <w:pStyle w:val="RefItem"/>
        <w:tabs>
          <w:tab w:val="left" w:pos="460"/>
        </w:tabs>
      </w:pPr>
      <w:r>
        <w:rPr>
          <w:rFonts w:ascii="Georgia" w:cs="Georgia" w:eastAsia="Georgia" w:hAnsi="Georgia"/>
          <w:color w:val="1A1A1A"/>
          <w:sz w:val="18"/>
          <w:szCs w:val="18"/>
        </w:rPr>
        <w:t xml:space="preserve">[60]</w:t>
      </w:r>
      <w:r>
        <w:rPr>
          <w:sz w:val="18"/>
          <w:szCs w:val="18"/>
        </w:rPr>
        <w:t xml:space="preserve">	</w:t>
      </w:r>
      <w:r>
        <w:rPr>
          <w:rFonts w:ascii="Georgia" w:cs="Georgia" w:eastAsia="Georgia" w:hAnsi="Georgia"/>
          <w:color w:val="1A1A1A"/>
          <w:sz w:val="18"/>
          <w:szCs w:val="18"/>
        </w:rPr>
        <w:t xml:space="preserve">C. A. S. Hall, S. Balogh, and D. J. R. Murphy, “What is the minimum EROI that a sustainable society must have?,” Energies, vol. 2, no. 1, pp. 25–47, 2009, doi: 10.3390/en20100025.</w:t>
      </w:r>
    </w:p>
    <w:p>
      <w:pPr>
        <w:pStyle w:val="RefItem"/>
        <w:tabs>
          <w:tab w:val="left" w:pos="460"/>
        </w:tabs>
      </w:pPr>
      <w:r>
        <w:rPr>
          <w:rFonts w:ascii="Georgia" w:cs="Georgia" w:eastAsia="Georgia" w:hAnsi="Georgia"/>
          <w:color w:val="1A1A1A"/>
          <w:sz w:val="18"/>
          <w:szCs w:val="18"/>
        </w:rPr>
        <w:t xml:space="preserve">[61]</w:t>
      </w:r>
      <w:r>
        <w:rPr>
          <w:sz w:val="18"/>
          <w:szCs w:val="18"/>
        </w:rPr>
        <w:t xml:space="preserve">	</w:t>
      </w:r>
      <w:r>
        <w:rPr>
          <w:rFonts w:ascii="Georgia" w:cs="Georgia" w:eastAsia="Georgia" w:hAnsi="Georgia"/>
          <w:color w:val="1A1A1A"/>
          <w:sz w:val="18"/>
          <w:szCs w:val="18"/>
        </w:rPr>
        <w:t xml:space="preserve">“Energy return on investment (EROI) of biomass conversion systems in China: Meta-analysis focused on system boundary unification,” Renewable and Sustainable Energy Reviews, vol. 137, art. 110652, 2021, doi: 10.1016/j.rser.2020.110652.</w:t>
      </w:r>
    </w:p>
    <w:p>
      <w:pPr>
        <w:pStyle w:val="RefItem"/>
        <w:tabs>
          <w:tab w:val="left" w:pos="460"/>
        </w:tabs>
      </w:pPr>
      <w:r>
        <w:rPr>
          <w:rFonts w:ascii="Georgia" w:cs="Georgia" w:eastAsia="Georgia" w:hAnsi="Georgia"/>
          <w:color w:val="1A1A1A"/>
          <w:sz w:val="18"/>
          <w:szCs w:val="18"/>
        </w:rPr>
        <w:t xml:space="preserve">[62]</w:t>
      </w:r>
      <w:r>
        <w:rPr>
          <w:sz w:val="18"/>
          <w:szCs w:val="18"/>
        </w:rPr>
        <w:t xml:space="preserve">	</w:t>
      </w:r>
      <w:r>
        <w:rPr>
          <w:rFonts w:ascii="Georgia" w:cs="Georgia" w:eastAsia="Georgia" w:hAnsi="Georgia"/>
          <w:color w:val="1A1A1A"/>
          <w:sz w:val="18"/>
          <w:szCs w:val="18"/>
        </w:rPr>
        <w:t xml:space="preserve">“A harmonized EROI assessment of energy systems,” Sustainability, vol. 14, no. 12, art. 7098, 2022, doi: 10.3390/su14127098.</w:t>
      </w:r>
    </w:p>
    <w:p>
      <w:pPr>
        <w:pStyle w:val="RefItem"/>
        <w:tabs>
          <w:tab w:val="left" w:pos="460"/>
        </w:tabs>
      </w:pPr>
      <w:r>
        <w:rPr>
          <w:rFonts w:ascii="Georgia" w:cs="Georgia" w:eastAsia="Georgia" w:hAnsi="Georgia"/>
          <w:color w:val="1A1A1A"/>
          <w:sz w:val="18"/>
          <w:szCs w:val="18"/>
        </w:rPr>
        <w:t xml:space="preserve">[63]</w:t>
      </w:r>
      <w:r>
        <w:rPr>
          <w:sz w:val="18"/>
          <w:szCs w:val="18"/>
        </w:rPr>
        <w:t xml:space="preserve">	</w:t>
      </w:r>
      <w:r>
        <w:rPr>
          <w:rFonts w:ascii="Georgia" w:cs="Georgia" w:eastAsia="Georgia" w:hAnsi="Georgia"/>
          <w:color w:val="1A1A1A"/>
          <w:sz w:val="18"/>
          <w:szCs w:val="18"/>
        </w:rPr>
        <w:t xml:space="preserve">“Energy return on investment of biofuels in Ecuador,” Heliyon, 2020, PMC7320919.</w:t>
      </w:r>
    </w:p>
    <w:p>
      <w:pPr>
        <w:pStyle w:val="RefItem"/>
        <w:tabs>
          <w:tab w:val="left" w:pos="460"/>
        </w:tabs>
      </w:pPr>
      <w:r>
        <w:rPr>
          <w:rFonts w:ascii="Georgia" w:cs="Georgia" w:eastAsia="Georgia" w:hAnsi="Georgia"/>
          <w:color w:val="1A1A1A"/>
          <w:sz w:val="18"/>
          <w:szCs w:val="18"/>
        </w:rPr>
        <w:t xml:space="preserve">[64]</w:t>
      </w:r>
      <w:r>
        <w:rPr>
          <w:sz w:val="18"/>
          <w:szCs w:val="18"/>
        </w:rPr>
        <w:t xml:space="preserve">	</w:t>
      </w:r>
      <w:r>
        <w:rPr>
          <w:rFonts w:ascii="Georgia" w:cs="Georgia" w:eastAsia="Georgia" w:hAnsi="Georgia"/>
          <w:color w:val="1A1A1A"/>
          <w:sz w:val="18"/>
          <w:szCs w:val="18"/>
        </w:rPr>
        <w:t xml:space="preserve">“Energy return on investment of municipal solid waste biorefineries,” Renewable and Sustainable Energy Reviews, 2024 (S1364032124004635).</w:t>
      </w:r>
    </w:p>
    <w:p>
      <w:pPr>
        <w:pStyle w:val="RefItem"/>
        <w:tabs>
          <w:tab w:val="left" w:pos="460"/>
        </w:tabs>
      </w:pPr>
      <w:r>
        <w:rPr>
          <w:rFonts w:ascii="Georgia" w:cs="Georgia" w:eastAsia="Georgia" w:hAnsi="Georgia"/>
          <w:color w:val="1A1A1A"/>
          <w:sz w:val="18"/>
          <w:szCs w:val="18"/>
        </w:rPr>
        <w:t xml:space="preserve">[65]</w:t>
      </w:r>
      <w:r>
        <w:rPr>
          <w:sz w:val="18"/>
          <w:szCs w:val="18"/>
        </w:rPr>
        <w:t xml:space="preserve">	</w:t>
      </w:r>
      <w:r>
        <w:rPr>
          <w:rFonts w:ascii="Georgia" w:cs="Georgia" w:eastAsia="Georgia" w:hAnsi="Georgia"/>
          <w:color w:val="1A1A1A"/>
          <w:sz w:val="18"/>
          <w:szCs w:val="18"/>
        </w:rPr>
        <w:t xml:space="preserve">Z. Dou, J. D. Toth, and M. L. Westendorf, “Food waste for livestock feeding: Feasibility, safety, and sustainability implications,” Global Food Security / Nature Food analyses (91 studies, 29 countries), 2021.</w:t>
      </w:r>
    </w:p>
    <w:p>
      <w:pPr>
        <w:pStyle w:val="RefItem"/>
        <w:tabs>
          <w:tab w:val="left" w:pos="460"/>
        </w:tabs>
      </w:pPr>
      <w:r>
        <w:rPr>
          <w:rFonts w:ascii="Georgia" w:cs="Georgia" w:eastAsia="Georgia" w:hAnsi="Georgia"/>
          <w:color w:val="1A1A1A"/>
          <w:sz w:val="18"/>
          <w:szCs w:val="18"/>
        </w:rPr>
        <w:t xml:space="preserve">[66]</w:t>
      </w:r>
      <w:r>
        <w:rPr>
          <w:sz w:val="18"/>
          <w:szCs w:val="18"/>
        </w:rPr>
        <w:t xml:space="preserve">	</w:t>
      </w:r>
      <w:r>
        <w:rPr>
          <w:rFonts w:ascii="Georgia" w:cs="Georgia" w:eastAsia="Georgia" w:hAnsi="Georgia"/>
          <w:color w:val="1A1A1A"/>
          <w:sz w:val="18"/>
          <w:szCs w:val="18"/>
        </w:rPr>
        <w:t xml:space="preserve">“Household landfill diversion and the impact on methane emissions,” Journal of Environmental Economics and Management, 2025 (S0095069625000580).</w:t>
      </w:r>
    </w:p>
    <w:p>
      <w:pPr>
        <w:pStyle w:val="RefItem"/>
        <w:tabs>
          <w:tab w:val="left" w:pos="460"/>
        </w:tabs>
      </w:pPr>
      <w:r>
        <w:rPr>
          <w:rFonts w:ascii="Georgia" w:cs="Georgia" w:eastAsia="Georgia" w:hAnsi="Georgia"/>
          <w:color w:val="1A1A1A"/>
          <w:sz w:val="18"/>
          <w:szCs w:val="18"/>
        </w:rPr>
        <w:t xml:space="preserve">[67]</w:t>
      </w:r>
      <w:r>
        <w:rPr>
          <w:sz w:val="18"/>
          <w:szCs w:val="18"/>
        </w:rPr>
        <w:t xml:space="preserve">	</w:t>
      </w:r>
      <w:r>
        <w:rPr>
          <w:rFonts w:ascii="Georgia" w:cs="Georgia" w:eastAsia="Georgia" w:hAnsi="Georgia"/>
          <w:color w:val="1A1A1A"/>
          <w:sz w:val="18"/>
          <w:szCs w:val="18"/>
        </w:rPr>
        <w:t xml:space="preserve">Climate Action Reserve, Organic Waste Digestion and Organic Waste Composting Project Protocols, Los Angeles, CA, 2023.</w:t>
      </w:r>
    </w:p>
    <w:p>
      <w:pPr>
        <w:pStyle w:val="RefItem"/>
        <w:tabs>
          <w:tab w:val="left" w:pos="460"/>
        </w:tabs>
      </w:pPr>
      <w:r>
        <w:rPr>
          <w:rFonts w:ascii="Georgia" w:cs="Georgia" w:eastAsia="Georgia" w:hAnsi="Georgia"/>
          <w:color w:val="1A1A1A"/>
          <w:sz w:val="18"/>
          <w:szCs w:val="18"/>
        </w:rPr>
        <w:t xml:space="preserve">[68]</w:t>
      </w:r>
      <w:r>
        <w:rPr>
          <w:sz w:val="18"/>
          <w:szCs w:val="18"/>
        </w:rPr>
        <w:t xml:space="preserve">	</w:t>
      </w:r>
      <w:r>
        <w:rPr>
          <w:rFonts w:ascii="Georgia" w:cs="Georgia" w:eastAsia="Georgia" w:hAnsi="Georgia"/>
          <w:color w:val="1A1A1A"/>
          <w:sz w:val="18"/>
          <w:szCs w:val="18"/>
        </w:rPr>
        <w:t xml:space="preserve">U.S. Environmental Protection Agency, Waste Reduction Model (WARM) — Documentation for Organic Materials, Washington, DC, 2023.</w:t>
      </w:r>
    </w:p>
    <w:p>
      <w:pPr>
        <w:pStyle w:val="RefItem"/>
        <w:tabs>
          <w:tab w:val="left" w:pos="460"/>
        </w:tabs>
      </w:pPr>
      <w:r>
        <w:rPr>
          <w:rFonts w:ascii="Georgia" w:cs="Georgia" w:eastAsia="Georgia" w:hAnsi="Georgia"/>
          <w:color w:val="1A1A1A"/>
          <w:sz w:val="18"/>
          <w:szCs w:val="18"/>
        </w:rPr>
        <w:t xml:space="preserve">[69]</w:t>
      </w:r>
      <w:r>
        <w:rPr>
          <w:sz w:val="18"/>
          <w:szCs w:val="18"/>
        </w:rPr>
        <w:t xml:space="preserve">	</w:t>
      </w:r>
      <w:r>
        <w:rPr>
          <w:rFonts w:ascii="Georgia" w:cs="Georgia" w:eastAsia="Georgia" w:hAnsi="Georgia"/>
          <w:color w:val="1A1A1A"/>
          <w:sz w:val="18"/>
          <w:szCs w:val="18"/>
        </w:rPr>
        <w:t xml:space="preserve">“Evaluation of nitrogen oxide (NO) and particulate matter (PM) emissions from waste biodiesel combustion,” Energies, vol. 17, no. 2, art. 328, 2024, doi: 10.3390/en17020328.</w:t>
      </w:r>
    </w:p>
    <w:p>
      <w:pPr>
        <w:pStyle w:val="RefItem"/>
        <w:tabs>
          <w:tab w:val="left" w:pos="460"/>
        </w:tabs>
      </w:pPr>
      <w:r>
        <w:rPr>
          <w:rFonts w:ascii="Georgia" w:cs="Georgia" w:eastAsia="Georgia" w:hAnsi="Georgia"/>
          <w:color w:val="1A1A1A"/>
          <w:sz w:val="18"/>
          <w:szCs w:val="18"/>
        </w:rPr>
        <w:t xml:space="preserve">[70]</w:t>
      </w:r>
      <w:r>
        <w:rPr>
          <w:sz w:val="18"/>
          <w:szCs w:val="18"/>
        </w:rPr>
        <w:t xml:space="preserve">	</w:t>
      </w:r>
      <w:r>
        <w:rPr>
          <w:rFonts w:ascii="Georgia" w:cs="Georgia" w:eastAsia="Georgia" w:hAnsi="Georgia"/>
          <w:color w:val="1A1A1A"/>
          <w:sz w:val="18"/>
          <w:szCs w:val="18"/>
        </w:rPr>
        <w:t xml:space="preserve">International Council on Clean Transportation, The Effect of Biodiesel Blends on NOx and PM Emissions: A Meta-Analysis, Washington, DC, 2022.</w:t>
      </w:r>
    </w:p>
    <w:p>
      <w:pPr>
        <w:pStyle w:val="RefItem"/>
        <w:tabs>
          <w:tab w:val="left" w:pos="460"/>
        </w:tabs>
      </w:pPr>
      <w:r>
        <w:rPr>
          <w:rFonts w:ascii="Georgia" w:cs="Georgia" w:eastAsia="Georgia" w:hAnsi="Georgia"/>
          <w:color w:val="1A1A1A"/>
          <w:sz w:val="18"/>
          <w:szCs w:val="18"/>
        </w:rPr>
        <w:t xml:space="preserve">[71]</w:t>
      </w:r>
      <w:r>
        <w:rPr>
          <w:sz w:val="18"/>
          <w:szCs w:val="18"/>
        </w:rPr>
        <w:t xml:space="preserve">	</w:t>
      </w:r>
      <w:r>
        <w:rPr>
          <w:rFonts w:ascii="Georgia" w:cs="Georgia" w:eastAsia="Georgia" w:hAnsi="Georgia"/>
          <w:color w:val="1A1A1A"/>
          <w:sz w:val="18"/>
          <w:szCs w:val="18"/>
        </w:rPr>
        <w:t xml:space="preserve">M. Lapuerta, O. Armas, and J. Rodríguez-Fernández, “Effect of biodiesel fuels on diesel engine emissions,” Progress in Energy and Combustion Science, vol. 34, no. 2, pp. 198–223, 2008, doi: 10.1016/j.pecs.2007.07.001.</w:t>
      </w:r>
    </w:p>
    <w:p>
      <w:pPr>
        <w:pStyle w:val="RefItem"/>
        <w:tabs>
          <w:tab w:val="left" w:pos="460"/>
        </w:tabs>
      </w:pPr>
      <w:r>
        <w:rPr>
          <w:rFonts w:ascii="Georgia" w:cs="Georgia" w:eastAsia="Georgia" w:hAnsi="Georgia"/>
          <w:color w:val="1A1A1A"/>
          <w:sz w:val="18"/>
          <w:szCs w:val="18"/>
        </w:rPr>
        <w:t xml:space="preserve">[72]</w:t>
      </w:r>
      <w:r>
        <w:rPr>
          <w:sz w:val="18"/>
          <w:szCs w:val="18"/>
        </w:rPr>
        <w:t xml:space="preserve">	</w:t>
      </w:r>
      <w:r>
        <w:rPr>
          <w:rFonts w:ascii="Georgia" w:cs="Georgia" w:eastAsia="Georgia" w:hAnsi="Georgia"/>
          <w:color w:val="1A1A1A"/>
          <w:sz w:val="18"/>
          <w:szCs w:val="18"/>
        </w:rPr>
        <w:t xml:space="preserve">DieselNet, “Biodiesel emissions and combustion characteristics,” technical report, 2023. [Online]. Available: https://dieselnet.com</w:t>
      </w:r>
    </w:p>
    <w:p>
      <w:pPr>
        <w:pStyle w:val="RefItem"/>
        <w:tabs>
          <w:tab w:val="left" w:pos="460"/>
        </w:tabs>
      </w:pPr>
      <w:r>
        <w:rPr>
          <w:rFonts w:ascii="Georgia" w:cs="Georgia" w:eastAsia="Georgia" w:hAnsi="Georgia"/>
          <w:color w:val="1A1A1A"/>
          <w:sz w:val="18"/>
          <w:szCs w:val="18"/>
        </w:rPr>
        <w:t xml:space="preserve">[73]</w:t>
      </w:r>
      <w:r>
        <w:rPr>
          <w:sz w:val="18"/>
          <w:szCs w:val="18"/>
        </w:rPr>
        <w:t xml:space="preserve">	</w:t>
      </w:r>
      <w:r>
        <w:rPr>
          <w:rFonts w:ascii="Georgia" w:cs="Georgia" w:eastAsia="Georgia" w:hAnsi="Georgia"/>
          <w:color w:val="1A1A1A"/>
          <w:sz w:val="18"/>
          <w:szCs w:val="18"/>
        </w:rPr>
        <w:t xml:space="preserve">Y. Parag and B. K. Sovacool, “Electricity market design for the prosumer era,” Nature Energy, vol. 1, art. 16032, 2016, doi: 10.1038/nenergy.2016.32.</w:t>
      </w:r>
    </w:p>
    <w:p>
      <w:pPr>
        <w:pStyle w:val="RefItem"/>
        <w:tabs>
          <w:tab w:val="left" w:pos="460"/>
        </w:tabs>
      </w:pPr>
      <w:r>
        <w:rPr>
          <w:rFonts w:ascii="Georgia" w:cs="Georgia" w:eastAsia="Georgia" w:hAnsi="Georgia"/>
          <w:color w:val="1A1A1A"/>
          <w:sz w:val="18"/>
          <w:szCs w:val="18"/>
        </w:rPr>
        <w:t xml:space="preserve">[74]</w:t>
      </w:r>
      <w:r>
        <w:rPr>
          <w:sz w:val="18"/>
          <w:szCs w:val="18"/>
        </w:rPr>
        <w:t xml:space="preserve">	</w:t>
      </w:r>
      <w:r>
        <w:rPr>
          <w:rFonts w:ascii="Georgia" w:cs="Georgia" w:eastAsia="Georgia" w:hAnsi="Georgia"/>
          <w:color w:val="1A1A1A"/>
          <w:sz w:val="18"/>
          <w:szCs w:val="18"/>
        </w:rPr>
        <w:t xml:space="preserve">“Distributed energy prosumer communities enabled by DLT, IoT and AI: A systematic review,” Energy and Built Environment / ScienceDirect, 2025 (S2666188825003594).</w:t>
      </w:r>
    </w:p>
    <w:p>
      <w:pPr>
        <w:pStyle w:val="RefItem"/>
        <w:tabs>
          <w:tab w:val="left" w:pos="460"/>
        </w:tabs>
      </w:pPr>
      <w:r>
        <w:rPr>
          <w:rFonts w:ascii="Georgia" w:cs="Georgia" w:eastAsia="Georgia" w:hAnsi="Georgia"/>
          <w:color w:val="1A1A1A"/>
          <w:sz w:val="18"/>
          <w:szCs w:val="18"/>
        </w:rPr>
        <w:t xml:space="preserve">[75]</w:t>
      </w:r>
      <w:r>
        <w:rPr>
          <w:sz w:val="18"/>
          <w:szCs w:val="18"/>
        </w:rPr>
        <w:t xml:space="preserve">	</w:t>
      </w:r>
      <w:r>
        <w:rPr>
          <w:rFonts w:ascii="Georgia" w:cs="Georgia" w:eastAsia="Georgia" w:hAnsi="Georgia"/>
          <w:color w:val="1A1A1A"/>
          <w:sz w:val="18"/>
          <w:szCs w:val="18"/>
        </w:rPr>
        <w:t xml:space="preserve">M. F. Akorede, H. Hizam, and E. Pouresmaeil, “Distributed energy resources and benefits to the environment,” Renewable and Sustainable Energy Reviews, vol. 14, no. 2, pp. 724–734, 2010, doi: 10.1016/j.rser.2009.10.025.</w:t>
      </w:r>
    </w:p>
    <w:p>
      <w:pPr>
        <w:pStyle w:val="RefItem"/>
        <w:tabs>
          <w:tab w:val="left" w:pos="460"/>
        </w:tabs>
      </w:pPr>
      <w:r>
        <w:rPr>
          <w:rFonts w:ascii="Georgia" w:cs="Georgia" w:eastAsia="Georgia" w:hAnsi="Georgia"/>
          <w:color w:val="1A1A1A"/>
          <w:sz w:val="18"/>
          <w:szCs w:val="18"/>
        </w:rPr>
        <w:t xml:space="preserve">[76]</w:t>
      </w:r>
      <w:r>
        <w:rPr>
          <w:sz w:val="18"/>
          <w:szCs w:val="18"/>
        </w:rPr>
        <w:t xml:space="preserve">	</w:t>
      </w:r>
      <w:r>
        <w:rPr>
          <w:rFonts w:ascii="Georgia" w:cs="Georgia" w:eastAsia="Georgia" w:hAnsi="Georgia"/>
          <w:color w:val="1A1A1A"/>
          <w:sz w:val="18"/>
          <w:szCs w:val="18"/>
        </w:rPr>
        <w:t xml:space="preserve">S. Bouffard and D. S. Kirschen, “Decentralised and distributed renewable energy systems,” in Renewable Energy Integration, Springer, 2018, ch. 2, doi: 10.1007/978-3-319-70223-0_2.</w:t>
      </w:r>
    </w:p>
    <w:p>
      <w:pPr>
        <w:pStyle w:val="RefItem"/>
        <w:tabs>
          <w:tab w:val="left" w:pos="460"/>
        </w:tabs>
      </w:pPr>
      <w:r>
        <w:rPr>
          <w:rFonts w:ascii="Georgia" w:cs="Georgia" w:eastAsia="Georgia" w:hAnsi="Georgia"/>
          <w:color w:val="1A1A1A"/>
          <w:sz w:val="18"/>
          <w:szCs w:val="18"/>
        </w:rPr>
        <w:t xml:space="preserve">[77]</w:t>
      </w:r>
      <w:r>
        <w:rPr>
          <w:sz w:val="18"/>
          <w:szCs w:val="18"/>
        </w:rPr>
        <w:t xml:space="preserve">	</w:t>
      </w:r>
      <w:r>
        <w:rPr>
          <w:rFonts w:ascii="Georgia" w:cs="Georgia" w:eastAsia="Georgia" w:hAnsi="Georgia"/>
          <w:color w:val="1A1A1A"/>
          <w:sz w:val="18"/>
          <w:szCs w:val="18"/>
        </w:rPr>
        <w:t xml:space="preserve">T. Sousa, T. Soares, P. Pinson, F. Moret, T. Baroche, and E. Sorin, “Peer-to-peer and community-based markets: A comprehensive review,” Renewable and Sustainable Energy Reviews, vol. 104, pp. 367–378, 2019, doi: 10.1016/j.rser.2019.01.036.</w:t>
      </w:r>
    </w:p>
    <w:p>
      <w:pPr>
        <w:pStyle w:val="RefItem"/>
        <w:tabs>
          <w:tab w:val="left" w:pos="460"/>
        </w:tabs>
      </w:pPr>
      <w:r>
        <w:rPr>
          <w:rFonts w:ascii="Georgia" w:cs="Georgia" w:eastAsia="Georgia" w:hAnsi="Georgia"/>
          <w:color w:val="1A1A1A"/>
          <w:sz w:val="18"/>
          <w:szCs w:val="18"/>
        </w:rPr>
        <w:t xml:space="preserve">[78]</w:t>
      </w:r>
      <w:r>
        <w:rPr>
          <w:sz w:val="18"/>
          <w:szCs w:val="18"/>
        </w:rPr>
        <w:t xml:space="preserve">	</w:t>
      </w:r>
      <w:r>
        <w:rPr>
          <w:rFonts w:ascii="Georgia" w:cs="Georgia" w:eastAsia="Georgia" w:hAnsi="Georgia"/>
          <w:color w:val="1A1A1A"/>
          <w:sz w:val="18"/>
          <w:szCs w:val="18"/>
        </w:rPr>
        <w:t xml:space="preserve">“Peer-to-peer energy trading with embedded carbon cost,” Renewable Energy, 2024 (S0960148124007377).</w:t>
      </w:r>
    </w:p>
    <w:p>
      <w:pPr>
        <w:pStyle w:val="RefItem"/>
        <w:tabs>
          <w:tab w:val="left" w:pos="460"/>
        </w:tabs>
      </w:pPr>
      <w:r>
        <w:rPr>
          <w:rFonts w:ascii="Georgia" w:cs="Georgia" w:eastAsia="Georgia" w:hAnsi="Georgia"/>
          <w:color w:val="1A1A1A"/>
          <w:sz w:val="18"/>
          <w:szCs w:val="18"/>
        </w:rPr>
        <w:t xml:space="preserve">[79]</w:t>
      </w:r>
      <w:r>
        <w:rPr>
          <w:sz w:val="18"/>
          <w:szCs w:val="18"/>
        </w:rPr>
        <w:t xml:space="preserve">	</w:t>
      </w:r>
      <w:r>
        <w:rPr>
          <w:rFonts w:ascii="Georgia" w:cs="Georgia" w:eastAsia="Georgia" w:hAnsi="Georgia"/>
          <w:color w:val="1A1A1A"/>
          <w:sz w:val="18"/>
          <w:szCs w:val="18"/>
        </w:rPr>
        <w:t xml:space="preserve">“Blockchain-based demand-side management in microgrids,” Frontiers in Energy Research, 2024, doi: 10.3389/fenrg.2024.1450988.</w:t>
      </w:r>
    </w:p>
    <w:p>
      <w:pPr>
        <w:pStyle w:val="RefItem"/>
        <w:tabs>
          <w:tab w:val="left" w:pos="460"/>
        </w:tabs>
      </w:pPr>
      <w:r>
        <w:rPr>
          <w:rFonts w:ascii="Georgia" w:cs="Georgia" w:eastAsia="Georgia" w:hAnsi="Georgia"/>
          <w:color w:val="1A1A1A"/>
          <w:sz w:val="18"/>
          <w:szCs w:val="18"/>
        </w:rPr>
        <w:t xml:space="preserve">[80]</w:t>
      </w:r>
      <w:r>
        <w:rPr>
          <w:sz w:val="18"/>
          <w:szCs w:val="18"/>
        </w:rPr>
        <w:t xml:space="preserve">	</w:t>
      </w:r>
      <w:r>
        <w:rPr>
          <w:rFonts w:ascii="Georgia" w:cs="Georgia" w:eastAsia="Georgia" w:hAnsi="Georgia"/>
          <w:color w:val="1A1A1A"/>
          <w:sz w:val="18"/>
          <w:szCs w:val="18"/>
        </w:rPr>
        <w:t xml:space="preserve">“An IoT-based virtual prosumer model for distributed energy systems,” Energies, 2021, PMC8271852.</w:t>
      </w:r>
    </w:p>
    <w:p>
      <w:pPr>
        <w:pStyle w:val="RefItem"/>
        <w:tabs>
          <w:tab w:val="left" w:pos="460"/>
        </w:tabs>
      </w:pPr>
      <w:r>
        <w:rPr>
          <w:rFonts w:ascii="Georgia" w:cs="Georgia" w:eastAsia="Georgia" w:hAnsi="Georgia"/>
          <w:color w:val="1A1A1A"/>
          <w:sz w:val="18"/>
          <w:szCs w:val="18"/>
        </w:rPr>
        <w:t xml:space="preserve">[81]</w:t>
      </w:r>
      <w:r>
        <w:rPr>
          <w:sz w:val="18"/>
          <w:szCs w:val="18"/>
        </w:rPr>
        <w:t xml:space="preserve">	</w:t>
      </w:r>
      <w:r>
        <w:rPr>
          <w:rFonts w:ascii="Georgia" w:cs="Georgia" w:eastAsia="Georgia" w:hAnsi="Georgia"/>
          <w:color w:val="1A1A1A"/>
          <w:sz w:val="18"/>
          <w:szCs w:val="18"/>
        </w:rPr>
        <w:t xml:space="preserve">Y. Benkler, “Coase’s penguin, or Linux and The Nature of the Firm,” Yale Law Journal, vol. 112, no. 3, pp. 369–446, 2002, doi: 10.2307/1562247.</w:t>
      </w:r>
    </w:p>
    <w:p>
      <w:pPr>
        <w:pStyle w:val="RefItem"/>
        <w:tabs>
          <w:tab w:val="left" w:pos="460"/>
        </w:tabs>
      </w:pPr>
      <w:r>
        <w:rPr>
          <w:rFonts w:ascii="Georgia" w:cs="Georgia" w:eastAsia="Georgia" w:hAnsi="Georgia"/>
          <w:color w:val="1A1A1A"/>
          <w:sz w:val="18"/>
          <w:szCs w:val="18"/>
        </w:rPr>
        <w:t xml:space="preserve">[82]</w:t>
      </w:r>
      <w:r>
        <w:rPr>
          <w:sz w:val="18"/>
          <w:szCs w:val="18"/>
        </w:rPr>
        <w:t xml:space="preserve">	</w:t>
      </w:r>
      <w:r>
        <w:rPr>
          <w:rFonts w:ascii="Georgia" w:cs="Georgia" w:eastAsia="Georgia" w:hAnsi="Georgia"/>
          <w:color w:val="1A1A1A"/>
          <w:sz w:val="18"/>
          <w:szCs w:val="18"/>
        </w:rPr>
        <w:t xml:space="preserve">Y. Benkler, The Wealth of Networks: How Social Production Transforms Markets and Freedom. New Haven, CT: Yale University Press, 2006.</w:t>
      </w:r>
    </w:p>
    <w:p>
      <w:pPr>
        <w:pStyle w:val="RefItem"/>
        <w:tabs>
          <w:tab w:val="left" w:pos="460"/>
        </w:tabs>
      </w:pPr>
      <w:r>
        <w:rPr>
          <w:rFonts w:ascii="Georgia" w:cs="Georgia" w:eastAsia="Georgia" w:hAnsi="Georgia"/>
          <w:color w:val="1A1A1A"/>
          <w:sz w:val="18"/>
          <w:szCs w:val="18"/>
        </w:rPr>
        <w:t xml:space="preserve">[83]</w:t>
      </w:r>
      <w:r>
        <w:rPr>
          <w:sz w:val="18"/>
          <w:szCs w:val="18"/>
        </w:rPr>
        <w:t xml:space="preserve">	</w:t>
      </w:r>
      <w:r>
        <w:rPr>
          <w:rFonts w:ascii="Georgia" w:cs="Georgia" w:eastAsia="Georgia" w:hAnsi="Georgia"/>
          <w:color w:val="1A1A1A"/>
          <w:sz w:val="18"/>
          <w:szCs w:val="18"/>
        </w:rPr>
        <w:t xml:space="preserve">Y. Benkler and H. Nissenbaum, “Commons-based peer production and virtue,” Journal of Political Philosophy, vol. 14, no. 4, pp. 394–419, 2006, doi: 10.1111/j.1467-9760.2006.00235.x.</w:t>
      </w:r>
    </w:p>
    <w:p>
      <w:pPr>
        <w:pStyle w:val="RefItem"/>
        <w:tabs>
          <w:tab w:val="left" w:pos="460"/>
        </w:tabs>
      </w:pPr>
      <w:r>
        <w:rPr>
          <w:rFonts w:ascii="Georgia" w:cs="Georgia" w:eastAsia="Georgia" w:hAnsi="Georgia"/>
          <w:color w:val="1A1A1A"/>
          <w:sz w:val="18"/>
          <w:szCs w:val="18"/>
        </w:rPr>
        <w:t xml:space="preserve">[84]</w:t>
      </w:r>
      <w:r>
        <w:rPr>
          <w:sz w:val="18"/>
          <w:szCs w:val="18"/>
        </w:rPr>
        <w:t xml:space="preserve">	</w:t>
      </w:r>
      <w:r>
        <w:rPr>
          <w:rFonts w:ascii="Georgia" w:cs="Georgia" w:eastAsia="Georgia" w:hAnsi="Georgia"/>
          <w:color w:val="1A1A1A"/>
          <w:sz w:val="18"/>
          <w:szCs w:val="18"/>
        </w:rPr>
        <w:t xml:space="preserve">J. M. Pearce, “The case for open source appropriate technology,” Environment, Development and Sustainability, vol. 14, no. 3, pp. 425–431, 2012, doi: 10.1007/s10668-012-9337-9.</w:t>
      </w:r>
    </w:p>
    <w:p>
      <w:pPr>
        <w:pStyle w:val="RefItem"/>
        <w:tabs>
          <w:tab w:val="left" w:pos="460"/>
        </w:tabs>
      </w:pPr>
      <w:r>
        <w:rPr>
          <w:rFonts w:ascii="Georgia" w:cs="Georgia" w:eastAsia="Georgia" w:hAnsi="Georgia"/>
          <w:color w:val="1A1A1A"/>
          <w:sz w:val="18"/>
          <w:szCs w:val="18"/>
        </w:rPr>
        <w:t xml:space="preserve">[85]</w:t>
      </w:r>
      <w:r>
        <w:rPr>
          <w:sz w:val="18"/>
          <w:szCs w:val="18"/>
        </w:rPr>
        <w:t xml:space="preserve">	</w:t>
      </w:r>
      <w:r>
        <w:rPr>
          <w:rFonts w:ascii="Georgia" w:cs="Georgia" w:eastAsia="Georgia" w:hAnsi="Georgia"/>
          <w:color w:val="1A1A1A"/>
          <w:sz w:val="18"/>
          <w:szCs w:val="18"/>
        </w:rPr>
        <w:t xml:space="preserve">M. Logan, M. Safi, P. Lens, and C. Visvanathan, “Investigating the performance of internet of things based anaerobic digestion of food waste,” Process Safety and Environmental Protection, vol. 127, pp. 277–287, 2019, doi: 10.1016/j.psep.2019.05.025.</w:t>
      </w:r>
    </w:p>
    <w:p>
      <w:pPr>
        <w:pStyle w:val="RefItem"/>
        <w:tabs>
          <w:tab w:val="left" w:pos="460"/>
        </w:tabs>
      </w:pPr>
      <w:r>
        <w:rPr>
          <w:rFonts w:ascii="Georgia" w:cs="Georgia" w:eastAsia="Georgia" w:hAnsi="Georgia"/>
          <w:color w:val="1A1A1A"/>
          <w:sz w:val="18"/>
          <w:szCs w:val="18"/>
        </w:rPr>
        <w:t xml:space="preserve">[86]</w:t>
      </w:r>
      <w:r>
        <w:rPr>
          <w:sz w:val="18"/>
          <w:szCs w:val="18"/>
        </w:rPr>
        <w:t xml:space="preserve">	</w:t>
      </w:r>
      <w:r>
        <w:rPr>
          <w:rFonts w:ascii="Georgia" w:cs="Georgia" w:eastAsia="Georgia" w:hAnsi="Georgia"/>
          <w:color w:val="1A1A1A"/>
          <w:sz w:val="18"/>
          <w:szCs w:val="18"/>
        </w:rPr>
        <w:t xml:space="preserve">“Low-cost ESP32-based IoT monitoring of an anaerobic digestion reactor,” Applied Sciences, vol. 15, no. 1, art. 34, 2025, doi: 10.3390/app15010034.</w:t>
      </w:r>
    </w:p>
    <w:p>
      <w:pPr>
        <w:pStyle w:val="RefItem"/>
        <w:tabs>
          <w:tab w:val="left" w:pos="460"/>
        </w:tabs>
      </w:pPr>
      <w:r>
        <w:rPr>
          <w:rFonts w:ascii="Georgia" w:cs="Georgia" w:eastAsia="Georgia" w:hAnsi="Georgia"/>
          <w:color w:val="1A1A1A"/>
          <w:sz w:val="18"/>
          <w:szCs w:val="18"/>
        </w:rPr>
        <w:t xml:space="preserve">[87]</w:t>
      </w:r>
      <w:r>
        <w:rPr>
          <w:sz w:val="18"/>
          <w:szCs w:val="18"/>
        </w:rPr>
        <w:t xml:space="preserve">	</w:t>
      </w:r>
      <w:r>
        <w:rPr>
          <w:rFonts w:ascii="Georgia" w:cs="Georgia" w:eastAsia="Georgia" w:hAnsi="Georgia"/>
          <w:color w:val="1A1A1A"/>
          <w:sz w:val="18"/>
          <w:szCs w:val="18"/>
        </w:rPr>
        <w:t xml:space="preserve">“An upgraded ADM1-based digital twin with H2S and O2 kinetics for co-digestion,” Bioresource Technology, 2021 (S096085242101186X).</w:t>
      </w:r>
    </w:p>
    <w:p>
      <w:pPr>
        <w:pStyle w:val="RefItem"/>
        <w:tabs>
          <w:tab w:val="left" w:pos="460"/>
        </w:tabs>
      </w:pPr>
      <w:r>
        <w:rPr>
          <w:rFonts w:ascii="Georgia" w:cs="Georgia" w:eastAsia="Georgia" w:hAnsi="Georgia"/>
          <w:color w:val="1A1A1A"/>
          <w:sz w:val="18"/>
          <w:szCs w:val="18"/>
        </w:rPr>
        <w:t xml:space="preserve">[88]</w:t>
      </w:r>
      <w:r>
        <w:rPr>
          <w:sz w:val="18"/>
          <w:szCs w:val="18"/>
        </w:rPr>
        <w:t xml:space="preserve">	</w:t>
      </w:r>
      <w:r>
        <w:rPr>
          <w:rFonts w:ascii="Georgia" w:cs="Georgia" w:eastAsia="Georgia" w:hAnsi="Georgia"/>
          <w:color w:val="1A1A1A"/>
          <w:sz w:val="18"/>
          <w:szCs w:val="18"/>
        </w:rPr>
        <w:t xml:space="preserve">“Digital twins in bioprocessing: A systematic review,” Computers &amp; Chemical Engineering / ScienceDirect, 2025 (S1359511325001758).</w:t>
      </w:r>
    </w:p>
    <w:p>
      <w:pPr>
        <w:pStyle w:val="RefItem"/>
        <w:tabs>
          <w:tab w:val="left" w:pos="460"/>
        </w:tabs>
      </w:pPr>
      <w:r>
        <w:rPr>
          <w:rFonts w:ascii="Georgia" w:cs="Georgia" w:eastAsia="Georgia" w:hAnsi="Georgia"/>
          <w:color w:val="1A1A1A"/>
          <w:sz w:val="18"/>
          <w:szCs w:val="18"/>
        </w:rPr>
        <w:t xml:space="preserve">[89]</w:t>
      </w:r>
      <w:r>
        <w:rPr>
          <w:sz w:val="18"/>
          <w:szCs w:val="18"/>
        </w:rPr>
        <w:t xml:space="preserve">	</w:t>
      </w:r>
      <w:r>
        <w:rPr>
          <w:rFonts w:ascii="Georgia" w:cs="Georgia" w:eastAsia="Georgia" w:hAnsi="Georgia"/>
          <w:color w:val="1A1A1A"/>
          <w:sz w:val="18"/>
          <w:szCs w:val="18"/>
        </w:rPr>
        <w:t xml:space="preserve">A. Bozorgi et al., “A digital twin framework for bioprocess development using IoT sensor data,” in Proc. Int. Conf. on Bioprocess Engineering, Springer, 2025, doi: 10.1007/978-3-031-90746-3_12.</w:t>
      </w:r>
    </w:p>
    <w:p>
      <w:pPr>
        <w:pStyle w:val="RefItem"/>
        <w:tabs>
          <w:tab w:val="left" w:pos="460"/>
        </w:tabs>
      </w:pPr>
      <w:r>
        <w:rPr>
          <w:rFonts w:ascii="Georgia" w:cs="Georgia" w:eastAsia="Georgia" w:hAnsi="Georgia"/>
          <w:color w:val="1A1A1A"/>
          <w:sz w:val="18"/>
          <w:szCs w:val="18"/>
        </w:rPr>
        <w:t xml:space="preserve">[90]</w:t>
      </w:r>
      <w:r>
        <w:rPr>
          <w:sz w:val="18"/>
          <w:szCs w:val="18"/>
        </w:rPr>
        <w:t xml:space="preserve">	</w:t>
      </w:r>
      <w:r>
        <w:rPr>
          <w:rFonts w:ascii="Georgia" w:cs="Georgia" w:eastAsia="Georgia" w:hAnsi="Georgia"/>
          <w:color w:val="1A1A1A"/>
          <w:sz w:val="18"/>
          <w:szCs w:val="18"/>
        </w:rPr>
        <w:t xml:space="preserve">“Machine learning prediction of biomethane potential using gradient boosting,” World Journal of Advanced Engineering Technology and Sciences, vol. 17, no. 3, 2025, doi: 10.30574/wjaets.2025.17.3.1546.</w:t>
      </w:r>
    </w:p>
    <w:p>
      <w:pPr>
        <w:pStyle w:val="RefItem"/>
        <w:tabs>
          <w:tab w:val="left" w:pos="460"/>
        </w:tabs>
      </w:pPr>
      <w:r>
        <w:rPr>
          <w:rFonts w:ascii="Georgia" w:cs="Georgia" w:eastAsia="Georgia" w:hAnsi="Georgia"/>
          <w:color w:val="1A1A1A"/>
          <w:sz w:val="18"/>
          <w:szCs w:val="18"/>
        </w:rPr>
        <w:t xml:space="preserve">[91]</w:t>
      </w:r>
      <w:r>
        <w:rPr>
          <w:sz w:val="18"/>
          <w:szCs w:val="18"/>
        </w:rPr>
        <w:t xml:space="preserve">	</w:t>
      </w:r>
      <w:r>
        <w:rPr>
          <w:rFonts w:ascii="Georgia" w:cs="Georgia" w:eastAsia="Georgia" w:hAnsi="Georgia"/>
          <w:color w:val="1A1A1A"/>
          <w:sz w:val="18"/>
          <w:szCs w:val="18"/>
        </w:rPr>
        <w:t xml:space="preserve">“Support vector regression with recursive feature elimination for anaerobic co-digestion methane prediction,” Bioresource Technology, 2024 (S0960852424004966).</w:t>
      </w:r>
    </w:p>
    <w:p>
      <w:pPr>
        <w:pStyle w:val="RefItem"/>
        <w:tabs>
          <w:tab w:val="left" w:pos="460"/>
        </w:tabs>
      </w:pPr>
      <w:r>
        <w:rPr>
          <w:rFonts w:ascii="Georgia" w:cs="Georgia" w:eastAsia="Georgia" w:hAnsi="Georgia"/>
          <w:color w:val="1A1A1A"/>
          <w:sz w:val="18"/>
          <w:szCs w:val="18"/>
        </w:rPr>
        <w:t xml:space="preserve">[92]</w:t>
      </w:r>
      <w:r>
        <w:rPr>
          <w:sz w:val="18"/>
          <w:szCs w:val="18"/>
        </w:rPr>
        <w:t xml:space="preserve">	</w:t>
      </w:r>
      <w:r>
        <w:rPr>
          <w:rFonts w:ascii="Georgia" w:cs="Georgia" w:eastAsia="Georgia" w:hAnsi="Georgia"/>
          <w:color w:val="1A1A1A"/>
          <w:sz w:val="18"/>
          <w:szCs w:val="18"/>
        </w:rPr>
        <w:t xml:space="preserve">“Random-forest prediction of methane yield from anaerobic digestion,” Energy, 2022 (S0360544222027694).</w:t>
      </w:r>
    </w:p>
    <w:p>
      <w:pPr>
        <w:pStyle w:val="RefItem"/>
        <w:tabs>
          <w:tab w:val="left" w:pos="460"/>
        </w:tabs>
      </w:pPr>
      <w:r>
        <w:rPr>
          <w:rFonts w:ascii="Georgia" w:cs="Georgia" w:eastAsia="Georgia" w:hAnsi="Georgia"/>
          <w:color w:val="1A1A1A"/>
          <w:sz w:val="18"/>
          <w:szCs w:val="18"/>
        </w:rPr>
        <w:t xml:space="preserve">[93]</w:t>
      </w:r>
      <w:r>
        <w:rPr>
          <w:sz w:val="18"/>
          <w:szCs w:val="18"/>
        </w:rPr>
        <w:t xml:space="preserve">	</w:t>
      </w:r>
      <w:r>
        <w:rPr>
          <w:rFonts w:ascii="Georgia" w:cs="Georgia" w:eastAsia="Georgia" w:hAnsi="Georgia"/>
          <w:color w:val="1A1A1A"/>
          <w:sz w:val="18"/>
          <w:szCs w:val="18"/>
        </w:rPr>
        <w:t xml:space="preserve">“Data-driven surrogate modeling of anaerobic digestion vs. ADM1 under limited data,” Bioresource Technology Reports, 2024, PMC12874345.</w:t>
      </w:r>
    </w:p>
    <w:p>
      <w:pPr>
        <w:pStyle w:val="RefItem"/>
        <w:tabs>
          <w:tab w:val="left" w:pos="460"/>
        </w:tabs>
      </w:pPr>
      <w:r>
        <w:rPr>
          <w:rFonts w:ascii="Georgia" w:cs="Georgia" w:eastAsia="Georgia" w:hAnsi="Georgia"/>
          <w:color w:val="1A1A1A"/>
          <w:sz w:val="18"/>
          <w:szCs w:val="18"/>
        </w:rPr>
        <w:t xml:space="preserve">[94]</w:t>
      </w:r>
      <w:r>
        <w:rPr>
          <w:sz w:val="18"/>
          <w:szCs w:val="18"/>
        </w:rPr>
        <w:t xml:space="preserve">	</w:t>
      </w:r>
      <w:r>
        <w:rPr>
          <w:rFonts w:ascii="Georgia" w:cs="Georgia" w:eastAsia="Georgia" w:hAnsi="Georgia"/>
          <w:color w:val="1A1A1A"/>
          <w:sz w:val="18"/>
          <w:szCs w:val="18"/>
        </w:rPr>
        <w:t xml:space="preserve">S. Hamburg et al., “Decentralized science (DeSci): Definition, shared values, and guiding principles,” Frontiers in Blockchain, vol. 7, art. 1375763, 2024, doi: 10.3389/fbloc.2024.1375763.</w:t>
      </w:r>
    </w:p>
    <w:p>
      <w:pPr>
        <w:pStyle w:val="RefItem"/>
        <w:tabs>
          <w:tab w:val="left" w:pos="460"/>
        </w:tabs>
      </w:pPr>
      <w:r>
        <w:rPr>
          <w:rFonts w:ascii="Georgia" w:cs="Georgia" w:eastAsia="Georgia" w:hAnsi="Georgia"/>
          <w:color w:val="1A1A1A"/>
          <w:sz w:val="18"/>
          <w:szCs w:val="18"/>
        </w:rPr>
        <w:t xml:space="preserve">[95]</w:t>
      </w:r>
      <w:r>
        <w:rPr>
          <w:sz w:val="18"/>
          <w:szCs w:val="18"/>
        </w:rPr>
        <w:t xml:space="preserve">	</w:t>
      </w:r>
      <w:r>
        <w:rPr>
          <w:rFonts w:ascii="Georgia" w:cs="Georgia" w:eastAsia="Georgia" w:hAnsi="Georgia"/>
          <w:color w:val="1A1A1A"/>
          <w:sz w:val="18"/>
          <w:szCs w:val="18"/>
        </w:rPr>
        <w:t xml:space="preserve">“Designing a token economy: Incentives, governance, and tokenomics,” arXiv:2602.09608, 2026.</w:t>
      </w:r>
    </w:p>
    <w:p>
      <w:pPr>
        <w:pStyle w:val="RefItem"/>
        <w:tabs>
          <w:tab w:val="left" w:pos="460"/>
        </w:tabs>
      </w:pPr>
      <w:r>
        <w:rPr>
          <w:rFonts w:ascii="Georgia" w:cs="Georgia" w:eastAsia="Georgia" w:hAnsi="Georgia"/>
          <w:color w:val="1A1A1A"/>
          <w:sz w:val="18"/>
          <w:szCs w:val="18"/>
        </w:rPr>
        <w:t xml:space="preserve">[96]</w:t>
      </w:r>
      <w:r>
        <w:rPr>
          <w:sz w:val="18"/>
          <w:szCs w:val="18"/>
        </w:rPr>
        <w:t xml:space="preserve">	</w:t>
      </w:r>
      <w:r>
        <w:rPr>
          <w:rFonts w:ascii="Georgia" w:cs="Georgia" w:eastAsia="Georgia" w:hAnsi="Georgia"/>
          <w:color w:val="1A1A1A"/>
          <w:sz w:val="18"/>
          <w:szCs w:val="18"/>
        </w:rPr>
        <w:t xml:space="preserve">B. Nasrulin, G. Ishmaev, and J. Pouwelse, “MeritRank: Sybil-tolerant reputation for merit-based tokenomics,” arXiv:2207.09950, 2022.</w:t>
      </w:r>
    </w:p>
    <w:p>
      <w:pPr>
        <w:pStyle w:val="RefItem"/>
        <w:tabs>
          <w:tab w:val="left" w:pos="460"/>
        </w:tabs>
      </w:pPr>
      <w:r>
        <w:rPr>
          <w:rFonts w:ascii="Georgia" w:cs="Georgia" w:eastAsia="Georgia" w:hAnsi="Georgia"/>
          <w:color w:val="1A1A1A"/>
          <w:sz w:val="18"/>
          <w:szCs w:val="18"/>
        </w:rPr>
        <w:t xml:space="preserve">[97]</w:t>
      </w:r>
      <w:r>
        <w:rPr>
          <w:sz w:val="18"/>
          <w:szCs w:val="18"/>
        </w:rPr>
        <w:t xml:space="preserve">	</w:t>
      </w:r>
      <w:r>
        <w:rPr>
          <w:rFonts w:ascii="Georgia" w:cs="Georgia" w:eastAsia="Georgia" w:hAnsi="Georgia"/>
          <w:color w:val="1A1A1A"/>
          <w:sz w:val="18"/>
          <w:szCs w:val="18"/>
        </w:rPr>
        <w:t xml:space="preserve">K. R. Lakhani, L. B. Jeppesen, P. A. Lohse, and J. A. Panetta, “The value of openness in scientific problem solving,” Harvard Business School Working Paper 07-050, 2007.</w:t>
      </w:r>
    </w:p>
    <w:p>
      <w:pPr>
        <w:pStyle w:val="RefItem"/>
        <w:tabs>
          <w:tab w:val="left" w:pos="460"/>
        </w:tabs>
      </w:pPr>
      <w:r>
        <w:rPr>
          <w:rFonts w:ascii="Georgia" w:cs="Georgia" w:eastAsia="Georgia" w:hAnsi="Georgia"/>
          <w:color w:val="1A1A1A"/>
          <w:sz w:val="18"/>
          <w:szCs w:val="18"/>
        </w:rPr>
        <w:t xml:space="preserve">[98]</w:t>
      </w:r>
      <w:r>
        <w:rPr>
          <w:sz w:val="18"/>
          <w:szCs w:val="18"/>
        </w:rPr>
        <w:t xml:space="preserve">	</w:t>
      </w:r>
      <w:r>
        <w:rPr>
          <w:rFonts w:ascii="Georgia" w:cs="Georgia" w:eastAsia="Georgia" w:hAnsi="Georgia"/>
          <w:color w:val="1A1A1A"/>
          <w:sz w:val="18"/>
          <w:szCs w:val="18"/>
        </w:rPr>
        <w:t xml:space="preserve">L. B. Jeppesen and K. R. Lakhani, “Marginality and problem-solving effectiveness in broadcast search,” Organization Science, vol. 21, no. 5, pp. 1016–1033, 2010, doi: 10.1287/orsc.1090.0491.</w:t>
      </w:r>
    </w:p>
    <w:p>
      <w:pPr>
        <w:pStyle w:val="RefItem"/>
        <w:tabs>
          <w:tab w:val="left" w:pos="460"/>
        </w:tabs>
      </w:pPr>
      <w:r>
        <w:rPr>
          <w:rFonts w:ascii="Georgia" w:cs="Georgia" w:eastAsia="Georgia" w:hAnsi="Georgia"/>
          <w:color w:val="1A1A1A"/>
          <w:sz w:val="18"/>
          <w:szCs w:val="18"/>
        </w:rPr>
        <w:t xml:space="preserve">[99]</w:t>
      </w:r>
      <w:r>
        <w:rPr>
          <w:sz w:val="18"/>
          <w:szCs w:val="18"/>
        </w:rPr>
        <w:t xml:space="preserve">	</w:t>
      </w:r>
      <w:r>
        <w:rPr>
          <w:rFonts w:ascii="Georgia" w:cs="Georgia" w:eastAsia="Georgia" w:hAnsi="Georgia"/>
          <w:color w:val="1A1A1A"/>
          <w:sz w:val="18"/>
          <w:szCs w:val="18"/>
        </w:rPr>
        <w:t xml:space="preserve">S. Cooper et al., “Predicting protein structures with a multiplayer online game,” Nature, vol. 466, pp. 756–760, 2010, doi: 10.1038/nature09304.</w:t>
      </w:r>
    </w:p>
    <w:p>
      <w:pPr>
        <w:pStyle w:val="RefItem"/>
        <w:tabs>
          <w:tab w:val="left" w:pos="460"/>
        </w:tabs>
      </w:pPr>
      <w:r>
        <w:rPr>
          <w:rFonts w:ascii="Georgia" w:cs="Georgia" w:eastAsia="Georgia" w:hAnsi="Georgia"/>
          <w:color w:val="1A1A1A"/>
          <w:sz w:val="18"/>
          <w:szCs w:val="18"/>
        </w:rPr>
        <w:t xml:space="preserve">[100]</w:t>
      </w:r>
      <w:r>
        <w:rPr>
          <w:sz w:val="18"/>
          <w:szCs w:val="18"/>
        </w:rPr>
        <w:t xml:space="preserve">	</w:t>
      </w:r>
      <w:r>
        <w:rPr>
          <w:rFonts w:ascii="Georgia" w:cs="Georgia" w:eastAsia="Georgia" w:hAnsi="Georgia"/>
          <w:color w:val="1A1A1A"/>
          <w:sz w:val="18"/>
          <w:szCs w:val="18"/>
        </w:rPr>
        <w:t xml:space="preserve">B. Koepnick et al., “De novo protein design by citizen scientists,” Nature, vol. 570, pp. 390–394, 2019, doi: 10.1038/s41586-019-1274-4.</w:t>
      </w:r>
    </w:p>
    <w:p>
      <w:pPr>
        <w:pStyle w:val="RefItem"/>
        <w:tabs>
          <w:tab w:val="left" w:pos="460"/>
        </w:tabs>
      </w:pPr>
      <w:r>
        <w:rPr>
          <w:rFonts w:ascii="Georgia" w:cs="Georgia" w:eastAsia="Georgia" w:hAnsi="Georgia"/>
          <w:color w:val="1A1A1A"/>
          <w:sz w:val="18"/>
          <w:szCs w:val="18"/>
        </w:rPr>
        <w:t xml:space="preserve">[101]</w:t>
      </w:r>
      <w:r>
        <w:rPr>
          <w:sz w:val="18"/>
          <w:szCs w:val="18"/>
        </w:rPr>
        <w:t xml:space="preserve">	</w:t>
      </w:r>
      <w:r>
        <w:rPr>
          <w:rFonts w:ascii="Georgia" w:cs="Georgia" w:eastAsia="Georgia" w:hAnsi="Georgia"/>
          <w:color w:val="1A1A1A"/>
          <w:sz w:val="18"/>
          <w:szCs w:val="18"/>
        </w:rPr>
        <w:t xml:space="preserve">C. J. Lintott et al., “Galaxy Zoo: Morphologies derived from visual inspection of galaxies from the Sloan Digital Sky Survey,” Monthly Notices of the Royal Astronomical Society, vol. 389, no. 3, pp. 1179–1189, 2008, doi: 10.1111/j.1365-2966.2008.13689.x.</w:t>
      </w:r>
    </w:p>
    <w:p>
      <w:pPr>
        <w:pStyle w:val="RefItem"/>
        <w:tabs>
          <w:tab w:val="left" w:pos="460"/>
        </w:tabs>
      </w:pPr>
      <w:r>
        <w:rPr>
          <w:rFonts w:ascii="Georgia" w:cs="Georgia" w:eastAsia="Georgia" w:hAnsi="Georgia"/>
          <w:color w:val="1A1A1A"/>
          <w:sz w:val="18"/>
          <w:szCs w:val="18"/>
        </w:rPr>
        <w:t xml:space="preserve">[102]</w:t>
      </w:r>
      <w:r>
        <w:rPr>
          <w:sz w:val="18"/>
          <w:szCs w:val="18"/>
        </w:rPr>
        <w:t xml:space="preserve">	</w:t>
      </w:r>
      <w:r>
        <w:rPr>
          <w:rFonts w:ascii="Georgia" w:cs="Georgia" w:eastAsia="Georgia" w:hAnsi="Georgia"/>
          <w:color w:val="1A1A1A"/>
          <w:sz w:val="18"/>
          <w:szCs w:val="18"/>
        </w:rPr>
        <w:t xml:space="preserve">K. J. Boudreau, N. Lacetera, and K. R. Lakhani, “Incentives and problem uncertainty in innovation contests: An empirical analysis,” Management Science, vol. 57, no. 5, pp. 843–863, 2011, doi: 10.1287/mnsc.1110.1322.</w:t>
      </w:r>
    </w:p>
    <w:p>
      <w:pPr>
        <w:pStyle w:val="RefItem"/>
        <w:tabs>
          <w:tab w:val="left" w:pos="460"/>
        </w:tabs>
      </w:pPr>
      <w:r>
        <w:rPr>
          <w:rFonts w:ascii="Georgia" w:cs="Georgia" w:eastAsia="Georgia" w:hAnsi="Georgia"/>
          <w:color w:val="1A1A1A"/>
          <w:sz w:val="18"/>
          <w:szCs w:val="18"/>
        </w:rPr>
        <w:t xml:space="preserve">[103]</w:t>
      </w:r>
      <w:r>
        <w:rPr>
          <w:sz w:val="18"/>
          <w:szCs w:val="18"/>
        </w:rPr>
        <w:t xml:space="preserve">	</w:t>
      </w:r>
      <w:r>
        <w:rPr>
          <w:rFonts w:ascii="Georgia" w:cs="Georgia" w:eastAsia="Georgia" w:hAnsi="Georgia"/>
          <w:color w:val="1A1A1A"/>
          <w:sz w:val="18"/>
          <w:szCs w:val="18"/>
        </w:rPr>
        <w:t xml:space="preserve">M. Kosmala, A. Wiggins, A. Swanson, and B. Simmons, “Assessing data quality in citizen science,” Frontiers in Ecology and the Environment, vol. 14, no. 10, pp. 551–560, 2016, doi: 10.1002/fee.1436.</w:t>
      </w:r>
    </w:p>
    <w:p>
      <w:pPr>
        <w:pStyle w:val="RefItem"/>
        <w:tabs>
          <w:tab w:val="left" w:pos="460"/>
        </w:tabs>
      </w:pPr>
      <w:r>
        <w:rPr>
          <w:rFonts w:ascii="Georgia" w:cs="Georgia" w:eastAsia="Georgia" w:hAnsi="Georgia"/>
          <w:color w:val="1A1A1A"/>
          <w:sz w:val="18"/>
          <w:szCs w:val="18"/>
        </w:rPr>
        <w:t xml:space="preserve">[104]</w:t>
      </w:r>
      <w:r>
        <w:rPr>
          <w:sz w:val="18"/>
          <w:szCs w:val="18"/>
        </w:rPr>
        <w:t xml:space="preserve">	</w:t>
      </w:r>
      <w:r>
        <w:rPr>
          <w:rFonts w:ascii="Georgia" w:cs="Georgia" w:eastAsia="Georgia" w:hAnsi="Georgia"/>
          <w:color w:val="1A1A1A"/>
          <w:sz w:val="18"/>
          <w:szCs w:val="18"/>
        </w:rPr>
        <w:t xml:space="preserve">E. Aceves-Bueno et al., “The accuracy of citizen science data: A quantitative review,” Bulletin of the Ecological Society of America, vol. 98, no. 4, pp. 278–290, 2017, doi: 10.1002/bes2.1336.</w:t>
      </w:r>
    </w:p>
    <w:p>
      <w:pPr>
        <w:pStyle w:val="RefItem"/>
        <w:tabs>
          <w:tab w:val="left" w:pos="460"/>
        </w:tabs>
      </w:pPr>
      <w:r>
        <w:rPr>
          <w:rFonts w:ascii="Georgia" w:cs="Georgia" w:eastAsia="Georgia" w:hAnsi="Georgia"/>
          <w:color w:val="1A1A1A"/>
          <w:sz w:val="18"/>
          <w:szCs w:val="18"/>
        </w:rPr>
        <w:t xml:space="preserve">[105]</w:t>
      </w:r>
      <w:r>
        <w:rPr>
          <w:sz w:val="18"/>
          <w:szCs w:val="18"/>
        </w:rPr>
        <w:t xml:space="preserve">	</w:t>
      </w:r>
      <w:r>
        <w:rPr>
          <w:rFonts w:ascii="Georgia" w:cs="Georgia" w:eastAsia="Georgia" w:hAnsi="Georgia"/>
          <w:color w:val="1A1A1A"/>
          <w:sz w:val="18"/>
          <w:szCs w:val="18"/>
        </w:rPr>
        <w:t xml:space="preserve">National Fire Protection Association, NFPA 30: Flammable and Combustible Liquids Code, Quincy, MA, 2021.</w:t>
      </w:r>
    </w:p>
    <w:p>
      <w:pPr>
        <w:pStyle w:val="RefItem"/>
        <w:tabs>
          <w:tab w:val="left" w:pos="460"/>
        </w:tabs>
      </w:pPr>
      <w:r>
        <w:rPr>
          <w:rFonts w:ascii="Georgia" w:cs="Georgia" w:eastAsia="Georgia" w:hAnsi="Georgia"/>
          <w:color w:val="1A1A1A"/>
          <w:sz w:val="18"/>
          <w:szCs w:val="18"/>
        </w:rPr>
        <w:t xml:space="preserve">[106]</w:t>
      </w:r>
      <w:r>
        <w:rPr>
          <w:sz w:val="18"/>
          <w:szCs w:val="18"/>
        </w:rPr>
        <w:t xml:space="preserve">	</w:t>
      </w:r>
      <w:r>
        <w:rPr>
          <w:rFonts w:ascii="Georgia" w:cs="Georgia" w:eastAsia="Georgia" w:hAnsi="Georgia"/>
          <w:color w:val="1A1A1A"/>
          <w:sz w:val="18"/>
          <w:szCs w:val="18"/>
        </w:rPr>
        <w:t xml:space="preserve">National Fire Protection Association, NFPA 497: Recommended Practice for the Classification of Flammable Liquids, Gases, or Vapors and of Hazardous (Classified) Locations for Electrical Installations in Chemical Process Areas, Quincy, MA, 2021.</w:t>
      </w:r>
    </w:p>
    <w:p>
      <w:pPr>
        <w:pStyle w:val="RefItem"/>
        <w:tabs>
          <w:tab w:val="left" w:pos="460"/>
        </w:tabs>
      </w:pPr>
      <w:r>
        <w:rPr>
          <w:rFonts w:ascii="Georgia" w:cs="Georgia" w:eastAsia="Georgia" w:hAnsi="Georgia"/>
          <w:color w:val="1A1A1A"/>
          <w:sz w:val="18"/>
          <w:szCs w:val="18"/>
        </w:rPr>
        <w:t xml:space="preserve">[107]</w:t>
      </w:r>
      <w:r>
        <w:rPr>
          <w:sz w:val="18"/>
          <w:szCs w:val="18"/>
        </w:rPr>
        <w:t xml:space="preserve">	</w:t>
      </w:r>
      <w:r>
        <w:rPr>
          <w:rFonts w:ascii="Georgia" w:cs="Georgia" w:eastAsia="Georgia" w:hAnsi="Georgia"/>
          <w:color w:val="1A1A1A"/>
          <w:sz w:val="18"/>
          <w:szCs w:val="18"/>
        </w:rPr>
        <w:t xml:space="preserve">International Electrotechnical Commission, IEC 61508: Functional Safety of Electrical/Electronic/Programmable Electronic Safety-related Systems, Geneva, 2010.</w:t>
      </w:r>
    </w:p>
    <w:p>
      <w:pPr>
        <w:pStyle w:val="RefItem"/>
        <w:tabs>
          <w:tab w:val="left" w:pos="460"/>
        </w:tabs>
      </w:pPr>
      <w:r>
        <w:rPr>
          <w:rFonts w:ascii="Georgia" w:cs="Georgia" w:eastAsia="Georgia" w:hAnsi="Georgia"/>
          <w:color w:val="1A1A1A"/>
          <w:sz w:val="18"/>
          <w:szCs w:val="18"/>
        </w:rPr>
        <w:t xml:space="preserve">[108]</w:t>
      </w:r>
      <w:r>
        <w:rPr>
          <w:sz w:val="18"/>
          <w:szCs w:val="18"/>
        </w:rPr>
        <w:t xml:space="preserve">	</w:t>
      </w:r>
      <w:r>
        <w:rPr>
          <w:rFonts w:ascii="Georgia" w:cs="Georgia" w:eastAsia="Georgia" w:hAnsi="Georgia"/>
          <w:color w:val="1A1A1A"/>
          <w:sz w:val="18"/>
          <w:szCs w:val="18"/>
        </w:rPr>
        <w:t xml:space="preserve">International Electrotechnical Commission, IEC 61511: Functional Safety — Safety Instrumented Systems for the Process Industry Sector, Geneva, 2016.</w:t>
      </w:r>
    </w:p>
    <w:p>
      <w:pPr>
        <w:pStyle w:val="RefItem"/>
        <w:tabs>
          <w:tab w:val="left" w:pos="460"/>
        </w:tabs>
      </w:pPr>
      <w:r>
        <w:rPr>
          <w:rFonts w:ascii="Georgia" w:cs="Georgia" w:eastAsia="Georgia" w:hAnsi="Georgia"/>
          <w:color w:val="1A1A1A"/>
          <w:sz w:val="18"/>
          <w:szCs w:val="18"/>
        </w:rPr>
        <w:t xml:space="preserve">[109]</w:t>
      </w:r>
      <w:r>
        <w:rPr>
          <w:sz w:val="18"/>
          <w:szCs w:val="18"/>
        </w:rPr>
        <w:t xml:space="preserve">	</w:t>
      </w:r>
      <w:r>
        <w:rPr>
          <w:rFonts w:ascii="Georgia" w:cs="Georgia" w:eastAsia="Georgia" w:hAnsi="Georgia"/>
          <w:color w:val="1A1A1A"/>
          <w:sz w:val="18"/>
          <w:szCs w:val="18"/>
        </w:rPr>
        <w:t xml:space="preserve">Center for Chemical Process Safety, Layer of Protection Analysis: Simplified Process Risk Assessment. New York: AIChE, 2001.</w:t>
      </w:r>
    </w:p>
    <w:p>
      <w:pPr>
        <w:pStyle w:val="RefItem"/>
        <w:tabs>
          <w:tab w:val="left" w:pos="460"/>
        </w:tabs>
      </w:pPr>
      <w:r>
        <w:rPr>
          <w:rFonts w:ascii="Georgia" w:cs="Georgia" w:eastAsia="Georgia" w:hAnsi="Georgia"/>
          <w:color w:val="1A1A1A"/>
          <w:sz w:val="18"/>
          <w:szCs w:val="18"/>
        </w:rPr>
        <w:t xml:space="preserve">[110]</w:t>
      </w:r>
      <w:r>
        <w:rPr>
          <w:sz w:val="18"/>
          <w:szCs w:val="18"/>
        </w:rPr>
        <w:t xml:space="preserve">	</w:t>
      </w:r>
      <w:r>
        <w:rPr>
          <w:rFonts w:ascii="Georgia" w:cs="Georgia" w:eastAsia="Georgia" w:hAnsi="Georgia"/>
          <w:color w:val="1A1A1A"/>
          <w:sz w:val="18"/>
          <w:szCs w:val="18"/>
        </w:rPr>
        <w:t xml:space="preserve">International Electrotechnical Commission, IEC 60079-10-1: Explosive Atmospheres — Classification of Areas, Geneva, 2020.</w:t>
      </w:r>
    </w:p>
    <w:p>
      <w:pPr>
        <w:pStyle w:val="RefItem"/>
        <w:tabs>
          <w:tab w:val="left" w:pos="460"/>
        </w:tabs>
      </w:pPr>
      <w:r>
        <w:rPr>
          <w:rFonts w:ascii="Georgia" w:cs="Georgia" w:eastAsia="Georgia" w:hAnsi="Georgia"/>
          <w:color w:val="1A1A1A"/>
          <w:sz w:val="18"/>
          <w:szCs w:val="18"/>
        </w:rPr>
        <w:t xml:space="preserve">[111]</w:t>
      </w:r>
      <w:r>
        <w:rPr>
          <w:sz w:val="18"/>
          <w:szCs w:val="18"/>
        </w:rPr>
        <w:t xml:space="preserve">	</w:t>
      </w:r>
      <w:r>
        <w:rPr>
          <w:rFonts w:ascii="Georgia" w:cs="Georgia" w:eastAsia="Georgia" w:hAnsi="Georgia"/>
          <w:color w:val="1A1A1A"/>
          <w:sz w:val="18"/>
          <w:szCs w:val="18"/>
        </w:rPr>
        <w:t xml:space="preserve">European Union, Directive 2014/34/EU (ATEX) on equipment and protective systems intended for use in potentially explosive atmospheres, Brussels, 2014.</w:t>
      </w:r>
    </w:p>
    <w:p>
      <w:pPr>
        <w:pStyle w:val="RefItem"/>
        <w:tabs>
          <w:tab w:val="left" w:pos="460"/>
        </w:tabs>
      </w:pPr>
      <w:r>
        <w:rPr>
          <w:rFonts w:ascii="Georgia" w:cs="Georgia" w:eastAsia="Georgia" w:hAnsi="Georgia"/>
          <w:color w:val="1A1A1A"/>
          <w:sz w:val="18"/>
          <w:szCs w:val="18"/>
        </w:rPr>
        <w:t xml:space="preserve">[112]</w:t>
      </w:r>
      <w:r>
        <w:rPr>
          <w:sz w:val="18"/>
          <w:szCs w:val="18"/>
        </w:rPr>
        <w:t xml:space="preserve">	</w:t>
      </w:r>
      <w:r>
        <w:rPr>
          <w:rFonts w:ascii="Georgia" w:cs="Georgia" w:eastAsia="Georgia" w:hAnsi="Georgia"/>
          <w:color w:val="1A1A1A"/>
          <w:sz w:val="18"/>
          <w:szCs w:val="18"/>
        </w:rPr>
        <w:t xml:space="preserve">National Oceanic and Atmospheric Administration, CAMEO Chemicals: Methanol Datasheet (citing U.S. Coast Guard CHRIS Manual, 1999), 2023. [Online]. Available: https://cameochemicals.noaa.gov</w:t>
      </w:r>
    </w:p>
    <w:p>
      <w:pPr>
        <w:pStyle w:val="RefItem"/>
        <w:tabs>
          <w:tab w:val="left" w:pos="460"/>
        </w:tabs>
      </w:pPr>
      <w:r>
        <w:rPr>
          <w:rFonts w:ascii="Georgia" w:cs="Georgia" w:eastAsia="Georgia" w:hAnsi="Georgia"/>
          <w:color w:val="1A1A1A"/>
          <w:sz w:val="18"/>
          <w:szCs w:val="18"/>
        </w:rPr>
        <w:t xml:space="preserve">[113]</w:t>
      </w:r>
      <w:r>
        <w:rPr>
          <w:sz w:val="18"/>
          <w:szCs w:val="18"/>
        </w:rPr>
        <w:t xml:space="preserve">	</w:t>
      </w:r>
      <w:r>
        <w:rPr>
          <w:rFonts w:ascii="Georgia" w:cs="Georgia" w:eastAsia="Georgia" w:hAnsi="Georgia"/>
          <w:color w:val="1A1A1A"/>
          <w:sz w:val="18"/>
          <w:szCs w:val="18"/>
        </w:rPr>
        <w:t xml:space="preserve">National Institute for Occupational Safety and Health, NIOSH Pocket Guide to Chemical Hazards: Methanol and Methane, Washington, DC, 2019.</w:t>
      </w:r>
    </w:p>
    <w:p>
      <w:pPr>
        <w:pStyle w:val="RefItem"/>
        <w:tabs>
          <w:tab w:val="left" w:pos="460"/>
        </w:tabs>
      </w:pPr>
      <w:r>
        <w:rPr>
          <w:rFonts w:ascii="Georgia" w:cs="Georgia" w:eastAsia="Georgia" w:hAnsi="Georgia"/>
          <w:color w:val="1A1A1A"/>
          <w:sz w:val="18"/>
          <w:szCs w:val="18"/>
        </w:rPr>
        <w:t xml:space="preserve">[114]</w:t>
      </w:r>
      <w:r>
        <w:rPr>
          <w:sz w:val="18"/>
          <w:szCs w:val="18"/>
        </w:rPr>
        <w:t xml:space="preserve">	</w:t>
      </w:r>
      <w:r>
        <w:rPr>
          <w:rFonts w:ascii="Georgia" w:cs="Georgia" w:eastAsia="Georgia" w:hAnsi="Georgia"/>
          <w:color w:val="1A1A1A"/>
          <w:sz w:val="18"/>
          <w:szCs w:val="18"/>
        </w:rPr>
        <w:t xml:space="preserve">G. Leson and colleagues, “Gas detection technologies for combustible and toxic gases: Catalytic bead, NDIR, electrochemical and MOS sensors,” industry technical review, 2022.</w:t>
      </w:r>
    </w:p>
    <w:p>
      <w:pPr>
        <w:pStyle w:val="RefItem"/>
        <w:tabs>
          <w:tab w:val="left" w:pos="460"/>
        </w:tabs>
      </w:pPr>
      <w:r>
        <w:rPr>
          <w:rFonts w:ascii="Georgia" w:cs="Georgia" w:eastAsia="Georgia" w:hAnsi="Georgia"/>
          <w:color w:val="1A1A1A"/>
          <w:sz w:val="18"/>
          <w:szCs w:val="18"/>
        </w:rPr>
        <w:t xml:space="preserve">[115]</w:t>
      </w:r>
      <w:r>
        <w:rPr>
          <w:sz w:val="18"/>
          <w:szCs w:val="18"/>
        </w:rPr>
        <w:t xml:space="preserve">	</w:t>
      </w:r>
      <w:r>
        <w:rPr>
          <w:rFonts w:ascii="Georgia" w:cs="Georgia" w:eastAsia="Georgia" w:hAnsi="Georgia"/>
          <w:color w:val="1A1A1A"/>
          <w:sz w:val="18"/>
          <w:szCs w:val="18"/>
        </w:rPr>
        <w:t xml:space="preserve">Mordor Intelligence, Biofuels Market Size, Growth Trends &amp; Forecast 2025–2031, Hyderabad, 2025.</w:t>
      </w:r>
    </w:p>
    <w:p>
      <w:pPr>
        <w:pStyle w:val="RefItem"/>
        <w:tabs>
          <w:tab w:val="left" w:pos="460"/>
        </w:tabs>
      </w:pPr>
      <w:r>
        <w:rPr>
          <w:rFonts w:ascii="Georgia" w:cs="Georgia" w:eastAsia="Georgia" w:hAnsi="Georgia"/>
          <w:color w:val="1A1A1A"/>
          <w:sz w:val="18"/>
          <w:szCs w:val="18"/>
        </w:rPr>
        <w:t xml:space="preserve">[116]</w:t>
      </w:r>
      <w:r>
        <w:rPr>
          <w:sz w:val="18"/>
          <w:szCs w:val="18"/>
        </w:rPr>
        <w:t xml:space="preserve">	</w:t>
      </w:r>
      <w:r>
        <w:rPr>
          <w:rFonts w:ascii="Georgia" w:cs="Georgia" w:eastAsia="Georgia" w:hAnsi="Georgia"/>
          <w:color w:val="1A1A1A"/>
          <w:sz w:val="18"/>
          <w:szCs w:val="18"/>
        </w:rPr>
        <w:t xml:space="preserve">Precedence Research, Biofuels Market Size, Share and Trends 2025–2035, Ottawa, 2025.</w:t>
      </w:r>
    </w:p>
    <w:p>
      <w:pPr>
        <w:pStyle w:val="RefItem"/>
        <w:tabs>
          <w:tab w:val="left" w:pos="460"/>
        </w:tabs>
      </w:pPr>
      <w:r>
        <w:rPr>
          <w:rFonts w:ascii="Georgia" w:cs="Georgia" w:eastAsia="Georgia" w:hAnsi="Georgia"/>
          <w:color w:val="1A1A1A"/>
          <w:sz w:val="18"/>
          <w:szCs w:val="18"/>
        </w:rPr>
        <w:t xml:space="preserve">[117]</w:t>
      </w:r>
      <w:r>
        <w:rPr>
          <w:sz w:val="18"/>
          <w:szCs w:val="18"/>
        </w:rPr>
        <w:t xml:space="preserve">	</w:t>
      </w:r>
      <w:r>
        <w:rPr>
          <w:rFonts w:ascii="Georgia" w:cs="Georgia" w:eastAsia="Georgia" w:hAnsi="Georgia"/>
          <w:color w:val="1A1A1A"/>
          <w:sz w:val="18"/>
          <w:szCs w:val="18"/>
        </w:rPr>
        <w:t xml:space="preserve">Global Market Insights, Biofuel Market — Size, Trends and Forecast 2026–2035, Selbyville, DE, 2026.</w:t>
      </w:r>
    </w:p>
    <w:p>
      <w:pPr>
        <w:pStyle w:val="RefItem"/>
        <w:tabs>
          <w:tab w:val="left" w:pos="460"/>
        </w:tabs>
      </w:pPr>
      <w:r>
        <w:rPr>
          <w:rFonts w:ascii="Georgia" w:cs="Georgia" w:eastAsia="Georgia" w:hAnsi="Georgia"/>
          <w:color w:val="1A1A1A"/>
          <w:sz w:val="18"/>
          <w:szCs w:val="18"/>
        </w:rPr>
        <w:t xml:space="preserve">[118]</w:t>
      </w:r>
      <w:r>
        <w:rPr>
          <w:sz w:val="18"/>
          <w:szCs w:val="18"/>
        </w:rPr>
        <w:t xml:space="preserve">	</w:t>
      </w:r>
      <w:r>
        <w:rPr>
          <w:rFonts w:ascii="Georgia" w:cs="Georgia" w:eastAsia="Georgia" w:hAnsi="Georgia"/>
          <w:color w:val="1A1A1A"/>
          <w:sz w:val="18"/>
          <w:szCs w:val="18"/>
        </w:rPr>
        <w:t xml:space="preserve">Fortune Business Insights, Hybrid Vehicle Market Size, Share and Forecast 2024–2034, Pune, 2025.</w:t>
      </w:r>
    </w:p>
    <w:p>
      <w:pPr>
        <w:pStyle w:val="RefItem"/>
        <w:tabs>
          <w:tab w:val="left" w:pos="460"/>
        </w:tabs>
      </w:pPr>
      <w:r>
        <w:rPr>
          <w:rFonts w:ascii="Georgia" w:cs="Georgia" w:eastAsia="Georgia" w:hAnsi="Georgia"/>
          <w:color w:val="1A1A1A"/>
          <w:sz w:val="18"/>
          <w:szCs w:val="18"/>
        </w:rPr>
        <w:t xml:space="preserve">[119]</w:t>
      </w:r>
      <w:r>
        <w:rPr>
          <w:sz w:val="18"/>
          <w:szCs w:val="18"/>
        </w:rPr>
        <w:t xml:space="preserve">	</w:t>
      </w:r>
      <w:r>
        <w:rPr>
          <w:rFonts w:ascii="Georgia" w:cs="Georgia" w:eastAsia="Georgia" w:hAnsi="Georgia"/>
          <w:color w:val="1A1A1A"/>
          <w:sz w:val="18"/>
          <w:szCs w:val="18"/>
        </w:rPr>
        <w:t xml:space="preserve">B. Gaddy, V. Sivaram, and F. O’Sullivan, Venture Capital and Cleantech: The Wrong Model for Clean Energy Innovation, MIT Energy Initiative Working Paper, Cambridge, MA, 2016.</w:t>
      </w:r>
    </w:p>
    <w:p>
      <w:pPr>
        <w:pStyle w:val="RefItem"/>
        <w:tabs>
          <w:tab w:val="left" w:pos="460"/>
        </w:tabs>
      </w:pPr>
      <w:r>
        <w:rPr>
          <w:rFonts w:ascii="Georgia" w:cs="Georgia" w:eastAsia="Georgia" w:hAnsi="Georgia"/>
          <w:color w:val="1A1A1A"/>
          <w:sz w:val="18"/>
          <w:szCs w:val="18"/>
        </w:rPr>
        <w:t xml:space="preserve">[120]</w:t>
      </w:r>
      <w:r>
        <w:rPr>
          <w:sz w:val="18"/>
          <w:szCs w:val="18"/>
        </w:rPr>
        <w:t xml:space="preserve">	</w:t>
      </w:r>
      <w:r>
        <w:rPr>
          <w:rFonts w:ascii="Georgia" w:cs="Georgia" w:eastAsia="Georgia" w:hAnsi="Georgia"/>
          <w:color w:val="1A1A1A"/>
          <w:sz w:val="18"/>
          <w:szCs w:val="18"/>
        </w:rPr>
        <w:t xml:space="preserve">R. G. Cooper, Winning at New Products: Creating Value Through Innovation, 5th ed. New York: Basic Books, 2017.</w:t>
      </w:r>
    </w:p>
    <w:p>
      <w:pPr>
        <w:pStyle w:val="RefItem"/>
        <w:tabs>
          <w:tab w:val="left" w:pos="460"/>
        </w:tabs>
      </w:pPr>
      <w:r>
        <w:rPr>
          <w:rFonts w:ascii="Georgia" w:cs="Georgia" w:eastAsia="Georgia" w:hAnsi="Georgia"/>
          <w:color w:val="1A1A1A"/>
          <w:sz w:val="18"/>
          <w:szCs w:val="18"/>
        </w:rPr>
        <w:t xml:space="preserve">[121]</w:t>
      </w:r>
      <w:r>
        <w:rPr>
          <w:sz w:val="18"/>
          <w:szCs w:val="18"/>
        </w:rPr>
        <w:t xml:space="preserve">	</w:t>
      </w:r>
      <w:r>
        <w:rPr>
          <w:rFonts w:ascii="Georgia" w:cs="Georgia" w:eastAsia="Georgia" w:hAnsi="Georgia"/>
          <w:color w:val="1A1A1A"/>
          <w:sz w:val="18"/>
          <w:szCs w:val="18"/>
        </w:rPr>
        <w:t xml:space="preserve">Project Management Institute, A Guide to the Project Management Body of Knowledge (PMBOK Guide) and The Standard for Project Management, 7th ed. Newtown Square, PA: PMI, 2021.</w:t>
      </w:r>
    </w:p>
    <w:p>
      <w:pPr>
        <w:pStyle w:val="RefItem"/>
        <w:tabs>
          <w:tab w:val="left" w:pos="460"/>
        </w:tabs>
      </w:pPr>
      <w:r>
        <w:rPr>
          <w:rFonts w:ascii="Georgia" w:cs="Georgia" w:eastAsia="Georgia" w:hAnsi="Georgia"/>
          <w:color w:val="1A1A1A"/>
          <w:sz w:val="18"/>
          <w:szCs w:val="18"/>
        </w:rPr>
        <w:t xml:space="preserve">[122]</w:t>
      </w:r>
      <w:r>
        <w:rPr>
          <w:sz w:val="18"/>
          <w:szCs w:val="18"/>
        </w:rPr>
        <w:t xml:space="preserve">	</w:t>
      </w:r>
      <w:r>
        <w:rPr>
          <w:rFonts w:ascii="Georgia" w:cs="Georgia" w:eastAsia="Georgia" w:hAnsi="Georgia"/>
          <w:color w:val="1A1A1A"/>
          <w:sz w:val="18"/>
          <w:szCs w:val="18"/>
        </w:rPr>
        <w:t xml:space="preserve">U.S. Environmental Protection Agency, Renewable Fuel Standard Program: Standards for 2026 and 2027 (“Set 2” Final Rule), Federal Register, Mar. 2026.</w:t>
      </w:r>
    </w:p>
    <w:p>
      <w:pPr>
        <w:pStyle w:val="RefItem"/>
        <w:tabs>
          <w:tab w:val="left" w:pos="460"/>
        </w:tabs>
      </w:pPr>
      <w:r>
        <w:rPr>
          <w:rFonts w:ascii="Georgia" w:cs="Georgia" w:eastAsia="Georgia" w:hAnsi="Georgia"/>
          <w:color w:val="1A1A1A"/>
          <w:sz w:val="18"/>
          <w:szCs w:val="18"/>
        </w:rPr>
        <w:t xml:space="preserve">[123]</w:t>
      </w:r>
      <w:r>
        <w:rPr>
          <w:sz w:val="18"/>
          <w:szCs w:val="18"/>
        </w:rPr>
        <w:t xml:space="preserve">	</w:t>
      </w:r>
      <w:r>
        <w:rPr>
          <w:rFonts w:ascii="Georgia" w:cs="Georgia" w:eastAsia="Georgia" w:hAnsi="Georgia"/>
          <w:color w:val="1A1A1A"/>
          <w:sz w:val="18"/>
          <w:szCs w:val="18"/>
        </w:rPr>
        <w:t xml:space="preserve">U.S. Department of Energy, Small Business Innovation Research (SBIR) and Small Business Technology Transfer (STTR) Programs — Funding Guidance, Washington, DC, 2024.</w:t>
      </w:r>
    </w:p>
    <w:p>
      <w:pPr>
        <w:pStyle w:val="RefItem"/>
        <w:tabs>
          <w:tab w:val="left" w:pos="460"/>
        </w:tabs>
      </w:pPr>
      <w:r>
        <w:rPr>
          <w:rFonts w:ascii="Georgia" w:cs="Georgia" w:eastAsia="Georgia" w:hAnsi="Georgia"/>
          <w:color w:val="1A1A1A"/>
          <w:sz w:val="18"/>
          <w:szCs w:val="18"/>
        </w:rPr>
        <w:t xml:space="preserve">[124]</w:t>
      </w:r>
      <w:r>
        <w:rPr>
          <w:sz w:val="18"/>
          <w:szCs w:val="18"/>
        </w:rPr>
        <w:t xml:space="preserve">	</w:t>
      </w:r>
      <w:r>
        <w:rPr>
          <w:rFonts w:ascii="Georgia" w:cs="Georgia" w:eastAsia="Georgia" w:hAnsi="Georgia"/>
          <w:color w:val="1A1A1A"/>
          <w:sz w:val="18"/>
          <w:szCs w:val="18"/>
        </w:rPr>
        <w:t xml:space="preserve">U.S. Department of Agriculture, Rural Energy for America Program (REAP) — Program Regulations and Funding, Federal Register, 2024.</w:t>
      </w:r>
    </w:p>
    <w:p>
      <w:pPr>
        <w:pStyle w:val="RefItem"/>
        <w:tabs>
          <w:tab w:val="left" w:pos="460"/>
        </w:tabs>
      </w:pPr>
      <w:r>
        <w:rPr>
          <w:rFonts w:ascii="Georgia" w:cs="Georgia" w:eastAsia="Georgia" w:hAnsi="Georgia"/>
          <w:color w:val="1A1A1A"/>
          <w:sz w:val="18"/>
          <w:szCs w:val="18"/>
        </w:rPr>
        <w:t xml:space="preserve">[125]</w:t>
      </w:r>
      <w:r>
        <w:rPr>
          <w:sz w:val="18"/>
          <w:szCs w:val="18"/>
        </w:rPr>
        <w:t xml:space="preserve">	</w:t>
      </w:r>
      <w:r>
        <w:rPr>
          <w:rFonts w:ascii="Georgia" w:cs="Georgia" w:eastAsia="Georgia" w:hAnsi="Georgia"/>
          <w:color w:val="1A1A1A"/>
          <w:sz w:val="18"/>
          <w:szCs w:val="18"/>
        </w:rPr>
        <w:t xml:space="preserve">Hobby Distillers Association v. Alcohol and Tobacco Tax and Trade Bureau, No. 4:24-cv-00033 (N.D. Tex. 2024); appeal decided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3" w:space="5"/>
      </w:pBdr>
      <w:tabs>
        <w:tab w:val="center" w:pos="4680"/>
        <w:tab w:val="right" w:pos="9360"/>
      </w:tabs>
      <w:spacing w:before="30"/>
    </w:pPr>
    <w:r>
      <w:rPr>
        <w:rFonts w:ascii="Arial" w:cs="Arial" w:eastAsia="Arial" w:hAnsi="Arial"/>
        <w:color w:val="7A7A7A"/>
        <w:sz w:val="13"/>
        <w:szCs w:val="13"/>
      </w:rPr>
      <w:t xml:space="preserve">Working paper — not peer reviewed</w:t>
    </w:r>
    <w:r>
      <w:rPr>
        <w:sz w:val="13"/>
        <w:szCs w:val="13"/>
      </w:rPr>
      <w:t xml:space="preserve">	</w:t>
    </w:r>
    <w:r>
      <w:rPr>
        <w:rFonts w:ascii="Arial" w:cs="Arial" w:eastAsia="Arial" w:hAnsi="Arial"/>
        <w:color w:val="7A7A7A"/>
        <w:sz w:val="13"/>
        <w:szCs w:val="13"/>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B0B0" w:sz="3" w:space="5"/>
      </w:pBdr>
      <w:tabs>
        <w:tab w:val="right" w:pos="9360"/>
      </w:tabs>
      <w:spacing w:after="40"/>
    </w:pPr>
    <w:r>
      <w:rPr>
        <w:rFonts w:ascii="Arial" w:cs="Arial" w:eastAsia="Arial" w:hAnsi="Arial"/>
        <w:i/>
        <w:iCs/>
        <w:color w:val="5A5A5A"/>
        <w:sz w:val="14"/>
        <w:szCs w:val="14"/>
      </w:rPr>
      <w:t xml:space="preserve">Biotank: A Techno-Economic and Systems-Design Feasibility Study</w:t>
    </w:r>
    <w:r>
      <w:rPr>
        <w:rFonts w:ascii="Arial" w:cs="Arial" w:eastAsia="Arial" w:hAnsi="Arial"/>
        <w:color w:val="5A5A5A"/>
        <w:sz w:val="14"/>
        <w:szCs w:val="14"/>
      </w:rPr>
      <w:t xml:space="preserve">	Preprint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20"/>
      </w:pPr>
    </w:lvl>
  </w:abstractNum>
  <w:abstractNum w:abstractNumId="3"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0"/>
      <w:jc w:val="center"/>
    </w:pPr>
    <w:rPr>
      <w:rFonts w:ascii="Georgia" w:cs="Georgia" w:eastAsia="Georgia" w:hAnsi="Georgia"/>
      <w:b/>
      <w:bCs/>
      <w:color w:val="1B2A4A"/>
      <w:sz w:val="40"/>
      <w:szCs w:val="40"/>
    </w:rPr>
  </w:style>
  <w:style w:type="paragraph" w:styleId="Heading1">
    <w:name w:val="Heading 1"/>
    <w:basedOn w:val="Normal"/>
    <w:next w:val="Normal"/>
    <w:qFormat/>
    <w:pPr>
      <w:keepNext/>
      <w:spacing w:after="120" w:before="300"/>
      <w:outlineLvl w:val="0"/>
    </w:pPr>
    <w:rPr>
      <w:rFonts w:ascii="Georgia" w:cs="Georgia" w:eastAsia="Georgia" w:hAnsi="Georgia"/>
      <w:b/>
      <w:bCs/>
      <w:color w:val="1B2A4A"/>
      <w:sz w:val="25"/>
      <w:szCs w:val="25"/>
    </w:rPr>
  </w:style>
  <w:style w:type="paragraph" w:styleId="Heading2">
    <w:name w:val="Heading 2"/>
    <w:basedOn w:val="Normal"/>
    <w:next w:val="Normal"/>
    <w:qFormat/>
    <w:pPr>
      <w:keepNext/>
      <w:spacing w:after="90" w:before="200"/>
      <w:outlineLvl w:val="1"/>
    </w:pPr>
    <w:rPr>
      <w:rFonts w:ascii="Georgia" w:cs="Georgia" w:eastAsia="Georgia" w:hAnsi="Georgia"/>
      <w:b/>
      <w:bCs/>
      <w:color w:val="1B2A4A"/>
      <w:sz w:val="22"/>
      <w:szCs w:val="22"/>
    </w:rPr>
  </w:style>
  <w:style w:type="paragraph" w:styleId="Heading3">
    <w:name w:val="Heading 3"/>
    <w:basedOn w:val="Normal"/>
    <w:next w:val="Normal"/>
    <w:qFormat/>
    <w:pPr>
      <w:keepNext/>
      <w:spacing w:after="70" w:before="150"/>
      <w:outlineLvl w:val="2"/>
    </w:pPr>
    <w:rPr>
      <w:rFonts w:ascii="Georgia" w:cs="Georgia" w:eastAsia="Georgia" w:hAnsi="Georgia"/>
      <w:b/>
      <w:bCs/>
      <w:i/>
      <w:iCs/>
      <w:color w:val="5A2A2A"/>
      <w:sz w:val="21"/>
      <w:szCs w:val="21"/>
    </w:rPr>
  </w:style>
  <w:style w:type="paragraph" w:styleId="Normal">
    <w:name w:val="Normal"/>
    <w:pPr>
      <w:spacing w:after="130" w:line="288"/>
      <w:jc w:val="both"/>
    </w:pPr>
    <w:rPr>
      <w:rFonts w:ascii="Georgia" w:cs="Georgia" w:eastAsia="Georgia" w:hAnsi="Georgia"/>
      <w:color w:val="1A1A1A"/>
      <w:sz w:val="21"/>
      <w:szCs w:val="21"/>
    </w:rPr>
  </w:style>
  <w:style w:type="paragraph" w:styleId="Caption">
    <w:name w:val="Caption"/>
    <w:basedOn w:val="Normal"/>
    <w:next w:val="Normal"/>
    <w:pPr>
      <w:spacing w:after="140" w:before="60"/>
      <w:jc w:val="left"/>
    </w:pPr>
    <w:rPr>
      <w:rFonts w:ascii="Arial" w:cs="Arial" w:eastAsia="Arial" w:hAnsi="Arial"/>
      <w:color w:val="5A5A5A"/>
      <w:sz w:val="17"/>
      <w:szCs w:val="17"/>
    </w:rPr>
  </w:style>
  <w:style w:type="paragraph" w:styleId="RefItem">
    <w:name w:val="RefItem"/>
    <w:basedOn w:val="Normal"/>
    <w:next w:val="Normal"/>
    <w:pPr>
      <w:spacing w:after="60" w:line="264"/>
      <w:ind w:left="460" w:hanging="460"/>
      <w:jc w:val="left"/>
    </w:pPr>
    <w:rPr>
      <w:rFonts w:ascii="Georgia" w:cs="Georgia" w:eastAsia="Georgia" w:hAnsi="Georgia"/>
      <w:color w:val="1A1A1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Biotank: A Techno-Economic and Systems-Design Feasibility Study</dc:title>
  <dc:creator>Biotank Working Paper</dc:creator>
  <dc:description>Feasibility assessment of a smart home waste-to-fuel appliance</dc:description>
  <cp:lastModifiedBy>Un-named</cp:lastModifiedBy>
  <cp:revision>1</cp:revision>
  <dcterms:created xsi:type="dcterms:W3CDTF">2026-06-17T20:15:50.086Z</dcterms:created>
  <dcterms:modified xsi:type="dcterms:W3CDTF">2026-06-17T20:15:50.098Z</dcterms:modified>
</cp:coreProperties>
</file>

<file path=docProps/custom.xml><?xml version="1.0" encoding="utf-8"?>
<Properties xmlns="http://schemas.openxmlformats.org/officeDocument/2006/custom-properties" xmlns:vt="http://schemas.openxmlformats.org/officeDocument/2006/docPropsVTypes"/>
</file>