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tbl>
      <w:tblPr>
        <w:tblW w:type="dxa" w:w="9360"/>
        <w:tblBorders>
          <w:top w:val="none"/>
          <w:left w:val="none"/>
          <w:bottom w:val="none"/>
          <w:right w:val="none"/>
          <w:insideH w:val="none"/>
          <w:insideV w:val="none"/>
        </w:tblBorders>
      </w:tblPr>
      <w:tblGrid>
        <w:gridCol w:w="9360"/>
      </w:tblGrid>
      <w:tr>
        <w:tc>
          <w:tcPr>
            <w:tcW w:type="dxa" w:w="9360"/>
            <w:shd w:fill="1F6F43" w:val="clear"/>
            <w:tcMar>
              <w:top w:type="dxa" w:w="520"/>
              <w:left w:type="dxa" w:w="360"/>
              <w:bottom w:type="dxa" w:w="520"/>
              <w:right w:type="dxa" w:w="360"/>
            </w:tcMar>
          </w:tcPr>
          <w:p>
            <w:pPr>
              <w:spacing w:after="200" w:line="240"/>
            </w:pPr>
            <w:r>
              <w:rPr>
                <w:rFonts w:ascii="Calibri" w:cs="Calibri" w:eastAsia="Calibri" w:hAnsi="Calibri"/>
                <w:b/>
                <w:bCs/>
                <w:color w:val="E4F0E9"/>
                <w:sz w:val="22"/>
                <w:szCs w:val="22"/>
              </w:rPr>
              <w:t xml:space="preserve">PROJECT MANAGEMENT PLAN</w:t>
            </w:r>
          </w:p>
          <w:p>
            <w:pPr>
              <w:spacing w:after="120" w:before="0" w:line="760"/>
            </w:pPr>
            <w:r>
              <w:rPr>
                <w:rFonts w:ascii="Calibri" w:cs="Calibri" w:eastAsia="Calibri" w:hAnsi="Calibri"/>
                <w:b/>
                <w:bCs/>
                <w:color w:val="FFFFFF"/>
                <w:sz w:val="80"/>
                <w:szCs w:val="80"/>
              </w:rPr>
              <w:t xml:space="preserve">BIOTANK</w:t>
            </w:r>
          </w:p>
          <w:p>
            <w:pPr>
              <w:spacing w:after="200"/>
            </w:pPr>
            <w:r>
              <w:rPr>
                <w:color w:val="FFFFFF"/>
                <w:sz w:val="26"/>
                <w:szCs w:val="26"/>
              </w:rPr>
              <w:t xml:space="preserve">A Smart, App-Integrated Home Biofuel Processor</w:t>
            </w:r>
          </w:p>
          <w:p>
            <w:pPr>
              <w:spacing w:after="0"/>
            </w:pPr>
            <w:r>
              <w:rPr>
                <w:i/>
                <w:iCs/>
                <w:color w:val="FBF0DA"/>
                <w:sz w:val="20"/>
                <w:szCs w:val="20"/>
              </w:rPr>
              <w:t xml:space="preserve">Design • Engineering • Pilot • Production</w:t>
            </w:r>
          </w:p>
        </w:tc>
      </w:tr>
    </w:tbl>
    <w:p>
      <w:pPr>
        <w:spacing w:after="220"/>
      </w:pPr>
      <w:r>
        <w:t xml:space="preserve"/>
      </w:r>
    </w:p>
    <w:p>
      <w:pPr>
        <w:keepNext w:val="false"/>
        <w:spacing w:after="40" w:before="0" w:line="276"/>
        <w:jc w:val="left"/>
      </w:pPr>
      <w:r>
        <w:rPr>
          <w:rFonts w:ascii="Calibri" w:cs="Calibri" w:eastAsia="Calibri" w:hAnsi="Calibri"/>
          <w:color w:val="6B7682"/>
          <w:sz w:val="18"/>
          <w:szCs w:val="18"/>
        </w:rPr>
        <w:t xml:space="preserve">One-line definition</w:t>
      </w:r>
    </w:p>
    <w:p>
      <w:pPr>
        <w:keepNext w:val="false"/>
        <w:spacing w:after="140" w:before="0" w:line="276"/>
        <w:jc w:val="left"/>
      </w:pPr>
      <w:r>
        <w:rPr>
          <w:rFonts w:ascii="Calibri" w:cs="Calibri" w:eastAsia="Calibri" w:hAnsi="Calibri"/>
          <w:b/>
          <w:bCs/>
          <w:color w:val="2B3440"/>
          <w:sz w:val="24"/>
          <w:szCs w:val="24"/>
        </w:rPr>
        <w:t xml:space="preserve">Biotank is a smart, app-integrated home biofuel tank/processor that turns backyard and garage waste — used cooking oil, food scraps, yard and animal waste — into clean, drop-in fuel and on-site electricity, and lets a community of DIY “backyard scientists” compete to discover the most efficient blends.</w:t>
      </w:r>
    </w:p>
    <w:p>
      <w:pPr>
        <w:spacing w:after="160"/>
      </w:pPr>
      <w:r>
        <w:t xml:space="preserve"/>
      </w:r>
    </w:p>
    <w:tbl>
      <w:tblPr>
        <w:tblW w:type="dxa" w:w="9360"/>
        <w:tblBorders>
          <w:top w:val="single" w:color="C8881A" w:sz="6"/>
          <w:left w:val="none"/>
          <w:bottom w:val="single" w:color="C8881A" w:sz="6"/>
          <w:right w:val="none"/>
          <w:insideH w:val="none"/>
          <w:insideV w:val="single" w:color="C7CED5" w:sz="1"/>
        </w:tblBorders>
      </w:tblPr>
      <w:tblGrid>
        <w:gridCol w:w="3120"/>
        <w:gridCol w:w="3120"/>
        <w:gridCol w:w="3120"/>
      </w:tblGrid>
      <w:tr>
        <w:tc>
          <w:tcPr>
            <w:tcW w:type="dxa" w:w="3120"/>
            <w:tcMar>
              <w:top w:type="dxa" w:w="120"/>
              <w:left w:type="dxa" w:w="120"/>
              <w:bottom w:type="dxa" w:w="120"/>
              <w:right w:type="dxa" w:w="120"/>
            </w:tcMar>
            <w:vAlign w:val="center"/>
          </w:tcPr>
          <w:p>
            <w:pPr>
              <w:spacing w:after="30"/>
              <w:jc w:val="center"/>
            </w:pPr>
            <w:r>
              <w:rPr>
                <w:b/>
                <w:bCs/>
                <w:color w:val="6B7682"/>
                <w:sz w:val="15"/>
                <w:szCs w:val="15"/>
              </w:rPr>
              <w:t xml:space="preserve">DOCUMENT</w:t>
            </w:r>
          </w:p>
          <w:p>
            <w:pPr>
              <w:spacing w:after="0"/>
              <w:jc w:val="center"/>
            </w:pPr>
            <w:r>
              <w:rPr>
                <w:b/>
                <w:bCs/>
                <w:color w:val="2B3440"/>
                <w:sz w:val="18"/>
                <w:szCs w:val="18"/>
              </w:rPr>
              <w:t xml:space="preserve">Project Management Plan v1.1</w:t>
            </w:r>
          </w:p>
        </w:tc>
        <w:tc>
          <w:tcPr>
            <w:tcW w:type="dxa" w:w="3120"/>
            <w:tcMar>
              <w:top w:type="dxa" w:w="120"/>
              <w:left w:type="dxa" w:w="120"/>
              <w:bottom w:type="dxa" w:w="120"/>
              <w:right w:type="dxa" w:w="120"/>
            </w:tcMar>
            <w:vAlign w:val="center"/>
          </w:tcPr>
          <w:p>
            <w:pPr>
              <w:spacing w:after="30"/>
              <w:jc w:val="center"/>
            </w:pPr>
            <w:r>
              <w:rPr>
                <w:b/>
                <w:bCs/>
                <w:color w:val="6B7682"/>
                <w:sz w:val="15"/>
                <w:szCs w:val="15"/>
              </w:rPr>
              <w:t xml:space="preserve">PROGRAM</w:t>
            </w:r>
          </w:p>
          <w:p>
            <w:pPr>
              <w:spacing w:after="0"/>
              <w:jc w:val="center"/>
            </w:pPr>
            <w:r>
              <w:rPr>
                <w:b/>
                <w:bCs/>
                <w:color w:val="2B3440"/>
                <w:sz w:val="18"/>
                <w:szCs w:val="18"/>
              </w:rPr>
              <w:t xml:space="preserve">Biotank Hardware + Platform</w:t>
            </w:r>
          </w:p>
        </w:tc>
        <w:tc>
          <w:tcPr>
            <w:tcW w:type="dxa" w:w="3120"/>
            <w:tcMar>
              <w:top w:type="dxa" w:w="120"/>
              <w:left w:type="dxa" w:w="120"/>
              <w:bottom w:type="dxa" w:w="120"/>
              <w:right w:type="dxa" w:w="120"/>
            </w:tcMar>
            <w:vAlign w:val="center"/>
          </w:tcPr>
          <w:p>
            <w:pPr>
              <w:spacing w:after="30"/>
              <w:jc w:val="center"/>
            </w:pPr>
            <w:r>
              <w:rPr>
                <w:b/>
                <w:bCs/>
                <w:color w:val="6B7682"/>
                <w:sz w:val="15"/>
                <w:szCs w:val="15"/>
              </w:rPr>
              <w:t xml:space="preserve">HORIZON</w:t>
            </w:r>
          </w:p>
          <w:p>
            <w:pPr>
              <w:spacing w:after="0"/>
              <w:jc w:val="center"/>
            </w:pPr>
            <w:r>
              <w:rPr>
                <w:b/>
                <w:bCs/>
                <w:color w:val="2B3440"/>
                <w:sz w:val="18"/>
                <w:szCs w:val="18"/>
              </w:rPr>
              <w:t xml:space="preserve">36 months · 2026–2028</w:t>
            </w:r>
          </w:p>
        </w:tc>
      </w:tr>
    </w:tbl>
    <w:p>
      <w:pPr>
        <w:spacing w:after="200"/>
      </w:pPr>
      <w:r>
        <w:t xml:space="preserve"/>
      </w:r>
    </w:p>
    <w:p>
      <w:pPr>
        <w:keepNext w:val="false"/>
        <w:spacing w:after="30" w:before="0" w:line="276"/>
        <w:jc w:val="center"/>
      </w:pPr>
      <w:r>
        <w:rPr>
          <w:rFonts w:ascii="Calibri" w:cs="Calibri" w:eastAsia="Calibri" w:hAnsi="Calibri"/>
          <w:color w:val="6B7682"/>
          <w:sz w:val="18"/>
          <w:szCs w:val="18"/>
        </w:rPr>
        <w:t xml:space="preserve">Prepared in Fayetteville, Arkansas · United States</w:t>
      </w:r>
    </w:p>
    <w:p>
      <w:pPr>
        <w:keepNext w:val="false"/>
        <w:spacing w:after="0" w:before="0" w:line="276"/>
        <w:jc w:val="center"/>
      </w:pPr>
      <w:r>
        <w:rPr>
          <w:rFonts w:ascii="Calibri" w:cs="Calibri" w:eastAsia="Calibri" w:hAnsi="Calibri"/>
          <w:color w:val="6B7682"/>
          <w:sz w:val="16"/>
          <w:szCs w:val="16"/>
        </w:rPr>
        <w:t xml:space="preserve">Confidential — for internal program use and investor due diligence</w:t>
      </w:r>
    </w:p>
    <w:p>
      <w:pPr>
        <w:pStyle w:val="Heading1"/>
        <w:pageBreakBefore/>
      </w:pPr>
      <w:r>
        <w:rPr>
          <w:rFonts w:ascii="Calibri" w:cs="Calibri" w:eastAsia="Calibri" w:hAnsi="Calibri"/>
          <w:color w:val="1F6F43"/>
          <w:sz w:val="30"/>
          <w:szCs w:val="30"/>
        </w:rPr>
        <w:t xml:space="preserve">Document Control &amp; How to Read This Plan</w:t>
      </w:r>
    </w:p>
    <w:p>
      <w:pPr>
        <w:keepNext w:val="false"/>
        <w:spacing w:after="140" w:before="0" w:line="276"/>
        <w:jc w:val="both"/>
      </w:pPr>
      <w:r>
        <w:rPr>
          <w:rFonts w:ascii="Calibri" w:cs="Calibri" w:eastAsia="Calibri" w:hAnsi="Calibri"/>
          <w:color w:val="1A1F25"/>
          <w:sz w:val="21"/>
          <w:szCs w:val="21"/>
        </w:rPr>
        <w:t xml:space="preserve">This Project Management Plan (PMP) is the single source of truth for how the Biotank program will be organized, resourced, sequenced, governed, and de-risked across a thirty-six-month horizon. It is written to satisfy two audiences at once: an internal founding team that needs an executable operating manual, and external reviewers — investors, grant officers, prospective co-founders, and partner labs — who need confidence that the ambition is matched by disciplined planning.</w:t>
      </w:r>
    </w:p>
    <w:p>
      <w:pPr>
        <w:keepNext w:val="false"/>
        <w:spacing w:after="140" w:before="0" w:line="276"/>
        <w:jc w:val="both"/>
      </w:pPr>
      <w:r>
        <w:rPr>
          <w:rFonts w:ascii="Calibri" w:cs="Calibri" w:eastAsia="Calibri" w:hAnsi="Calibri"/>
          <w:color w:val="1A1F25"/>
          <w:sz w:val="21"/>
          <w:szCs w:val="21"/>
        </w:rPr>
        <w:t xml:space="preserve">The plan deliberately follows the structure of a modern, standards-aligned project management approach. It maps to the performance domains and principles of the PMI Standard for Project Management (the basis of the PMBOK Guide, Seventh Edition) and uses a Stage-Gate™ lifecycle for the hardware development itself. Where the two frameworks overlap, this document treats PMBOK as the language of governance and Stage-Gate as the language of the product lifecycle.</w:t>
      </w:r>
    </w:p>
    <w:p>
      <w:pPr>
        <w:pStyle w:val="Heading3"/>
      </w:pPr>
      <w:r>
        <w:rPr>
          <w:rFonts w:ascii="Calibri" w:cs="Calibri" w:eastAsia="Calibri" w:hAnsi="Calibri"/>
          <w:color w:val="C8881A"/>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60"/>
        <w:gridCol w:w="3500"/>
      </w:tblGrid>
      <w:tr>
        <w:trPr>
          <w:tblHeader/>
        </w:trPr>
        <w:tc>
          <w:tcPr>
            <w:tcW w:type="dxa" w:w="14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Version</w:t>
            </w:r>
          </w:p>
        </w:tc>
        <w:tc>
          <w:tcPr>
            <w:tcW w:type="dxa" w:w="14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Date</w:t>
            </w:r>
          </w:p>
        </w:tc>
        <w:tc>
          <w:tcPr>
            <w:tcW w:type="dxa" w:w="30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Author / Role</w:t>
            </w:r>
          </w:p>
        </w:tc>
        <w:tc>
          <w:tcPr>
            <w:tcW w:type="dxa" w:w="3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Summary of change</w:t>
            </w:r>
          </w:p>
        </w:tc>
      </w:tr>
      <w:tr>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0.1</w:t>
            </w:r>
          </w:p>
        </w:tc>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Apr 2026</w:t>
            </w:r>
          </w:p>
        </w:tc>
        <w:tc>
          <w:tcPr>
            <w:tcW w:type="dxa" w:w="3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Lead</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Initial skeleton and scope capture from product vision.</w:t>
            </w:r>
          </w:p>
        </w:tc>
      </w:tr>
      <w:tr>
        <w:tc>
          <w:tcPr>
            <w:tcW w:type="dxa" w:w="1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0.5</w:t>
            </w:r>
          </w:p>
        </w:tc>
        <w:tc>
          <w:tcPr>
            <w:tcW w:type="dxa" w:w="1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May 2026</w:t>
            </w:r>
          </w:p>
        </w:tc>
        <w:tc>
          <w:tcPr>
            <w:tcW w:type="dxa" w:w="3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Lead + Eng.</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Added WBS, schedule, risk register, and budget draft.</w:t>
            </w:r>
          </w:p>
        </w:tc>
      </w:tr>
      <w:tr>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w:t>
            </w:r>
          </w:p>
        </w:tc>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Jun 2026</w:t>
            </w:r>
          </w:p>
        </w:tc>
        <w:tc>
          <w:tcPr>
            <w:tcW w:type="dxa" w:w="3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Lead</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First baselined plan; research-grounded; issued for review.</w:t>
            </w:r>
          </w:p>
        </w:tc>
      </w:tr>
      <w:tr>
        <w:tc>
          <w:tcPr>
            <w:tcW w:type="dxa" w:w="1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1.1</w:t>
            </w:r>
          </w:p>
        </w:tc>
        <w:tc>
          <w:tcPr>
            <w:tcW w:type="dxa" w:w="1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Jun 2026</w:t>
            </w:r>
          </w:p>
        </w:tc>
        <w:tc>
          <w:tcPr>
            <w:tcW w:type="dxa" w:w="3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Lead</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Revised against the completed feasibility study: added benchmarks as gate criteria, unit techno-economics, sharpened safety standards, and community-aggregation reframing.</w:t>
            </w:r>
          </w:p>
        </w:tc>
      </w:tr>
    </w:tbl>
    <w:p>
      <w:pPr>
        <w:spacing w:after="120"/>
      </w:pPr>
      <w:r>
        <w:t xml:space="preserve"/>
      </w:r>
    </w:p>
    <w:p>
      <w:pPr>
        <w:pStyle w:val="Heading3"/>
      </w:pPr>
      <w:r>
        <w:rPr>
          <w:rFonts w:ascii="Calibri" w:cs="Calibri" w:eastAsia="Calibri" w:hAnsi="Calibri"/>
          <w:color w:val="C8881A"/>
          <w:sz w:val="22"/>
          <w:szCs w:val="22"/>
        </w:rPr>
        <w:t xml:space="preserve">Controlled terminology</w:t>
      </w:r>
    </w:p>
    <w:p>
      <w:pPr>
        <w:keepNext w:val="false"/>
        <w:spacing w:after="140" w:before="0" w:line="276"/>
        <w:jc w:val="both"/>
      </w:pPr>
      <w:r>
        <w:rPr>
          <w:rFonts w:ascii="Calibri" w:cs="Calibri" w:eastAsia="Calibri" w:hAnsi="Calibri"/>
          <w:color w:val="1A1F25"/>
          <w:sz w:val="21"/>
          <w:szCs w:val="21"/>
        </w:rPr>
        <w:t xml:space="preserve">Three words are used precisely throughout and should not be read loosely:</w:t>
      </w:r>
    </w:p>
    <w:p>
      <w:pPr>
        <w:pStyle w:val="ListParagraph"/>
        <w:numPr>
          <w:ilvl w:val="0"/>
          <w:numId w:val="2"/>
        </w:numPr>
        <w:spacing w:after="70" w:line="268"/>
        <w:jc w:val="left"/>
      </w:pPr>
      <w:r>
        <w:rPr>
          <w:rFonts w:ascii="Calibri" w:cs="Calibri" w:eastAsia="Calibri" w:hAnsi="Calibri"/>
          <w:b/>
          <w:bCs/>
          <w:color w:val="1A1F25"/>
          <w:sz w:val="21"/>
          <w:szCs w:val="21"/>
        </w:rPr>
        <w:t xml:space="preserve">Biotank</w:t>
      </w:r>
      <w:r>
        <w:rPr>
          <w:rFonts w:ascii="Calibri" w:cs="Calibri" w:eastAsia="Calibri" w:hAnsi="Calibri"/>
          <w:color w:val="1A1F25"/>
          <w:sz w:val="21"/>
          <w:szCs w:val="21"/>
        </w:rPr>
        <w:t xml:space="preserve"> — the physical home appliance and its embedded control system. Always singular and capitalized when it refers to the product.</w:t>
      </w:r>
    </w:p>
    <w:p>
      <w:pPr>
        <w:pStyle w:val="ListParagraph"/>
        <w:numPr>
          <w:ilvl w:val="0"/>
          <w:numId w:val="2"/>
        </w:numPr>
        <w:spacing w:after="70" w:line="268"/>
        <w:jc w:val="left"/>
      </w:pPr>
      <w:r>
        <w:rPr>
          <w:rFonts w:ascii="Calibri" w:cs="Calibri" w:eastAsia="Calibri" w:hAnsi="Calibri"/>
          <w:b/>
          <w:bCs/>
          <w:color w:val="1A1F25"/>
          <w:sz w:val="21"/>
          <w:szCs w:val="21"/>
        </w:rPr>
        <w:t xml:space="preserve">Biotank Hub</w:t>
      </w:r>
      <w:r>
        <w:rPr>
          <w:rFonts w:ascii="Calibri" w:cs="Calibri" w:eastAsia="Calibri" w:hAnsi="Calibri"/>
          <w:color w:val="1A1F25"/>
          <w:sz w:val="21"/>
          <w:szCs w:val="21"/>
        </w:rPr>
        <w:t xml:space="preserve"> — the software platform: the simulator, the recipe-and-competition system, the community layer, and the telemetry back end.</w:t>
      </w:r>
    </w:p>
    <w:p>
      <w:pPr>
        <w:pStyle w:val="ListParagraph"/>
        <w:numPr>
          <w:ilvl w:val="0"/>
          <w:numId w:val="2"/>
        </w:numPr>
        <w:spacing w:after="70" w:line="268"/>
        <w:jc w:val="left"/>
      </w:pPr>
      <w:r>
        <w:rPr>
          <w:rFonts w:ascii="Calibri" w:cs="Calibri" w:eastAsia="Calibri" w:hAnsi="Calibri"/>
          <w:b/>
          <w:bCs/>
          <w:color w:val="1A1F25"/>
          <w:sz w:val="21"/>
          <w:szCs w:val="21"/>
        </w:rPr>
        <w:t xml:space="preserve">Recipe</w:t>
      </w:r>
      <w:r>
        <w:rPr>
          <w:rFonts w:ascii="Calibri" w:cs="Calibri" w:eastAsia="Calibri" w:hAnsi="Calibri"/>
          <w:color w:val="1A1F25"/>
          <w:sz w:val="21"/>
          <w:szCs w:val="21"/>
        </w:rPr>
        <w:t xml:space="preserve"> — a documented combination of feedstock inputs and process settings that a user or the community proposes, runs, and scores. Recipes are the unit of community innovation.</w:t>
      </w:r>
    </w:p>
    <w:p>
      <w:pPr>
        <w:spacing w:after="60"/>
      </w:pPr>
      <w:r>
        <w:t xml:space="preserve"/>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How the gates work</w:t>
            </w:r>
          </w:p>
          <w:p>
            <w:pPr>
              <w:spacing w:after="0" w:line="264"/>
              <w:jc w:val="left"/>
            </w:pPr>
            <w:r>
              <w:rPr>
                <w:rFonts w:ascii="Calibri" w:cs="Calibri" w:eastAsia="Calibri" w:hAnsi="Calibri"/>
                <w:color w:val="1A1F25"/>
                <w:sz w:val="19"/>
                <w:szCs w:val="19"/>
              </w:rPr>
              <w:t xml:space="preserve">The program advances through five decision gates (G0–G5). At each gate the steering group issues one of four verdicts — Go, Kill, Hold, or Recycle. No phase may begin until the previous gate has returned a documented Go. Gate criteria are defined in Section 8 (Lifecycle &amp; Stage-Gate Governance) and are referenced throughout the schedule and risk sections.</w:t>
            </w:r>
          </w:p>
        </w:tc>
      </w:tr>
    </w:tbl>
    <w:p>
      <w:pPr>
        <w:pStyle w:val="Heading1"/>
      </w:pPr>
      <w:r>
        <w:rPr>
          <w:rFonts w:ascii="Calibri" w:cs="Calibri" w:eastAsia="Calibri" w:hAnsi="Calibri"/>
          <w:color w:val="1F6F43"/>
          <w:sz w:val="30"/>
          <w:szCs w:val="30"/>
        </w:rPr>
        <w:t xml:space="preserve">Contents</w:t>
      </w:r>
    </w:p>
    <w:p>
      <w:pPr>
        <w:spacing w:after="40"/>
      </w:pPr>
      <w:r>
        <w:t xml:space="preserve"/>
      </w:r>
    </w:p>
    <w:p>
      <w:pPr>
        <w:tabs>
          <w:tab w:val="right" w:pos="9360" w:leader="dot"/>
        </w:tabs>
        <w:spacing w:after="50" w:line="264"/>
        <w:ind w:left="0"/>
      </w:pPr>
      <w:r>
        <w:rPr>
          <w:b/>
          <w:bCs/>
          <w:color w:val="2B3440"/>
          <w:sz w:val="19"/>
          <w:szCs w:val="19"/>
        </w:rPr>
        <w:t xml:space="preserve">1.  Executive Summary</w:t>
      </w:r>
    </w:p>
    <w:p>
      <w:pPr>
        <w:tabs>
          <w:tab w:val="right" w:pos="9360" w:leader="dot"/>
        </w:tabs>
        <w:spacing w:after="50" w:line="264"/>
        <w:ind w:left="0"/>
      </w:pPr>
      <w:r>
        <w:rPr>
          <w:b/>
          <w:bCs/>
          <w:color w:val="2B3440"/>
          <w:sz w:val="19"/>
          <w:szCs w:val="19"/>
        </w:rPr>
        <w:t xml:space="preserve">2.  Project Charter &amp; Objectives</w:t>
      </w:r>
    </w:p>
    <w:p>
      <w:pPr>
        <w:tabs>
          <w:tab w:val="right" w:pos="9360" w:leader="dot"/>
        </w:tabs>
        <w:spacing w:after="50" w:line="264"/>
        <w:ind w:left="0"/>
      </w:pPr>
      <w:r>
        <w:rPr>
          <w:b/>
          <w:bCs/>
          <w:color w:val="2B3440"/>
          <w:sz w:val="19"/>
          <w:szCs w:val="19"/>
        </w:rPr>
        <w:t xml:space="preserve">3.  Scope Management &amp; Work Breakdown Structure</w:t>
      </w:r>
    </w:p>
    <w:p>
      <w:pPr>
        <w:tabs>
          <w:tab w:val="right" w:pos="9360" w:leader="dot"/>
        </w:tabs>
        <w:spacing w:after="50" w:line="264"/>
        <w:ind w:left="0"/>
      </w:pPr>
      <w:r>
        <w:rPr>
          <w:b/>
          <w:bCs/>
          <w:color w:val="2B3440"/>
          <w:sz w:val="19"/>
          <w:szCs w:val="19"/>
        </w:rPr>
        <w:t xml:space="preserve">4.  Product Architecture: What We Are Actually Building</w:t>
      </w:r>
    </w:p>
    <w:p>
      <w:pPr>
        <w:tabs>
          <w:tab w:val="right" w:pos="9360" w:leader="dot"/>
        </w:tabs>
        <w:spacing w:after="50" w:line="264"/>
        <w:ind w:left="0"/>
      </w:pPr>
      <w:r>
        <w:rPr>
          <w:b/>
          <w:bCs/>
          <w:color w:val="2B3440"/>
          <w:sz w:val="19"/>
          <w:szCs w:val="19"/>
        </w:rPr>
        <w:t xml:space="preserve">5.  Technical Workstreams &amp; Engineering Plan</w:t>
      </w:r>
    </w:p>
    <w:p>
      <w:pPr>
        <w:tabs>
          <w:tab w:val="right" w:pos="9360" w:leader="dot"/>
        </w:tabs>
        <w:spacing w:after="50" w:line="264"/>
        <w:ind w:left="0"/>
      </w:pPr>
      <w:r>
        <w:rPr>
          <w:b/>
          <w:bCs/>
          <w:color w:val="2B3440"/>
          <w:sz w:val="19"/>
          <w:szCs w:val="19"/>
        </w:rPr>
        <w:t xml:space="preserve">6.  The Biotank Hub Software &amp; Community Platform</w:t>
      </w:r>
    </w:p>
    <w:p>
      <w:pPr>
        <w:tabs>
          <w:tab w:val="right" w:pos="9360" w:leader="dot"/>
        </w:tabs>
        <w:spacing w:after="50" w:line="264"/>
        <w:ind w:left="0"/>
      </w:pPr>
      <w:r>
        <w:rPr>
          <w:b/>
          <w:bCs/>
          <w:color w:val="2B3440"/>
          <w:sz w:val="19"/>
          <w:szCs w:val="19"/>
        </w:rPr>
        <w:t xml:space="preserve">7.  Schedule, Milestones &amp; Critical Path</w:t>
      </w:r>
    </w:p>
    <w:p>
      <w:pPr>
        <w:tabs>
          <w:tab w:val="right" w:pos="9360" w:leader="dot"/>
        </w:tabs>
        <w:spacing w:after="50" w:line="264"/>
        <w:ind w:left="0"/>
      </w:pPr>
      <w:r>
        <w:rPr>
          <w:b/>
          <w:bCs/>
          <w:color w:val="2B3440"/>
          <w:sz w:val="19"/>
          <w:szCs w:val="19"/>
        </w:rPr>
        <w:t xml:space="preserve">8.  Lifecycle &amp; Stage-Gate Governance</w:t>
      </w:r>
    </w:p>
    <w:p>
      <w:pPr>
        <w:tabs>
          <w:tab w:val="right" w:pos="9360" w:leader="dot"/>
        </w:tabs>
        <w:spacing w:after="50" w:line="264"/>
        <w:ind w:left="0"/>
      </w:pPr>
      <w:r>
        <w:rPr>
          <w:b/>
          <w:bCs/>
          <w:color w:val="2B3440"/>
          <w:sz w:val="19"/>
          <w:szCs w:val="19"/>
        </w:rPr>
        <w:t xml:space="preserve">9.  Cost Management &amp; Budget Baseline</w:t>
      </w:r>
    </w:p>
    <w:p>
      <w:pPr>
        <w:tabs>
          <w:tab w:val="right" w:pos="9360" w:leader="dot"/>
        </w:tabs>
        <w:spacing w:after="50" w:line="264"/>
        <w:ind w:left="0"/>
      </w:pPr>
      <w:r>
        <w:rPr>
          <w:b/>
          <w:bCs/>
          <w:color w:val="2B3440"/>
          <w:sz w:val="19"/>
          <w:szCs w:val="19"/>
        </w:rPr>
        <w:t xml:space="preserve">10. Funding Strategy &amp; Capital Plan</w:t>
      </w:r>
    </w:p>
    <w:p>
      <w:pPr>
        <w:tabs>
          <w:tab w:val="right" w:pos="9360" w:leader="dot"/>
        </w:tabs>
        <w:spacing w:after="50" w:line="264"/>
        <w:ind w:left="0"/>
      </w:pPr>
      <w:r>
        <w:rPr>
          <w:b/>
          <w:bCs/>
          <w:color w:val="2B3440"/>
          <w:sz w:val="19"/>
          <w:szCs w:val="19"/>
        </w:rPr>
        <w:t xml:space="preserve">11. Resource &amp; Organization Plan</w:t>
      </w:r>
    </w:p>
    <w:p>
      <w:pPr>
        <w:tabs>
          <w:tab w:val="right" w:pos="9360" w:leader="dot"/>
        </w:tabs>
        <w:spacing w:after="50" w:line="264"/>
        <w:ind w:left="0"/>
      </w:pPr>
      <w:r>
        <w:rPr>
          <w:b/>
          <w:bCs/>
          <w:color w:val="2B3440"/>
          <w:sz w:val="19"/>
          <w:szCs w:val="19"/>
        </w:rPr>
        <w:t xml:space="preserve">12. Risk Management &amp; Register</w:t>
      </w:r>
    </w:p>
    <w:p>
      <w:pPr>
        <w:tabs>
          <w:tab w:val="right" w:pos="9360" w:leader="dot"/>
        </w:tabs>
        <w:spacing w:after="50" w:line="264"/>
        <w:ind w:left="0"/>
      </w:pPr>
      <w:r>
        <w:rPr>
          <w:b/>
          <w:bCs/>
          <w:color w:val="2B3440"/>
          <w:sz w:val="19"/>
          <w:szCs w:val="19"/>
        </w:rPr>
        <w:t xml:space="preserve">13. Regulatory, Safety &amp; Compliance Plan</w:t>
      </w:r>
    </w:p>
    <w:p>
      <w:pPr>
        <w:tabs>
          <w:tab w:val="right" w:pos="9360" w:leader="dot"/>
        </w:tabs>
        <w:spacing w:after="50" w:line="264"/>
        <w:ind w:left="0"/>
      </w:pPr>
      <w:r>
        <w:rPr>
          <w:b/>
          <w:bCs/>
          <w:color w:val="2B3440"/>
          <w:sz w:val="19"/>
          <w:szCs w:val="19"/>
        </w:rPr>
        <w:t xml:space="preserve">14. Quality Management Plan</w:t>
      </w:r>
    </w:p>
    <w:p>
      <w:pPr>
        <w:tabs>
          <w:tab w:val="right" w:pos="9360" w:leader="dot"/>
        </w:tabs>
        <w:spacing w:after="50" w:line="264"/>
        <w:ind w:left="0"/>
      </w:pPr>
      <w:r>
        <w:rPr>
          <w:b/>
          <w:bCs/>
          <w:color w:val="2B3440"/>
          <w:sz w:val="19"/>
          <w:szCs w:val="19"/>
        </w:rPr>
        <w:t xml:space="preserve">15. Procurement &amp; Supply Chain Plan</w:t>
      </w:r>
    </w:p>
    <w:p>
      <w:pPr>
        <w:tabs>
          <w:tab w:val="right" w:pos="9360" w:leader="dot"/>
        </w:tabs>
        <w:spacing w:after="50" w:line="264"/>
        <w:ind w:left="0"/>
      </w:pPr>
      <w:r>
        <w:rPr>
          <w:b/>
          <w:bCs/>
          <w:color w:val="2B3440"/>
          <w:sz w:val="19"/>
          <w:szCs w:val="19"/>
        </w:rPr>
        <w:t xml:space="preserve">16. Stakeholder &amp; Communications Plan</w:t>
      </w:r>
    </w:p>
    <w:p>
      <w:pPr>
        <w:tabs>
          <w:tab w:val="right" w:pos="9360" w:leader="dot"/>
        </w:tabs>
        <w:spacing w:after="50" w:line="264"/>
        <w:ind w:left="0"/>
      </w:pPr>
      <w:r>
        <w:rPr>
          <w:b/>
          <w:bCs/>
          <w:color w:val="2B3440"/>
          <w:sz w:val="19"/>
          <w:szCs w:val="19"/>
        </w:rPr>
        <w:t xml:space="preserve">17. Go-to-Market &amp; Pilot Operations</w:t>
      </w:r>
    </w:p>
    <w:p>
      <w:pPr>
        <w:tabs>
          <w:tab w:val="right" w:pos="9360" w:leader="dot"/>
        </w:tabs>
        <w:spacing w:after="50" w:line="264"/>
        <w:ind w:left="0"/>
      </w:pPr>
      <w:r>
        <w:rPr>
          <w:b/>
          <w:bCs/>
          <w:color w:val="2B3440"/>
          <w:sz w:val="19"/>
          <w:szCs w:val="19"/>
        </w:rPr>
        <w:t xml:space="preserve">18. Monitoring, KPIs &amp; Earned Value</w:t>
      </w:r>
    </w:p>
    <w:p>
      <w:pPr>
        <w:tabs>
          <w:tab w:val="right" w:pos="9360" w:leader="dot"/>
        </w:tabs>
        <w:spacing w:after="50" w:line="264"/>
        <w:ind w:left="0"/>
      </w:pPr>
      <w:r>
        <w:rPr>
          <w:b/>
          <w:bCs/>
          <w:color w:val="2B3440"/>
          <w:sz w:val="19"/>
          <w:szCs w:val="19"/>
        </w:rPr>
        <w:t xml:space="preserve">19. Change Control &amp; Closeout</w:t>
      </w:r>
    </w:p>
    <w:p>
      <w:pPr>
        <w:tabs>
          <w:tab w:val="right" w:pos="9360" w:leader="dot"/>
        </w:tabs>
        <w:spacing w:after="50" w:line="264"/>
        <w:ind w:left="0"/>
      </w:pPr>
      <w:r>
        <w:rPr>
          <w:b/>
          <w:bCs/>
          <w:color w:val="2B3440"/>
          <w:sz w:val="19"/>
          <w:szCs w:val="19"/>
        </w:rPr>
        <w:t xml:space="preserve">20. Information &amp; Data Management</w:t>
      </w:r>
    </w:p>
    <w:p>
      <w:pPr>
        <w:tabs>
          <w:tab w:val="right" w:pos="9360" w:leader="dot"/>
        </w:tabs>
        <w:spacing w:after="50" w:line="264"/>
        <w:ind w:left="0"/>
      </w:pPr>
      <w:r>
        <w:rPr>
          <w:b/>
          <w:bCs/>
          <w:color w:val="2B3440"/>
          <w:sz w:val="19"/>
          <w:szCs w:val="19"/>
        </w:rPr>
        <w:t xml:space="preserve">21. Sustainability &amp; Impact</w:t>
      </w:r>
    </w:p>
    <w:p>
      <w:pPr>
        <w:tabs>
          <w:tab w:val="right" w:pos="9360" w:leader="dot"/>
        </w:tabs>
        <w:spacing w:after="50" w:line="264"/>
        <w:ind w:left="0"/>
      </w:pPr>
      <w:r>
        <w:rPr>
          <w:b/>
          <w:bCs/>
          <w:color w:val="2B3440"/>
          <w:sz w:val="19"/>
          <w:szCs w:val="19"/>
        </w:rPr>
        <w:t xml:space="preserve">Appendix A — RACI Matrix</w:t>
      </w:r>
    </w:p>
    <w:p>
      <w:pPr>
        <w:tabs>
          <w:tab w:val="right" w:pos="9360" w:leader="dot"/>
        </w:tabs>
        <w:spacing w:after="50" w:line="264"/>
        <w:ind w:left="0"/>
      </w:pPr>
      <w:r>
        <w:rPr>
          <w:b/>
          <w:bCs/>
          <w:color w:val="2B3440"/>
          <w:sz w:val="19"/>
          <w:szCs w:val="19"/>
        </w:rPr>
        <w:t xml:space="preserve">Appendix B — Master Deliverables Register</w:t>
      </w:r>
    </w:p>
    <w:p>
      <w:pPr>
        <w:tabs>
          <w:tab w:val="right" w:pos="9360" w:leader="dot"/>
        </w:tabs>
        <w:spacing w:after="50" w:line="264"/>
        <w:ind w:left="0"/>
      </w:pPr>
      <w:r>
        <w:rPr>
          <w:b/>
          <w:bCs/>
          <w:color w:val="2B3440"/>
          <w:sz w:val="19"/>
          <w:szCs w:val="19"/>
        </w:rPr>
        <w:t xml:space="preserve">Appendix C — Assumptions, Constraints &amp; Glossary</w:t>
      </w:r>
    </w:p>
    <w:p>
      <w:pPr>
        <w:tabs>
          <w:tab w:val="right" w:pos="9360" w:leader="dot"/>
        </w:tabs>
        <w:spacing w:after="50" w:line="264"/>
        <w:ind w:left="0"/>
      </w:pPr>
      <w:r>
        <w:rPr>
          <w:b/>
          <w:bCs/>
          <w:color w:val="2B3440"/>
          <w:sz w:val="19"/>
          <w:szCs w:val="19"/>
        </w:rPr>
        <w:t xml:space="preserve">Appendix D — Selected References</w:t>
      </w:r>
    </w:p>
    <w:p>
      <w:pPr>
        <w:pStyle w:val="Heading1"/>
        <w:pageBreakBefore/>
      </w:pPr>
      <w:r>
        <w:rPr>
          <w:rFonts w:ascii="Calibri" w:cs="Calibri" w:eastAsia="Calibri" w:hAnsi="Calibri"/>
          <w:color w:val="1F6F43"/>
          <w:sz w:val="30"/>
          <w:szCs w:val="30"/>
        </w:rPr>
        <w:t xml:space="preserve">1.  Executive Summary</w:t>
      </w:r>
    </w:p>
    <w:p>
      <w:pPr>
        <w:keepNext w:val="false"/>
        <w:spacing w:after="140" w:before="0" w:line="276"/>
        <w:jc w:val="both"/>
      </w:pPr>
      <w:r>
        <w:rPr>
          <w:rFonts w:ascii="Calibri" w:cs="Calibri" w:eastAsia="Calibri" w:hAnsi="Calibri"/>
          <w:color w:val="1A1F25"/>
          <w:sz w:val="21"/>
          <w:szCs w:val="21"/>
        </w:rPr>
        <w:t xml:space="preserve">Biotank is a consumer hardware-and-software system that lets ordinary households convert their own organic waste into usable fuel and electricity. The hardware is a sealed, sensor-instrumented, garage-sized appliance with swappable process modules; the software is a companion platform that monitors each unit, simulates outcomes before a user commits real feedstock, and runs a structured competition in which a distributed community discovers and shares the most efficient fuel recipes. The program’s thesis is that the conversion science is mature, the regulatory path for personal use is navigable, and the unoccupied ground is the integration — a safe, beautiful, app-connected appliance paired with a self-improving community — rather than any single chemical process.</w:t>
      </w:r>
    </w:p>
    <w:p>
      <w:pPr>
        <w:keepNext w:val="false"/>
        <w:spacing w:after="140" w:before="0" w:line="276"/>
        <w:jc w:val="both"/>
      </w:pPr>
      <w:r>
        <w:rPr>
          <w:rFonts w:ascii="Calibri" w:cs="Calibri" w:eastAsia="Calibri" w:hAnsi="Calibri"/>
          <w:color w:val="1A1F25"/>
          <w:sz w:val="21"/>
          <w:szCs w:val="21"/>
        </w:rPr>
        <w:t xml:space="preserve">This document plans the first thirty-six months: from a safety-first engineering prototype, through a supervised household pilot, to a small initial production run and a public software platform. It is written to be executed by a lean founding team and to be legible to the grant programs and investors who will fund it.</w:t>
      </w:r>
    </w:p>
    <w:p>
      <w:pPr>
        <w:pStyle w:val="Heading2"/>
      </w:pPr>
      <w:r>
        <w:rPr>
          <w:rFonts w:ascii="Calibri" w:cs="Calibri" w:eastAsia="Calibri" w:hAnsi="Calibri"/>
          <w:color w:val="2B3440"/>
          <w:sz w:val="25"/>
          <w:szCs w:val="25"/>
        </w:rPr>
        <w:t xml:space="preserve">The opportunity in one page</w:t>
      </w:r>
    </w:p>
    <w:p>
      <w:pPr>
        <w:keepNext w:val="false"/>
        <w:spacing w:after="140" w:before="0" w:line="276"/>
        <w:jc w:val="both"/>
      </w:pPr>
      <w:r>
        <w:rPr>
          <w:rFonts w:ascii="Calibri" w:cs="Calibri" w:eastAsia="Calibri" w:hAnsi="Calibri"/>
          <w:color w:val="1A1F25"/>
          <w:sz w:val="21"/>
          <w:szCs w:val="21"/>
        </w:rPr>
        <w:t xml:space="preserve">Three forces make this the right moment. First, the underlying conversion technologies are individually proven: waste-cooking-oil biodiesel routinely reaches high conversion at bench and small scale, anaerobic digestion of food and animal waste is a century-old technology now sold as consumer appliances, and small biogas generators convert roughly one cubic metre of biogas into about two kilowatt-hours of electricity. Second, United States biofuel policy is unusually supportive in 2026: the Environmental Protection Agency finalized record Renewable Fuel Standard volumes for 2026 and 2027, signalling sustained federal demand for biomass-based fuels. Third, no company occupies the specific niche Biotank targets — a consumer waste-to-fuel appliance integrated with on-site energy use and a community innovation layer. The closest analogues either sell single-process cooking-gas digesters or operate at industrial scale.</w:t>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What “good” looks like at month 36</w:t>
            </w:r>
          </w:p>
          <w:p>
            <w:pPr>
              <w:spacing w:after="0" w:line="264"/>
              <w:jc w:val="left"/>
            </w:pPr>
            <w:r>
              <w:rPr>
                <w:rFonts w:ascii="Calibri" w:cs="Calibri" w:eastAsia="Calibri" w:hAnsi="Calibri"/>
                <w:color w:val="1A1F25"/>
                <w:sz w:val="19"/>
                <w:szCs w:val="19"/>
              </w:rPr>
              <w:t xml:space="preserve">A safety-certified Biotank appliance running at least two mature conversion pathways (anaerobic digestion and waste-oil biodiesel) in real households; a public Biotank Hub with a working simulator, a live recipe competition, and a growing community; a documented, defensible regulatory posture for personal-use production; and enough validated performance data to support either a priced funding round or a deliberate decision to stay lean.</w:t>
            </w:r>
          </w:p>
        </w:tc>
      </w:tr>
    </w:tbl>
    <w:p>
      <w:pPr>
        <w:pStyle w:val="Heading2"/>
      </w:pPr>
      <w:r>
        <w:rPr>
          <w:rFonts w:ascii="Calibri" w:cs="Calibri" w:eastAsia="Calibri" w:hAnsi="Calibri"/>
          <w:color w:val="2B3440"/>
          <w:sz w:val="25"/>
          <w:szCs w:val="25"/>
        </w:rPr>
        <w:t xml:space="preserve">Strategic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4010"/>
        <w:gridCol w:w="3500"/>
      </w:tblGrid>
      <w:tr>
        <w:trPr>
          <w:tblHeader/>
        </w:trPr>
        <w:tc>
          <w:tcPr>
            <w:tcW w:type="dxa" w:w="185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Pillar</w:t>
            </w:r>
          </w:p>
        </w:tc>
        <w:tc>
          <w:tcPr>
            <w:tcW w:type="dxa" w:w="401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What it means</w:t>
            </w:r>
          </w:p>
        </w:tc>
        <w:tc>
          <w:tcPr>
            <w:tcW w:type="dxa" w:w="3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Why it matters</w:t>
            </w:r>
          </w:p>
        </w:tc>
      </w:tr>
      <w:tr>
        <w:tc>
          <w:tcPr>
            <w:tcW w:type="dxa" w:w="18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Safety-first hardware</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Containment, sensing, and interlocks are designed before conversion capacity is added.</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flammable-fuel appliance that is not certified is uninsurable and unsellable. Safety is the product, not a feature.</w:t>
            </w:r>
          </w:p>
        </w:tc>
      </w:tr>
      <w:tr>
        <w:tc>
          <w:tcPr>
            <w:tcW w:type="dxa" w:w="18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as the beachhead</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The Biotank Hub simulator and competition ship before mass hardware.</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validates demand and builds community at a fraction of hardware cost and risk.</w:t>
            </w:r>
          </w:p>
        </w:tc>
      </w:tr>
      <w:tr>
        <w:tc>
          <w:tcPr>
            <w:tcW w:type="dxa" w:w="18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Staged conversion scope</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Start with the two lowest-hazard, most mature pathways; defer pyrolysis and algae.</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Pyrolysis and algae carry hazard and economic problems that would sink an early consumer launch.</w:t>
            </w:r>
          </w:p>
        </w:tc>
      </w:tr>
      <w:tr>
        <w:tc>
          <w:tcPr>
            <w:tcW w:type="dxa" w:w="18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Non-dilutive first</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Pursue SBIR and USDA grants before priced equity.</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Cleantech hardware is roughly twice as capital-intensive as software; grants extend runway and validate technically.</w:t>
            </w:r>
          </w:p>
        </w:tc>
      </w:tr>
      <w:tr>
        <w:tc>
          <w:tcPr>
            <w:tcW w:type="dxa" w:w="18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 moat</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tokenized, lab-verified recipe competition turns users into R&amp;D contributors.</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The accumulating dataset of real-world performance is the durable, hard-to-copy asset.</w:t>
            </w:r>
          </w:p>
        </w:tc>
      </w:tr>
    </w:tbl>
    <w:p>
      <w:pPr>
        <w:spacing w:after="120"/>
      </w:pPr>
      <w:r>
        <w:t xml:space="preserve"/>
      </w:r>
    </w:p>
    <w:p>
      <w:pPr>
        <w:pStyle w:val="Heading2"/>
      </w:pPr>
      <w:r>
        <w:rPr>
          <w:rFonts w:ascii="Calibri" w:cs="Calibri" w:eastAsia="Calibri" w:hAnsi="Calibri"/>
          <w:color w:val="2B3440"/>
          <w:sz w:val="25"/>
          <w:szCs w:val="25"/>
        </w:rPr>
        <w:t xml:space="preserve">The three deliverables this program produces in parallel</w:t>
      </w:r>
    </w:p>
    <w:p>
      <w:pPr>
        <w:keepNext w:val="false"/>
        <w:spacing w:after="140" w:before="0" w:line="276"/>
        <w:jc w:val="both"/>
      </w:pPr>
      <w:r>
        <w:rPr>
          <w:rFonts w:ascii="Calibri" w:cs="Calibri" w:eastAsia="Calibri" w:hAnsi="Calibri"/>
          <w:color w:val="1A1F25"/>
          <w:sz w:val="21"/>
          <w:szCs w:val="21"/>
        </w:rPr>
        <w:t xml:space="preserve">The program is organized around three concrete deliverables that reinforce one another. This plan governs all three and sequences them so that the cheapest, fastest, most de-risking work happens first.</w:t>
      </w:r>
    </w:p>
    <w:p>
      <w:pPr>
        <w:pStyle w:val="ListParagraph"/>
        <w:numPr>
          <w:ilvl w:val="0"/>
          <w:numId w:val="3"/>
        </w:numPr>
        <w:spacing w:after="70" w:line="268"/>
        <w:jc w:val="left"/>
      </w:pPr>
      <w:r>
        <w:rPr>
          <w:rFonts w:ascii="Calibri" w:cs="Calibri" w:eastAsia="Calibri" w:hAnsi="Calibri"/>
          <w:b/>
          <w:bCs/>
          <w:color w:val="1A1F25"/>
          <w:sz w:val="21"/>
          <w:szCs w:val="21"/>
        </w:rPr>
        <w:t xml:space="preserve">The Biotank appliance</w:t>
      </w:r>
      <w:r>
        <w:rPr>
          <w:rFonts w:ascii="Calibri" w:cs="Calibri" w:eastAsia="Calibri" w:hAnsi="Calibri"/>
          <w:color w:val="1A1F25"/>
          <w:sz w:val="21"/>
          <w:szCs w:val="21"/>
        </w:rPr>
        <w:t xml:space="preserve"> — the physical, modular, safety-engineered hardware, advanced through five stage-gates from prototype to a small production run.</w:t>
      </w:r>
    </w:p>
    <w:p>
      <w:pPr>
        <w:pStyle w:val="ListParagraph"/>
        <w:numPr>
          <w:ilvl w:val="0"/>
          <w:numId w:val="3"/>
        </w:numPr>
        <w:spacing w:after="70" w:line="268"/>
        <w:jc w:val="left"/>
      </w:pPr>
      <w:r>
        <w:rPr>
          <w:rFonts w:ascii="Calibri" w:cs="Calibri" w:eastAsia="Calibri" w:hAnsi="Calibri"/>
          <w:b/>
          <w:bCs/>
          <w:color w:val="1A1F25"/>
          <w:sz w:val="21"/>
          <w:szCs w:val="21"/>
        </w:rPr>
        <w:t xml:space="preserve">The Biotank Hub platform</w:t>
      </w:r>
      <w:r>
        <w:rPr>
          <w:rFonts w:ascii="Calibri" w:cs="Calibri" w:eastAsia="Calibri" w:hAnsi="Calibri"/>
          <w:color w:val="1A1F25"/>
          <w:sz w:val="21"/>
          <w:szCs w:val="21"/>
        </w:rPr>
        <w:t xml:space="preserve"> — the simulator, recipe competition, telemetry back end, and community layer, built and launched early to validate demand and seed the community.</w:t>
      </w:r>
    </w:p>
    <w:p>
      <w:pPr>
        <w:pStyle w:val="ListParagraph"/>
        <w:numPr>
          <w:ilvl w:val="0"/>
          <w:numId w:val="3"/>
        </w:numPr>
        <w:spacing w:after="70" w:line="268"/>
        <w:jc w:val="left"/>
      </w:pPr>
      <w:r>
        <w:rPr>
          <w:rFonts w:ascii="Calibri" w:cs="Calibri" w:eastAsia="Calibri" w:hAnsi="Calibri"/>
          <w:b/>
          <w:bCs/>
          <w:color w:val="1A1F25"/>
          <w:sz w:val="21"/>
          <w:szCs w:val="21"/>
        </w:rPr>
        <w:t xml:space="preserve">The evidence base</w:t>
      </w:r>
      <w:r>
        <w:rPr>
          <w:rFonts w:ascii="Calibri" w:cs="Calibri" w:eastAsia="Calibri" w:hAnsi="Calibri"/>
          <w:color w:val="1A1F25"/>
          <w:sz w:val="21"/>
          <w:szCs w:val="21"/>
        </w:rPr>
        <w:t xml:space="preserve"> — a rigorously sourced body of technical, regulatory, and market research that grounds every claim, supports grant and investor diligence, and feeds the simulator’s models.</w:t>
      </w:r>
    </w:p>
    <w:p>
      <w:pPr>
        <w:spacing w:after="60"/>
      </w:pPr>
      <w:r>
        <w:t xml:space="preserve"/>
      </w:r>
    </w:p>
    <w:p>
      <w:pPr>
        <w:pStyle w:val="Heading2"/>
      </w:pPr>
      <w:r>
        <w:rPr>
          <w:rFonts w:ascii="Calibri" w:cs="Calibri" w:eastAsia="Calibri" w:hAnsi="Calibri"/>
          <w:color w:val="2B3440"/>
          <w:sz w:val="25"/>
          <w:szCs w:val="25"/>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Dimension</w:t>
            </w:r>
          </w:p>
        </w:tc>
        <w:tc>
          <w:tcPr>
            <w:tcW w:type="dxa" w:w="3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Plan-of-record figure</w:t>
            </w:r>
          </w:p>
        </w:tc>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Basis / note</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horizon</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36 months (2026–2028)</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Three stage-gated phases.</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Capital to first production</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$10M – $50M (range)</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Order-of-magnitude; cleantech hardware needs ~2× software-equivalent capital.</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Non-dilutive target (Phase 1)</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Up to ~$1.2M</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DOE SBIR Phase I/II plus USDA REAP cost-share.</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Founding core team</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10–15 people</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Plus distributed, incentivized community contributors.</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First-priority pathways</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 (anaerobic digestion, WCO biodiesel)</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Lowest hazard, highest maturity.</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MVP</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Simulator + competition</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Built in Phase 1; the program’s beachhead.</w:t>
            </w:r>
          </w:p>
        </w:tc>
      </w:tr>
    </w:tbl>
    <w:p>
      <w:pPr>
        <w:spacing w:after="120"/>
      </w:pPr>
      <w:r>
        <w:t xml:space="preserve"/>
      </w:r>
    </w:p>
    <w:p>
      <w:pPr>
        <w:pStyle w:val="Heading2"/>
      </w:pPr>
      <w:r>
        <w:rPr>
          <w:rFonts w:ascii="Calibri" w:cs="Calibri" w:eastAsia="Calibri" w:hAnsi="Calibri"/>
          <w:color w:val="2B3440"/>
          <w:sz w:val="25"/>
          <w:szCs w:val="25"/>
        </w:rPr>
        <w:t xml:space="preserve">What the feasibility study concluded — and how this plan responds</w:t>
      </w:r>
    </w:p>
    <w:p>
      <w:pPr>
        <w:keepNext w:val="false"/>
        <w:spacing w:after="140" w:before="0" w:line="276"/>
        <w:jc w:val="both"/>
      </w:pPr>
      <w:r>
        <w:rPr>
          <w:rFonts w:ascii="Calibri" w:cs="Calibri" w:eastAsia="Calibri" w:hAnsi="Calibri"/>
          <w:color w:val="1A1F25"/>
          <w:sz w:val="21"/>
          <w:szCs w:val="21"/>
        </w:rPr>
        <w:t xml:space="preserve">The companion academic deliverable, a techno-economic and systems-design feasibility study, reached a deliberately split verdict that this plan takes as a design input rather than a footnote. As a </w:t>
      </w:r>
      <w:r>
        <w:rPr>
          <w:rFonts w:ascii="Calibri" w:cs="Calibri" w:eastAsia="Calibri" w:hAnsi="Calibri"/>
          <w:i/>
          <w:iCs/>
          <w:color w:val="1A1F25"/>
          <w:sz w:val="21"/>
          <w:szCs w:val="21"/>
        </w:rPr>
        <w:t xml:space="preserve">standalone household fuel producer</w:t>
      </w:r>
      <w:r>
        <w:rPr>
          <w:rFonts w:ascii="Calibri" w:cs="Calibri" w:eastAsia="Calibri" w:hAnsi="Calibri"/>
          <w:color w:val="1A1F25"/>
          <w:sz w:val="21"/>
          <w:szCs w:val="21"/>
        </w:rPr>
        <w:t xml:space="preserve">, Biotank is not feasible under realistic present-day assumptions: the economics are dominated by feedstock cost, the loss of economies of scale (small-scale capital cost of order $500–$12,000 per kW), and an energy return on investment for these fuels (roughly 1.2–2.6) that sits at or below the approximately 3:1 threshold associated with sustainable net energy. As a </w:t>
      </w:r>
      <w:r>
        <w:rPr>
          <w:rFonts w:ascii="Calibri" w:cs="Calibri" w:eastAsia="Calibri" w:hAnsi="Calibri"/>
          <w:i/>
          <w:iCs/>
          <w:color w:val="1A1F25"/>
          <w:sz w:val="21"/>
          <w:szCs w:val="21"/>
        </w:rPr>
        <w:t xml:space="preserve">distributed, community-aggregated, verification-gated waste-valorization system</w:t>
      </w:r>
      <w:r>
        <w:rPr>
          <w:rFonts w:ascii="Calibri" w:cs="Calibri" w:eastAsia="Calibri" w:hAnsi="Calibri"/>
          <w:color w:val="1A1F25"/>
          <w:sz w:val="21"/>
          <w:szCs w:val="21"/>
        </w:rPr>
        <w:t xml:space="preserve">, the concept is conditionally feasible and considerably more defensible: its justification shifts from fuel self-sufficiency to waste diversion and avoided landfill methane, its economics improve through aggregation and the stacking of tipping fees, co-products, and policy credits, and its community layer is supported by strong crowdsourcing precedents.</w:t>
      </w:r>
    </w:p>
    <w:p>
      <w:pPr>
        <w:keepNext w:val="false"/>
        <w:spacing w:after="140" w:before="0" w:line="276"/>
        <w:jc w:val="both"/>
      </w:pPr>
      <w:r>
        <w:rPr>
          <w:rFonts w:ascii="Calibri" w:cs="Calibri" w:eastAsia="Calibri" w:hAnsi="Calibri"/>
          <w:color w:val="1A1F25"/>
          <w:sz w:val="21"/>
          <w:szCs w:val="21"/>
        </w:rPr>
        <w:t xml:space="preserve">This plan responds to that verdict in three concrete ways. It reframes the strategic narrative away from household fuel autarky and toward waste valorization plus community aggregation (Sections 16 and 17). It adopts the study’s five quantitative benchmarks as explicit gate criteria, so that escalation of capital and risk is tied to falsifiable evidence (Section 2.6). And it sharpens the safety and cost workstreams to match the study’s findings on functional-safety standards and on the techno-economics of net energy (Sections 5 and 9).</w:t>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The reframing in one line</w:t>
            </w:r>
          </w:p>
          <w:p>
            <w:pPr>
              <w:spacing w:after="0" w:line="264"/>
              <w:jc w:val="left"/>
            </w:pPr>
            <w:r>
              <w:rPr>
                <w:rFonts w:ascii="Calibri" w:cs="Calibri" w:eastAsia="Calibri" w:hAnsi="Calibri"/>
                <w:color w:val="1A1F25"/>
                <w:sz w:val="19"/>
                <w:szCs w:val="19"/>
              </w:rPr>
              <w:t xml:space="preserve">Biotank’s defensible promise is not “every home makes its own fuel” but “distributed households turn waste into value, safely and verifiably, and improve at it together.” The plan is built to deliver the second, which the evidence supports, rather than the first, which it does not.</w:t>
            </w:r>
          </w:p>
        </w:tc>
      </w:tr>
    </w:tbl>
    <w:p>
      <w:pPr>
        <w:spacing w:after="120"/>
      </w:pPr>
      <w:r>
        <w:t xml:space="preserve"/>
      </w:r>
    </w:p>
    <w:tbl>
      <w:tblPr>
        <w:tblW w:type="dxa" w:w="9360"/>
        <w:tblBorders>
          <w:top w:val="single" w:color="F7E6E4" w:sz="2"/>
          <w:left w:val="single" w:color="9E2B25" w:sz="28"/>
          <w:bottom w:val="single" w:color="F7E6E4" w:sz="2"/>
          <w:right w:val="single" w:color="F7E6E4" w:sz="2"/>
          <w:insideH w:val="single" w:color="auto" w:sz="4"/>
          <w:insideV w:val="single" w:color="auto" w:sz="4"/>
        </w:tblBorders>
      </w:tblPr>
      <w:tblGrid>
        <w:gridCol w:w="9360"/>
      </w:tblGrid>
      <w:tr>
        <w:tc>
          <w:tcPr>
            <w:tcW w:type="dxa" w:w="9360"/>
            <w:shd w:fill="F7E6E4" w:val="clear"/>
            <w:tcMar>
              <w:top w:type="dxa" w:w="120"/>
              <w:left w:type="dxa" w:w="200"/>
              <w:bottom w:type="dxa" w:w="120"/>
              <w:right w:type="dxa" w:w="160"/>
            </w:tcMar>
          </w:tcPr>
          <w:p>
            <w:pPr>
              <w:spacing w:after="60" w:line="264"/>
              <w:jc w:val="left"/>
            </w:pPr>
            <w:r>
              <w:rPr>
                <w:rFonts w:ascii="Calibri" w:cs="Calibri" w:eastAsia="Calibri" w:hAnsi="Calibri"/>
                <w:color w:val="9E2B25"/>
                <w:sz w:val="19"/>
                <w:szCs w:val="19"/>
              </w:rPr>
              <w:t xml:space="preserve">A note on honesty</w:t>
            </w:r>
          </w:p>
          <w:p>
            <w:pPr>
              <w:spacing w:after="0" w:line="264"/>
              <w:jc w:val="left"/>
            </w:pPr>
            <w:r>
              <w:rPr>
                <w:rFonts w:ascii="Calibri" w:cs="Calibri" w:eastAsia="Calibri" w:hAnsi="Calibri"/>
                <w:color w:val="1A1F25"/>
                <w:sz w:val="19"/>
                <w:szCs w:val="19"/>
              </w:rPr>
              <w:t xml:space="preserve">This plan does not pretend the venture is easy. Cleantech hardware has destroyed enormous amounts of capital historically, consumer handling of flammable fuels is a genuine hazard, and several of the conversion pathways in the long-term vision are not yet economical at household scale. The plan’s response is sequencing: do the safe, cheap, validating work first, gate every escalation of risk, and never let ambition outrun evidence. Where the plan relies on emerging or contested facts, it says so.</w:t>
            </w:r>
          </w:p>
        </w:tc>
      </w:tr>
    </w:tbl>
    <w:p>
      <w:pPr>
        <w:pStyle w:val="Heading1"/>
        <w:pageBreakBefore/>
      </w:pPr>
      <w:r>
        <w:rPr>
          <w:rFonts w:ascii="Calibri" w:cs="Calibri" w:eastAsia="Calibri" w:hAnsi="Calibri"/>
          <w:color w:val="1F6F43"/>
          <w:sz w:val="30"/>
          <w:szCs w:val="30"/>
        </w:rPr>
        <w:t xml:space="preserve">2.  Project Charter &amp; Objectives</w:t>
      </w:r>
    </w:p>
    <w:p>
      <w:pPr>
        <w:keepNext w:val="false"/>
        <w:spacing w:after="140" w:before="0" w:line="276"/>
        <w:jc w:val="both"/>
      </w:pPr>
      <w:r>
        <w:rPr>
          <w:rFonts w:ascii="Calibri" w:cs="Calibri" w:eastAsia="Calibri" w:hAnsi="Calibri"/>
          <w:color w:val="1A1F25"/>
          <w:sz w:val="21"/>
          <w:szCs w:val="21"/>
        </w:rPr>
        <w:t xml:space="preserve">The charter authorizes the program, fixes its purpose, and states the conditions under which it succeeds or stops. Everything downstream — scope, schedule, budget, risk response — is accountable to the objectives stated here.</w:t>
      </w:r>
    </w:p>
    <w:p>
      <w:pPr>
        <w:pStyle w:val="Heading2"/>
      </w:pPr>
      <w:r>
        <w:rPr>
          <w:rFonts w:ascii="Calibri" w:cs="Calibri" w:eastAsia="Calibri" w:hAnsi="Calibri"/>
          <w:color w:val="2B3440"/>
          <w:sz w:val="25"/>
          <w:szCs w:val="25"/>
        </w:rPr>
        <w:t xml:space="preserve">2.1  Purpose statement</w:t>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Mission</w:t>
            </w:r>
          </w:p>
          <w:p>
            <w:pPr>
              <w:spacing w:after="0" w:line="264"/>
              <w:jc w:val="left"/>
            </w:pPr>
            <w:r>
              <w:rPr>
                <w:rFonts w:ascii="Calibri" w:cs="Calibri" w:eastAsia="Calibri" w:hAnsi="Calibri"/>
                <w:color w:val="1A1F25"/>
                <w:sz w:val="19"/>
                <w:szCs w:val="19"/>
              </w:rPr>
              <w:t xml:space="preserve">Give households the practical ability to turn their own waste into clean fuel and electricity, safely and beautifully, and to improve at it together — shifting energy production from something done to people by distant infrastructure to something done by people, in their own garages.</w:t>
            </w:r>
          </w:p>
        </w:tc>
      </w:tr>
    </w:tbl>
    <w:p>
      <w:pPr>
        <w:keepNext w:val="false"/>
        <w:spacing w:after="140" w:before="0" w:line="276"/>
        <w:jc w:val="both"/>
      </w:pPr>
      <w:r>
        <w:rPr>
          <w:rFonts w:ascii="Calibri" w:cs="Calibri" w:eastAsia="Calibri" w:hAnsi="Calibri"/>
          <w:color w:val="1A1F25"/>
          <w:sz w:val="21"/>
          <w:szCs w:val="21"/>
        </w:rPr>
        <w:t xml:space="preserve">The mission is deliberately framed around agency rather than ideology. Biotank is not sold as a sacrifice or a virtue; it is sold as capability, savings, and resilience. The marketing language — “make a better world, driven by you” — encodes that the user, not the company, is the protagonist.</w:t>
      </w:r>
    </w:p>
    <w:p>
      <w:pPr>
        <w:pStyle w:val="Heading2"/>
      </w:pPr>
      <w:r>
        <w:rPr>
          <w:rFonts w:ascii="Calibri" w:cs="Calibri" w:eastAsia="Calibri" w:hAnsi="Calibri"/>
          <w:color w:val="2B3440"/>
          <w:sz w:val="25"/>
          <w:szCs w:val="25"/>
        </w:rPr>
        <w:t xml:space="preserve">2.2  Business case in brief</w:t>
      </w:r>
    </w:p>
    <w:p>
      <w:pPr>
        <w:keepNext w:val="false"/>
        <w:spacing w:after="140" w:before="0" w:line="276"/>
        <w:jc w:val="both"/>
      </w:pPr>
      <w:r>
        <w:rPr>
          <w:rFonts w:ascii="Calibri" w:cs="Calibri" w:eastAsia="Calibri" w:hAnsi="Calibri"/>
          <w:color w:val="1A1F25"/>
          <w:sz w:val="21"/>
          <w:szCs w:val="21"/>
        </w:rPr>
        <w:t xml:space="preserve">A household that already produces organic waste and pays retail prices for fuel and grid electricity is, in effect, throwing away an input and overpaying for an output. Biotank closes that loop. The willingness-to-pay comes from three stacked sources of value: lower operating cost over the appliance’s life, energy resilience and independence, and the engagement value of participating in a community of builders. The company captures value through hardware margin, module and consumable sales, and platform services.</w:t>
      </w:r>
    </w:p>
    <w:p>
      <w:pPr>
        <w:keepNext w:val="false"/>
        <w:spacing w:after="140" w:before="0" w:line="276"/>
        <w:jc w:val="both"/>
      </w:pPr>
      <w:r>
        <w:rPr>
          <w:rFonts w:ascii="Calibri" w:cs="Calibri" w:eastAsia="Calibri" w:hAnsi="Calibri"/>
          <w:color w:val="1A1F25"/>
          <w:sz w:val="21"/>
          <w:szCs w:val="21"/>
        </w:rPr>
        <w:t xml:space="preserve">The business case does not rest on the most speculative elements of the long-term vision. It is robust even if the vehicle program never ships and the only products are the appliance and the platform, because the appliance has standalone utility as a waste-to-energy and waste-to-fuel device.</w:t>
      </w:r>
    </w:p>
    <w:p>
      <w:pPr>
        <w:pStyle w:val="Heading2"/>
      </w:pPr>
      <w:r>
        <w:rPr>
          <w:rFonts w:ascii="Calibri" w:cs="Calibri" w:eastAsia="Calibri" w:hAnsi="Calibri"/>
          <w:color w:val="2B3440"/>
          <w:sz w:val="25"/>
          <w:szCs w:val="25"/>
        </w:rPr>
        <w:t xml:space="preserve">2.3  SMART objectives</w:t>
      </w:r>
    </w:p>
    <w:p>
      <w:pPr>
        <w:keepNext w:val="false"/>
        <w:spacing w:after="140" w:before="0" w:line="276"/>
        <w:jc w:val="both"/>
      </w:pPr>
      <w:r>
        <w:rPr>
          <w:rFonts w:ascii="Calibri" w:cs="Calibri" w:eastAsia="Calibri" w:hAnsi="Calibri"/>
          <w:color w:val="1A1F25"/>
          <w:sz w:val="21"/>
          <w:szCs w:val="21"/>
        </w:rPr>
        <w:t xml:space="preserve">The program commits to the following objectives. Each is specific, measurable, and time-bound, and each is traceable to a milestone in Section 7 and a gate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060"/>
        <w:gridCol w:w="1400"/>
      </w:tblGrid>
      <w:tr>
        <w:trPr>
          <w:tblHeader/>
        </w:trPr>
        <w:tc>
          <w:tcPr>
            <w:tcW w:type="dxa" w:w="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t>
            </w:r>
          </w:p>
        </w:tc>
        <w:tc>
          <w:tcPr>
            <w:tcW w:type="dxa" w:w="3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Objective</w:t>
            </w:r>
          </w:p>
        </w:tc>
        <w:tc>
          <w:tcPr>
            <w:tcW w:type="dxa" w:w="40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Measure of success</w:t>
            </w:r>
          </w:p>
        </w:tc>
        <w:tc>
          <w:tcPr>
            <w:tcW w:type="dxa" w:w="14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By</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O1</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Prove the core conversion concept in an instrumented prototype.</w:t>
            </w:r>
          </w:p>
        </w:tc>
        <w:tc>
          <w:tcPr>
            <w:tcW w:type="dxa" w:w="4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controlled bench/garage unit demonstrates anaerobic digestion to a metered gas output and produces a fuel sample, with full sensor logging.</w:t>
            </w:r>
          </w:p>
        </w:tc>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End of Phase 1</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O2</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Launch the Biotank Hub software beachhead.</w:t>
            </w:r>
          </w:p>
        </w:tc>
        <w:tc>
          <w:tcPr>
            <w:tcW w:type="dxa" w:w="4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Public simulator + recipe submission + leaderboard, with an active waitlist for the hardware beta.</w:t>
            </w:r>
          </w:p>
        </w:tc>
        <w:tc>
          <w:tcPr>
            <w:tcW w:type="dxa" w:w="1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End of Phase 1</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O3</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Establish a defensible regulatory posture.</w:t>
            </w:r>
          </w:p>
        </w:tc>
        <w:tc>
          <w:tcPr>
            <w:tcW w:type="dxa" w:w="4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Written legal memo on personal-use production; TTB Alcohol Fuel Producer permit filed; safety-standard path identified.</w:t>
            </w:r>
          </w:p>
        </w:tc>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End of Phase 1</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O4</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Run a supervised household pilot.</w:t>
            </w:r>
          </w:p>
        </w:tc>
        <w:tc>
          <w:tcPr>
            <w:tcW w:type="dxa" w:w="4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10–50 monitored units in real homes for a defined period with lab-verified outputs and zero serious safety incidents.</w:t>
            </w:r>
          </w:p>
        </w:tc>
        <w:tc>
          <w:tcPr>
            <w:tcW w:type="dxa" w:w="1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Mid Phase 2</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O5</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Achieve a safety certification path for the appliance.</w:t>
            </w:r>
          </w:p>
        </w:tc>
        <w:tc>
          <w:tcPr>
            <w:tcW w:type="dxa" w:w="4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Documented progress toward UL/CE listing for the shipping configuration.</w:t>
            </w:r>
          </w:p>
        </w:tc>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End of Phase 2</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O6</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Reach an initial production run.</w:t>
            </w:r>
          </w:p>
        </w:tc>
        <w:tc>
          <w:tcPr>
            <w:tcW w:type="dxa" w:w="4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small, repeatable production batch with quality acceptance and pre-orders fulfilled.</w:t>
            </w:r>
          </w:p>
        </w:tc>
        <w:tc>
          <w:tcPr>
            <w:tcW w:type="dxa" w:w="1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3</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O7</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Demonstrate the community flywheel.</w:t>
            </w:r>
          </w:p>
        </w:tc>
        <w:tc>
          <w:tcPr>
            <w:tcW w:type="dxa" w:w="4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defined number of lab-verified community recipes adopted into the official recipe library.</w:t>
            </w:r>
          </w:p>
        </w:tc>
        <w:tc>
          <w:tcPr>
            <w:tcW w:type="dxa" w:w="1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3</w:t>
            </w:r>
          </w:p>
        </w:tc>
      </w:tr>
    </w:tbl>
    <w:p>
      <w:pPr>
        <w:spacing w:after="120"/>
      </w:pPr>
      <w:r>
        <w:t xml:space="preserve"/>
      </w:r>
    </w:p>
    <w:p>
      <w:pPr>
        <w:pStyle w:val="Heading2"/>
      </w:pPr>
      <w:r>
        <w:rPr>
          <w:rFonts w:ascii="Calibri" w:cs="Calibri" w:eastAsia="Calibri" w:hAnsi="Calibri"/>
          <w:color w:val="2B3440"/>
          <w:sz w:val="25"/>
          <w:szCs w:val="25"/>
        </w:rPr>
        <w:t xml:space="preserve">2.4  Definition of success and definition of failure</w:t>
      </w:r>
    </w:p>
    <w:p>
      <w:pPr>
        <w:keepNext w:val="false"/>
        <w:spacing w:after="140" w:before="0" w:line="276"/>
        <w:jc w:val="both"/>
      </w:pPr>
      <w:r>
        <w:rPr>
          <w:rFonts w:ascii="Calibri" w:cs="Calibri" w:eastAsia="Calibri" w:hAnsi="Calibri"/>
          <w:color w:val="1A1F25"/>
          <w:sz w:val="21"/>
          <w:szCs w:val="21"/>
        </w:rPr>
        <w:t xml:space="preserve">A program of this ambition needs an explicit stopping rule as much as a success target, so that sunk-cost reasoning never drives escalation.</w:t>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Success</w:t>
            </w:r>
          </w:p>
          <w:p>
            <w:pPr>
              <w:spacing w:after="0" w:line="264"/>
              <w:jc w:val="left"/>
            </w:pPr>
            <w:r>
              <w:rPr>
                <w:rFonts w:ascii="Calibri" w:cs="Calibri" w:eastAsia="Calibri" w:hAnsi="Calibri"/>
                <w:color w:val="1A1F25"/>
                <w:sz w:val="19"/>
                <w:szCs w:val="19"/>
              </w:rPr>
              <w:t xml:space="preserve">By month 36, Biotank has a safety-certified appliance running two mature pathways in real households, a public platform with an active community, a defensible regulatory position, and validated performance data sufficient to justify the next capital decision.</w:t>
            </w:r>
          </w:p>
        </w:tc>
      </w:tr>
    </w:tbl>
    <w:tbl>
      <w:tblPr>
        <w:tblW w:type="dxa" w:w="9360"/>
        <w:tblBorders>
          <w:top w:val="single" w:color="F7E6E4" w:sz="2"/>
          <w:left w:val="single" w:color="9E2B25" w:sz="28"/>
          <w:bottom w:val="single" w:color="F7E6E4" w:sz="2"/>
          <w:right w:val="single" w:color="F7E6E4" w:sz="2"/>
          <w:insideH w:val="single" w:color="auto" w:sz="4"/>
          <w:insideV w:val="single" w:color="auto" w:sz="4"/>
        </w:tblBorders>
      </w:tblPr>
      <w:tblGrid>
        <w:gridCol w:w="9360"/>
      </w:tblGrid>
      <w:tr>
        <w:tc>
          <w:tcPr>
            <w:tcW w:type="dxa" w:w="9360"/>
            <w:shd w:fill="F7E6E4" w:val="clear"/>
            <w:tcMar>
              <w:top w:type="dxa" w:w="120"/>
              <w:left w:type="dxa" w:w="200"/>
              <w:bottom w:type="dxa" w:w="120"/>
              <w:right w:type="dxa" w:w="160"/>
            </w:tcMar>
          </w:tcPr>
          <w:p>
            <w:pPr>
              <w:spacing w:after="60" w:line="264"/>
              <w:jc w:val="left"/>
            </w:pPr>
            <w:r>
              <w:rPr>
                <w:rFonts w:ascii="Calibri" w:cs="Calibri" w:eastAsia="Calibri" w:hAnsi="Calibri"/>
                <w:color w:val="9E2B25"/>
                <w:sz w:val="19"/>
                <w:szCs w:val="19"/>
              </w:rPr>
              <w:t xml:space="preserve">Failure / stop conditions</w:t>
            </w:r>
          </w:p>
          <w:p>
            <w:pPr>
              <w:spacing w:after="0" w:line="264"/>
              <w:jc w:val="left"/>
            </w:pPr>
            <w:r>
              <w:rPr>
                <w:rFonts w:ascii="Calibri" w:cs="Calibri" w:eastAsia="Calibri" w:hAnsi="Calibri"/>
                <w:color w:val="1A1F25"/>
                <w:sz w:val="19"/>
                <w:szCs w:val="19"/>
              </w:rPr>
              <w:t xml:space="preserve">The program should pause and reassess — not push through — if any of the following hold at its gate: no viable path to safety certification for a consumer flammable-fuel appliance at acceptable cost; a regulatory finding that personal-use production or the competition’s value transfer is prohibited as designed; or an inability to demonstrate the conversion concept safely in the prototype phase. These are recycle/kill conditions, not motivational hurdles.</w:t>
            </w:r>
          </w:p>
        </w:tc>
      </w:tr>
    </w:tbl>
    <w:p>
      <w:pPr>
        <w:pStyle w:val="Heading2"/>
      </w:pPr>
      <w:r>
        <w:rPr>
          <w:rFonts w:ascii="Calibri" w:cs="Calibri" w:eastAsia="Calibri" w:hAnsi="Calibri"/>
          <w:color w:val="2B3440"/>
          <w:sz w:val="25"/>
          <w:szCs w:val="25"/>
        </w:rPr>
        <w:t xml:space="preserve">2.5  Critical success factors</w:t>
      </w:r>
    </w:p>
    <w:p>
      <w:pPr>
        <w:pStyle w:val="ListParagraph"/>
        <w:numPr>
          <w:ilvl w:val="0"/>
          <w:numId w:val="2"/>
        </w:numPr>
        <w:spacing w:after="70" w:line="268"/>
        <w:jc w:val="left"/>
      </w:pPr>
      <w:r>
        <w:rPr>
          <w:rFonts w:ascii="Calibri" w:cs="Calibri" w:eastAsia="Calibri" w:hAnsi="Calibri"/>
          <w:b/>
          <w:bCs/>
          <w:color w:val="1A1F25"/>
          <w:sz w:val="21"/>
          <w:szCs w:val="21"/>
        </w:rPr>
        <w:t xml:space="preserve">Safety engineering competence on the team from day one</w:t>
      </w:r>
      <w:r>
        <w:rPr>
          <w:rFonts w:ascii="Calibri" w:cs="Calibri" w:eastAsia="Calibri" w:hAnsi="Calibri"/>
          <w:color w:val="1A1F25"/>
          <w:sz w:val="21"/>
          <w:szCs w:val="21"/>
        </w:rPr>
        <w:t xml:space="preserve"> — not retrofitted after a prototype exists.</w:t>
      </w:r>
    </w:p>
    <w:p>
      <w:pPr>
        <w:pStyle w:val="ListParagraph"/>
        <w:numPr>
          <w:ilvl w:val="0"/>
          <w:numId w:val="2"/>
        </w:numPr>
        <w:spacing w:after="70" w:line="268"/>
        <w:jc w:val="left"/>
      </w:pPr>
      <w:r>
        <w:rPr>
          <w:rFonts w:ascii="Calibri" w:cs="Calibri" w:eastAsia="Calibri" w:hAnsi="Calibri"/>
          <w:b/>
          <w:bCs/>
          <w:color w:val="1A1F25"/>
          <w:sz w:val="21"/>
          <w:szCs w:val="21"/>
        </w:rPr>
        <w:t xml:space="preserve">Early and continuous regulatory engagement</w:t>
      </w:r>
      <w:r>
        <w:rPr>
          <w:rFonts w:ascii="Calibri" w:cs="Calibri" w:eastAsia="Calibri" w:hAnsi="Calibri"/>
          <w:color w:val="1A1F25"/>
          <w:sz w:val="21"/>
          <w:szCs w:val="21"/>
        </w:rPr>
        <w:t xml:space="preserve"> — treating EPA, TTB, fire code, and insurance as design inputs rather than launch-day surprises.</w:t>
      </w:r>
    </w:p>
    <w:p>
      <w:pPr>
        <w:pStyle w:val="ListParagraph"/>
        <w:numPr>
          <w:ilvl w:val="0"/>
          <w:numId w:val="2"/>
        </w:numPr>
        <w:spacing w:after="70" w:line="268"/>
        <w:jc w:val="left"/>
      </w:pPr>
      <w:r>
        <w:rPr>
          <w:rFonts w:ascii="Calibri" w:cs="Calibri" w:eastAsia="Calibri" w:hAnsi="Calibri"/>
          <w:b/>
          <w:bCs/>
          <w:color w:val="1A1F25"/>
          <w:sz w:val="21"/>
          <w:szCs w:val="21"/>
        </w:rPr>
        <w:t xml:space="preserve">Disciplined scope sequencing</w:t>
      </w:r>
      <w:r>
        <w:rPr>
          <w:rFonts w:ascii="Calibri" w:cs="Calibri" w:eastAsia="Calibri" w:hAnsi="Calibri"/>
          <w:color w:val="1A1F25"/>
          <w:sz w:val="21"/>
          <w:szCs w:val="21"/>
        </w:rPr>
        <w:t xml:space="preserve"> — resisting the temptation to build every conversion pathway at once.</w:t>
      </w:r>
    </w:p>
    <w:p>
      <w:pPr>
        <w:pStyle w:val="ListParagraph"/>
        <w:numPr>
          <w:ilvl w:val="0"/>
          <w:numId w:val="2"/>
        </w:numPr>
        <w:spacing w:after="70" w:line="268"/>
        <w:jc w:val="left"/>
      </w:pPr>
      <w:r>
        <w:rPr>
          <w:rFonts w:ascii="Calibri" w:cs="Calibri" w:eastAsia="Calibri" w:hAnsi="Calibri"/>
          <w:b/>
          <w:bCs/>
          <w:color w:val="1A1F25"/>
          <w:sz w:val="21"/>
          <w:szCs w:val="21"/>
        </w:rPr>
        <w:t xml:space="preserve">A software platform that earns community trust</w:t>
      </w:r>
      <w:r>
        <w:rPr>
          <w:rFonts w:ascii="Calibri" w:cs="Calibri" w:eastAsia="Calibri" w:hAnsi="Calibri"/>
          <w:color w:val="1A1F25"/>
          <w:sz w:val="21"/>
          <w:szCs w:val="21"/>
        </w:rPr>
        <w:t xml:space="preserve"> — transparent scoring, real verification, and rewards that feel fair.</w:t>
      </w:r>
    </w:p>
    <w:p>
      <w:pPr>
        <w:pStyle w:val="ListParagraph"/>
        <w:numPr>
          <w:ilvl w:val="0"/>
          <w:numId w:val="2"/>
        </w:numPr>
        <w:spacing w:after="70" w:line="268"/>
        <w:jc w:val="left"/>
      </w:pPr>
      <w:r>
        <w:rPr>
          <w:rFonts w:ascii="Calibri" w:cs="Calibri" w:eastAsia="Calibri" w:hAnsi="Calibri"/>
          <w:b/>
          <w:bCs/>
          <w:color w:val="1A1F25"/>
          <w:sz w:val="21"/>
          <w:szCs w:val="21"/>
        </w:rPr>
        <w:t xml:space="preserve">Capital efficiency</w:t>
      </w:r>
      <w:r>
        <w:rPr>
          <w:rFonts w:ascii="Calibri" w:cs="Calibri" w:eastAsia="Calibri" w:hAnsi="Calibri"/>
          <w:color w:val="1A1F25"/>
          <w:sz w:val="21"/>
          <w:szCs w:val="21"/>
        </w:rPr>
        <w:t xml:space="preserve"> — extending runway with non-dilutive funding and proving value before expensive scale-up.</w:t>
      </w:r>
    </w:p>
    <w:p>
      <w:pPr>
        <w:pStyle w:val="Heading2"/>
      </w:pPr>
      <w:r>
        <w:rPr>
          <w:rFonts w:ascii="Calibri" w:cs="Calibri" w:eastAsia="Calibri" w:hAnsi="Calibri"/>
          <w:color w:val="2B3440"/>
          <w:sz w:val="25"/>
          <w:szCs w:val="25"/>
        </w:rPr>
        <w:t xml:space="preserve">2.6  Feasibility benchmarks as gate criteria</w:t>
      </w:r>
    </w:p>
    <w:p>
      <w:pPr>
        <w:keepNext w:val="false"/>
        <w:spacing w:after="140" w:before="0" w:line="276"/>
        <w:jc w:val="both"/>
      </w:pPr>
      <w:r>
        <w:rPr>
          <w:rFonts w:ascii="Calibri" w:cs="Calibri" w:eastAsia="Calibri" w:hAnsi="Calibri"/>
          <w:color w:val="1A1F25"/>
          <w:sz w:val="21"/>
          <w:szCs w:val="21"/>
        </w:rPr>
        <w:t xml:space="preserve">The companion feasibility study identified five quantitative benchmarks whose satisfaction would shift the case for a distributed Biotank from unfavorable toward favorable. This plan adopts them directly as objective, falsifiable gate criteria: they are the evidence the steering group weighs when deciding whether to escalate capital and risk at the gates defined in Section 8. Treating them as gate criteria is the mechanism that keeps the program honest — each escalation must be earned with measured data, not asserted with optimism.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660"/>
        <w:gridCol w:w="1600"/>
      </w:tblGrid>
      <w:tr>
        <w:trPr>
          <w:tblHeader/>
        </w:trPr>
        <w:tc>
          <w:tcPr>
            <w:tcW w:type="dxa" w:w="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t>
            </w:r>
          </w:p>
        </w:tc>
        <w:tc>
          <w:tcPr>
            <w:tcW w:type="dxa" w:w="3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Benchmark</w:t>
            </w:r>
          </w:p>
        </w:tc>
        <w:tc>
          <w:tcPr>
            <w:tcW w:type="dxa" w:w="36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Threshold to clear</w:t>
            </w:r>
          </w:p>
        </w:tc>
        <w:tc>
          <w:tcPr>
            <w:tcW w:type="dxa" w:w="1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Gate</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B1</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Installed capital cost of a home/modular unit</w:t>
            </w:r>
          </w:p>
        </w:tc>
        <w:tc>
          <w:tcPr>
            <w:tcW w:type="dxa" w:w="36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Below ~$1,500 per kW</w:t>
            </w:r>
          </w:p>
        </w:tc>
        <w:tc>
          <w:tcPr>
            <w:tcW w:type="dxa" w:w="1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G4 → G5</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B2</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Feedstock cost plus value capture</w:t>
            </w:r>
          </w:p>
        </w:tc>
        <w:tc>
          <w:tcPr>
            <w:tcW w:type="dxa" w:w="36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Effectively free feedstock and capture of tipping-fee or clean-fuel-credit value</w:t>
            </w:r>
          </w:p>
        </w:tc>
        <w:tc>
          <w:tcPr>
            <w:tcW w:type="dxa" w:w="1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G2 → G4</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B3</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Verified field energy return on investment (EROI)</w:t>
            </w:r>
          </w:p>
        </w:tc>
        <w:tc>
          <w:tcPr>
            <w:tcW w:type="dxa" w:w="36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Greater than 3 : 1 after parasitic loads</w:t>
            </w:r>
          </w:p>
        </w:tc>
        <w:tc>
          <w:tcPr>
            <w:tcW w:type="dxa" w:w="1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G4</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B4</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Functional-safety case for hazardous functions</w:t>
            </w:r>
          </w:p>
        </w:tc>
        <w:tc>
          <w:tcPr>
            <w:tcW w:type="dxa" w:w="36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SIL-2 or better, with certified hazardous-area gas detection</w:t>
            </w:r>
          </w:p>
        </w:tc>
        <w:tc>
          <w:tcPr>
            <w:tcW w:type="dxa" w:w="1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G3 → G4</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B5</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Deployed digital-twin / ML yield prediction</w:t>
            </w:r>
          </w:p>
        </w:tc>
        <w:tc>
          <w:tcPr>
            <w:tcW w:type="dxa" w:w="36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R² greater than 0.9 in fielded units</w:t>
            </w:r>
          </w:p>
        </w:tc>
        <w:tc>
          <w:tcPr>
            <w:tcW w:type="dxa" w:w="1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G4 → G5</w:t>
            </w:r>
          </w:p>
        </w:tc>
      </w:tr>
    </w:tbl>
    <w:p>
      <w:pPr>
        <w:spacing w:after="80"/>
      </w:pPr>
      <w:r>
        <w:t xml:space="preserve"/>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How the benchmarks bind</w:t>
            </w:r>
          </w:p>
          <w:p>
            <w:pPr>
              <w:spacing w:after="0" w:line="264"/>
              <w:jc w:val="left"/>
            </w:pPr>
            <w:r>
              <w:rPr>
                <w:rFonts w:ascii="Calibri" w:cs="Calibri" w:eastAsia="Calibri" w:hAnsi="Calibri"/>
                <w:color w:val="1A1F25"/>
                <w:sz w:val="19"/>
                <w:szCs w:val="19"/>
              </w:rPr>
              <w:t xml:space="preserve">These thresholds are not aspirations printed for effect; they are pass/fail conditions attached to specific gates. If, for example, verified field EROI cannot be brought above 3:1 (B3), the program does not proceed to production on the assumption it will improve later — it returns a Recycle or Hold at the gate and addresses the deficiency, exactly as the stop conditions in Section 2.4 require.</w:t>
            </w:r>
          </w:p>
        </w:tc>
      </w:tr>
    </w:tbl>
    <w:p>
      <w:pPr>
        <w:pStyle w:val="Heading1"/>
        <w:pageBreakBefore/>
      </w:pPr>
      <w:r>
        <w:rPr>
          <w:rFonts w:ascii="Calibri" w:cs="Calibri" w:eastAsia="Calibri" w:hAnsi="Calibri"/>
          <w:color w:val="1F6F43"/>
          <w:sz w:val="30"/>
          <w:szCs w:val="30"/>
        </w:rPr>
        <w:t xml:space="preserve">3.  Scope Management &amp; Work Breakdown Structure</w:t>
      </w:r>
    </w:p>
    <w:p>
      <w:pPr>
        <w:keepNext w:val="false"/>
        <w:spacing w:after="140" w:before="0" w:line="276"/>
        <w:jc w:val="both"/>
      </w:pPr>
      <w:r>
        <w:rPr>
          <w:rFonts w:ascii="Calibri" w:cs="Calibri" w:eastAsia="Calibri" w:hAnsi="Calibri"/>
          <w:color w:val="1A1F25"/>
          <w:sz w:val="21"/>
          <w:szCs w:val="21"/>
        </w:rPr>
        <w:t xml:space="preserve">Scope management protects the program from the two failure modes that most often sink hardware ventures: building too much before validating anything, and quietly expanding the definition of “done” until the budget is gone. This section fixes what is in, what is explicitly out, and how the total work decomposes.</w:t>
      </w:r>
    </w:p>
    <w:p>
      <w:pPr>
        <w:pStyle w:val="Heading2"/>
      </w:pPr>
      <w:r>
        <w:rPr>
          <w:rFonts w:ascii="Calibri" w:cs="Calibri" w:eastAsia="Calibri" w:hAnsi="Calibri"/>
          <w:color w:val="2B3440"/>
          <w:sz w:val="25"/>
          <w:szCs w:val="25"/>
        </w:rPr>
        <w:t xml:space="preserve">3.1  In scope</w:t>
      </w:r>
    </w:p>
    <w:p>
      <w:pPr>
        <w:pStyle w:val="ListParagraph"/>
        <w:numPr>
          <w:ilvl w:val="0"/>
          <w:numId w:val="2"/>
        </w:numPr>
        <w:spacing w:after="70" w:line="268"/>
        <w:jc w:val="left"/>
      </w:pPr>
      <w:r>
        <w:rPr>
          <w:rFonts w:ascii="Calibri" w:cs="Calibri" w:eastAsia="Calibri" w:hAnsi="Calibri"/>
          <w:color w:val="1A1F25"/>
          <w:sz w:val="21"/>
          <w:szCs w:val="21"/>
        </w:rPr>
        <w:t xml:space="preserve">Design, prototyping, and small-batch production of the Biotank appliance for the two first-priority conversion pathways (anaerobic digestion and waste-cooking-oil biodiesel), with a modular architecture that </w:t>
      </w:r>
      <w:r>
        <w:rPr>
          <w:rFonts w:ascii="Calibri" w:cs="Calibri" w:eastAsia="Calibri" w:hAnsi="Calibri"/>
          <w:i/>
          <w:iCs/>
          <w:color w:val="1A1F25"/>
          <w:sz w:val="21"/>
          <w:szCs w:val="21"/>
        </w:rPr>
        <w:t xml:space="preserve">allows</w:t>
      </w:r>
      <w:r>
        <w:rPr>
          <w:rFonts w:ascii="Calibri" w:cs="Calibri" w:eastAsia="Calibri" w:hAnsi="Calibri"/>
          <w:color w:val="1A1F25"/>
          <w:sz w:val="21"/>
          <w:szCs w:val="21"/>
        </w:rPr>
        <w:t xml:space="preserve"> later pathways without committing to them now.</w:t>
      </w:r>
    </w:p>
    <w:p>
      <w:pPr>
        <w:pStyle w:val="ListParagraph"/>
        <w:numPr>
          <w:ilvl w:val="0"/>
          <w:numId w:val="2"/>
        </w:numPr>
        <w:spacing w:after="70" w:line="268"/>
        <w:jc w:val="left"/>
      </w:pPr>
      <w:r>
        <w:rPr>
          <w:rFonts w:ascii="Calibri" w:cs="Calibri" w:eastAsia="Calibri" w:hAnsi="Calibri"/>
          <w:color w:val="1A1F25"/>
          <w:sz w:val="21"/>
          <w:szCs w:val="21"/>
        </w:rPr>
        <w:t xml:space="preserve">The embedded control system: sensors, microcontroller/PLC logic, safety interlocks, and telemetry.</w:t>
      </w:r>
    </w:p>
    <w:p>
      <w:pPr>
        <w:pStyle w:val="ListParagraph"/>
        <w:numPr>
          <w:ilvl w:val="0"/>
          <w:numId w:val="2"/>
        </w:numPr>
        <w:spacing w:after="70" w:line="268"/>
        <w:jc w:val="left"/>
      </w:pPr>
      <w:r>
        <w:rPr>
          <w:rFonts w:ascii="Calibri" w:cs="Calibri" w:eastAsia="Calibri" w:hAnsi="Calibri"/>
          <w:color w:val="1A1F25"/>
          <w:sz w:val="21"/>
          <w:szCs w:val="21"/>
        </w:rPr>
        <w:t xml:space="preserve">The Biotank Hub platform: simulator, recipe submission and scoring, leaderboard and competition mechanics, community feed, telemetry back end, and the token/reward layer (initially as utility/testnet).</w:t>
      </w:r>
    </w:p>
    <w:p>
      <w:pPr>
        <w:pStyle w:val="ListParagraph"/>
        <w:numPr>
          <w:ilvl w:val="0"/>
          <w:numId w:val="2"/>
        </w:numPr>
        <w:spacing w:after="70" w:line="268"/>
        <w:jc w:val="left"/>
      </w:pPr>
      <w:r>
        <w:rPr>
          <w:rFonts w:ascii="Calibri" w:cs="Calibri" w:eastAsia="Calibri" w:hAnsi="Calibri"/>
          <w:color w:val="1A1F25"/>
          <w:sz w:val="21"/>
          <w:szCs w:val="21"/>
        </w:rPr>
        <w:t xml:space="preserve">A supervised household pilot, including instrumentation, lab verification of outputs, and incident monitoring.</w:t>
      </w:r>
    </w:p>
    <w:p>
      <w:pPr>
        <w:pStyle w:val="ListParagraph"/>
        <w:numPr>
          <w:ilvl w:val="0"/>
          <w:numId w:val="2"/>
        </w:numPr>
        <w:spacing w:after="70" w:line="268"/>
        <w:jc w:val="left"/>
      </w:pPr>
      <w:r>
        <w:rPr>
          <w:rFonts w:ascii="Calibri" w:cs="Calibri" w:eastAsia="Calibri" w:hAnsi="Calibri"/>
          <w:color w:val="1A1F25"/>
          <w:sz w:val="21"/>
          <w:szCs w:val="21"/>
        </w:rPr>
        <w:t xml:space="preserve">The regulatory and safety workstream: legal analysis, permit filings, and progress toward appliance certification.</w:t>
      </w:r>
    </w:p>
    <w:p>
      <w:pPr>
        <w:pStyle w:val="ListParagraph"/>
        <w:numPr>
          <w:ilvl w:val="0"/>
          <w:numId w:val="2"/>
        </w:numPr>
        <w:spacing w:after="70" w:line="268"/>
        <w:jc w:val="left"/>
      </w:pPr>
      <w:r>
        <w:rPr>
          <w:rFonts w:ascii="Calibri" w:cs="Calibri" w:eastAsia="Calibri" w:hAnsi="Calibri"/>
          <w:color w:val="1A1F25"/>
          <w:sz w:val="21"/>
          <w:szCs w:val="21"/>
        </w:rPr>
        <w:t xml:space="preserve">The research and evidence base that grounds the technical models, grant applications, and investor materials.</w:t>
      </w:r>
    </w:p>
    <w:p>
      <w:pPr>
        <w:pStyle w:val="Heading2"/>
      </w:pPr>
      <w:r>
        <w:rPr>
          <w:rFonts w:ascii="Calibri" w:cs="Calibri" w:eastAsia="Calibri" w:hAnsi="Calibri"/>
          <w:color w:val="2B3440"/>
          <w:sz w:val="25"/>
          <w:szCs w:val="25"/>
        </w:rPr>
        <w:t xml:space="preserve">3.2  Explicitly out of scope (for this 36-month plan)</w:t>
      </w:r>
    </w:p>
    <w:p>
      <w:pPr>
        <w:keepNext w:val="false"/>
        <w:spacing w:after="140" w:before="0" w:line="276"/>
        <w:jc w:val="both"/>
      </w:pPr>
      <w:r>
        <w:rPr>
          <w:rFonts w:ascii="Calibri" w:cs="Calibri" w:eastAsia="Calibri" w:hAnsi="Calibri"/>
          <w:color w:val="1A1F25"/>
          <w:sz w:val="21"/>
          <w:szCs w:val="21"/>
        </w:rPr>
        <w:t xml:space="preserve">The following are part of the long-term vision but are deliberately excluded from the current plan. Excluding them is a feature: it keeps the program focused and honest. Each can re-enter scope only through formal change control (Section 19) after its preconditions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Out of scope now</w:t>
            </w:r>
          </w:p>
        </w:tc>
        <w:tc>
          <w:tcPr>
            <w:tcW w:type="dxa" w:w="40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Why deferred</w:t>
            </w:r>
          </w:p>
        </w:tc>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Precondition to reconsider</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At-home pyrolysis module</w:t>
            </w:r>
          </w:p>
        </w:tc>
        <w:tc>
          <w:tcPr>
            <w:tcW w:type="dxa" w:w="4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Carcinogenic aromatics and (with mixed plastics) halogenated gases make residential permitting and safety extremely hard.</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validated emission-control module and a clear air-permit pathway, or a licensed off-site hub model.</w:t>
            </w:r>
          </w:p>
        </w:tc>
      </w:tr>
      <w:tr>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Algae cultivation module</w:t>
            </w:r>
          </w:p>
        </w:tc>
        <w:tc>
          <w:tcPr>
            <w:tcW w:type="dxa" w:w="4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Not technoeconomically viable at consumer scale; cost-per-gallon precedents are an order of magnitude above gasoline.</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credible cost breakthrough and a simple, low-energy lipid-extraction method.</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Full consumer vehicle manufacturing</w:t>
            </w:r>
          </w:p>
        </w:tc>
        <w:tc>
          <w:tcPr>
            <w:tcW w:type="dxa" w:w="4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Vehicle development needs roughly an order of magnitude more capital and years more time than a startup of this size can absorb early.</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Successful appliance and platform, plus a licensing or partnership route to a proven vehicle platform.</w:t>
            </w:r>
          </w:p>
        </w:tc>
      </w:tr>
      <w:tr>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On-board (in-vehicle) bioreactors</w:t>
            </w:r>
          </w:p>
        </w:tc>
        <w:tc>
          <w:tcPr>
            <w:tcW w:type="dxa" w:w="4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 weight, and variable-feedstock handling make in-vehicle processing impractical.</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Not anticipated; the stationary-appliance architecture is the deliberate alternative.</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International distribution</w:t>
            </w:r>
          </w:p>
        </w:tc>
        <w:tc>
          <w:tcPr>
            <w:tcW w:type="dxa" w:w="4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Regulatory and certification regimes differ by country and would dilute focus.</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proven domestic model and a target market with a clear regulatory fit.</w:t>
            </w:r>
          </w:p>
        </w:tc>
      </w:tr>
    </w:tbl>
    <w:p>
      <w:pPr>
        <w:spacing w:after="120"/>
      </w:pPr>
      <w:r>
        <w:t xml:space="preserve"/>
      </w:r>
    </w:p>
    <w:p>
      <w:pPr>
        <w:pStyle w:val="Heading2"/>
      </w:pPr>
      <w:r>
        <w:rPr>
          <w:rFonts w:ascii="Calibri" w:cs="Calibri" w:eastAsia="Calibri" w:hAnsi="Calibri"/>
          <w:color w:val="2B3440"/>
          <w:sz w:val="25"/>
          <w:szCs w:val="25"/>
        </w:rPr>
        <w:t xml:space="preserve">3.3  Work Breakdown Structure (WBS)</w:t>
      </w:r>
    </w:p>
    <w:p>
      <w:pPr>
        <w:keepNext w:val="false"/>
        <w:spacing w:after="140" w:before="0" w:line="276"/>
        <w:jc w:val="both"/>
      </w:pPr>
      <w:r>
        <w:rPr>
          <w:rFonts w:ascii="Calibri" w:cs="Calibri" w:eastAsia="Calibri" w:hAnsi="Calibri"/>
          <w:color w:val="1A1F25"/>
          <w:sz w:val="21"/>
          <w:szCs w:val="21"/>
        </w:rPr>
        <w:t xml:space="preserve">The program decomposes into nine top-level work packages. Each is owned by a named role (Section 11 and Appendix A) and produces defined deliverables (Appendix B). The numbering here is the canonical reference used throughout the schedule, budget, and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60"/>
        <w:gridCol w:w="5200"/>
      </w:tblGrid>
      <w:tr>
        <w:trPr>
          <w:tblHeader/>
        </w:trPr>
        <w:tc>
          <w:tcPr>
            <w:tcW w:type="dxa" w:w="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WBS</w:t>
            </w:r>
          </w:p>
        </w:tc>
        <w:tc>
          <w:tcPr>
            <w:tcW w:type="dxa" w:w="32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Work package</w:t>
            </w:r>
          </w:p>
        </w:tc>
        <w:tc>
          <w:tcPr>
            <w:tcW w:type="dxa" w:w="52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Representative sub-deliverables</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Management</w:t>
            </w:r>
          </w:p>
        </w:tc>
        <w:tc>
          <w:tcPr>
            <w:tcW w:type="dxa" w:w="5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Charter, this plan, gate reviews, status reporting, change log, closeout.</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2.0</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Research &amp; Evidence Base</w:t>
            </w:r>
          </w:p>
        </w:tc>
        <w:tc>
          <w:tcPr>
            <w:tcW w:type="dxa" w:w="5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Technical literature synthesis, regulatory analysis, market and competitor analysis, model parameter library.</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Hardware — Core Chassis &amp; Containment</w:t>
            </w:r>
          </w:p>
        </w:tc>
        <w:tc>
          <w:tcPr>
            <w:tcW w:type="dxa" w:w="5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Sealed base chassis, secondary containment, ventilation design, enclosure, thermal/fire bulkheads.</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4.0</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Hardware — Conversion Modules</w:t>
            </w:r>
          </w:p>
        </w:tc>
        <w:tc>
          <w:tcPr>
            <w:tcW w:type="dxa" w:w="5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Anaerobic digestion module; transesterification (biodiesel) module; fermentation port; module interfaces.</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5.0</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Hardware — Sensing, Controls &amp; Safety</w:t>
            </w:r>
          </w:p>
        </w:tc>
        <w:tc>
          <w:tcPr>
            <w:tcW w:type="dxa" w:w="5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Gas/CO/vapor sensing, pH/temp/level/flow/pressure, PLC/MCU control logic, interlocks, emergency stop, generator interface.</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6.0</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 Biotank Hub</w:t>
            </w:r>
          </w:p>
        </w:tc>
        <w:tc>
          <w:tcPr>
            <w:tcW w:type="dxa" w:w="5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Simulator, recipe engine and scoring, leaderboard/competition, community feed, telemetry back end, token/reward layer.</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7.0</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&amp; Field Operations</w:t>
            </w:r>
          </w:p>
        </w:tc>
        <w:tc>
          <w:tcPr>
            <w:tcW w:type="dxa" w:w="5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site selection, instrumentation, lab-verification partnership, incident monitoring, data collection.</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8.0</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Regulatory, Safety &amp; Compliance</w:t>
            </w:r>
          </w:p>
        </w:tc>
        <w:tc>
          <w:tcPr>
            <w:tcW w:type="dxa" w:w="5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Legal memos, TTB/EPA filings, fire-code and insurance engagement, certification roadmap.</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9.0</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Go-to-Market &amp; Community</w:t>
            </w:r>
          </w:p>
        </w:tc>
        <w:tc>
          <w:tcPr>
            <w:tcW w:type="dxa" w:w="5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Brand and messaging, content and influencer plan, waitlist, pre-orders, community governance.</w:t>
            </w:r>
          </w:p>
        </w:tc>
      </w:tr>
    </w:tbl>
    <w:p>
      <w:pPr>
        <w:spacing w:after="120"/>
      </w:pPr>
      <w:r>
        <w:t xml:space="preserve"/>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WBS dictionary</w:t>
            </w:r>
          </w:p>
          <w:p>
            <w:pPr>
              <w:spacing w:after="0" w:line="264"/>
              <w:jc w:val="left"/>
            </w:pPr>
            <w:r>
              <w:rPr>
                <w:rFonts w:ascii="Calibri" w:cs="Calibri" w:eastAsia="Calibri" w:hAnsi="Calibri"/>
                <w:color w:val="1A1F25"/>
                <w:sz w:val="19"/>
                <w:szCs w:val="19"/>
              </w:rPr>
              <w:t xml:space="preserve">Each work package has a one-page dictionary entry (maintained separately) recording its scope statement, owner, entry and exit criteria, dependencies, and acceptance tests. Appendix B lists the deliverables those entries produce. The dictionary is the contract between the program and each workstream lead.</w:t>
            </w:r>
          </w:p>
        </w:tc>
      </w:tr>
    </w:tbl>
    <w:p>
      <w:pPr>
        <w:pStyle w:val="Heading2"/>
      </w:pPr>
      <w:r>
        <w:rPr>
          <w:rFonts w:ascii="Calibri" w:cs="Calibri" w:eastAsia="Calibri" w:hAnsi="Calibri"/>
          <w:color w:val="2B3440"/>
          <w:sz w:val="25"/>
          <w:szCs w:val="25"/>
        </w:rPr>
        <w:t xml:space="preserve">3.4  Scope decomposition logic</w:t>
      </w:r>
    </w:p>
    <w:p>
      <w:pPr>
        <w:keepNext w:val="false"/>
        <w:spacing w:after="140" w:before="0" w:line="276"/>
        <w:jc w:val="both"/>
      </w:pPr>
      <w:r>
        <w:rPr>
          <w:rFonts w:ascii="Calibri" w:cs="Calibri" w:eastAsia="Calibri" w:hAnsi="Calibri"/>
          <w:color w:val="1A1F25"/>
          <w:sz w:val="21"/>
          <w:szCs w:val="21"/>
        </w:rPr>
        <w:t xml:space="preserve">The WBS separates the hardware into three packages — chassis/containment (3.0), conversion modules (4.0), and sensing/controls/safety (5.0) — for a deliberate reason that mirrors the program’s safety thesis. Containment and sensing (3.0 and 5.0) are developed and validated </w:t>
      </w:r>
      <w:r>
        <w:rPr>
          <w:rFonts w:ascii="Calibri" w:cs="Calibri" w:eastAsia="Calibri" w:hAnsi="Calibri"/>
          <w:i/>
          <w:iCs/>
          <w:color w:val="1A1F25"/>
          <w:sz w:val="21"/>
          <w:szCs w:val="21"/>
        </w:rPr>
        <w:t xml:space="preserve">before</w:t>
      </w:r>
      <w:r>
        <w:rPr>
          <w:rFonts w:ascii="Calibri" w:cs="Calibri" w:eastAsia="Calibri" w:hAnsi="Calibri"/>
          <w:color w:val="1A1F25"/>
          <w:sz w:val="21"/>
          <w:szCs w:val="21"/>
        </w:rPr>
        <w:t xml:space="preserve"> conversion capacity (4.0) is added. In other words, the program builds the safe box and its nervous system first, and only then installs the chemistry. This ordering is reflected in the schedule and is a hard rule, not a preference.</w:t>
      </w:r>
    </w:p>
    <w:p>
      <w:pPr>
        <w:pStyle w:val="Heading1"/>
        <w:pageBreakBefore/>
      </w:pPr>
      <w:r>
        <w:rPr>
          <w:rFonts w:ascii="Calibri" w:cs="Calibri" w:eastAsia="Calibri" w:hAnsi="Calibri"/>
          <w:color w:val="1F6F43"/>
          <w:sz w:val="30"/>
          <w:szCs w:val="30"/>
        </w:rPr>
        <w:t xml:space="preserve">4.  Product Architecture: What We Are Actually Building</w:t>
      </w:r>
    </w:p>
    <w:p>
      <w:pPr>
        <w:keepNext w:val="false"/>
        <w:spacing w:after="140" w:before="0" w:line="276"/>
        <w:jc w:val="both"/>
      </w:pPr>
      <w:r>
        <w:rPr>
          <w:rFonts w:ascii="Calibri" w:cs="Calibri" w:eastAsia="Calibri" w:hAnsi="Calibri"/>
          <w:color w:val="1A1F25"/>
          <w:sz w:val="21"/>
          <w:szCs w:val="21"/>
        </w:rPr>
        <w:t xml:space="preserve">Before planning how to build Biotank, the plan fixes what Biotank is at a technical level, so that schedule, budget, and risk all reference a concrete object rather than a marketing image. This section is the engineering anchor for the rest of the document.</w:t>
      </w:r>
    </w:p>
    <w:p>
      <w:pPr>
        <w:pStyle w:val="Heading2"/>
      </w:pPr>
      <w:r>
        <w:rPr>
          <w:rFonts w:ascii="Calibri" w:cs="Calibri" w:eastAsia="Calibri" w:hAnsi="Calibri"/>
          <w:color w:val="2B3440"/>
          <w:sz w:val="25"/>
          <w:szCs w:val="25"/>
        </w:rPr>
        <w:t xml:space="preserve">4.1  The appliance at a glance</w:t>
      </w:r>
    </w:p>
    <w:p>
      <w:pPr>
        <w:keepNext w:val="false"/>
        <w:spacing w:after="140" w:before="0" w:line="276"/>
        <w:jc w:val="both"/>
      </w:pPr>
      <w:r>
        <w:rPr>
          <w:rFonts w:ascii="Calibri" w:cs="Calibri" w:eastAsia="Calibri" w:hAnsi="Calibri"/>
          <w:color w:val="1A1F25"/>
          <w:sz w:val="21"/>
          <w:szCs w:val="21"/>
        </w:rPr>
        <w:t xml:space="preserve">Biotank is a stationary, modular bioreactor appliance sized to live in a standard garage, carport, or shed. It accepts household organic waste, routes it to the appropriate process module, and produces drop-in biofuel plus optional on-site electricity through a small generator interface. It is sealed, sensor-instrumented, quiet, and app-connected. The design intent is that a non-specialist can own and operate it safely — the difference between Biotank and a barrel-and-hose backyard rig is the same as the difference between a modern dishwasher and washing dishes in a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Parameter</w:t>
            </w:r>
          </w:p>
        </w:tc>
        <w:tc>
          <w:tcPr>
            <w:tcW w:type="dxa" w:w="3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Target (v1)</w:t>
            </w:r>
          </w:p>
        </w:tc>
        <w:tc>
          <w:tcPr>
            <w:tcW w:type="dxa" w:w="4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Engineering rationale</w:t>
            </w:r>
          </w:p>
        </w:tc>
      </w:tr>
      <w:tr>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Footprint</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4 ft × 4 ft</w:t>
            </w:r>
          </w:p>
        </w:tc>
        <w:tc>
          <w:tcPr>
            <w:tcW w:type="dxa" w:w="4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Fits beside a vehicle or under a workbench in a standard garage bay.</w:t>
            </w:r>
          </w:p>
        </w:tc>
      </w:tr>
      <w:tr>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Height</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5–6 ft</w:t>
            </w:r>
          </w:p>
        </w:tc>
        <w:tc>
          <w:tcPr>
            <w:tcW w:type="dxa" w:w="4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Appliance height; clears typical garage ceilings; allows vertical process stacking.</w:t>
            </w:r>
          </w:p>
        </w:tc>
      </w:tr>
      <w:tr>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Empty weight</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100–200 kg</w:t>
            </w:r>
          </w:p>
        </w:tc>
        <w:tc>
          <w:tcPr>
            <w:tcW w:type="dxa" w:w="4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Movable on a pallet/wheels; heavy enough for stability with full tanks.</w:t>
            </w:r>
          </w:p>
        </w:tc>
      </w:tr>
      <w:tr>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Electrical</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120/240 V; 300–800 W nominal, ~2 kW peak</w:t>
            </w:r>
          </w:p>
        </w:tc>
        <w:tc>
          <w:tcPr>
            <w:tcW w:type="dxa" w:w="4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Standard household circuits; peak is process heating.</w:t>
            </w:r>
          </w:p>
        </w:tc>
      </w:tr>
      <w:tr>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Noise</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&lt; 50 dB nominal</w:t>
            </w:r>
          </w:p>
        </w:tc>
        <w:tc>
          <w:tcPr>
            <w:tcW w:type="dxa" w:w="4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Quiet circulation pumps and insulated walls so it is tolerable in an attached garage.</w:t>
            </w:r>
          </w:p>
        </w:tc>
      </w:tr>
      <w:tr>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Connectivity</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Wi-Fi + wired; telemetry to Hub</w:t>
            </w:r>
          </w:p>
        </w:tc>
        <w:tc>
          <w:tcPr>
            <w:tcW w:type="dxa" w:w="4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Enables monitoring, simulation calibration, and competition verification.</w:t>
            </w:r>
          </w:p>
        </w:tc>
      </w:tr>
    </w:tbl>
    <w:p>
      <w:pPr>
        <w:spacing w:after="120"/>
      </w:pPr>
      <w:r>
        <w:t xml:space="preserve"/>
      </w:r>
    </w:p>
    <w:p>
      <w:pPr>
        <w:pStyle w:val="Heading2"/>
      </w:pPr>
      <w:r>
        <w:rPr>
          <w:rFonts w:ascii="Calibri" w:cs="Calibri" w:eastAsia="Calibri" w:hAnsi="Calibri"/>
          <w:color w:val="2B3440"/>
          <w:sz w:val="25"/>
          <w:szCs w:val="25"/>
        </w:rPr>
        <w:t xml:space="preserve">4.2  Internal zoning</w:t>
      </w:r>
    </w:p>
    <w:p>
      <w:pPr>
        <w:keepNext w:val="false"/>
        <w:spacing w:after="140" w:before="0" w:line="276"/>
        <w:jc w:val="both"/>
      </w:pPr>
      <w:r>
        <w:rPr>
          <w:rFonts w:ascii="Calibri" w:cs="Calibri" w:eastAsia="Calibri" w:hAnsi="Calibri"/>
          <w:color w:val="1A1F25"/>
          <w:sz w:val="21"/>
          <w:szCs w:val="21"/>
        </w:rPr>
        <w:t xml:space="preserve">The internal layout separates incompatible hazards into physically distinct zones. This zoning is the single most important architectural decision in the appliance, because it is what makes simultaneous handling of biological and flammable processes tractable.</w:t>
      </w:r>
    </w:p>
    <w:p>
      <w:pPr>
        <w:pStyle w:val="Heading4"/>
      </w:pPr>
      <w:r>
        <w:rPr>
          <w:rFonts w:ascii="Calibri" w:cs="Calibri" w:eastAsia="Calibri" w:hAnsi="Calibri"/>
          <w:color w:val="2B3440"/>
          <w:sz w:val="21"/>
          <w:szCs w:val="21"/>
        </w:rPr>
        <w:t xml:space="preserve">Wet (bio) zone</w:t>
      </w:r>
    </w:p>
    <w:p>
      <w:pPr>
        <w:keepNext w:val="false"/>
        <w:spacing w:after="140" w:before="0" w:line="276"/>
        <w:jc w:val="both"/>
      </w:pPr>
      <w:r>
        <w:rPr>
          <w:rFonts w:ascii="Calibri" w:cs="Calibri" w:eastAsia="Calibri" w:hAnsi="Calibri"/>
          <w:color w:val="1A1F25"/>
          <w:sz w:val="21"/>
          <w:szCs w:val="21"/>
        </w:rPr>
        <w:t xml:space="preserve">Handles organic inputs and the biological processes — primarily anaerobic digestion. Contains the digestion vessel, mixing, filtration, and a secondary containment basin to catch any leak. This zone is the lowest-hazard region and is where the first-priority pathway lives.</w:t>
      </w:r>
    </w:p>
    <w:p>
      <w:pPr>
        <w:pStyle w:val="Heading4"/>
      </w:pPr>
      <w:r>
        <w:rPr>
          <w:rFonts w:ascii="Calibri" w:cs="Calibri" w:eastAsia="Calibri" w:hAnsi="Calibri"/>
          <w:color w:val="2B3440"/>
          <w:sz w:val="21"/>
          <w:szCs w:val="21"/>
        </w:rPr>
        <w:t xml:space="preserve">Thermo / chemical zone</w:t>
      </w:r>
    </w:p>
    <w:p>
      <w:pPr>
        <w:keepNext w:val="false"/>
        <w:spacing w:after="140" w:before="0" w:line="276"/>
        <w:jc w:val="both"/>
      </w:pPr>
      <w:r>
        <w:rPr>
          <w:rFonts w:ascii="Calibri" w:cs="Calibri" w:eastAsia="Calibri" w:hAnsi="Calibri"/>
          <w:color w:val="1A1F25"/>
          <w:sz w:val="21"/>
          <w:szCs w:val="21"/>
        </w:rPr>
        <w:t xml:space="preserve">Houses heating elements and the transesterification (biodiesel) module. Because this zone handles methanol — flammable and acutely toxic — it is separated from the rest of the appliance by a fire-resistant bulkhead, has its own ventilation to an external stack, and is the most heavily instrumented region of the unit.</w:t>
      </w:r>
    </w:p>
    <w:p>
      <w:pPr>
        <w:pStyle w:val="Heading4"/>
      </w:pPr>
      <w:r>
        <w:rPr>
          <w:rFonts w:ascii="Calibri" w:cs="Calibri" w:eastAsia="Calibri" w:hAnsi="Calibri"/>
          <w:color w:val="2B3440"/>
          <w:sz w:val="21"/>
          <w:szCs w:val="21"/>
        </w:rPr>
        <w:t xml:space="preserve">Power / dry zone</w:t>
      </w:r>
    </w:p>
    <w:p>
      <w:pPr>
        <w:keepNext w:val="false"/>
        <w:spacing w:after="140" w:before="0" w:line="276"/>
        <w:jc w:val="both"/>
      </w:pPr>
      <w:r>
        <w:rPr>
          <w:rFonts w:ascii="Calibri" w:cs="Calibri" w:eastAsia="Calibri" w:hAnsi="Calibri"/>
          <w:color w:val="1A1F25"/>
          <w:sz w:val="21"/>
          <w:szCs w:val="21"/>
        </w:rPr>
        <w:t xml:space="preserve">Contains the control electronics, the microcontroller or PLC, the battery backup, inverter, and pump controllers. Kept physically isolated from both wet and flammable zones and positioned for easy maintenance access.</w:t>
      </w:r>
    </w:p>
    <w:p>
      <w:pPr>
        <w:pStyle w:val="Heading4"/>
      </w:pPr>
      <w:r>
        <w:rPr>
          <w:rFonts w:ascii="Calibri" w:cs="Calibri" w:eastAsia="Calibri" w:hAnsi="Calibri"/>
          <w:color w:val="2B3440"/>
          <w:sz w:val="21"/>
          <w:szCs w:val="21"/>
        </w:rPr>
        <w:t xml:space="preserve">Ventilation &amp; safety envelope</w:t>
      </w:r>
    </w:p>
    <w:p>
      <w:pPr>
        <w:keepNext w:val="false"/>
        <w:spacing w:after="140" w:before="0" w:line="276"/>
        <w:jc w:val="both"/>
      </w:pPr>
      <w:r>
        <w:rPr>
          <w:rFonts w:ascii="Calibri" w:cs="Calibri" w:eastAsia="Calibri" w:hAnsi="Calibri"/>
          <w:color w:val="1A1F25"/>
          <w:sz w:val="21"/>
          <w:szCs w:val="21"/>
        </w:rPr>
        <w:t xml:space="preserve">A dual-path venting system — one filtered air path, one dedicated gas-exhaust path — runs through the whole unit, with gas detectors in every zone and an automatic cutoff that de-energizes hazardous processes the instant a leak or out-of-range condition is detected.</w:t>
      </w:r>
    </w:p>
    <w:p>
      <w:pPr>
        <w:spacing w:after="60"/>
      </w:pPr>
      <w:r>
        <w:t xml:space="preserve"/>
      </w:r>
    </w:p>
    <w:tbl>
      <w:tblPr>
        <w:tblW w:type="dxa" w:w="9360"/>
        <w:tblBorders>
          <w:top w:val="single" w:color="FBF0DA" w:sz="2"/>
          <w:left w:val="single" w:color="C8881A" w:sz="28"/>
          <w:bottom w:val="single" w:color="FBF0DA" w:sz="2"/>
          <w:right w:val="single" w:color="FBF0DA" w:sz="2"/>
          <w:insideH w:val="single" w:color="auto" w:sz="4"/>
          <w:insideV w:val="single" w:color="auto" w:sz="4"/>
        </w:tblBorders>
      </w:tblPr>
      <w:tblGrid>
        <w:gridCol w:w="9360"/>
      </w:tblGrid>
      <w:tr>
        <w:tc>
          <w:tcPr>
            <w:tcW w:type="dxa" w:w="9360"/>
            <w:shd w:fill="FBF0DA" w:val="clear"/>
            <w:tcMar>
              <w:top w:type="dxa" w:w="120"/>
              <w:left w:type="dxa" w:w="200"/>
              <w:bottom w:type="dxa" w:w="120"/>
              <w:right w:type="dxa" w:w="160"/>
            </w:tcMar>
          </w:tcPr>
          <w:p>
            <w:pPr>
              <w:spacing w:after="60" w:line="264"/>
              <w:jc w:val="left"/>
            </w:pPr>
            <w:r>
              <w:rPr>
                <w:rFonts w:ascii="Calibri" w:cs="Calibri" w:eastAsia="Calibri" w:hAnsi="Calibri"/>
                <w:color w:val="C8881A"/>
                <w:sz w:val="19"/>
                <w:szCs w:val="19"/>
              </w:rPr>
              <w:t xml:space="preserve">Design principle: Containment &gt; Control &gt; Conversion &gt; Certification</w:t>
            </w:r>
          </w:p>
          <w:p>
            <w:pPr>
              <w:spacing w:after="0" w:line="264"/>
              <w:jc w:val="left"/>
            </w:pPr>
            <w:r>
              <w:rPr>
                <w:rFonts w:ascii="Calibri" w:cs="Calibri" w:eastAsia="Calibri" w:hAnsi="Calibri"/>
                <w:color w:val="1A1F25"/>
                <w:sz w:val="19"/>
                <w:szCs w:val="19"/>
              </w:rPr>
              <w:t xml:space="preserve">The appliance is engineered in that order of priority. First the unit must contain whatever it processes; then it must sense and control those processes; only then does it convert at meaningful capacity; and the whole thing must be certifiable. Any design decision that improves conversion at the expense of containment or control is rejected by default.</w:t>
            </w:r>
          </w:p>
        </w:tc>
      </w:tr>
    </w:tbl>
    <w:p>
      <w:pPr>
        <w:pStyle w:val="Heading2"/>
      </w:pPr>
      <w:r>
        <w:rPr>
          <w:rFonts w:ascii="Calibri" w:cs="Calibri" w:eastAsia="Calibri" w:hAnsi="Calibri"/>
          <w:color w:val="2B3440"/>
          <w:sz w:val="25"/>
          <w:szCs w:val="25"/>
        </w:rPr>
        <w:t xml:space="preserve">4.3  Modularity and the cartridge concept</w:t>
      </w:r>
    </w:p>
    <w:p>
      <w:pPr>
        <w:keepNext w:val="false"/>
        <w:spacing w:after="140" w:before="0" w:line="276"/>
        <w:jc w:val="both"/>
      </w:pPr>
      <w:r>
        <w:rPr>
          <w:rFonts w:ascii="Calibri" w:cs="Calibri" w:eastAsia="Calibri" w:hAnsi="Calibri"/>
          <w:color w:val="1A1F25"/>
          <w:sz w:val="21"/>
          <w:szCs w:val="21"/>
        </w:rPr>
        <w:t xml:space="preserve">Conversion capability is delivered through swappable modules — “cartridges” — that dock to a common utilities bus (power, water, waste, data) on the base chassis. The v1 appliance ships with the anaerobic-digestion and biodiesel modules and a fermentation port; the architecture reserves dock points for future modules without requiring them to exist now.</w:t>
      </w:r>
    </w:p>
    <w:p>
      <w:pPr>
        <w:keepNext w:val="false"/>
        <w:spacing w:after="140" w:before="0" w:line="276"/>
        <w:jc w:val="both"/>
      </w:pPr>
      <w:r>
        <w:rPr>
          <w:rFonts w:ascii="Calibri" w:cs="Calibri" w:eastAsia="Calibri" w:hAnsi="Calibri"/>
          <w:color w:val="1A1F25"/>
          <w:sz w:val="21"/>
          <w:szCs w:val="21"/>
        </w:rPr>
        <w:t xml:space="preserve">Modularity serves three program goals at once. It contains risk, because a hazardous future pathway can be developed and certified as an isolated module rather than as a redesign of the whole appliance. It enables a business model, because modules and consumables are a recurring revenue stream. And it invites an ecosystem, because standardized interfaces allow vetted third parties to build compatible modules — the same open-interface strategy that helped early platform companies become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2360"/>
        <w:gridCol w:w="2700"/>
      </w:tblGrid>
      <w:tr>
        <w:trPr>
          <w:tblHeader/>
        </w:trPr>
        <w:tc>
          <w:tcPr>
            <w:tcW w:type="dxa" w:w="34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Module</w:t>
            </w:r>
          </w:p>
        </w:tc>
        <w:tc>
          <w:tcPr>
            <w:tcW w:type="dxa" w:w="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2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Hazard class</w:t>
            </w:r>
          </w:p>
        </w:tc>
        <w:tc>
          <w:tcPr>
            <w:tcW w:type="dxa" w:w="2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Status in v1</w:t>
            </w:r>
          </w:p>
        </w:tc>
      </w:tr>
      <w:tr>
        <w:tc>
          <w:tcPr>
            <w:tcW w:type="dxa" w:w="3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Anaerobic digestion (biogas)</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2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w:t>
            </w:r>
          </w:p>
        </w:tc>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Shipped — first-priority pathway.</w:t>
            </w:r>
          </w:p>
        </w:tc>
      </w:tr>
      <w:tr>
        <w:tc>
          <w:tcPr>
            <w:tcW w:type="dxa" w:w="3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Transesterification (biodiesel)</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2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 (methanol)</w:t>
            </w:r>
          </w:p>
        </w:tc>
        <w:tc>
          <w:tcPr>
            <w:tcW w:type="dxa" w:w="2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Shipped — enclosed, ventilated, interlocked.</w:t>
            </w:r>
          </w:p>
        </w:tc>
      </w:tr>
      <w:tr>
        <w:tc>
          <w:tcPr>
            <w:tcW w:type="dxa" w:w="3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Fermentation port (ethanol precursors)</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w:t>
            </w:r>
          </w:p>
        </w:tc>
        <w:tc>
          <w:tcPr>
            <w:tcW w:type="dxa" w:w="2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Low–Medium</w:t>
            </w:r>
          </w:p>
        </w:tc>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Port shipped; distillation only where legal.</w:t>
            </w:r>
          </w:p>
        </w:tc>
      </w:tr>
      <w:tr>
        <w:tc>
          <w:tcPr>
            <w:tcW w:type="dxa" w:w="3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Algae photobioreactor dock</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Future</w:t>
            </w:r>
          </w:p>
        </w:tc>
        <w:tc>
          <w:tcPr>
            <w:tcW w:type="dxa" w:w="2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w:t>
            </w:r>
          </w:p>
        </w:tc>
        <w:tc>
          <w:tcPr>
            <w:tcW w:type="dxa" w:w="2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Dock reserved; module deferred.</w:t>
            </w:r>
          </w:p>
        </w:tc>
      </w:tr>
      <w:tr>
        <w:tc>
          <w:tcPr>
            <w:tcW w:type="dxa" w:w="3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Pyrolysis</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Future</w:t>
            </w:r>
          </w:p>
        </w:tc>
        <w:tc>
          <w:tcPr>
            <w:tcW w:type="dxa" w:w="2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w:t>
            </w:r>
          </w:p>
        </w:tc>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Not shipped; off-site hub model preferred.</w:t>
            </w:r>
          </w:p>
        </w:tc>
      </w:tr>
    </w:tbl>
    <w:p>
      <w:pPr>
        <w:spacing w:after="120"/>
      </w:pPr>
      <w:r>
        <w:t xml:space="preserve"/>
      </w:r>
    </w:p>
    <w:p>
      <w:pPr>
        <w:pStyle w:val="Heading2"/>
      </w:pPr>
      <w:r>
        <w:rPr>
          <w:rFonts w:ascii="Calibri" w:cs="Calibri" w:eastAsia="Calibri" w:hAnsi="Calibri"/>
          <w:color w:val="2B3440"/>
          <w:sz w:val="25"/>
          <w:szCs w:val="25"/>
        </w:rPr>
        <w:t xml:space="preserve">4.4  Why an external garage unit rather than onboard chambers</w:t>
      </w:r>
    </w:p>
    <w:p>
      <w:pPr>
        <w:keepNext w:val="false"/>
        <w:spacing w:after="140" w:before="0" w:line="276"/>
        <w:jc w:val="both"/>
      </w:pPr>
      <w:r>
        <w:rPr>
          <w:rFonts w:ascii="Calibri" w:cs="Calibri" w:eastAsia="Calibri" w:hAnsi="Calibri"/>
          <w:color w:val="1A1F25"/>
          <w:sz w:val="21"/>
          <w:szCs w:val="21"/>
        </w:rPr>
        <w:t xml:space="preserve">An early version of the vision imagined fuel processing happening inside the vehicle. The program rejects that approach decisively. Moving the “messy, creative” conversion work into a stationary, serviceable garage unit keeps any future vehicle simple, light, reliable, and cheap to manufacture, while giving the user freedom to experiment with many recipes in a place where ventilation, containment, and servicing are feasible. It also unlocks the home-energy story: excess fuel runs a generator and offsets grid electricity, which an onboard system could never do. The stationary appliance is not a compromise; it is the correct architecture.</w:t>
      </w:r>
    </w:p>
    <w:p>
      <w:pPr>
        <w:pStyle w:val="Heading2"/>
      </w:pPr>
      <w:r>
        <w:rPr>
          <w:rFonts w:ascii="Calibri" w:cs="Calibri" w:eastAsia="Calibri" w:hAnsi="Calibri"/>
          <w:color w:val="2B3440"/>
          <w:sz w:val="25"/>
          <w:szCs w:val="25"/>
        </w:rPr>
        <w:t xml:space="preserve">4.5  System context diagram (described)</w:t>
      </w:r>
    </w:p>
    <w:p>
      <w:pPr>
        <w:keepNext w:val="false"/>
        <w:spacing w:after="140" w:before="0" w:line="276"/>
        <w:jc w:val="both"/>
      </w:pPr>
      <w:r>
        <w:rPr>
          <w:rFonts w:ascii="Calibri" w:cs="Calibri" w:eastAsia="Calibri" w:hAnsi="Calibri"/>
          <w:color w:val="1A1F25"/>
          <w:sz w:val="21"/>
          <w:szCs w:val="21"/>
        </w:rPr>
        <w:t xml:space="preserve">At the system level, Biotank sits at the centre of four flows. Waste flows in from the household. Fuel flows out to storage and to the user’s vehicle or equipment. Electricity flows out from an optional generator to the home. And data flows both ways with the Biotank Hub — telemetry up for monitoring and verification, recipes and updates down. The appliance is therefore simultaneously a waste sink, a fuel source, an energy source, and a connected node in a community network. Each of those four roles is a distinct value proposition, which is why the business case survives even if any one of them underperforms.</w:t>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Engineering anchor</w:t>
            </w:r>
          </w:p>
          <w:p>
            <w:pPr>
              <w:spacing w:after="0" w:line="264"/>
              <w:jc w:val="left"/>
            </w:pPr>
            <w:r>
              <w:rPr>
                <w:rFonts w:ascii="Calibri" w:cs="Calibri" w:eastAsia="Calibri" w:hAnsi="Calibri"/>
                <w:color w:val="1A1F25"/>
                <w:sz w:val="19"/>
                <w:szCs w:val="19"/>
              </w:rPr>
              <w:t xml:space="preserve">From here on, every schedule task, budget line, and risk references this architecture: chassis and containment (WBS 3.0), the conversion modules (4.0), and the sensing/control/safety system (5.0), tied together by the Hub software (6.0). When the plan says “the appliance,” it means precisely this object.</w:t>
            </w:r>
          </w:p>
        </w:tc>
      </w:tr>
    </w:tbl>
    <w:p>
      <w:pPr>
        <w:pStyle w:val="Heading1"/>
        <w:pageBreakBefore/>
      </w:pPr>
      <w:r>
        <w:rPr>
          <w:rFonts w:ascii="Calibri" w:cs="Calibri" w:eastAsia="Calibri" w:hAnsi="Calibri"/>
          <w:color w:val="1F6F43"/>
          <w:sz w:val="30"/>
          <w:szCs w:val="30"/>
        </w:rPr>
        <w:t xml:space="preserve">5.  Technical Workstreams &amp; Engineering Plan</w:t>
      </w:r>
    </w:p>
    <w:p>
      <w:pPr>
        <w:keepNext w:val="false"/>
        <w:spacing w:after="140" w:before="0" w:line="276"/>
        <w:jc w:val="both"/>
      </w:pPr>
      <w:r>
        <w:rPr>
          <w:rFonts w:ascii="Calibri" w:cs="Calibri" w:eastAsia="Calibri" w:hAnsi="Calibri"/>
          <w:color w:val="1A1F25"/>
          <w:sz w:val="21"/>
          <w:szCs w:val="21"/>
        </w:rPr>
        <w:t xml:space="preserve">This section turns the architecture into an engineering plan: what each conversion pathway requires, what the sensing and control system must do, and how the safety and energy systems are built. The numbers here are drawn from the program’s research base and are stated as design targets, with their sources and caveats noted. They exist to make the schedule and budget credible, not to substitute for detailed engineering, which happens inside the gates.</w:t>
      </w:r>
    </w:p>
    <w:p>
      <w:pPr>
        <w:pStyle w:val="Heading2"/>
      </w:pPr>
      <w:r>
        <w:rPr>
          <w:rFonts w:ascii="Calibri" w:cs="Calibri" w:eastAsia="Calibri" w:hAnsi="Calibri"/>
          <w:color w:val="2B3440"/>
          <w:sz w:val="25"/>
          <w:szCs w:val="25"/>
        </w:rPr>
        <w:t xml:space="preserve">5.1  Conversion pathway 1 — Anaerobic digestion (biogas)</w:t>
      </w:r>
    </w:p>
    <w:p>
      <w:pPr>
        <w:keepNext w:val="false"/>
        <w:spacing w:after="140" w:before="0" w:line="276"/>
        <w:jc w:val="both"/>
      </w:pPr>
      <w:r>
        <w:rPr>
          <w:rFonts w:ascii="Calibri" w:cs="Calibri" w:eastAsia="Calibri" w:hAnsi="Calibri"/>
          <w:color w:val="1A1F25"/>
          <w:sz w:val="21"/>
          <w:szCs w:val="21"/>
        </w:rPr>
        <w:t xml:space="preserve">Anaerobic digestion is the program’s lead pathway because it is the lowest-hazard, highest-maturity process and already exists as a consumer appliance category. Micro-organisms break down organic waste in a sealed, oxygen-free vessel through four stages — hydrolysis, acidogenesis, acetogenesis, and methanogenesis — producing a methane-rich biogas.</w:t>
      </w:r>
    </w:p>
    <w:p>
      <w:pPr>
        <w:pStyle w:val="Heading4"/>
      </w:pPr>
      <w:r>
        <w:rPr>
          <w:rFonts w:ascii="Calibri" w:cs="Calibri" w:eastAsia="Calibri" w:hAnsi="Calibri"/>
          <w:color w:val="2B3440"/>
          <w:sz w:val="21"/>
          <w:szCs w:val="21"/>
        </w:rPr>
        <w:t xml:space="preserve">Design targets and supporting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200"/>
        <w:gridCol w:w="4010"/>
      </w:tblGrid>
      <w:tr>
        <w:trPr>
          <w:tblHeader/>
        </w:trPr>
        <w:tc>
          <w:tcPr>
            <w:tcW w:type="dxa" w:w="215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Quantity</w:t>
            </w:r>
          </w:p>
        </w:tc>
        <w:tc>
          <w:tcPr>
            <w:tcW w:type="dxa" w:w="32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Design figure</w:t>
            </w:r>
          </w:p>
        </w:tc>
        <w:tc>
          <w:tcPr>
            <w:tcW w:type="dxa" w:w="401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Source basis (see research base)</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Methane yield</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0.12–0.40 m³ CH₄ per kg volatile solids</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Range across feedstocks; co-digestion at the higher end. Meta-analysis of 64 studies: ~171 L/kg VS mono-digestion vs ~249 L/kg VS co-digestion.</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Biogas methane content</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50–75% CH₄</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Balance mostly CO₂ with trace H₂S; small household digesters typically 55–65%.</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Energy content of biogas</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6 kWh per m³ (≈ 21–23.5 MJ/m³)</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Standard biogas lower-heating-value figure.</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 time</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15–40 days hydraulic retention</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Mesophilic operation, roughly 20–40 °C.</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Household rule of thumb</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1 kg food waste → ≈ 1 hour cooking gas</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Consumer-digester guidance (HomeBiogas-class).</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Optimal carbon-to-nitrogen</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C/N 26–34</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From the same digestion meta-analysis.</w:t>
            </w:r>
          </w:p>
        </w:tc>
      </w:tr>
    </w:tbl>
    <w:p>
      <w:pPr>
        <w:spacing w:after="100"/>
      </w:pPr>
      <w:r>
        <w:t xml:space="preserve"/>
      </w:r>
    </w:p>
    <w:p>
      <w:pPr>
        <w:keepNext w:val="false"/>
        <w:spacing w:after="140" w:before="0" w:line="276"/>
        <w:jc w:val="both"/>
      </w:pPr>
      <w:r>
        <w:rPr>
          <w:rFonts w:ascii="Calibri" w:cs="Calibri" w:eastAsia="Calibri" w:hAnsi="Calibri"/>
          <w:color w:val="1A1F25"/>
          <w:sz w:val="21"/>
          <w:szCs w:val="21"/>
        </w:rPr>
        <w:t xml:space="preserve">The engineering work package (WBS 4.0) for this module covers the sealed digestion vessel, a mixing system, a heating jacket (active or passive-solar assisted) to hold mesophilic temperature, gas scrubbing and a condensate trap, a pressure-relief and gas-storage arrangement, a methane sensor, and the interface to a generator. The principal hazards are methane (explosive) and trace hydrogen sulphide and carbon dioxide (toxic and corrosive); these are addressed by scrubbing, sensing, pressure relief, and ventilation. Modeling of digester dynamics, where needed, uses the Anaerobic Digestion Model No. 1 framework as the reference.</w:t>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Why this module is first</w:t>
            </w:r>
          </w:p>
          <w:p>
            <w:pPr>
              <w:spacing w:after="0" w:line="264"/>
              <w:jc w:val="left"/>
            </w:pPr>
            <w:r>
              <w:rPr>
                <w:rFonts w:ascii="Calibri" w:cs="Calibri" w:eastAsia="Calibri" w:hAnsi="Calibri"/>
                <w:color w:val="1A1F25"/>
                <w:sz w:val="19"/>
                <w:szCs w:val="19"/>
              </w:rPr>
              <w:t xml:space="preserve">It uses free, abundant feedstock; it has the lowest hazard profile of any pathway; it is already commercialized at consumer scale, which de-risks the supply chain; and it immediately delivers two of the four value propositions — waste disposal and home electricity. It is the fastest route to a working, demonstrable Biotank.</w:t>
            </w:r>
          </w:p>
        </w:tc>
      </w:tr>
    </w:tbl>
    <w:p>
      <w:pPr>
        <w:pStyle w:val="Heading2"/>
      </w:pPr>
      <w:r>
        <w:rPr>
          <w:rFonts w:ascii="Calibri" w:cs="Calibri" w:eastAsia="Calibri" w:hAnsi="Calibri"/>
          <w:color w:val="2B3440"/>
          <w:sz w:val="25"/>
          <w:szCs w:val="25"/>
        </w:rPr>
        <w:t xml:space="preserve">5.2  Conversion pathway 2 — Waste-cooking-oil biodiesel</w:t>
      </w:r>
    </w:p>
    <w:p>
      <w:pPr>
        <w:keepNext w:val="false"/>
        <w:spacing w:after="140" w:before="0" w:line="276"/>
        <w:jc w:val="both"/>
      </w:pPr>
      <w:r>
        <w:rPr>
          <w:rFonts w:ascii="Calibri" w:cs="Calibri" w:eastAsia="Calibri" w:hAnsi="Calibri"/>
          <w:color w:val="1A1F25"/>
          <w:sz w:val="21"/>
          <w:szCs w:val="21"/>
        </w:rPr>
        <w:t xml:space="preserve">Biodiesel via transesterification is the program’s second pathway and the most mature liquid-fuel route for DIY producers. Waste cooking oil reacts with methanol and an alkaline catalyst to yield fatty-acid methyl esters (biodiesel) and glycerol.</w:t>
      </w:r>
    </w:p>
    <w:p>
      <w:pPr>
        <w:pStyle w:val="Heading4"/>
      </w:pPr>
      <w:r>
        <w:rPr>
          <w:rFonts w:ascii="Calibri" w:cs="Calibri" w:eastAsia="Calibri" w:hAnsi="Calibri"/>
          <w:color w:val="2B3440"/>
          <w:sz w:val="21"/>
          <w:szCs w:val="21"/>
        </w:rPr>
        <w:t xml:space="preserve">Design targets and supporting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200"/>
        <w:gridCol w:w="4010"/>
      </w:tblGrid>
      <w:tr>
        <w:trPr>
          <w:tblHeader/>
        </w:trPr>
        <w:tc>
          <w:tcPr>
            <w:tcW w:type="dxa" w:w="215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Quantity</w:t>
            </w:r>
          </w:p>
        </w:tc>
        <w:tc>
          <w:tcPr>
            <w:tcW w:type="dxa" w:w="32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Design figure</w:t>
            </w:r>
          </w:p>
        </w:tc>
        <w:tc>
          <w:tcPr>
            <w:tcW w:type="dxa" w:w="401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Source basis (see research base)</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Conversion / yield</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86–98% to FAME</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~86% at 6:1 methanol:oil, 0.7 wt% NaOH, 50 °C; two-step acid-then-base reaches 97–98% for high-FFA oils.</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Methanol-to-oil ratio</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6:1 (up to ~9:1 for high-FFA)</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Standard alkaline-catalysis range.</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Catalyst</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KOH/NaOH (homogeneous) or CaO/Ba(OH)₂ (heterogeneous, reusable)</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Heterogeneous catalysts offer reuse (CaO ~84 wt%, Ba(OH)₂ ~92 wt%).</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Reaction temperature</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50–60 °C</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Below methanol’s boiling point at ambient pressure.</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Quality standard</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ASTM D6751 (US) / EN 14214 (EU)</w:t>
            </w:r>
          </w:p>
        </w:tc>
        <w:tc>
          <w:tcPr>
            <w:tcW w:type="dxa" w:w="40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Required for true drop-in use; off-spec fuel can damage engines.</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Indicative DIY cost</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$0.50–1.50 per gallon</w:t>
            </w:r>
          </w:p>
        </w:tc>
        <w:tc>
          <w:tcPr>
            <w:tcW w:type="dxa" w:w="40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Assumes free/low-cost feedstock and unpriced labor.</w:t>
            </w:r>
          </w:p>
        </w:tc>
      </w:tr>
    </w:tbl>
    <w:p>
      <w:pPr>
        <w:spacing w:after="100"/>
      </w:pPr>
      <w:r>
        <w:t xml:space="preserve"/>
      </w:r>
    </w:p>
    <w:p>
      <w:pPr>
        <w:keepNext w:val="false"/>
        <w:spacing w:after="140" w:before="0" w:line="276"/>
        <w:jc w:val="both"/>
      </w:pPr>
      <w:r>
        <w:rPr>
          <w:rFonts w:ascii="Calibri" w:cs="Calibri" w:eastAsia="Calibri" w:hAnsi="Calibri"/>
          <w:color w:val="1A1F25"/>
          <w:sz w:val="21"/>
          <w:szCs w:val="21"/>
        </w:rPr>
        <w:t xml:space="preserve">The biodiesel module is the appliance’s highest-hazard shipping component because of methanol and caustic catalyst. The engineering response is to treat it as a miniature chemical plant: a sealed, ventilated, fire-bulkheaded enclosure; sealed reagent cartridges rather than user-handled bulk methanol; methanol-vapor and flammable-vapor sensing; spill containment and automated neutralization; and interlocks that prevent operation if a leak or vapor is detected. Quality is the second major challenge — home producers rarely have the means to verify cold-flow, water content, and oxidation stability — which is why the competition layer routes serious recipes to partner-lab verification before they enter the official library or fuel a vehicle.</w:t>
      </w:r>
    </w:p>
    <w:tbl>
      <w:tblPr>
        <w:tblW w:type="dxa" w:w="9360"/>
        <w:tblBorders>
          <w:top w:val="single" w:color="F7E6E4" w:sz="2"/>
          <w:left w:val="single" w:color="9E2B25" w:sz="28"/>
          <w:bottom w:val="single" w:color="F7E6E4" w:sz="2"/>
          <w:right w:val="single" w:color="F7E6E4" w:sz="2"/>
          <w:insideH w:val="single" w:color="auto" w:sz="4"/>
          <w:insideV w:val="single" w:color="auto" w:sz="4"/>
        </w:tblBorders>
      </w:tblPr>
      <w:tblGrid>
        <w:gridCol w:w="9360"/>
      </w:tblGrid>
      <w:tr>
        <w:tc>
          <w:tcPr>
            <w:tcW w:type="dxa" w:w="9360"/>
            <w:shd w:fill="F7E6E4" w:val="clear"/>
            <w:tcMar>
              <w:top w:type="dxa" w:w="120"/>
              <w:left w:type="dxa" w:w="200"/>
              <w:bottom w:type="dxa" w:w="120"/>
              <w:right w:type="dxa" w:w="160"/>
            </w:tcMar>
          </w:tcPr>
          <w:p>
            <w:pPr>
              <w:spacing w:after="60" w:line="264"/>
              <w:jc w:val="left"/>
            </w:pPr>
            <w:r>
              <w:rPr>
                <w:rFonts w:ascii="Calibri" w:cs="Calibri" w:eastAsia="Calibri" w:hAnsi="Calibri"/>
                <w:color w:val="9E2B25"/>
                <w:sz w:val="19"/>
                <w:szCs w:val="19"/>
              </w:rPr>
              <w:t xml:space="preserve">Hazard note — methanol and catalyst</w:t>
            </w:r>
          </w:p>
          <w:p>
            <w:pPr>
              <w:spacing w:after="0" w:line="264"/>
              <w:jc w:val="left"/>
            </w:pPr>
            <w:r>
              <w:rPr>
                <w:rFonts w:ascii="Calibri" w:cs="Calibri" w:eastAsia="Calibri" w:hAnsi="Calibri"/>
                <w:color w:val="1A1F25"/>
                <w:sz w:val="19"/>
                <w:szCs w:val="19"/>
              </w:rPr>
              <w:t xml:space="preserve">Methanol is flammable and acutely toxic; ingestion or significant exposure can cause blindness or death. Sodium and potassium hydroxide are caustic. The module design assumes users never directly handle these substances in bulk; reagents are delivered in sealed, fail-safe cartridges with a disposal-return program. This is a safety requirement, not an option.</w:t>
            </w:r>
          </w:p>
        </w:tc>
      </w:tr>
    </w:tbl>
    <w:p>
      <w:pPr>
        <w:pStyle w:val="Heading2"/>
      </w:pPr>
      <w:r>
        <w:rPr>
          <w:rFonts w:ascii="Calibri" w:cs="Calibri" w:eastAsia="Calibri" w:hAnsi="Calibri"/>
          <w:color w:val="2B3440"/>
          <w:sz w:val="25"/>
          <w:szCs w:val="25"/>
        </w:rPr>
        <w:t xml:space="preserve">5.3  Conversion pathway support — Fermentation port</w:t>
      </w:r>
    </w:p>
    <w:p>
      <w:pPr>
        <w:keepNext w:val="false"/>
        <w:spacing w:after="140" w:before="0" w:line="276"/>
        <w:jc w:val="both"/>
      </w:pPr>
      <w:r>
        <w:rPr>
          <w:rFonts w:ascii="Calibri" w:cs="Calibri" w:eastAsia="Calibri" w:hAnsi="Calibri"/>
          <w:color w:val="1A1F25"/>
          <w:sz w:val="21"/>
          <w:szCs w:val="21"/>
        </w:rPr>
        <w:t xml:space="preserve">The v1 appliance includes a fermentation port for producing ethanol precursors from food waste and other sugary or starchy inputs. Fermentation itself is low-hazard and easy; the regulated and higher-hazard step is distillation (concentration of the alcohol), which is legally constrained and produces flammable vapor. The program’s position is to ship the fermentation capability everywhere but to enable on-board distillation only in jurisdictions where it is permitted, behind interlocks and safe venting, and otherwise to treat distillation as out of scope. Reported food-waste fermentation reaches ethanol concentrations on the order of 29–32 g/L with appropriate enzyme pre-treatment; lignocellulosic feedstocks require additional pretreatment and hydrolysis.</w:t>
      </w:r>
    </w:p>
    <w:p>
      <w:pPr>
        <w:pStyle w:val="Heading2"/>
      </w:pPr>
      <w:r>
        <w:rPr>
          <w:rFonts w:ascii="Calibri" w:cs="Calibri" w:eastAsia="Calibri" w:hAnsi="Calibri"/>
          <w:color w:val="2B3440"/>
          <w:sz w:val="25"/>
          <w:szCs w:val="25"/>
        </w:rPr>
        <w:t xml:space="preserve">5.4  Deferred pathways — explicitly parked</w:t>
      </w:r>
    </w:p>
    <w:p>
      <w:pPr>
        <w:keepNext w:val="false"/>
        <w:spacing w:after="140" w:before="0" w:line="276"/>
        <w:jc w:val="both"/>
      </w:pPr>
      <w:r>
        <w:rPr>
          <w:rFonts w:ascii="Calibri" w:cs="Calibri" w:eastAsia="Calibri" w:hAnsi="Calibri"/>
          <w:color w:val="1A1F25"/>
          <w:sz w:val="21"/>
          <w:szCs w:val="21"/>
        </w:rPr>
        <w:t xml:space="preserve">For completeness, the engineering plan records why the remaining pathways are parked, so the rationale is preserved for future change-control decisions.</w:t>
      </w:r>
    </w:p>
    <w:p>
      <w:pPr>
        <w:pStyle w:val="ListParagraph"/>
        <w:numPr>
          <w:ilvl w:val="0"/>
          <w:numId w:val="2"/>
        </w:numPr>
        <w:spacing w:after="70" w:line="268"/>
        <w:jc w:val="left"/>
      </w:pPr>
      <w:r>
        <w:rPr>
          <w:rFonts w:ascii="Calibri" w:cs="Calibri" w:eastAsia="Calibri" w:hAnsi="Calibri"/>
          <w:b/>
          <w:bCs/>
          <w:color w:val="1A1F25"/>
          <w:sz w:val="21"/>
          <w:szCs w:val="21"/>
        </w:rPr>
        <w:t xml:space="preserve">Pyrolysis</w:t>
      </w:r>
      <w:r>
        <w:rPr>
          <w:rFonts w:ascii="Calibri" w:cs="Calibri" w:eastAsia="Calibri" w:hAnsi="Calibri"/>
          <w:color w:val="1A1F25"/>
          <w:sz w:val="21"/>
          <w:szCs w:val="21"/>
        </w:rPr>
        <w:t xml:space="preserve"> can convert mixed waste and plastics into a diesel-like oil at high yield (slow pyrolysis up to ~90–95 wt% oil for some plastics, heating value ~44–45 MJ/kg), but it produces carcinogenic aromatics and, with PVC, toxic halogenated gases, and runs at several hundred degrees Celsius. It is an industrial process, not a residential one. Preferred future route: a licensed local micro-refinery (“houb”) model rather than an at-home module.</w:t>
      </w:r>
    </w:p>
    <w:p>
      <w:pPr>
        <w:pStyle w:val="ListParagraph"/>
        <w:numPr>
          <w:ilvl w:val="0"/>
          <w:numId w:val="2"/>
        </w:numPr>
        <w:spacing w:after="70" w:line="268"/>
        <w:jc w:val="left"/>
      </w:pPr>
      <w:r>
        <w:rPr>
          <w:rFonts w:ascii="Calibri" w:cs="Calibri" w:eastAsia="Calibri" w:hAnsi="Calibri"/>
          <w:b/>
          <w:bCs/>
          <w:color w:val="1A1F25"/>
          <w:sz w:val="21"/>
          <w:szCs w:val="21"/>
        </w:rPr>
        <w:t xml:space="preserve">Algae-to-biodiesel</w:t>
      </w:r>
      <w:r>
        <w:rPr>
          <w:rFonts w:ascii="Calibri" w:cs="Calibri" w:eastAsia="Calibri" w:hAnsi="Calibri"/>
          <w:color w:val="1A1F25"/>
          <w:sz w:val="21"/>
          <w:szCs w:val="21"/>
        </w:rPr>
        <w:t xml:space="preserve"> is sustainable and non-food-competing, but photobioreactors carry roughly an order of magnitude higher capital cost than open ponds, and the most-cited cost precedent for photobioreactor algae biodiesel is on the order of tens of dollars per gallon. It is not viable at consumer scale today.</w:t>
      </w:r>
    </w:p>
    <w:p>
      <w:pPr>
        <w:pStyle w:val="ListParagraph"/>
        <w:numPr>
          <w:ilvl w:val="0"/>
          <w:numId w:val="2"/>
        </w:numPr>
        <w:spacing w:after="70" w:line="268"/>
        <w:jc w:val="left"/>
      </w:pPr>
      <w:r>
        <w:rPr>
          <w:rFonts w:ascii="Calibri" w:cs="Calibri" w:eastAsia="Calibri" w:hAnsi="Calibri"/>
          <w:b/>
          <w:bCs/>
          <w:color w:val="1A1F25"/>
          <w:sz w:val="21"/>
          <w:szCs w:val="21"/>
        </w:rPr>
        <w:t xml:space="preserve">Gasification, biohydrogen, and solid fuels</w:t>
      </w:r>
      <w:r>
        <w:rPr>
          <w:rFonts w:ascii="Calibri" w:cs="Calibri" w:eastAsia="Calibri" w:hAnsi="Calibri"/>
          <w:color w:val="1A1F25"/>
          <w:sz w:val="21"/>
          <w:szCs w:val="21"/>
        </w:rPr>
        <w:t xml:space="preserve"> (biochar, pellets) are noted as possible long-horizon support processes — for example, biochar or pellets to provide process heat — but are not part of the current build.</w:t>
      </w:r>
    </w:p>
    <w:p>
      <w:pPr>
        <w:pStyle w:val="Heading2"/>
      </w:pPr>
      <w:r>
        <w:rPr>
          <w:rFonts w:ascii="Calibri" w:cs="Calibri" w:eastAsia="Calibri" w:hAnsi="Calibri"/>
          <w:color w:val="2B3440"/>
          <w:sz w:val="25"/>
          <w:szCs w:val="25"/>
        </w:rPr>
        <w:t xml:space="preserve">5.5  Sensing, controls &amp; safety system (WBS 5.0)</w:t>
      </w:r>
    </w:p>
    <w:p>
      <w:pPr>
        <w:keepNext w:val="false"/>
        <w:spacing w:after="140" w:before="0" w:line="276"/>
        <w:jc w:val="both"/>
      </w:pPr>
      <w:r>
        <w:rPr>
          <w:rFonts w:ascii="Calibri" w:cs="Calibri" w:eastAsia="Calibri" w:hAnsi="Calibri"/>
          <w:color w:val="1A1F25"/>
          <w:sz w:val="21"/>
          <w:szCs w:val="21"/>
        </w:rPr>
        <w:t xml:space="preserve">The control system is the appliance’s nervous system and its primary safety mechanism. The guiding rule is that no hazardous process may run unless the control system has positive confirmation of safe conditions; the default state on any fault is to vent, isolate, and de-energize.</w:t>
      </w:r>
    </w:p>
    <w:p>
      <w:pPr>
        <w:pStyle w:val="Heading4"/>
      </w:pPr>
      <w:r>
        <w:rPr>
          <w:rFonts w:ascii="Calibri" w:cs="Calibri" w:eastAsia="Calibri" w:hAnsi="Calibri"/>
          <w:color w:val="2B3440"/>
          <w:sz w:val="21"/>
          <w:szCs w:val="21"/>
        </w:rPr>
        <w:t xml:space="preserve">Sensor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Sensor</w:t>
            </w:r>
          </w:p>
        </w:tc>
        <w:tc>
          <w:tcPr>
            <w:tcW w:type="dxa" w:w="3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Purpose</w:t>
            </w:r>
          </w:p>
        </w:tc>
        <w:tc>
          <w:tcPr>
            <w:tcW w:type="dxa" w:w="3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Notes on grade</w:t>
            </w:r>
          </w:p>
        </w:tc>
      </w:tr>
      <w:tr>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Methane / flammable-gas</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Detect biogas and combustible-vapor leaks</w:t>
            </w:r>
          </w:p>
        </w:tc>
        <w:tc>
          <w:tcPr>
            <w:tcW w:type="dxa" w:w="3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Hobby MQ-4-class detects methane but is temperature/humidity sensitive; product units require industrial, explosion-proof-rated devices.</w:t>
            </w:r>
          </w:p>
        </w:tc>
      </w:tr>
      <w:tr>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Carbon monoxide</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Detect combustion/incomplete-process CO</w:t>
            </w:r>
          </w:p>
        </w:tc>
        <w:tc>
          <w:tcPr>
            <w:tcW w:type="dxa" w:w="3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Recognized-vendor CO sensors; life-safety critical.</w:t>
            </w:r>
          </w:p>
        </w:tc>
      </w:tr>
      <w:tr>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Combustible / methanol vapor</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Guard the biodiesel zone</w:t>
            </w:r>
          </w:p>
        </w:tc>
        <w:tc>
          <w:tcPr>
            <w:tcW w:type="dxa" w:w="3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Drives the interlock that blocks transesterification on vapor detection.</w:t>
            </w:r>
          </w:p>
        </w:tc>
      </w:tr>
      <w:tr>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 / ORP</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Monitor digestion and reaction chemistry</w:t>
            </w:r>
          </w:p>
        </w:tc>
        <w:tc>
          <w:tcPr>
            <w:tcW w:type="dxa" w:w="3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Optimizes yield; flags process upsets.</w:t>
            </w:r>
          </w:p>
        </w:tc>
      </w:tr>
      <w:tr>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Temperature</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Hold mesophilic and reaction temperatures</w:t>
            </w:r>
          </w:p>
        </w:tc>
        <w:tc>
          <w:tcPr>
            <w:tcW w:type="dxa" w:w="3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Multiple probes across zones.</w:t>
            </w:r>
          </w:p>
        </w:tc>
      </w:tr>
      <w:tr>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Pressure</w:t>
            </w:r>
          </w:p>
        </w:tc>
        <w:tc>
          <w:tcPr>
            <w:tcW w:type="dxa" w:w="3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Gas-storage and vessel safety</w:t>
            </w:r>
          </w:p>
        </w:tc>
        <w:tc>
          <w:tcPr>
            <w:tcW w:type="dxa" w:w="3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Tied to pressure-relief and shutoff.</w:t>
            </w:r>
          </w:p>
        </w:tc>
      </w:tr>
      <w:tr>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Level &amp; flow</w:t>
            </w:r>
          </w:p>
        </w:tc>
        <w:tc>
          <w:tcPr>
            <w:tcW w:type="dxa" w:w="3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Tank levels and fluid routing</w:t>
            </w:r>
          </w:p>
        </w:tc>
        <w:tc>
          <w:tcPr>
            <w:tcW w:type="dxa" w:w="3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Prevents overflow and dry-running.</w:t>
            </w:r>
          </w:p>
        </w:tc>
      </w:tr>
    </w:tbl>
    <w:p>
      <w:pPr>
        <w:spacing w:after="100"/>
      </w:pPr>
      <w:r>
        <w:t xml:space="preserve"/>
      </w:r>
    </w:p>
    <w:p>
      <w:pPr>
        <w:pStyle w:val="Heading4"/>
      </w:pPr>
      <w:r>
        <w:rPr>
          <w:rFonts w:ascii="Calibri" w:cs="Calibri" w:eastAsia="Calibri" w:hAnsi="Calibri"/>
          <w:color w:val="2B3440"/>
          <w:sz w:val="21"/>
          <w:szCs w:val="21"/>
        </w:rPr>
        <w:t xml:space="preserve">Control logic and interlocks</w:t>
      </w:r>
    </w:p>
    <w:p>
      <w:pPr>
        <w:keepNext w:val="false"/>
        <w:spacing w:after="140" w:before="0" w:line="276"/>
        <w:jc w:val="both"/>
      </w:pPr>
      <w:r>
        <w:rPr>
          <w:rFonts w:ascii="Calibri" w:cs="Calibri" w:eastAsia="Calibri" w:hAnsi="Calibri"/>
          <w:color w:val="1A1F25"/>
          <w:sz w:val="21"/>
          <w:szCs w:val="21"/>
        </w:rPr>
        <w:t xml:space="preserve">A PLC or industrial-grade microcontroller enforces the safety rules: no heating if a gas leak is detected; no transesterification if methanol vapor is present; automatic venting on over-pressure; reagent dosing only through sealed cartridges; a hard-wired emergency stop; and remote lockout. The interlocks are engineered as safety-instrumented functions to a defined safety-integrity level (a target of SIL-2 or better for the hazardous functions, per IEC 61508 and IEC 61511), so that their reliability is quantified rather than assumed. The same controller streams signed telemetry to the Biotank Hub, which serves both monitoring and competition-verification roles.</w:t>
      </w:r>
    </w:p>
    <w:p>
      <w:pPr>
        <w:keepNext w:val="false"/>
        <w:spacing w:after="140" w:before="0" w:line="276"/>
        <w:jc w:val="both"/>
      </w:pPr>
      <w:r>
        <w:rPr>
          <w:rFonts w:ascii="Calibri" w:cs="Calibri" w:eastAsia="Calibri" w:hAnsi="Calibri"/>
          <w:color w:val="1A1F25"/>
          <w:sz w:val="21"/>
          <w:szCs w:val="21"/>
        </w:rPr>
        <w:t xml:space="preserve">Gas detection is treated as a deliberate, safety-critical design choice rather than a single off-the-shelf part, because no one sensing technology covers all of the appliance’s hazards. The shipping design pairs complementary technologies — non-dispersive infrared (NDIR) sensing for methane, which needs no oxygen and resists poisoning, with electrochemical sensing for the toxic gases carbon monoxide and hydrogen sulphide — and applies redundancy on life-safety functions. Catalytic-bead sensors, while inexpensive, are avoided on critical paths because they require oxygen and are poisoned by sulphur and silicones; low-cost metal-oxide (hobby MQ-4-class) sensors are permitted only in non-safety-critical prototyping. All gas detectors specified for the product carry hazardous-location certification appropriate to their zone.</w:t>
      </w:r>
    </w:p>
    <w:tbl>
      <w:tblPr>
        <w:tblW w:type="dxa" w:w="9360"/>
        <w:tblBorders>
          <w:top w:val="single" w:color="F7E6E4" w:sz="2"/>
          <w:left w:val="single" w:color="9E2B25" w:sz="28"/>
          <w:bottom w:val="single" w:color="F7E6E4" w:sz="2"/>
          <w:right w:val="single" w:color="F7E6E4" w:sz="2"/>
          <w:insideH w:val="single" w:color="auto" w:sz="4"/>
          <w:insideV w:val="single" w:color="auto" w:sz="4"/>
        </w:tblBorders>
      </w:tblPr>
      <w:tblGrid>
        <w:gridCol w:w="9360"/>
      </w:tblGrid>
      <w:tr>
        <w:tc>
          <w:tcPr>
            <w:tcW w:type="dxa" w:w="9360"/>
            <w:shd w:fill="F7E6E4" w:val="clear"/>
            <w:tcMar>
              <w:top w:type="dxa" w:w="120"/>
              <w:left w:type="dxa" w:w="200"/>
              <w:bottom w:type="dxa" w:w="120"/>
              <w:right w:type="dxa" w:w="160"/>
            </w:tcMar>
          </w:tcPr>
          <w:p>
            <w:pPr>
              <w:spacing w:after="60" w:line="264"/>
              <w:jc w:val="left"/>
            </w:pPr>
            <w:r>
              <w:rPr>
                <w:rFonts w:ascii="Calibri" w:cs="Calibri" w:eastAsia="Calibri" w:hAnsi="Calibri"/>
                <w:color w:val="9E2B25"/>
                <w:sz w:val="19"/>
                <w:szCs w:val="19"/>
              </w:rPr>
              <w:t xml:space="preserve">The non-negotiable rule</w:t>
            </w:r>
          </w:p>
          <w:p>
            <w:pPr>
              <w:spacing w:after="0" w:line="264"/>
              <w:jc w:val="left"/>
            </w:pPr>
            <w:r>
              <w:rPr>
                <w:rFonts w:ascii="Calibri" w:cs="Calibri" w:eastAsia="Calibri" w:hAnsi="Calibri"/>
                <w:color w:val="1A1F25"/>
                <w:sz w:val="19"/>
                <w:szCs w:val="19"/>
              </w:rPr>
              <w:t xml:space="preserve">Any unit producing combustible gas or handling flammable liquid is treated as a mini-industrial plant: sensor arrays, alarms, and hard-wired cutoffs are mandatory, not optional, and high-risk modules ship only after certification and user training. This rule overrides cost and schedule pressure at every gate.</w:t>
            </w:r>
          </w:p>
        </w:tc>
      </w:tr>
    </w:tbl>
    <w:p>
      <w:pPr>
        <w:pStyle w:val="Heading2"/>
      </w:pPr>
      <w:r>
        <w:rPr>
          <w:rFonts w:ascii="Calibri" w:cs="Calibri" w:eastAsia="Calibri" w:hAnsi="Calibri"/>
          <w:color w:val="2B3440"/>
          <w:sz w:val="25"/>
          <w:szCs w:val="25"/>
        </w:rPr>
        <w:t xml:space="preserve">5.6  Energy system — generator and home integration</w:t>
      </w:r>
    </w:p>
    <w:p>
      <w:pPr>
        <w:keepNext w:val="false"/>
        <w:spacing w:after="140" w:before="0" w:line="276"/>
        <w:jc w:val="both"/>
      </w:pPr>
      <w:r>
        <w:rPr>
          <w:rFonts w:ascii="Calibri" w:cs="Calibri" w:eastAsia="Calibri" w:hAnsi="Calibri"/>
          <w:color w:val="1A1F25"/>
          <w:sz w:val="21"/>
          <w:szCs w:val="21"/>
        </w:rPr>
        <w:t xml:space="preserve">Excess biofuel — primarily biogas, optionally biodiesel — feeds a small generator (on the order of 5–10 kW) that offsets household electricity. The conversion benchmark from the research base is that roughly one cubic metre of biogas yields about two kilowatt-hours of electricity in a small genset, with modern engines reaching electrical efficiencies in the high-thirties to mid-forties percent and total efficiencies up to about ninety percent in combined-heat-and-power configurations. Hydrogen sulphide must be scrubbed upstream to protect the engine. This subsystem is what converts Biotank from a fuel maker into a home-energy appliance, and it materially strengthens the consumer value proposition by turning waste directly into a visible reduction in the electricity bill.</w:t>
      </w:r>
    </w:p>
    <w:p>
      <w:pPr>
        <w:pStyle w:val="Heading2"/>
      </w:pPr>
      <w:r>
        <w:rPr>
          <w:rFonts w:ascii="Calibri" w:cs="Calibri" w:eastAsia="Calibri" w:hAnsi="Calibri"/>
          <w:color w:val="2B3440"/>
          <w:sz w:val="25"/>
          <w:szCs w:val="25"/>
        </w:rPr>
        <w:t xml:space="preserve">5.7  Engineering standards and references</w:t>
      </w:r>
    </w:p>
    <w:p>
      <w:pPr>
        <w:keepNext w:val="false"/>
        <w:spacing w:after="140" w:before="0" w:line="276"/>
        <w:jc w:val="both"/>
      </w:pPr>
      <w:r>
        <w:rPr>
          <w:rFonts w:ascii="Calibri" w:cs="Calibri" w:eastAsia="Calibri" w:hAnsi="Calibri"/>
          <w:color w:val="1A1F25"/>
          <w:sz w:val="21"/>
          <w:szCs w:val="21"/>
        </w:rPr>
        <w:t xml:space="preserve">The engineering work is anchored to recognized standards so that certification and insurance are achievable, and the feasibility study made the relevant safety standards specific. The principal references are ASTM D6751 and EN 14214 for biodiesel quality; NFPA 30 for flammable and combustible liquid handling and storage; NFPA 497 together with the IEC 60079 series and the European ATEX directive for hazardous-area classification (the zoning that dictates where explosion-proof or intrinsically safe equipment is required); IEC 61508 and IEC 61511 for the functional safety and safety-integrity levels of the instrumented protective functions; hazard-and-operability (HAZOP) studies and layer-of-protection analysis (LOPA) for systematic hazard identification; UL and CE frameworks for appliance electrical safety; ISO work on household biogas systems for the digestion subsystem; and the Anaerobic Digestion Model No. 1 for process modeling. In regulatory and engineering terms the appliance is a small process plant and is engineered as one. These standards are named in the quality plan (Section 14) and the compliance plan (Section 13) and are treated as design inputs from the first gate.</w:t>
      </w:r>
    </w:p>
    <w:p>
      <w:pPr>
        <w:pStyle w:val="Heading2"/>
      </w:pPr>
      <w:r>
        <w:rPr>
          <w:rFonts w:ascii="Calibri" w:cs="Calibri" w:eastAsia="Calibri" w:hAnsi="Calibri"/>
          <w:color w:val="2B3440"/>
          <w:sz w:val="25"/>
          <w:szCs w:val="25"/>
        </w:rPr>
        <w:t xml:space="preserve">5.8  Feedstock strategy</w:t>
      </w:r>
    </w:p>
    <w:p>
      <w:pPr>
        <w:keepNext w:val="false"/>
        <w:spacing w:after="140" w:before="0" w:line="276"/>
        <w:jc w:val="both"/>
      </w:pPr>
      <w:r>
        <w:rPr>
          <w:rFonts w:ascii="Calibri" w:cs="Calibri" w:eastAsia="Calibri" w:hAnsi="Calibri"/>
          <w:color w:val="1A1F25"/>
          <w:sz w:val="21"/>
          <w:szCs w:val="21"/>
        </w:rPr>
        <w:t xml:space="preserve">Feedstock is the program’s most underappreciated operational variable. The conversion science assumes a feedstock of known composition, but real household waste is heterogeneous, seasonal, and contaminated, and a plan that ignores this would mislead both the engineering and the economics. The appliance and the platform therefore treat feedstock characterization as a first-class function rather than an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160"/>
        <w:gridCol w:w="3300"/>
      </w:tblGrid>
      <w:tr>
        <w:trPr>
          <w:tblHeader/>
        </w:trPr>
        <w:tc>
          <w:tcPr>
            <w:tcW w:type="dxa" w:w="2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Feedstock</w:t>
            </w:r>
          </w:p>
        </w:tc>
        <w:tc>
          <w:tcPr>
            <w:tcW w:type="dxa" w:w="1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Pathway</w:t>
            </w:r>
          </w:p>
        </w:tc>
        <w:tc>
          <w:tcPr>
            <w:tcW w:type="dxa" w:w="21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Availability</w:t>
            </w:r>
          </w:p>
        </w:tc>
        <w:tc>
          <w:tcPr>
            <w:tcW w:type="dxa" w:w="3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Handling considerations</w:t>
            </w:r>
          </w:p>
        </w:tc>
      </w:tr>
      <w:tr>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Waste cooking oil</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Biodiesel</w:t>
            </w:r>
          </w:p>
        </w:tc>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Household + restaurant collection</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Filter solids; manage free-fatty-acid content; high-FFA oils need acid pre-treatment.</w:t>
            </w:r>
          </w:p>
        </w:tc>
      </w:tr>
      <w:tr>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Food scraps</w:t>
            </w:r>
          </w:p>
        </w:tc>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 / fermentation</w:t>
            </w:r>
          </w:p>
        </w:tc>
        <w:tc>
          <w:tcPr>
            <w:tcW w:type="dxa" w:w="2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Continuous household stream</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Exclude bones/large solids; variable moisture and C/N; benefits from co-digestion.</w:t>
            </w:r>
          </w:p>
        </w:tc>
      </w:tr>
      <w:tr>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Yard / garden waste</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 (co-feed)</w:t>
            </w:r>
          </w:p>
        </w:tc>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Seasonal</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Woody material digests slowly; better as a co-feed than a primary input.</w:t>
            </w:r>
          </w:p>
        </w:tc>
      </w:tr>
      <w:tr>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Animal manure</w:t>
            </w:r>
          </w:p>
        </w:tc>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w:t>
            </w:r>
          </w:p>
        </w:tc>
        <w:tc>
          <w:tcPr>
            <w:tcW w:type="dxa" w:w="2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Rural / smallholding</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 biogas value as a co-digestion feed; raises methane yield materially.</w:t>
            </w:r>
          </w:p>
        </w:tc>
      </w:tr>
      <w:tr>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Starchy / sugary waste</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Fermentation</w:t>
            </w:r>
          </w:p>
        </w:tc>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Household</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Best ethanol-precursor feedstock; enzyme pre-treatment improves yield.</w:t>
            </w:r>
          </w:p>
        </w:tc>
      </w:tr>
    </w:tbl>
    <w:p>
      <w:pPr>
        <w:spacing w:after="100"/>
      </w:pPr>
      <w:r>
        <w:t xml:space="preserve"/>
      </w:r>
    </w:p>
    <w:p>
      <w:pPr>
        <w:keepNext w:val="false"/>
        <w:spacing w:after="140" w:before="0" w:line="276"/>
        <w:jc w:val="both"/>
      </w:pPr>
      <w:r>
        <w:rPr>
          <w:rFonts w:ascii="Calibri" w:cs="Calibri" w:eastAsia="Calibri" w:hAnsi="Calibri"/>
          <w:color w:val="1A1F25"/>
          <w:sz w:val="21"/>
          <w:szCs w:val="21"/>
        </w:rPr>
        <w:t xml:space="preserve">Two design responses follow. First, the appliance includes basic input characterization — the sensor suite and a guided intake flow help the user understand what they are feeding it and route it to the right module. Second, the Hub’s simulator and recipe system let users plan around what they actually have, and the competition naturally surfaces robust recipes that tolerate real-world feedstock variation rather than idealized inputs. The program also notes feedstock as an economic driver: the favourable per-gallon and per-cubic-metre figures in this section assume free or very-low-cost feedstock, so the business case is strongest precisely for households and smallholdings that already generate these streams.</w:t>
      </w:r>
    </w:p>
    <w:tbl>
      <w:tblPr>
        <w:tblW w:type="dxa" w:w="9360"/>
        <w:tblBorders>
          <w:top w:val="single" w:color="FBF0DA" w:sz="2"/>
          <w:left w:val="single" w:color="C8881A" w:sz="28"/>
          <w:bottom w:val="single" w:color="FBF0DA" w:sz="2"/>
          <w:right w:val="single" w:color="FBF0DA" w:sz="2"/>
          <w:insideH w:val="single" w:color="auto" w:sz="4"/>
          <w:insideV w:val="single" w:color="auto" w:sz="4"/>
        </w:tblBorders>
      </w:tblPr>
      <w:tblGrid>
        <w:gridCol w:w="9360"/>
      </w:tblGrid>
      <w:tr>
        <w:tc>
          <w:tcPr>
            <w:tcW w:type="dxa" w:w="9360"/>
            <w:shd w:fill="FBF0DA" w:val="clear"/>
            <w:tcMar>
              <w:top w:type="dxa" w:w="120"/>
              <w:left w:type="dxa" w:w="200"/>
              <w:bottom w:type="dxa" w:w="120"/>
              <w:right w:type="dxa" w:w="160"/>
            </w:tcMar>
          </w:tcPr>
          <w:p>
            <w:pPr>
              <w:spacing w:after="60" w:line="264"/>
              <w:jc w:val="left"/>
            </w:pPr>
            <w:r>
              <w:rPr>
                <w:rFonts w:ascii="Calibri" w:cs="Calibri" w:eastAsia="Calibri" w:hAnsi="Calibri"/>
                <w:color w:val="C8881A"/>
                <w:sz w:val="19"/>
                <w:szCs w:val="19"/>
              </w:rPr>
              <w:t xml:space="preserve">Feedstock realism</w:t>
            </w:r>
          </w:p>
          <w:p>
            <w:pPr>
              <w:spacing w:after="0" w:line="264"/>
              <w:jc w:val="left"/>
            </w:pPr>
            <w:r>
              <w:rPr>
                <w:rFonts w:ascii="Calibri" w:cs="Calibri" w:eastAsia="Calibri" w:hAnsi="Calibri"/>
                <w:color w:val="1A1F25"/>
                <w:sz w:val="19"/>
                <w:szCs w:val="19"/>
              </w:rPr>
              <w:t xml:space="preserve">Idealized yields assume clean, characterized feedstock; real waste is messy. The program treats feedstock variability as an engineering and UX problem to be designed for — through characterization, guidance, and robust recipes — not a footnote to be assumed away. This is also why the pilot collects real feedstock data: to replace literature assumptions with measured household reality.</w:t>
            </w:r>
          </w:p>
        </w:tc>
      </w:tr>
    </w:tbl>
    <w:p>
      <w:pPr>
        <w:pStyle w:val="Heading1"/>
        <w:pageBreakBefore/>
      </w:pPr>
      <w:r>
        <w:rPr>
          <w:rFonts w:ascii="Calibri" w:cs="Calibri" w:eastAsia="Calibri" w:hAnsi="Calibri"/>
          <w:color w:val="1F6F43"/>
          <w:sz w:val="30"/>
          <w:szCs w:val="30"/>
        </w:rPr>
        <w:t xml:space="preserve">6.  The Biotank Hub Software &amp; Community Platform</w:t>
      </w:r>
    </w:p>
    <w:p>
      <w:pPr>
        <w:keepNext w:val="false"/>
        <w:spacing w:after="140" w:before="0" w:line="276"/>
        <w:jc w:val="both"/>
      </w:pPr>
      <w:r>
        <w:rPr>
          <w:rFonts w:ascii="Calibri" w:cs="Calibri" w:eastAsia="Calibri" w:hAnsi="Calibri"/>
          <w:color w:val="1A1F25"/>
          <w:sz w:val="21"/>
          <w:szCs w:val="21"/>
        </w:rPr>
        <w:t xml:space="preserve">The Biotank Hub is the program’s beachhead: the cheapest, fastest, most de-risking thing the team can build, and the digital product that ultimately ships alongside every appliance. It does three jobs — it lets people experience the product before hardware exists (the simulator), it turns users into a distributed R&amp;D force (the competition), and it accumulates the proprietary performance dataset that becomes the company’s durable moat. Because software validates demand at a fraction of hardware cost, it is sequenced first within Phase 1.</w:t>
      </w:r>
    </w:p>
    <w:p>
      <w:pPr>
        <w:pStyle w:val="Heading2"/>
      </w:pPr>
      <w:r>
        <w:rPr>
          <w:rFonts w:ascii="Calibri" w:cs="Calibri" w:eastAsia="Calibri" w:hAnsi="Calibri"/>
          <w:color w:val="2B3440"/>
          <w:sz w:val="25"/>
          <w:szCs w:val="25"/>
        </w:rPr>
        <w:t xml:space="preserve">6.1  Why software first</w:t>
      </w:r>
    </w:p>
    <w:p>
      <w:pPr>
        <w:pStyle w:val="ListParagraph"/>
        <w:numPr>
          <w:ilvl w:val="0"/>
          <w:numId w:val="2"/>
        </w:numPr>
        <w:spacing w:after="70" w:line="268"/>
        <w:jc w:val="left"/>
      </w:pPr>
      <w:r>
        <w:rPr>
          <w:rFonts w:ascii="Calibri" w:cs="Calibri" w:eastAsia="Calibri" w:hAnsi="Calibri"/>
          <w:b/>
          <w:bCs/>
          <w:color w:val="1A1F25"/>
          <w:sz w:val="21"/>
          <w:szCs w:val="21"/>
        </w:rPr>
        <w:t xml:space="preserve">It validates demand cheaply.</w:t>
      </w:r>
      <w:r>
        <w:rPr>
          <w:rFonts w:ascii="Calibri" w:cs="Calibri" w:eastAsia="Calibri" w:hAnsi="Calibri"/>
          <w:color w:val="1A1F25"/>
          <w:sz w:val="21"/>
          <w:szCs w:val="21"/>
        </w:rPr>
        <w:t xml:space="preserve"> A public simulator and competition with a hardware waitlist tests whether anyone actually wants this, before a dollar is spent on tooling.</w:t>
      </w:r>
    </w:p>
    <w:p>
      <w:pPr>
        <w:pStyle w:val="ListParagraph"/>
        <w:numPr>
          <w:ilvl w:val="0"/>
          <w:numId w:val="2"/>
        </w:numPr>
        <w:spacing w:after="70" w:line="268"/>
        <w:jc w:val="left"/>
      </w:pPr>
      <w:r>
        <w:rPr>
          <w:rFonts w:ascii="Calibri" w:cs="Calibri" w:eastAsia="Calibri" w:hAnsi="Calibri"/>
          <w:b/>
          <w:bCs/>
          <w:color w:val="1A1F25"/>
          <w:sz w:val="21"/>
          <w:szCs w:val="21"/>
        </w:rPr>
        <w:t xml:space="preserve">It builds the community early.</w:t>
      </w:r>
      <w:r>
        <w:rPr>
          <w:rFonts w:ascii="Calibri" w:cs="Calibri" w:eastAsia="Calibri" w:hAnsi="Calibri"/>
          <w:color w:val="1A1F25"/>
          <w:sz w:val="21"/>
          <w:szCs w:val="21"/>
        </w:rPr>
        <w:t xml:space="preserve"> The “backyard scientist” community is the moat; it can start forming a year before hardware ships.</w:t>
      </w:r>
    </w:p>
    <w:p>
      <w:pPr>
        <w:pStyle w:val="ListParagraph"/>
        <w:numPr>
          <w:ilvl w:val="0"/>
          <w:numId w:val="2"/>
        </w:numPr>
        <w:spacing w:after="70" w:line="268"/>
        <w:jc w:val="left"/>
      </w:pPr>
      <w:r>
        <w:rPr>
          <w:rFonts w:ascii="Calibri" w:cs="Calibri" w:eastAsia="Calibri" w:hAnsi="Calibri"/>
          <w:b/>
          <w:bCs/>
          <w:color w:val="1A1F25"/>
          <w:sz w:val="21"/>
          <w:szCs w:val="21"/>
        </w:rPr>
        <w:t xml:space="preserve">It de-risks the hardware.</w:t>
      </w:r>
      <w:r>
        <w:rPr>
          <w:rFonts w:ascii="Calibri" w:cs="Calibri" w:eastAsia="Calibri" w:hAnsi="Calibri"/>
          <w:color w:val="1A1F25"/>
          <w:sz w:val="21"/>
          <w:szCs w:val="21"/>
        </w:rPr>
        <w:t xml:space="preserve"> Recipe data and simulated outcomes inform which pathways and feedstocks to prioritize in physical design.</w:t>
      </w:r>
    </w:p>
    <w:p>
      <w:pPr>
        <w:pStyle w:val="ListParagraph"/>
        <w:numPr>
          <w:ilvl w:val="0"/>
          <w:numId w:val="2"/>
        </w:numPr>
        <w:spacing w:after="70" w:line="268"/>
        <w:jc w:val="left"/>
      </w:pPr>
      <w:r>
        <w:rPr>
          <w:rFonts w:ascii="Calibri" w:cs="Calibri" w:eastAsia="Calibri" w:hAnsi="Calibri"/>
          <w:b/>
          <w:bCs/>
          <w:color w:val="1A1F25"/>
          <w:sz w:val="21"/>
          <w:szCs w:val="21"/>
        </w:rPr>
        <w:t xml:space="preserve">It generates marketing.</w:t>
      </w:r>
      <w:r>
        <w:rPr>
          <w:rFonts w:ascii="Calibri" w:cs="Calibri" w:eastAsia="Calibri" w:hAnsi="Calibri"/>
          <w:color w:val="1A1F25"/>
          <w:sz w:val="21"/>
          <w:szCs w:val="21"/>
        </w:rPr>
        <w:t xml:space="preserve"> People share winning recipes; the leaderboard is organic content.</w:t>
      </w:r>
    </w:p>
    <w:p>
      <w:pPr>
        <w:pStyle w:val="ListParagraph"/>
        <w:numPr>
          <w:ilvl w:val="0"/>
          <w:numId w:val="2"/>
        </w:numPr>
        <w:spacing w:after="70" w:line="268"/>
        <w:jc w:val="left"/>
      </w:pPr>
      <w:r>
        <w:rPr>
          <w:rFonts w:ascii="Calibri" w:cs="Calibri" w:eastAsia="Calibri" w:hAnsi="Calibri"/>
          <w:b/>
          <w:bCs/>
          <w:color w:val="1A1F25"/>
          <w:sz w:val="21"/>
          <w:szCs w:val="21"/>
        </w:rPr>
        <w:t xml:space="preserve">It is fundable on its own.</w:t>
      </w:r>
      <w:r>
        <w:rPr>
          <w:rFonts w:ascii="Calibri" w:cs="Calibri" w:eastAsia="Calibri" w:hAnsi="Calibri"/>
          <w:color w:val="1A1F25"/>
          <w:sz w:val="21"/>
          <w:szCs w:val="21"/>
        </w:rPr>
        <w:t xml:space="preserve"> A working platform is strong evidence for grant and angel funding.</w:t>
      </w:r>
    </w:p>
    <w:p>
      <w:pPr>
        <w:pStyle w:val="Heading2"/>
      </w:pPr>
      <w:r>
        <w:rPr>
          <w:rFonts w:ascii="Calibri" w:cs="Calibri" w:eastAsia="Calibri" w:hAnsi="Calibri"/>
          <w:color w:val="2B3440"/>
          <w:sz w:val="25"/>
          <w:szCs w:val="25"/>
        </w:rPr>
        <w:t xml:space="preserve">6.2  Architecture and stack</w:t>
      </w:r>
    </w:p>
    <w:p>
      <w:pPr>
        <w:keepNext w:val="false"/>
        <w:spacing w:after="140" w:before="0" w:line="276"/>
        <w:jc w:val="both"/>
      </w:pPr>
      <w:r>
        <w:rPr>
          <w:rFonts w:ascii="Calibri" w:cs="Calibri" w:eastAsia="Calibri" w:hAnsi="Calibri"/>
          <w:color w:val="1A1F25"/>
          <w:sz w:val="21"/>
          <w:szCs w:val="21"/>
        </w:rPr>
        <w:t xml:space="preserve">The recommended stack is modern, fast to build, and inexpensive to run: a React-based front end with a utility-first styling system; a managed back end providing authentication, a realtime database, and storage; a charting library for the dashboards; a wallet-connection layer and a low-cost blockchain testnet for transparent, tamper-evident logging of competition results; and a serverless hosting platform. The proof-of-concept delivered alongside this plan implements the simulator, the recipe engine, and the competition in a single self-contained application, with the wallet, on-chain, and backend integrations stubbed behind clearly marked interfaces so they can be wired to live services without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Layer</w:t>
            </w:r>
          </w:p>
        </w:tc>
        <w:tc>
          <w:tcPr>
            <w:tcW w:type="dxa" w:w="37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Choice (plan of record)</w:t>
            </w:r>
          </w:p>
        </w:tc>
        <w:tc>
          <w:tcPr>
            <w:tcW w:type="dxa" w:w="3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Role</w:t>
            </w:r>
          </w:p>
        </w:tc>
      </w:tr>
      <w:tr>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Front end</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React + utility-first CSS + component library</w:t>
            </w:r>
          </w:p>
        </w:tc>
        <w:tc>
          <w:tcPr>
            <w:tcW w:type="dxa" w:w="3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Dashboards, recipe forms, leaderboard, community feed.</w:t>
            </w:r>
          </w:p>
        </w:tc>
      </w:tr>
      <w:tr>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Back end</w:t>
            </w:r>
          </w:p>
        </w:tc>
        <w:tc>
          <w:tcPr>
            <w:tcW w:type="dxa" w:w="3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Managed auth + realtime DB + storage</w:t>
            </w:r>
          </w:p>
        </w:tc>
        <w:tc>
          <w:tcPr>
            <w:tcW w:type="dxa" w:w="3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User accounts, recipe and telemetry storage, realtime updates.</w:t>
            </w:r>
          </w:p>
        </w:tc>
      </w:tr>
      <w:tr>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Charts</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Charting library (e.g., Recharts/Chart.js)</w:t>
            </w:r>
          </w:p>
        </w:tc>
        <w:tc>
          <w:tcPr>
            <w:tcW w:type="dxa" w:w="3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Live yield, efficiency, and CO₂-avoided visualizations.</w:t>
            </w:r>
          </w:p>
        </w:tc>
      </w:tr>
      <w:tr>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On-chain</w:t>
            </w:r>
          </w:p>
        </w:tc>
        <w:tc>
          <w:tcPr>
            <w:tcW w:type="dxa" w:w="3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Wallet connect + low-cost testnet</w:t>
            </w:r>
          </w:p>
        </w:tc>
        <w:tc>
          <w:tcPr>
            <w:tcW w:type="dxa" w:w="3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Transparent, tamper-evident competition records and rewards.</w:t>
            </w:r>
          </w:p>
        </w:tc>
      </w:tr>
      <w:tr>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Telemetry</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Signed device feed + ingestion endpoint</w:t>
            </w:r>
          </w:p>
        </w:tc>
        <w:tc>
          <w:tcPr>
            <w:tcW w:type="dxa" w:w="3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Verifiable performance data from real appliances.</w:t>
            </w:r>
          </w:p>
        </w:tc>
      </w:tr>
      <w:tr>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Hosting</w:t>
            </w:r>
          </w:p>
        </w:tc>
        <w:tc>
          <w:tcPr>
            <w:tcW w:type="dxa" w:w="3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Serverless / edge platform</w:t>
            </w:r>
          </w:p>
        </w:tc>
        <w:tc>
          <w:tcPr>
            <w:tcW w:type="dxa" w:w="3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Low-cost, instant deploys, scales with demand.</w:t>
            </w:r>
          </w:p>
        </w:tc>
      </w:tr>
    </w:tbl>
    <w:p>
      <w:pPr>
        <w:spacing w:after="120"/>
      </w:pPr>
      <w:r>
        <w:t xml:space="preserve"/>
      </w:r>
    </w:p>
    <w:p>
      <w:pPr>
        <w:pStyle w:val="Heading2"/>
      </w:pPr>
      <w:r>
        <w:rPr>
          <w:rFonts w:ascii="Calibri" w:cs="Calibri" w:eastAsia="Calibri" w:hAnsi="Calibri"/>
          <w:color w:val="2B3440"/>
          <w:sz w:val="25"/>
          <w:szCs w:val="25"/>
        </w:rPr>
        <w:t xml:space="preserve">6.3  The simulator</w:t>
      </w:r>
    </w:p>
    <w:p>
      <w:pPr>
        <w:keepNext w:val="false"/>
        <w:spacing w:after="140" w:before="0" w:line="276"/>
        <w:jc w:val="both"/>
      </w:pPr>
      <w:r>
        <w:rPr>
          <w:rFonts w:ascii="Calibri" w:cs="Calibri" w:eastAsia="Calibri" w:hAnsi="Calibri"/>
          <w:color w:val="1A1F25"/>
          <w:sz w:val="21"/>
          <w:szCs w:val="21"/>
        </w:rPr>
        <w:t xml:space="preserve">The simulator is the front door. A user drags household waste inputs — used cooking oil, food scraps, manure, yard waste — onto a virtual Biotank and immediately sees calculated outputs: biogas volume, biodiesel litres, electricity generated, estimated cost, and carbon avoided. The models behind it are simple but defensible, built from the empirical yield figures in the research base (for example, the methane-per-kilogram-volatile-solids and biodiesel-conversion ranges in Section 5). The simulator runs entirely client-side, needs no hardware, and serves three audiences: prospective customers exploring the idea, community members planning recipes before committing real feedstock, and the team itself testing which combinations are worth physical validation.</w:t>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Models, not magic</w:t>
            </w:r>
          </w:p>
          <w:p>
            <w:pPr>
              <w:spacing w:after="0" w:line="264"/>
              <w:jc w:val="left"/>
            </w:pPr>
            <w:r>
              <w:rPr>
                <w:rFonts w:ascii="Calibri" w:cs="Calibri" w:eastAsia="Calibri" w:hAnsi="Calibri"/>
                <w:color w:val="1A1F25"/>
                <w:sz w:val="19"/>
                <w:szCs w:val="19"/>
              </w:rPr>
              <w:t xml:space="preserve">The simulator’s outputs are estimates from published empirical relationships, clearly labelled as such. As real telemetry arrives from pilot units, the models are recalibrated against measured performance — closing the loop between the digital and physical products and steadily improving simulation fidelity.</w:t>
            </w:r>
          </w:p>
        </w:tc>
      </w:tr>
    </w:tbl>
    <w:p>
      <w:pPr>
        <w:pStyle w:val="Heading2"/>
      </w:pPr>
      <w:r>
        <w:rPr>
          <w:rFonts w:ascii="Calibri" w:cs="Calibri" w:eastAsia="Calibri" w:hAnsi="Calibri"/>
          <w:color w:val="2B3440"/>
          <w:sz w:val="25"/>
          <w:szCs w:val="25"/>
        </w:rPr>
        <w:t xml:space="preserve">6.4  The recipe competition</w:t>
      </w:r>
    </w:p>
    <w:p>
      <w:pPr>
        <w:keepNext w:val="false"/>
        <w:spacing w:after="140" w:before="0" w:line="276"/>
        <w:jc w:val="both"/>
      </w:pPr>
      <w:r>
        <w:rPr>
          <w:rFonts w:ascii="Calibri" w:cs="Calibri" w:eastAsia="Calibri" w:hAnsi="Calibri"/>
          <w:color w:val="1A1F25"/>
          <w:sz w:val="21"/>
          <w:szCs w:val="21"/>
        </w:rPr>
        <w:t xml:space="preserve">The competition is the engine of community innovation. A user submits a recipe — feedstocks, process settings, expected results — and the system scores it across a transparent, multi-factor rubric. Leaderboards and themed monthly challenges (for example, “most efficient food-waste biogas blend”) create friendly one-upmanship. Crucially, scores that matter — those that promote a recipe into the official library or qualify it for meaningful rewards — require verification: device telemetry plus, for top entries, a sealed physical sample analysed by a partner lab, with the result hashed on-chain alongside the telemetry for provenance.</w:t>
      </w:r>
    </w:p>
    <w:p>
      <w:pPr>
        <w:pStyle w:val="Heading4"/>
      </w:pPr>
      <w:r>
        <w:rPr>
          <w:rFonts w:ascii="Calibri" w:cs="Calibri" w:eastAsia="Calibri" w:hAnsi="Calibri"/>
          <w:color w:val="2B3440"/>
          <w:sz w:val="21"/>
          <w:szCs w:val="21"/>
        </w:rPr>
        <w:t xml:space="preserve">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60"/>
        <w:gridCol w:w="3800"/>
      </w:tblGrid>
      <w:tr>
        <w:trPr>
          <w:tblHeader/>
        </w:trPr>
        <w:tc>
          <w:tcPr>
            <w:tcW w:type="dxa" w:w="21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Dimension</w:t>
            </w:r>
          </w:p>
        </w:tc>
        <w:tc>
          <w:tcPr>
            <w:tcW w:type="dxa" w:w="34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What it rewards</w:t>
            </w:r>
          </w:p>
        </w:tc>
        <w:tc>
          <w:tcPr>
            <w:tcW w:type="dxa" w:w="38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How it is measured</w:t>
            </w:r>
          </w:p>
        </w:tc>
      </w:tr>
      <w:tr>
        <w:tc>
          <w:tcPr>
            <w:tcW w:type="dxa" w:w="2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Yield efficiency</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Fuel or energy out per unit of waste in</w:t>
            </w:r>
          </w:p>
        </w:tc>
        <w:tc>
          <w:tcPr>
            <w:tcW w:type="dxa" w:w="3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Litres or megajoules per kilogram of feedstock, from telemetry.</w:t>
            </w:r>
          </w:p>
        </w:tc>
      </w:tr>
      <w:tr>
        <w:tc>
          <w:tcPr>
            <w:tcW w:type="dxa" w:w="2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Energy return (EROI)</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Net energy gain after process energy</w:t>
            </w:r>
          </w:p>
        </w:tc>
        <w:tc>
          <w:tcPr>
            <w:tcW w:type="dxa" w:w="3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Output energy divided by input energy, including heating/electricity.</w:t>
            </w:r>
          </w:p>
        </w:tc>
      </w:tr>
      <w:tr>
        <w:tc>
          <w:tcPr>
            <w:tcW w:type="dxa" w:w="2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Cleanliness</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 emissions and contaminants</w:t>
            </w:r>
          </w:p>
        </w:tc>
        <w:tc>
          <w:tcPr>
            <w:tcW w:type="dxa" w:w="3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Lab analysis of the sample for top entries.</w:t>
            </w:r>
          </w:p>
        </w:tc>
      </w:tr>
      <w:tr>
        <w:tc>
          <w:tcPr>
            <w:tcW w:type="dxa" w:w="2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Reproducibility</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Results others can repeat</w:t>
            </w:r>
          </w:p>
        </w:tc>
        <w:tc>
          <w:tcPr>
            <w:tcW w:type="dxa" w:w="3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Variance across repeated runs and independent replication.</w:t>
            </w:r>
          </w:p>
        </w:tc>
      </w:tr>
      <w:tr>
        <w:tc>
          <w:tcPr>
            <w:tcW w:type="dxa" w:w="2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Cost per unit energy</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Real affordability</w:t>
            </w:r>
          </w:p>
        </w:tc>
        <w:tc>
          <w:tcPr>
            <w:tcW w:type="dxa" w:w="3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Reagent and consumable cost amortized over output.</w:t>
            </w:r>
          </w:p>
        </w:tc>
      </w:tr>
      <w:tr>
        <w:tc>
          <w:tcPr>
            <w:tcW w:type="dxa" w:w="2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User-friendliness</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Low-risk, accessible methods</w:t>
            </w:r>
          </w:p>
        </w:tc>
        <w:tc>
          <w:tcPr>
            <w:tcW w:type="dxa" w:w="3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Hazard and difficulty rating of the process.</w:t>
            </w:r>
          </w:p>
        </w:tc>
      </w:tr>
    </w:tbl>
    <w:p>
      <w:pPr>
        <w:spacing w:after="120"/>
      </w:pPr>
      <w:r>
        <w:t xml:space="preserve"/>
      </w:r>
    </w:p>
    <w:p>
      <w:pPr>
        <w:pStyle w:val="Heading2"/>
      </w:pPr>
      <w:r>
        <w:rPr>
          <w:rFonts w:ascii="Calibri" w:cs="Calibri" w:eastAsia="Calibri" w:hAnsi="Calibri"/>
          <w:color w:val="2B3440"/>
          <w:sz w:val="25"/>
          <w:szCs w:val="25"/>
        </w:rPr>
        <w:t xml:space="preserve">6.5  Verification and provenance</w:t>
      </w:r>
    </w:p>
    <w:p>
      <w:pPr>
        <w:keepNext w:val="false"/>
        <w:spacing w:after="140" w:before="0" w:line="276"/>
        <w:jc w:val="both"/>
      </w:pPr>
      <w:r>
        <w:rPr>
          <w:rFonts w:ascii="Calibri" w:cs="Calibri" w:eastAsia="Calibri" w:hAnsi="Calibri"/>
          <w:color w:val="1A1F25"/>
          <w:sz w:val="21"/>
          <w:szCs w:val="21"/>
        </w:rPr>
        <w:t xml:space="preserve">The integrity of the competition is the integrity of the whole community proposition, so verification is designed in rather than bolted on. Entrants upload input logs and the appliance streams sensor telemetry; for prize-eligible or library-bound recipes, a sealed sample is mailed to an accredited partner lab that returns a signed test certificate. The combination of telemetry and the lab-certificate hash is recorded on-chain, producing a verifiable, tamper-evident provenance trail. This is also what makes any future fuel claim defensible: no recipe is certified for vehicle use on self-reported data alone.</w:t>
      </w:r>
    </w:p>
    <w:p>
      <w:pPr>
        <w:pStyle w:val="Heading2"/>
      </w:pPr>
      <w:r>
        <w:rPr>
          <w:rFonts w:ascii="Calibri" w:cs="Calibri" w:eastAsia="Calibri" w:hAnsi="Calibri"/>
          <w:color w:val="2B3440"/>
          <w:sz w:val="25"/>
          <w:szCs w:val="25"/>
        </w:rPr>
        <w:t xml:space="preserve">6.6  The reward and token layer</w:t>
      </w:r>
    </w:p>
    <w:p>
      <w:pPr>
        <w:keepNext w:val="false"/>
        <w:spacing w:after="140" w:before="0" w:line="276"/>
        <w:jc w:val="both"/>
      </w:pPr>
      <w:r>
        <w:rPr>
          <w:rFonts w:ascii="Calibri" w:cs="Calibri" w:eastAsia="Calibri" w:hAnsi="Calibri"/>
          <w:color w:val="1A1F25"/>
          <w:sz w:val="21"/>
          <w:szCs w:val="21"/>
        </w:rPr>
        <w:t xml:space="preserve">Contributions are rewarded with tokens. The program’s deliberate stance is that tokens are </w:t>
      </w:r>
      <w:r>
        <w:rPr>
          <w:rFonts w:ascii="Calibri" w:cs="Calibri" w:eastAsia="Calibri" w:hAnsi="Calibri"/>
          <w:i/>
          <w:iCs/>
          <w:color w:val="1A1F25"/>
          <w:sz w:val="21"/>
          <w:szCs w:val="21"/>
        </w:rPr>
        <w:t xml:space="preserve">utility</w:t>
      </w:r>
      <w:r>
        <w:rPr>
          <w:rFonts w:ascii="Calibri" w:cs="Calibri" w:eastAsia="Calibri" w:hAnsi="Calibri"/>
          <w:color w:val="1A1F25"/>
          <w:sz w:val="21"/>
          <w:szCs w:val="21"/>
        </w:rPr>
        <w:t xml:space="preserve">, not speculation: they unlock discounts on hardware and consumables, priority access, and premium platform features, with optional fiat on-ramps, rather than being promoted as an investment. This framing follows lessons from decentralized-science projects — token bounties have demonstrably motivated distributed research contributors in initiatives such as community research-funding DAOs and on-chain peer-review networks — while avoiding the legal and reputational hazards of a speculative token. The token design, and whether the competition’s value transfer triggers securities or commodity regulation, is an explicit item in the regulatory plan (Section 13).</w:t>
      </w:r>
    </w:p>
    <w:tbl>
      <w:tblPr>
        <w:tblW w:type="dxa" w:w="9360"/>
        <w:tblBorders>
          <w:top w:val="single" w:color="F7E6E4" w:sz="2"/>
          <w:left w:val="single" w:color="9E2B25" w:sz="28"/>
          <w:bottom w:val="single" w:color="F7E6E4" w:sz="2"/>
          <w:right w:val="single" w:color="F7E6E4" w:sz="2"/>
          <w:insideH w:val="single" w:color="auto" w:sz="4"/>
          <w:insideV w:val="single" w:color="auto" w:sz="4"/>
        </w:tblBorders>
      </w:tblPr>
      <w:tblGrid>
        <w:gridCol w:w="9360"/>
      </w:tblGrid>
      <w:tr>
        <w:tc>
          <w:tcPr>
            <w:tcW w:type="dxa" w:w="9360"/>
            <w:shd w:fill="F7E6E4" w:val="clear"/>
            <w:tcMar>
              <w:top w:type="dxa" w:w="120"/>
              <w:left w:type="dxa" w:w="200"/>
              <w:bottom w:type="dxa" w:w="120"/>
              <w:right w:type="dxa" w:w="160"/>
            </w:tcMar>
          </w:tcPr>
          <w:p>
            <w:pPr>
              <w:spacing w:after="60" w:line="264"/>
              <w:jc w:val="left"/>
            </w:pPr>
            <w:r>
              <w:rPr>
                <w:rFonts w:ascii="Calibri" w:cs="Calibri" w:eastAsia="Calibri" w:hAnsi="Calibri"/>
                <w:color w:val="9E2B25"/>
                <w:sz w:val="19"/>
                <w:szCs w:val="19"/>
              </w:rPr>
              <w:t xml:space="preserve">Regulatory flag carried forward</w:t>
            </w:r>
          </w:p>
          <w:p>
            <w:pPr>
              <w:spacing w:after="0" w:line="264"/>
              <w:jc w:val="left"/>
            </w:pPr>
            <w:r>
              <w:rPr>
                <w:rFonts w:ascii="Calibri" w:cs="Calibri" w:eastAsia="Calibri" w:hAnsi="Calibri"/>
                <w:color w:val="1A1F25"/>
                <w:sz w:val="19"/>
                <w:szCs w:val="19"/>
              </w:rPr>
              <w:t xml:space="preserve">The moment rewards tied to fuel performance carry real value, the competition may intersect EPA fuel-registration rules, TTB sale/denaturing requirements, and securities or commodity law for the token itself. This is tracked as a live risk (Section 12) and a compliance task (Section 13); the platform is built so the reward layer can launch as pure utility/testnet until that analysis clears.</w:t>
            </w:r>
          </w:p>
        </w:tc>
      </w:tr>
    </w:tbl>
    <w:p>
      <w:pPr>
        <w:pStyle w:val="Heading2"/>
      </w:pPr>
      <w:r>
        <w:rPr>
          <w:rFonts w:ascii="Calibri" w:cs="Calibri" w:eastAsia="Calibri" w:hAnsi="Calibri"/>
          <w:color w:val="2B3440"/>
          <w:sz w:val="25"/>
          <w:szCs w:val="25"/>
        </w:rPr>
        <w:t xml:space="preserve">6.7  Software roadmap inside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60"/>
      </w:tblGrid>
      <w:tr>
        <w:trPr>
          <w:tblHeader/>
        </w:trPr>
        <w:tc>
          <w:tcPr>
            <w:tcW w:type="dxa" w:w="1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Release</w:t>
            </w:r>
          </w:p>
        </w:tc>
        <w:tc>
          <w:tcPr>
            <w:tcW w:type="dxa" w:w="1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65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Contents</w:t>
            </w:r>
          </w:p>
        </w:tc>
      </w:tr>
      <w:tr>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v0.1 (MVP)</w:t>
            </w:r>
          </w:p>
        </w:tc>
        <w:tc>
          <w:tcPr>
            <w:tcW w:type="dxa" w:w="1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1</w:t>
            </w:r>
          </w:p>
        </w:tc>
        <w:tc>
          <w:tcPr>
            <w:tcW w:type="dxa" w:w="6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Simulator + recipe submission + leaderboard + waitlist; mock/testnet rewards.</w:t>
            </w:r>
          </w:p>
        </w:tc>
      </w:tr>
      <w:tr>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v0.5</w:t>
            </w:r>
          </w:p>
        </w:tc>
        <w:tc>
          <w:tcPr>
            <w:tcW w:type="dxa" w:w="1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1–2</w:t>
            </w:r>
          </w:p>
        </w:tc>
        <w:tc>
          <w:tcPr>
            <w:tcW w:type="dxa" w:w="6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Telemetry ingestion from pilot units; lab-verification workflow; community feed.</w:t>
            </w:r>
          </w:p>
        </w:tc>
      </w:tr>
      <w:tr>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v1.0</w:t>
            </w:r>
          </w:p>
        </w:tc>
        <w:tc>
          <w:tcPr>
            <w:tcW w:type="dxa" w:w="1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2</w:t>
            </w:r>
          </w:p>
        </w:tc>
        <w:tc>
          <w:tcPr>
            <w:tcW w:type="dxa" w:w="6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Live competition with verified rewards; recalibrated simulator models; account and garage views.</w:t>
            </w:r>
          </w:p>
        </w:tc>
      </w:tr>
      <w:tr>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v1.5+</w:t>
            </w:r>
          </w:p>
        </w:tc>
        <w:tc>
          <w:tcPr>
            <w:tcW w:type="dxa" w:w="1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3</w:t>
            </w:r>
          </w:p>
        </w:tc>
        <w:tc>
          <w:tcPr>
            <w:tcW w:type="dxa" w:w="6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Official recipe library; third-party module data; AI-assisted optimization on the proprietary dataset.</w:t>
            </w:r>
          </w:p>
        </w:tc>
      </w:tr>
    </w:tbl>
    <w:p>
      <w:pPr>
        <w:spacing w:after="120"/>
      </w:pPr>
      <w:r>
        <w:t xml:space="preserve"/>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The moat, stated plainly</w:t>
            </w:r>
          </w:p>
          <w:p>
            <w:pPr>
              <w:spacing w:after="0" w:line="264"/>
              <w:jc w:val="left"/>
            </w:pPr>
            <w:r>
              <w:rPr>
                <w:rFonts w:ascii="Calibri" w:cs="Calibri" w:eastAsia="Calibri" w:hAnsi="Calibri"/>
                <w:color w:val="1A1F25"/>
                <w:sz w:val="19"/>
                <w:szCs w:val="19"/>
              </w:rPr>
              <w:t xml:space="preserve">Every Biotank owner becomes a potential R&amp;D contributor. Instead of one central lab discovering optimal blends, a global community does it faster and cheaper — and the accumulating dataset of real-world performance becomes proprietary training data for future optimization features. That dataset, not any single conversion technology, is the asset a competitor cannot quickly copy.</w:t>
            </w:r>
          </w:p>
        </w:tc>
      </w:tr>
    </w:tbl>
    <w:p>
      <w:pPr>
        <w:pStyle w:val="Heading1"/>
        <w:pageBreakBefore/>
      </w:pPr>
      <w:r>
        <w:rPr>
          <w:rFonts w:ascii="Calibri" w:cs="Calibri" w:eastAsia="Calibri" w:hAnsi="Calibri"/>
          <w:color w:val="1F6F43"/>
          <w:sz w:val="30"/>
          <w:szCs w:val="30"/>
        </w:rPr>
        <w:t xml:space="preserve">7.  Schedule, Milestones &amp; Critical Path</w:t>
      </w:r>
    </w:p>
    <w:p>
      <w:pPr>
        <w:keepNext w:val="false"/>
        <w:spacing w:after="140" w:before="0" w:line="276"/>
        <w:jc w:val="both"/>
      </w:pPr>
      <w:r>
        <w:rPr>
          <w:rFonts w:ascii="Calibri" w:cs="Calibri" w:eastAsia="Calibri" w:hAnsi="Calibri"/>
          <w:color w:val="1A1F25"/>
          <w:sz w:val="21"/>
          <w:szCs w:val="21"/>
        </w:rPr>
        <w:t xml:space="preserve">The program runs for thirty-six months across three stage-gated phases. The schedule is built backward from the definition of success and forward from the hard rule that containment and sensing precede conversion. It is presented here as a phase narrative, a quarter-by-quarter roadmap, a milestone register, and an explicit critical path.</w:t>
      </w:r>
    </w:p>
    <w:p>
      <w:pPr>
        <w:pStyle w:val="Heading2"/>
      </w:pPr>
      <w:r>
        <w:rPr>
          <w:rFonts w:ascii="Calibri" w:cs="Calibri" w:eastAsia="Calibri" w:hAnsi="Calibri"/>
          <w:color w:val="2B3440"/>
          <w:sz w:val="25"/>
          <w:szCs w:val="25"/>
        </w:rPr>
        <w:t xml:space="preserve">7.1  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3760"/>
        <w:gridCol w:w="1800"/>
      </w:tblGrid>
      <w:tr>
        <w:trPr>
          <w:tblHeader/>
        </w:trPr>
        <w:tc>
          <w:tcPr>
            <w:tcW w:type="dxa" w:w="2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11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Months</w:t>
            </w:r>
          </w:p>
        </w:tc>
        <w:tc>
          <w:tcPr>
            <w:tcW w:type="dxa" w:w="37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Theme</w:t>
            </w:r>
          </w:p>
        </w:tc>
        <w:tc>
          <w:tcPr>
            <w:tcW w:type="dxa" w:w="18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Exit gate</w:t>
            </w:r>
          </w:p>
        </w:tc>
      </w:tr>
      <w:tr>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1 — Foundation &amp; Proof</w:t>
            </w:r>
          </w:p>
        </w:tc>
        <w:tc>
          <w:tcPr>
            <w:tcW w:type="dxa" w:w="1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0–12</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 prototype, software beachhead, regulatory posture.</w:t>
            </w:r>
          </w:p>
        </w:tc>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G2 — Concept proven, demand validated.</w:t>
            </w:r>
          </w:p>
        </w:tc>
      </w:tr>
      <w:tr>
        <w:tc>
          <w:tcPr>
            <w:tcW w:type="dxa" w:w="2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2 — Pilot &amp; Validation</w:t>
            </w:r>
          </w:p>
        </w:tc>
        <w:tc>
          <w:tcPr>
            <w:tcW w:type="dxa" w:w="1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12–24</w:t>
            </w:r>
          </w:p>
        </w:tc>
        <w:tc>
          <w:tcPr>
            <w:tcW w:type="dxa" w:w="3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Supervised household pilot, biodiesel module, certification path.</w:t>
            </w:r>
          </w:p>
        </w:tc>
        <w:tc>
          <w:tcPr>
            <w:tcW w:type="dxa" w:w="1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G4 — Pilot succeeded, ready to produce.</w:t>
            </w:r>
          </w:p>
        </w:tc>
      </w:tr>
      <w:tr>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3 — Production &amp; Scale</w:t>
            </w:r>
          </w:p>
        </w:tc>
        <w:tc>
          <w:tcPr>
            <w:tcW w:type="dxa" w:w="1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24–36</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Initial production run, full platform, community flywheel.</w:t>
            </w:r>
          </w:p>
        </w:tc>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G5 — Repeatable production, next-capital decision.</w:t>
            </w:r>
          </w:p>
        </w:tc>
      </w:tr>
    </w:tbl>
    <w:p>
      <w:pPr>
        <w:spacing w:after="120"/>
      </w:pPr>
      <w:r>
        <w:t xml:space="preserve"/>
      </w:r>
    </w:p>
    <w:p>
      <w:pPr>
        <w:pStyle w:val="Heading2"/>
      </w:pPr>
      <w:r>
        <w:rPr>
          <w:rFonts w:ascii="Calibri" w:cs="Calibri" w:eastAsia="Calibri" w:hAnsi="Calibri"/>
          <w:color w:val="2B3440"/>
          <w:sz w:val="25"/>
          <w:szCs w:val="25"/>
        </w:rPr>
        <w:t xml:space="preserve">7.2  Quarter-by-quarter roadmap</w:t>
      </w:r>
    </w:p>
    <w:p>
      <w:pPr>
        <w:keepNext w:val="false"/>
        <w:spacing w:after="140" w:before="0" w:line="276"/>
        <w:jc w:val="both"/>
      </w:pPr>
      <w:r>
        <w:rPr>
          <w:rFonts w:ascii="Calibri" w:cs="Calibri" w:eastAsia="Calibri" w:hAnsi="Calibri"/>
          <w:color w:val="1A1F25"/>
          <w:sz w:val="21"/>
          <w:szCs w:val="21"/>
        </w:rPr>
        <w:t xml:space="preserve">The chart below maps the nine workstreams across twelve quarters. Green spans are Phase 1, amber Phase 2, blue Phase 3. The chart is indicative of sequencing and overlap, not a substitute for the detailed task schedule maintained in the program’s planning tool.</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550"/>
        <w:gridCol w:w="550"/>
        <w:gridCol w:w="550"/>
        <w:gridCol w:w="550"/>
        <w:gridCol w:w="550"/>
        <w:gridCol w:w="550"/>
        <w:gridCol w:w="550"/>
        <w:gridCol w:w="550"/>
        <w:gridCol w:w="550"/>
        <w:gridCol w:w="550"/>
        <w:gridCol w:w="550"/>
        <w:gridCol w:w="550"/>
      </w:tblGrid>
      <w:tr>
        <w:trPr>
          <w:tblHeader/>
        </w:trPr>
        <w:tc>
          <w:tcPr>
            <w:tcW w:type="dxa" w:w="2760"/>
            <w:tcBorders>
              <w:top w:val="single" w:color="FFFFFF" w:sz="1"/>
              <w:left w:val="single" w:color="FFFFFF" w:sz="1"/>
              <w:bottom w:val="single" w:color="FFFFFF" w:sz="1"/>
              <w:right w:val="single" w:color="FFFFFF" w:sz="1"/>
            </w:tcBorders>
            <w:shd w:fill="2B3440" w:val="clear"/>
            <w:tcMar>
              <w:top w:type="dxa" w:w="50"/>
              <w:left w:type="dxa" w:w="100"/>
              <w:bottom w:type="dxa" w:w="50"/>
              <w:right w:type="dxa" w:w="20"/>
            </w:tcMar>
            <w:vAlign w:val="center"/>
          </w:tcPr>
          <w:p>
            <w:pPr>
              <w:spacing w:after="0"/>
              <w:jc w:val="left"/>
            </w:pPr>
            <w:r>
              <w:rPr>
                <w:b/>
                <w:bCs/>
                <w:color w:val="FFFFFF"/>
                <w:sz w:val="14"/>
                <w:szCs w:val="14"/>
              </w:rPr>
              <w:t xml:space="preserve">Workstream</w:t>
            </w:r>
          </w:p>
        </w:tc>
        <w:tc>
          <w:tcPr>
            <w:tcW w:type="dxa" w:w="550"/>
            <w:tcBorders>
              <w:top w:val="single" w:color="FFFFFF" w:sz="1"/>
              <w:left w:val="single" w:color="FFFFFF" w:sz="1"/>
              <w:bottom w:val="single" w:color="FFFFFF" w:sz="1"/>
              <w:right w:val="single" w:color="FFFFFF" w:sz="1"/>
            </w:tcBorders>
            <w:shd w:fill="1F6F43" w:val="clear"/>
            <w:tcMar>
              <w:top w:type="dxa" w:w="50"/>
              <w:left w:type="dxa" w:w="20"/>
              <w:bottom w:type="dxa" w:w="50"/>
              <w:right w:type="dxa" w:w="20"/>
            </w:tcMar>
            <w:vAlign w:val="center"/>
          </w:tcPr>
          <w:p>
            <w:pPr>
              <w:spacing w:after="0"/>
              <w:jc w:val="center"/>
            </w:pPr>
            <w:r>
              <w:rPr>
                <w:b/>
                <w:bCs/>
                <w:color w:val="FFFFFF"/>
                <w:sz w:val="14"/>
                <w:szCs w:val="14"/>
              </w:rPr>
              <w:t xml:space="preserve">Q1</w:t>
            </w:r>
          </w:p>
        </w:tc>
        <w:tc>
          <w:tcPr>
            <w:tcW w:type="dxa" w:w="550"/>
            <w:tcBorders>
              <w:top w:val="single" w:color="FFFFFF" w:sz="1"/>
              <w:left w:val="single" w:color="FFFFFF" w:sz="1"/>
              <w:bottom w:val="single" w:color="FFFFFF" w:sz="1"/>
              <w:right w:val="single" w:color="FFFFFF" w:sz="1"/>
            </w:tcBorders>
            <w:shd w:fill="1F6F43" w:val="clear"/>
            <w:tcMar>
              <w:top w:type="dxa" w:w="50"/>
              <w:left w:type="dxa" w:w="20"/>
              <w:bottom w:type="dxa" w:w="50"/>
              <w:right w:type="dxa" w:w="20"/>
            </w:tcMar>
            <w:vAlign w:val="center"/>
          </w:tcPr>
          <w:p>
            <w:pPr>
              <w:spacing w:after="0"/>
              <w:jc w:val="center"/>
            </w:pPr>
            <w:r>
              <w:rPr>
                <w:b/>
                <w:bCs/>
                <w:color w:val="FFFFFF"/>
                <w:sz w:val="14"/>
                <w:szCs w:val="14"/>
              </w:rPr>
              <w:t xml:space="preserve">Q2</w:t>
            </w:r>
          </w:p>
        </w:tc>
        <w:tc>
          <w:tcPr>
            <w:tcW w:type="dxa" w:w="550"/>
            <w:tcBorders>
              <w:top w:val="single" w:color="FFFFFF" w:sz="1"/>
              <w:left w:val="single" w:color="FFFFFF" w:sz="1"/>
              <w:bottom w:val="single" w:color="FFFFFF" w:sz="1"/>
              <w:right w:val="single" w:color="FFFFFF" w:sz="1"/>
            </w:tcBorders>
            <w:shd w:fill="1F6F43" w:val="clear"/>
            <w:tcMar>
              <w:top w:type="dxa" w:w="50"/>
              <w:left w:type="dxa" w:w="20"/>
              <w:bottom w:type="dxa" w:w="50"/>
              <w:right w:type="dxa" w:w="20"/>
            </w:tcMar>
            <w:vAlign w:val="center"/>
          </w:tcPr>
          <w:p>
            <w:pPr>
              <w:spacing w:after="0"/>
              <w:jc w:val="center"/>
            </w:pPr>
            <w:r>
              <w:rPr>
                <w:b/>
                <w:bCs/>
                <w:color w:val="FFFFFF"/>
                <w:sz w:val="14"/>
                <w:szCs w:val="14"/>
              </w:rPr>
              <w:t xml:space="preserve">Q3</w:t>
            </w:r>
          </w:p>
        </w:tc>
        <w:tc>
          <w:tcPr>
            <w:tcW w:type="dxa" w:w="550"/>
            <w:tcBorders>
              <w:top w:val="single" w:color="FFFFFF" w:sz="1"/>
              <w:left w:val="single" w:color="FFFFFF" w:sz="1"/>
              <w:bottom w:val="single" w:color="FFFFFF" w:sz="1"/>
              <w:right w:val="single" w:color="FFFFFF" w:sz="1"/>
            </w:tcBorders>
            <w:shd w:fill="1F6F43" w:val="clear"/>
            <w:tcMar>
              <w:top w:type="dxa" w:w="50"/>
              <w:left w:type="dxa" w:w="20"/>
              <w:bottom w:type="dxa" w:w="50"/>
              <w:right w:type="dxa" w:w="20"/>
            </w:tcMar>
            <w:vAlign w:val="center"/>
          </w:tcPr>
          <w:p>
            <w:pPr>
              <w:spacing w:after="0"/>
              <w:jc w:val="center"/>
            </w:pPr>
            <w:r>
              <w:rPr>
                <w:b/>
                <w:bCs/>
                <w:color w:val="FFFFFF"/>
                <w:sz w:val="14"/>
                <w:szCs w:val="14"/>
              </w:rPr>
              <w:t xml:space="preserve">Q4</w:t>
            </w:r>
          </w:p>
        </w:tc>
        <w:tc>
          <w:tcPr>
            <w:tcW w:type="dxa" w:w="550"/>
            <w:tcBorders>
              <w:top w:val="single" w:color="FFFFFF" w:sz="1"/>
              <w:left w:val="single" w:color="FFFFFF" w:sz="1"/>
              <w:bottom w:val="single" w:color="FFFFFF" w:sz="1"/>
              <w:right w:val="single" w:color="FFFFFF" w:sz="1"/>
            </w:tcBorders>
            <w:shd w:fill="C8881A" w:val="clear"/>
            <w:tcMar>
              <w:top w:type="dxa" w:w="50"/>
              <w:left w:type="dxa" w:w="20"/>
              <w:bottom w:type="dxa" w:w="50"/>
              <w:right w:type="dxa" w:w="20"/>
            </w:tcMar>
            <w:vAlign w:val="center"/>
          </w:tcPr>
          <w:p>
            <w:pPr>
              <w:spacing w:after="0"/>
              <w:jc w:val="center"/>
            </w:pPr>
            <w:r>
              <w:rPr>
                <w:b/>
                <w:bCs/>
                <w:color w:val="FFFFFF"/>
                <w:sz w:val="14"/>
                <w:szCs w:val="14"/>
              </w:rPr>
              <w:t xml:space="preserve">Q1</w:t>
            </w:r>
          </w:p>
        </w:tc>
        <w:tc>
          <w:tcPr>
            <w:tcW w:type="dxa" w:w="550"/>
            <w:tcBorders>
              <w:top w:val="single" w:color="FFFFFF" w:sz="1"/>
              <w:left w:val="single" w:color="FFFFFF" w:sz="1"/>
              <w:bottom w:val="single" w:color="FFFFFF" w:sz="1"/>
              <w:right w:val="single" w:color="FFFFFF" w:sz="1"/>
            </w:tcBorders>
            <w:shd w:fill="C8881A" w:val="clear"/>
            <w:tcMar>
              <w:top w:type="dxa" w:w="50"/>
              <w:left w:type="dxa" w:w="20"/>
              <w:bottom w:type="dxa" w:w="50"/>
              <w:right w:type="dxa" w:w="20"/>
            </w:tcMar>
            <w:vAlign w:val="center"/>
          </w:tcPr>
          <w:p>
            <w:pPr>
              <w:spacing w:after="0"/>
              <w:jc w:val="center"/>
            </w:pPr>
            <w:r>
              <w:rPr>
                <w:b/>
                <w:bCs/>
                <w:color w:val="FFFFFF"/>
                <w:sz w:val="14"/>
                <w:szCs w:val="14"/>
              </w:rPr>
              <w:t xml:space="preserve">Q2</w:t>
            </w:r>
          </w:p>
        </w:tc>
        <w:tc>
          <w:tcPr>
            <w:tcW w:type="dxa" w:w="550"/>
            <w:tcBorders>
              <w:top w:val="single" w:color="FFFFFF" w:sz="1"/>
              <w:left w:val="single" w:color="FFFFFF" w:sz="1"/>
              <w:bottom w:val="single" w:color="FFFFFF" w:sz="1"/>
              <w:right w:val="single" w:color="FFFFFF" w:sz="1"/>
            </w:tcBorders>
            <w:shd w:fill="C8881A" w:val="clear"/>
            <w:tcMar>
              <w:top w:type="dxa" w:w="50"/>
              <w:left w:type="dxa" w:w="20"/>
              <w:bottom w:type="dxa" w:w="50"/>
              <w:right w:type="dxa" w:w="20"/>
            </w:tcMar>
            <w:vAlign w:val="center"/>
          </w:tcPr>
          <w:p>
            <w:pPr>
              <w:spacing w:after="0"/>
              <w:jc w:val="center"/>
            </w:pPr>
            <w:r>
              <w:rPr>
                <w:b/>
                <w:bCs/>
                <w:color w:val="FFFFFF"/>
                <w:sz w:val="14"/>
                <w:szCs w:val="14"/>
              </w:rPr>
              <w:t xml:space="preserve">Q3</w:t>
            </w:r>
          </w:p>
        </w:tc>
        <w:tc>
          <w:tcPr>
            <w:tcW w:type="dxa" w:w="550"/>
            <w:tcBorders>
              <w:top w:val="single" w:color="FFFFFF" w:sz="1"/>
              <w:left w:val="single" w:color="FFFFFF" w:sz="1"/>
              <w:bottom w:val="single" w:color="FFFFFF" w:sz="1"/>
              <w:right w:val="single" w:color="FFFFFF" w:sz="1"/>
            </w:tcBorders>
            <w:shd w:fill="C8881A" w:val="clear"/>
            <w:tcMar>
              <w:top w:type="dxa" w:w="50"/>
              <w:left w:type="dxa" w:w="20"/>
              <w:bottom w:type="dxa" w:w="50"/>
              <w:right w:type="dxa" w:w="20"/>
            </w:tcMar>
            <w:vAlign w:val="center"/>
          </w:tcPr>
          <w:p>
            <w:pPr>
              <w:spacing w:after="0"/>
              <w:jc w:val="center"/>
            </w:pPr>
            <w:r>
              <w:rPr>
                <w:b/>
                <w:bCs/>
                <w:color w:val="FFFFFF"/>
                <w:sz w:val="14"/>
                <w:szCs w:val="14"/>
              </w:rPr>
              <w:t xml:space="preserve">Q4</w:t>
            </w:r>
          </w:p>
        </w:tc>
        <w:tc>
          <w:tcPr>
            <w:tcW w:type="dxa" w:w="550"/>
            <w:tcBorders>
              <w:top w:val="single" w:color="FFFFFF" w:sz="1"/>
              <w:left w:val="single" w:color="FFFFFF" w:sz="1"/>
              <w:bottom w:val="single" w:color="FFFFFF" w:sz="1"/>
              <w:right w:val="single" w:color="FFFFFF" w:sz="1"/>
            </w:tcBorders>
            <w:shd w:fill="1E5A8A" w:val="clear"/>
            <w:tcMar>
              <w:top w:type="dxa" w:w="50"/>
              <w:left w:type="dxa" w:w="20"/>
              <w:bottom w:type="dxa" w:w="50"/>
              <w:right w:type="dxa" w:w="20"/>
            </w:tcMar>
            <w:vAlign w:val="center"/>
          </w:tcPr>
          <w:p>
            <w:pPr>
              <w:spacing w:after="0"/>
              <w:jc w:val="center"/>
            </w:pPr>
            <w:r>
              <w:rPr>
                <w:b/>
                <w:bCs/>
                <w:color w:val="FFFFFF"/>
                <w:sz w:val="14"/>
                <w:szCs w:val="14"/>
              </w:rPr>
              <w:t xml:space="preserve">Q1</w:t>
            </w:r>
          </w:p>
        </w:tc>
        <w:tc>
          <w:tcPr>
            <w:tcW w:type="dxa" w:w="550"/>
            <w:tcBorders>
              <w:top w:val="single" w:color="FFFFFF" w:sz="1"/>
              <w:left w:val="single" w:color="FFFFFF" w:sz="1"/>
              <w:bottom w:val="single" w:color="FFFFFF" w:sz="1"/>
              <w:right w:val="single" w:color="FFFFFF" w:sz="1"/>
            </w:tcBorders>
            <w:shd w:fill="1E5A8A" w:val="clear"/>
            <w:tcMar>
              <w:top w:type="dxa" w:w="50"/>
              <w:left w:type="dxa" w:w="20"/>
              <w:bottom w:type="dxa" w:w="50"/>
              <w:right w:type="dxa" w:w="20"/>
            </w:tcMar>
            <w:vAlign w:val="center"/>
          </w:tcPr>
          <w:p>
            <w:pPr>
              <w:spacing w:after="0"/>
              <w:jc w:val="center"/>
            </w:pPr>
            <w:r>
              <w:rPr>
                <w:b/>
                <w:bCs/>
                <w:color w:val="FFFFFF"/>
                <w:sz w:val="14"/>
                <w:szCs w:val="14"/>
              </w:rPr>
              <w:t xml:space="preserve">Q2</w:t>
            </w:r>
          </w:p>
        </w:tc>
        <w:tc>
          <w:tcPr>
            <w:tcW w:type="dxa" w:w="550"/>
            <w:tcBorders>
              <w:top w:val="single" w:color="FFFFFF" w:sz="1"/>
              <w:left w:val="single" w:color="FFFFFF" w:sz="1"/>
              <w:bottom w:val="single" w:color="FFFFFF" w:sz="1"/>
              <w:right w:val="single" w:color="FFFFFF" w:sz="1"/>
            </w:tcBorders>
            <w:shd w:fill="1E5A8A" w:val="clear"/>
            <w:tcMar>
              <w:top w:type="dxa" w:w="50"/>
              <w:left w:type="dxa" w:w="20"/>
              <w:bottom w:type="dxa" w:w="50"/>
              <w:right w:type="dxa" w:w="20"/>
            </w:tcMar>
            <w:vAlign w:val="center"/>
          </w:tcPr>
          <w:p>
            <w:pPr>
              <w:spacing w:after="0"/>
              <w:jc w:val="center"/>
            </w:pPr>
            <w:r>
              <w:rPr>
                <w:b/>
                <w:bCs/>
                <w:color w:val="FFFFFF"/>
                <w:sz w:val="14"/>
                <w:szCs w:val="14"/>
              </w:rPr>
              <w:t xml:space="preserve">Q3</w:t>
            </w:r>
          </w:p>
        </w:tc>
        <w:tc>
          <w:tcPr>
            <w:tcW w:type="dxa" w:w="550"/>
            <w:tcBorders>
              <w:top w:val="single" w:color="FFFFFF" w:sz="1"/>
              <w:left w:val="single" w:color="FFFFFF" w:sz="1"/>
              <w:bottom w:val="single" w:color="FFFFFF" w:sz="1"/>
              <w:right w:val="single" w:color="FFFFFF" w:sz="1"/>
            </w:tcBorders>
            <w:shd w:fill="1E5A8A" w:val="clear"/>
            <w:tcMar>
              <w:top w:type="dxa" w:w="50"/>
              <w:left w:type="dxa" w:w="20"/>
              <w:bottom w:type="dxa" w:w="50"/>
              <w:right w:type="dxa" w:w="20"/>
            </w:tcMar>
            <w:vAlign w:val="center"/>
          </w:tcPr>
          <w:p>
            <w:pPr>
              <w:spacing w:after="0"/>
              <w:jc w:val="center"/>
            </w:pPr>
            <w:r>
              <w:rPr>
                <w:b/>
                <w:bCs/>
                <w:color w:val="FFFFFF"/>
                <w:sz w:val="14"/>
                <w:szCs w:val="14"/>
              </w:rPr>
              <w:t xml:space="preserve">Q4</w:t>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1.0 Program mgmt</w:t>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2B3440"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2.0 Research base</w:t>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3.0 Chassis &amp; containment</w:t>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5.0 Sensing &amp; controls</w:t>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F6F43"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4.0 Digestion module</w:t>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6.0 Hub software</w:t>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8.0 Regulatory &amp; safety</w:t>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9E2B25"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4.1 Biodiesel module</w:t>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7.0 Pilot &amp; field ops</w:t>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C8881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9.0 Go-to-market</w:t>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r>
      <w:tr>
        <w:tc>
          <w:tcPr>
            <w:tcW w:type="dxa" w:w="2760"/>
            <w:tcBorders>
              <w:top w:val="single" w:color="C7CED5" w:sz="1"/>
              <w:left w:val="single" w:color="C7CED5" w:sz="1"/>
              <w:bottom w:val="single" w:color="C7CED5" w:sz="1"/>
              <w:right w:val="single" w:color="C7CED5" w:sz="1"/>
            </w:tcBorders>
            <w:tcMar>
              <w:top w:type="dxa" w:w="40"/>
              <w:left w:type="dxa" w:w="100"/>
              <w:bottom w:type="dxa" w:w="40"/>
              <w:right w:type="dxa" w:w="80"/>
            </w:tcMar>
            <w:vAlign w:val="center"/>
          </w:tcPr>
          <w:p>
            <w:pPr>
              <w:spacing w:after="0" w:line="240"/>
            </w:pPr>
            <w:r>
              <w:rPr>
                <w:color w:val="1A1F25"/>
                <w:sz w:val="16"/>
                <w:szCs w:val="16"/>
              </w:rPr>
              <w:t xml:space="preserve">Production run</w:t>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FFFFFF"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c>
          <w:tcPr>
            <w:tcW w:type="dxa" w:w="550"/>
            <w:tcBorders>
              <w:top w:val="single" w:color="C7CED5" w:sz="1"/>
              <w:left w:val="single" w:color="C7CED5" w:sz="1"/>
              <w:bottom w:val="single" w:color="C7CED5" w:sz="1"/>
              <w:right w:val="single" w:color="C7CED5" w:sz="1"/>
            </w:tcBorders>
            <w:shd w:fill="1E5A8A" w:val="clear"/>
            <w:tcMar>
              <w:top w:type="dxa" w:w="40"/>
              <w:left w:type="dxa" w:w="20"/>
              <w:bottom w:type="dxa" w:w="40"/>
              <w:right w:type="dxa" w:w="20"/>
            </w:tcMar>
            <w:vAlign w:val="center"/>
          </w:tcPr>
          <w:p>
            <w:pPr>
              <w:spacing w:after="0"/>
            </w:pPr>
            <w:r>
              <w:rPr>
                <w:sz w:val="12"/>
                <w:szCs w:val="12"/>
              </w:rPr>
              <w:t xml:space="preserve"/>
            </w:r>
          </w:p>
        </w:tc>
      </w:tr>
    </w:tbl>
    <w:p>
      <w:pPr>
        <w:spacing w:after="60"/>
      </w:pPr>
      <w:r>
        <w:t xml:space="preserve"/>
      </w:r>
    </w:p>
    <w:p>
      <w:pPr>
        <w:keepNext w:val="false"/>
        <w:spacing w:after="140" w:before="0" w:line="276"/>
        <w:jc w:val="both"/>
      </w:pPr>
      <w:r>
        <w:rPr>
          <w:rFonts w:ascii="Calibri" w:cs="Calibri" w:eastAsia="Calibri" w:hAnsi="Calibri"/>
          <w:color w:val="6B7682"/>
          <w:sz w:val="18"/>
          <w:szCs w:val="18"/>
        </w:rPr>
        <w:t xml:space="preserve">Two features of the chart encode the program’s core discipline. Chassis/containment (3.0) and sensing/controls (5.0) begin and substantially complete before the digestion module (4.0) ramps — the safe box before the chemistry. And the Hub software (6.0) and regulatory workstream (8.0) run almost the entire length of the program, because the platform is continuous and compliance is never “done.”</w:t>
      </w:r>
    </w:p>
    <w:p>
      <w:pPr>
        <w:pStyle w:val="Heading2"/>
      </w:pPr>
      <w:r>
        <w:rPr>
          <w:rFonts w:ascii="Calibri" w:cs="Calibri" w:eastAsia="Calibri" w:hAnsi="Calibri"/>
          <w:color w:val="2B3440"/>
          <w:sz w:val="25"/>
          <w:szCs w:val="25"/>
        </w:rPr>
        <w:t xml:space="preserve">7.3  Milestone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900"/>
        <w:gridCol w:w="1500"/>
      </w:tblGrid>
      <w:tr>
        <w:trPr>
          <w:tblHeader/>
        </w:trPr>
        <w:tc>
          <w:tcPr>
            <w:tcW w:type="dxa" w:w="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ID</w:t>
            </w:r>
          </w:p>
        </w:tc>
        <w:tc>
          <w:tcPr>
            <w:tcW w:type="dxa" w:w="45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Milestone</w:t>
            </w:r>
          </w:p>
        </w:tc>
        <w:tc>
          <w:tcPr>
            <w:tcW w:type="dxa" w:w="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1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Target</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M1</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Plan baselined; research base issued; gate G0/G1 passed</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1–2</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M2</w:t>
            </w:r>
          </w:p>
        </w:tc>
        <w:tc>
          <w:tcPr>
            <w:tcW w:type="dxa" w:w="4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Containment + sensing prototype validated (safe box proven)</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5</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M3</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Biotank Hub v0.1 public (simulator + competition + waitlist)</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6</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M4</w:t>
            </w:r>
          </w:p>
        </w:tc>
        <w:tc>
          <w:tcPr>
            <w:tcW w:type="dxa" w:w="4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Regulatory memo delivered; TTB permit filed</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7</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M5</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 prototype produces metered gas + fuel sample (O1)</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9–11</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M6</w:t>
            </w:r>
          </w:p>
        </w:tc>
        <w:tc>
          <w:tcPr>
            <w:tcW w:type="dxa" w:w="4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Gate G2 — concept proven, demand validated</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12</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M7</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Biodiesel module enclosed prototype; lab-verification partner live</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15</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M8</w:t>
            </w:r>
          </w:p>
        </w:tc>
        <w:tc>
          <w:tcPr>
            <w:tcW w:type="dxa" w:w="4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launch — first supervised household units</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18</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M9</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Certification path documented (UL/CE progress)</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21</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M10</w:t>
            </w:r>
          </w:p>
        </w:tc>
        <w:tc>
          <w:tcPr>
            <w:tcW w:type="dxa" w:w="4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Gate G4 — pilot succeeded, production-ready</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24</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M11</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Initial production batch accepted to quality spec</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w:t>
            </w:r>
          </w:p>
        </w:tc>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30</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M12</w:t>
            </w:r>
          </w:p>
        </w:tc>
        <w:tc>
          <w:tcPr>
            <w:tcW w:type="dxa" w:w="4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 flywheel demonstrated; pre-orders fulfilled</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w:t>
            </w:r>
          </w:p>
        </w:tc>
        <w:tc>
          <w:tcPr>
            <w:tcW w:type="dxa" w:w="1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33</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M13</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Gate G5 — repeatable production; next-capital decision</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w:t>
            </w:r>
          </w:p>
        </w:tc>
        <w:tc>
          <w:tcPr>
            <w:tcW w:type="dxa" w:w="1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 36</w:t>
            </w:r>
          </w:p>
        </w:tc>
      </w:tr>
    </w:tbl>
    <w:p>
      <w:pPr>
        <w:spacing w:after="120"/>
      </w:pPr>
      <w:r>
        <w:t xml:space="preserve"/>
      </w:r>
    </w:p>
    <w:p>
      <w:pPr>
        <w:pStyle w:val="Heading2"/>
      </w:pPr>
      <w:r>
        <w:rPr>
          <w:rFonts w:ascii="Calibri" w:cs="Calibri" w:eastAsia="Calibri" w:hAnsi="Calibri"/>
          <w:color w:val="2B3440"/>
          <w:sz w:val="25"/>
          <w:szCs w:val="25"/>
        </w:rPr>
        <w:t xml:space="preserve">7.4  Critical path</w:t>
      </w:r>
    </w:p>
    <w:p>
      <w:pPr>
        <w:keepNext w:val="false"/>
        <w:spacing w:after="140" w:before="0" w:line="276"/>
        <w:jc w:val="both"/>
      </w:pPr>
      <w:r>
        <w:rPr>
          <w:rFonts w:ascii="Calibri" w:cs="Calibri" w:eastAsia="Calibri" w:hAnsi="Calibri"/>
          <w:color w:val="1A1F25"/>
          <w:sz w:val="21"/>
          <w:szCs w:val="21"/>
        </w:rPr>
        <w:t xml:space="preserve">The critical path — the chain of dependent activities that determines the minimum program duration — runs through the hardware safety spine and the pilot, not through the software. Software is fast and parallel; hardware safety and field validation are slow and sequential, and they gate everything that follows.</w:t>
      </w:r>
    </w:p>
    <w:tbl>
      <w:tblPr>
        <w:tblW w:type="dxa" w:w="9360"/>
        <w:tblBorders>
          <w:top w:val="single" w:color="EEF1F4" w:sz="2"/>
          <w:left w:val="single" w:color="2B3440" w:sz="28"/>
          <w:bottom w:val="single" w:color="EEF1F4" w:sz="2"/>
          <w:right w:val="single" w:color="EEF1F4" w:sz="2"/>
          <w:insideH w:val="single" w:color="auto" w:sz="4"/>
          <w:insideV w:val="single" w:color="auto" w:sz="4"/>
        </w:tblBorders>
      </w:tblPr>
      <w:tblGrid>
        <w:gridCol w:w="9360"/>
      </w:tblGrid>
      <w:tr>
        <w:tc>
          <w:tcPr>
            <w:tcW w:type="dxa" w:w="9360"/>
            <w:shd w:fill="EEF1F4" w:val="clear"/>
            <w:tcMar>
              <w:top w:type="dxa" w:w="120"/>
              <w:left w:type="dxa" w:w="200"/>
              <w:bottom w:type="dxa" w:w="120"/>
              <w:right w:type="dxa" w:w="160"/>
            </w:tcMar>
          </w:tcPr>
          <w:p>
            <w:pPr>
              <w:spacing w:after="60" w:line="264"/>
              <w:jc w:val="left"/>
            </w:pPr>
            <w:r>
              <w:rPr>
                <w:rFonts w:ascii="Calibri" w:cs="Calibri" w:eastAsia="Calibri" w:hAnsi="Calibri"/>
                <w:color w:val="2B3440"/>
                <w:sz w:val="19"/>
                <w:szCs w:val="19"/>
              </w:rPr>
              <w:t xml:space="preserve">Critical path (longest dependent chain)</w:t>
            </w:r>
          </w:p>
          <w:p>
            <w:pPr>
              <w:spacing w:after="0" w:line="264"/>
              <w:jc w:val="left"/>
            </w:pPr>
            <w:r>
              <w:rPr>
                <w:rFonts w:ascii="Calibri" w:cs="Calibri" w:eastAsia="Calibri" w:hAnsi="Calibri"/>
                <w:color w:val="1A1F25"/>
                <w:sz w:val="19"/>
                <w:szCs w:val="19"/>
              </w:rPr>
              <w:t xml:space="preserve">Research base (2.0) → Chassis &amp; containment (3.0) → Sensing &amp; controls (5.0) → Digestion module integration (4.0) → Gate G2 → Biodiesel module + lab verification (4.1) → Pilot (7.0) → Gate G4 → Production run → Gate G5.</w:t>
            </w:r>
          </w:p>
        </w:tc>
      </w:tr>
    </w:tbl>
    <w:p>
      <w:pPr>
        <w:keepNext w:val="false"/>
        <w:spacing w:after="140" w:before="0" w:line="276"/>
        <w:jc w:val="both"/>
      </w:pPr>
      <w:r>
        <w:rPr>
          <w:rFonts w:ascii="Calibri" w:cs="Calibri" w:eastAsia="Calibri" w:hAnsi="Calibri"/>
          <w:color w:val="1A1F25"/>
          <w:sz w:val="21"/>
          <w:szCs w:val="21"/>
        </w:rPr>
        <w:t xml:space="preserve">The implication for management is direct: schedule risk is concentrated in containment/sensing maturity, in the pilot, and in certification. These are where float is thinnest and where the program must defend the timeline most aggressively. The mitigations — early sourcing of proven sub-assemblies, a consumer-digester reference design to compress the digestion module, and early regulator and certifier engagement — are all aimed at this chain. Float exists in the software and go-to-market streams; resources can be shifted from them toward the critical path if it slips, but not the reverse.</w:t>
      </w:r>
    </w:p>
    <w:p>
      <w:pPr>
        <w:pStyle w:val="Heading2"/>
      </w:pPr>
      <w:r>
        <w:rPr>
          <w:rFonts w:ascii="Calibri" w:cs="Calibri" w:eastAsia="Calibri" w:hAnsi="Calibri"/>
          <w:color w:val="2B3440"/>
          <w:sz w:val="25"/>
          <w:szCs w:val="25"/>
        </w:rPr>
        <w:t xml:space="preserve">7.5  Schedule assumptions</w:t>
      </w:r>
    </w:p>
    <w:p>
      <w:pPr>
        <w:pStyle w:val="ListParagraph"/>
        <w:numPr>
          <w:ilvl w:val="0"/>
          <w:numId w:val="2"/>
        </w:numPr>
        <w:spacing w:after="70" w:line="268"/>
        <w:jc w:val="left"/>
      </w:pPr>
      <w:r>
        <w:rPr>
          <w:rFonts w:ascii="Calibri" w:cs="Calibri" w:eastAsia="Calibri" w:hAnsi="Calibri"/>
          <w:color w:val="1A1F25"/>
          <w:sz w:val="21"/>
          <w:szCs w:val="21"/>
        </w:rPr>
        <w:t xml:space="preserve">Funding sufficient to start Phase 1 is in place at month 0 (see Section 10); a funding gap shifts the entire schedule.</w:t>
      </w:r>
    </w:p>
    <w:p>
      <w:pPr>
        <w:pStyle w:val="ListParagraph"/>
        <w:numPr>
          <w:ilvl w:val="0"/>
          <w:numId w:val="2"/>
        </w:numPr>
        <w:spacing w:after="70" w:line="268"/>
        <w:jc w:val="left"/>
      </w:pPr>
      <w:r>
        <w:rPr>
          <w:rFonts w:ascii="Calibri" w:cs="Calibri" w:eastAsia="Calibri" w:hAnsi="Calibri"/>
          <w:color w:val="1A1F25"/>
          <w:sz w:val="21"/>
          <w:szCs w:val="21"/>
        </w:rPr>
        <w:t xml:space="preserve">A consumer-digester reference design is available to license or learn from, compressing digestion-module development.</w:t>
      </w:r>
    </w:p>
    <w:p>
      <w:pPr>
        <w:pStyle w:val="ListParagraph"/>
        <w:numPr>
          <w:ilvl w:val="0"/>
          <w:numId w:val="2"/>
        </w:numPr>
        <w:spacing w:after="70" w:line="268"/>
        <w:jc w:val="left"/>
      </w:pPr>
      <w:r>
        <w:rPr>
          <w:rFonts w:ascii="Calibri" w:cs="Calibri" w:eastAsia="Calibri" w:hAnsi="Calibri"/>
          <w:color w:val="1A1F25"/>
          <w:sz w:val="21"/>
          <w:szCs w:val="21"/>
        </w:rPr>
        <w:t xml:space="preserve">A partner lab for fuel verification can be engaged by mid-Phase 1.</w:t>
      </w:r>
    </w:p>
    <w:p>
      <w:pPr>
        <w:pStyle w:val="ListParagraph"/>
        <w:numPr>
          <w:ilvl w:val="0"/>
          <w:numId w:val="2"/>
        </w:numPr>
        <w:spacing w:after="70" w:line="268"/>
        <w:jc w:val="left"/>
      </w:pPr>
      <w:r>
        <w:rPr>
          <w:rFonts w:ascii="Calibri" w:cs="Calibri" w:eastAsia="Calibri" w:hAnsi="Calibri"/>
          <w:color w:val="1A1F25"/>
          <w:sz w:val="21"/>
          <w:szCs w:val="21"/>
        </w:rPr>
        <w:t xml:space="preserve">Regulatory findings do not require a fundamental redesign; if they do, the affected gate becomes a Recycle.</w:t>
      </w:r>
    </w:p>
    <w:p>
      <w:pPr>
        <w:pStyle w:val="ListParagraph"/>
        <w:numPr>
          <w:ilvl w:val="0"/>
          <w:numId w:val="2"/>
        </w:numPr>
        <w:spacing w:after="70" w:line="268"/>
        <w:jc w:val="left"/>
      </w:pPr>
      <w:r>
        <w:rPr>
          <w:rFonts w:ascii="Calibri" w:cs="Calibri" w:eastAsia="Calibri" w:hAnsi="Calibri"/>
          <w:color w:val="1A1F25"/>
          <w:sz w:val="21"/>
          <w:szCs w:val="21"/>
        </w:rPr>
        <w:t xml:space="preserve">Certification timelines for the appliance are begun early enough that they overlap, rather than follow, the pilot.</w:t>
      </w:r>
    </w:p>
    <w:p>
      <w:pPr>
        <w:pStyle w:val="Heading2"/>
      </w:pPr>
      <w:r>
        <w:rPr>
          <w:rFonts w:ascii="Calibri" w:cs="Calibri" w:eastAsia="Calibri" w:hAnsi="Calibri"/>
          <w:color w:val="2B3440"/>
          <w:sz w:val="25"/>
          <w:szCs w:val="25"/>
        </w:rPr>
        <w:t xml:space="preserve">7.6  Key inter-workstream dependencies</w:t>
      </w:r>
    </w:p>
    <w:p>
      <w:pPr>
        <w:keepNext w:val="false"/>
        <w:spacing w:after="140" w:before="0" w:line="276"/>
        <w:jc w:val="both"/>
      </w:pPr>
      <w:r>
        <w:rPr>
          <w:rFonts w:ascii="Calibri" w:cs="Calibri" w:eastAsia="Calibri" w:hAnsi="Calibri"/>
          <w:color w:val="1A1F25"/>
          <w:sz w:val="21"/>
          <w:szCs w:val="21"/>
        </w:rPr>
        <w:t xml:space="preserve">The schedule is governed less by the duration of individual tasks than by the dependencies between workstreams. The table below records the dependencies that most constrain sequencing; each is a place where a slip in one stream propagates into another, and each is therefore a focus of active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This must finish…</w:t>
            </w:r>
          </w:p>
        </w:tc>
        <w:tc>
          <w:tcPr>
            <w:tcW w:type="dxa" w:w="31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…before this can start</w:t>
            </w:r>
          </w:p>
        </w:tc>
        <w:tc>
          <w:tcPr>
            <w:tcW w:type="dxa" w:w="32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Why</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Containment + ventilation (3.0)</w:t>
            </w:r>
          </w:p>
        </w:tc>
        <w:tc>
          <w:tcPr>
            <w:tcW w:type="dxa" w:w="3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Any hazardous process test (4.0)</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The safe box must exist before chemistry runs inside it.</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Sensing + interlocks (5.0)</w:t>
            </w:r>
          </w:p>
        </w:tc>
        <w:tc>
          <w:tcPr>
            <w:tcW w:type="dxa" w:w="3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Energizing a unit in a home (7.0)</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 unit is energized in a household without validated fail-safe behavior.</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 prototype (4.0) + Gate G2</w:t>
            </w:r>
          </w:p>
        </w:tc>
        <w:tc>
          <w:tcPr>
            <w:tcW w:type="dxa" w:w="3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Biodiesel module ramp (4.1)</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Prove the low-hazard pathway before adding the higher-hazard one.</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Lab-verification partner (15.0)</w:t>
            </w:r>
          </w:p>
        </w:tc>
        <w:tc>
          <w:tcPr>
            <w:tcW w:type="dxa" w:w="3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Verified competition rewards (6.0)</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Rewards depend on trustworthy verification.</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 board sign-off (8.0)</w:t>
            </w:r>
          </w:p>
        </w:tc>
        <w:tc>
          <w:tcPr>
            <w:tcW w:type="dxa" w:w="3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First methane test; pilot launch (7.0)</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Independent safety authority gates hazardous milestones.</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Regulatory memo (8.0)</w:t>
            </w:r>
          </w:p>
        </w:tc>
        <w:tc>
          <w:tcPr>
            <w:tcW w:type="dxa" w:w="3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Value-bearing token launch (6.0)</w:t>
            </w:r>
          </w:p>
        </w:tc>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Legal clarity precedes any value transfer tied to fuel.</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results (7.0) + Gate G4</w:t>
            </w:r>
          </w:p>
        </w:tc>
        <w:tc>
          <w:tcPr>
            <w:tcW w:type="dxa" w:w="3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Production tooling commitment</w:t>
            </w:r>
          </w:p>
        </w:tc>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Do not commit tooling capital until the pilot proves the design.</w:t>
            </w:r>
          </w:p>
        </w:tc>
      </w:tr>
    </w:tbl>
    <w:p>
      <w:pPr>
        <w:spacing w:after="100"/>
      </w:pPr>
      <w:r>
        <w:t xml:space="preserve"/>
      </w:r>
    </w:p>
    <w:p>
      <w:pPr>
        <w:keepNext w:val="false"/>
        <w:spacing w:after="140" w:before="0" w:line="276"/>
        <w:jc w:val="both"/>
      </w:pPr>
      <w:r>
        <w:rPr>
          <w:rFonts w:ascii="Calibri" w:cs="Calibri" w:eastAsia="Calibri" w:hAnsi="Calibri"/>
          <w:color w:val="6B7682"/>
          <w:sz w:val="18"/>
          <w:szCs w:val="18"/>
        </w:rPr>
        <w:t xml:space="preserve">The pattern across these dependencies is the same safety-first logic that shapes the architecture and the gates: containment before chemistry, sensing before energizing, the low-hazard pathway before the high-hazard one, verification before rewards, and proof before capital commitment. Managing the schedule is, in practice, managing these handful of handoffs.</w:t>
      </w:r>
    </w:p>
    <w:p>
      <w:pPr>
        <w:pStyle w:val="Heading1"/>
        <w:pageBreakBefore/>
      </w:pPr>
      <w:r>
        <w:rPr>
          <w:rFonts w:ascii="Calibri" w:cs="Calibri" w:eastAsia="Calibri" w:hAnsi="Calibri"/>
          <w:color w:val="1F6F43"/>
          <w:sz w:val="30"/>
          <w:szCs w:val="30"/>
        </w:rPr>
        <w:t xml:space="preserve">8.  Lifecycle &amp; Stage-Gate Governance</w:t>
      </w:r>
    </w:p>
    <w:p>
      <w:pPr>
        <w:keepNext w:val="false"/>
        <w:spacing w:after="140" w:before="0" w:line="276"/>
        <w:jc w:val="both"/>
      </w:pPr>
      <w:r>
        <w:rPr>
          <w:rFonts w:ascii="Calibri" w:cs="Calibri" w:eastAsia="Calibri" w:hAnsi="Calibri"/>
          <w:color w:val="1A1F25"/>
          <w:sz w:val="21"/>
          <w:szCs w:val="21"/>
        </w:rPr>
        <w:t xml:space="preserve">The program uses a Stage-Gate™ lifecycle adapted for hardware, layered onto PMBOK-style governance. Stages are where work happens; gates are where the steering group decides whether to continue, stop, hold, or rework. The model exists to kill or correct weak ideas early and cheaply — the opposite of letting a struggling program coast on momentum. For hardware specifically, the gates pay disproportionate attention to manufacturability, supply chain, and cost-of-change, because the cost of a wrong turn rises steeply once tooling and certification are committed.</w:t>
      </w:r>
    </w:p>
    <w:p>
      <w:pPr>
        <w:pStyle w:val="Heading2"/>
      </w:pPr>
      <w:r>
        <w:rPr>
          <w:rFonts w:ascii="Calibri" w:cs="Calibri" w:eastAsia="Calibri" w:hAnsi="Calibri"/>
          <w:color w:val="2B3440"/>
          <w:sz w:val="25"/>
          <w:szCs w:val="25"/>
        </w:rPr>
        <w:t xml:space="preserve">8.1  The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60"/>
        <w:gridCol w:w="3600"/>
      </w:tblGrid>
      <w:tr>
        <w:trPr>
          <w:tblHeader/>
        </w:trPr>
        <w:tc>
          <w:tcPr>
            <w:tcW w:type="dxa" w:w="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Gate</w:t>
            </w:r>
          </w:p>
        </w:tc>
        <w:tc>
          <w:tcPr>
            <w:tcW w:type="dxa" w:w="1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Decision</w:t>
            </w:r>
          </w:p>
        </w:tc>
        <w:tc>
          <w:tcPr>
            <w:tcW w:type="dxa" w:w="31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Key entry question</w:t>
            </w:r>
          </w:p>
        </w:tc>
        <w:tc>
          <w:tcPr>
            <w:tcW w:type="dxa" w:w="3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Primary evidence required</w:t>
            </w:r>
          </w:p>
        </w:tc>
      </w:tr>
      <w:tr>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G0</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Idea screen</w:t>
            </w:r>
          </w:p>
        </w:tc>
        <w:tc>
          <w:tcPr>
            <w:tcW w:type="dxa" w:w="3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Is this worth scoping at all?</w:t>
            </w:r>
          </w:p>
        </w:tc>
        <w:tc>
          <w:tcPr>
            <w:tcW w:type="dxa" w:w="3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Vision, market white-space, founder fit.</w:t>
            </w:r>
          </w:p>
        </w:tc>
      </w:tr>
      <w:tr>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G1</w:t>
            </w:r>
          </w:p>
        </w:tc>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Scope → Build</w:t>
            </w:r>
          </w:p>
        </w:tc>
        <w:tc>
          <w:tcPr>
            <w:tcW w:type="dxa" w:w="3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Is the concept sound and bounded?</w:t>
            </w:r>
          </w:p>
        </w:tc>
        <w:tc>
          <w:tcPr>
            <w:tcW w:type="dxa" w:w="3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This plan, research base, regulatory first-read.</w:t>
            </w:r>
          </w:p>
        </w:tc>
      </w:tr>
      <w:tr>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G2</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Proof → Pilot</w:t>
            </w:r>
          </w:p>
        </w:tc>
        <w:tc>
          <w:tcPr>
            <w:tcW w:type="dxa" w:w="3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Is the concept proven and wanted?</w:t>
            </w:r>
          </w:p>
        </w:tc>
        <w:tc>
          <w:tcPr>
            <w:tcW w:type="dxa" w:w="3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 prototype (O1), Hub demand signal (O2), regulatory posture (O3).</w:t>
            </w:r>
          </w:p>
        </w:tc>
      </w:tr>
      <w:tr>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G3</w:t>
            </w:r>
          </w:p>
        </w:tc>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design → Pilot run</w:t>
            </w:r>
          </w:p>
        </w:tc>
        <w:tc>
          <w:tcPr>
            <w:tcW w:type="dxa" w:w="3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Is the pilot safe and instrumented to learn?</w:t>
            </w:r>
          </w:p>
        </w:tc>
        <w:tc>
          <w:tcPr>
            <w:tcW w:type="dxa" w:w="3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protocol, safety review, lab-verification partner, consent/insurance.</w:t>
            </w:r>
          </w:p>
        </w:tc>
      </w:tr>
      <w:tr>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G4</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 Produce</w:t>
            </w:r>
          </w:p>
        </w:tc>
        <w:tc>
          <w:tcPr>
            <w:tcW w:type="dxa" w:w="3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Did the pilot succeed and can we make it?</w:t>
            </w:r>
          </w:p>
        </w:tc>
        <w:tc>
          <w:tcPr>
            <w:tcW w:type="dxa" w:w="3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results, zero serious incidents, certification path, manufacturability.</w:t>
            </w:r>
          </w:p>
        </w:tc>
      </w:tr>
      <w:tr>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G5</w:t>
            </w:r>
          </w:p>
        </w:tc>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Produce → Scale/Decide</w:t>
            </w:r>
          </w:p>
        </w:tc>
        <w:tc>
          <w:tcPr>
            <w:tcW w:type="dxa" w:w="3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Is production repeatable; what is the next capital step?</w:t>
            </w:r>
          </w:p>
        </w:tc>
        <w:tc>
          <w:tcPr>
            <w:tcW w:type="dxa" w:w="3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Quality-accepted batch, fulfilled pre-orders, validated data, funding decision.</w:t>
            </w:r>
          </w:p>
        </w:tc>
      </w:tr>
    </w:tbl>
    <w:p>
      <w:pPr>
        <w:spacing w:after="120"/>
      </w:pPr>
      <w:r>
        <w:t xml:space="preserve"/>
      </w:r>
    </w:p>
    <w:p>
      <w:pPr>
        <w:pStyle w:val="Heading2"/>
      </w:pPr>
      <w:r>
        <w:rPr>
          <w:rFonts w:ascii="Calibri" w:cs="Calibri" w:eastAsia="Calibri" w:hAnsi="Calibri"/>
          <w:color w:val="2B3440"/>
          <w:sz w:val="25"/>
          <w:szCs w:val="25"/>
        </w:rPr>
        <w:t xml:space="preserve">8.2  Gate verdicts</w:t>
      </w:r>
    </w:p>
    <w:p>
      <w:pPr>
        <w:keepNext w:val="false"/>
        <w:spacing w:after="140" w:before="0" w:line="276"/>
        <w:jc w:val="both"/>
      </w:pPr>
      <w:r>
        <w:rPr>
          <w:rFonts w:ascii="Calibri" w:cs="Calibri" w:eastAsia="Calibri" w:hAnsi="Calibri"/>
          <w:color w:val="1A1F25"/>
          <w:sz w:val="21"/>
          <w:szCs w:val="21"/>
        </w:rPr>
        <w:t xml:space="preserve">Each gate returns exactly one of four verdicts, documented and owned by the steering group.</w:t>
      </w:r>
    </w:p>
    <w:p>
      <w:pPr>
        <w:pStyle w:val="ListParagraph"/>
        <w:numPr>
          <w:ilvl w:val="0"/>
          <w:numId w:val="2"/>
        </w:numPr>
        <w:spacing w:after="70" w:line="268"/>
        <w:jc w:val="left"/>
      </w:pPr>
      <w:r>
        <w:rPr>
          <w:rFonts w:ascii="Calibri" w:cs="Calibri" w:eastAsia="Calibri" w:hAnsi="Calibri"/>
          <w:b/>
          <w:bCs/>
          <w:color w:val="1A1F25"/>
          <w:sz w:val="21"/>
          <w:szCs w:val="21"/>
        </w:rPr>
        <w:t xml:space="preserve">Go</w:t>
      </w:r>
      <w:r>
        <w:rPr>
          <w:rFonts w:ascii="Calibri" w:cs="Calibri" w:eastAsia="Calibri" w:hAnsi="Calibri"/>
          <w:color w:val="1A1F25"/>
          <w:sz w:val="21"/>
          <w:szCs w:val="21"/>
        </w:rPr>
        <w:t xml:space="preserve"> — proceed to the next stage with the committed resources.</w:t>
      </w:r>
    </w:p>
    <w:p>
      <w:pPr>
        <w:pStyle w:val="ListParagraph"/>
        <w:numPr>
          <w:ilvl w:val="0"/>
          <w:numId w:val="2"/>
        </w:numPr>
        <w:spacing w:after="70" w:line="268"/>
        <w:jc w:val="left"/>
      </w:pPr>
      <w:r>
        <w:rPr>
          <w:rFonts w:ascii="Calibri" w:cs="Calibri" w:eastAsia="Calibri" w:hAnsi="Calibri"/>
          <w:b/>
          <w:bCs/>
          <w:color w:val="1A1F25"/>
          <w:sz w:val="21"/>
          <w:szCs w:val="21"/>
        </w:rPr>
        <w:t xml:space="preserve">Kill</w:t>
      </w:r>
      <w:r>
        <w:rPr>
          <w:rFonts w:ascii="Calibri" w:cs="Calibri" w:eastAsia="Calibri" w:hAnsi="Calibri"/>
          <w:color w:val="1A1F25"/>
          <w:sz w:val="21"/>
          <w:szCs w:val="21"/>
        </w:rPr>
        <w:t xml:space="preserve"> — stop the program or the affected workstream; redeploy resources. A legitimate, non-failure outcome if the evidence warrants it.</w:t>
      </w:r>
    </w:p>
    <w:p>
      <w:pPr>
        <w:pStyle w:val="ListParagraph"/>
        <w:numPr>
          <w:ilvl w:val="0"/>
          <w:numId w:val="2"/>
        </w:numPr>
        <w:spacing w:after="70" w:line="268"/>
        <w:jc w:val="left"/>
      </w:pPr>
      <w:r>
        <w:rPr>
          <w:rFonts w:ascii="Calibri" w:cs="Calibri" w:eastAsia="Calibri" w:hAnsi="Calibri"/>
          <w:b/>
          <w:bCs/>
          <w:color w:val="1A1F25"/>
          <w:sz w:val="21"/>
          <w:szCs w:val="21"/>
        </w:rPr>
        <w:t xml:space="preserve">Hold</w:t>
      </w:r>
      <w:r>
        <w:rPr>
          <w:rFonts w:ascii="Calibri" w:cs="Calibri" w:eastAsia="Calibri" w:hAnsi="Calibri"/>
          <w:color w:val="1A1F25"/>
          <w:sz w:val="21"/>
          <w:szCs w:val="21"/>
        </w:rPr>
        <w:t xml:space="preserve"> — pause pending a specific external event (funding, a regulatory ruling, a partner commitment).</w:t>
      </w:r>
    </w:p>
    <w:p>
      <w:pPr>
        <w:pStyle w:val="ListParagraph"/>
        <w:numPr>
          <w:ilvl w:val="0"/>
          <w:numId w:val="2"/>
        </w:numPr>
        <w:spacing w:after="70" w:line="268"/>
        <w:jc w:val="left"/>
      </w:pPr>
      <w:r>
        <w:rPr>
          <w:rFonts w:ascii="Calibri" w:cs="Calibri" w:eastAsia="Calibri" w:hAnsi="Calibri"/>
          <w:b/>
          <w:bCs/>
          <w:color w:val="1A1F25"/>
          <w:sz w:val="21"/>
          <w:szCs w:val="21"/>
        </w:rPr>
        <w:t xml:space="preserve">Recycle</w:t>
      </w:r>
      <w:r>
        <w:rPr>
          <w:rFonts w:ascii="Calibri" w:cs="Calibri" w:eastAsia="Calibri" w:hAnsi="Calibri"/>
          <w:color w:val="1A1F25"/>
          <w:sz w:val="21"/>
          <w:szCs w:val="21"/>
        </w:rPr>
        <w:t xml:space="preserve"> — return to the prior stage to rework defined deficiencies before re-presenting at the gate.</w:t>
      </w:r>
    </w:p>
    <w:p>
      <w:pPr>
        <w:spacing w:after="60"/>
      </w:pPr>
      <w:r>
        <w:t xml:space="preserve"/>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Gates are real, not ceremonial</w:t>
            </w:r>
          </w:p>
          <w:p>
            <w:pPr>
              <w:spacing w:after="0" w:line="264"/>
              <w:jc w:val="left"/>
            </w:pPr>
            <w:r>
              <w:rPr>
                <w:rFonts w:ascii="Calibri" w:cs="Calibri" w:eastAsia="Calibri" w:hAnsi="Calibri"/>
                <w:color w:val="1A1F25"/>
                <w:sz w:val="19"/>
                <w:szCs w:val="19"/>
              </w:rPr>
              <w:t xml:space="preserve">A gate that always returns Go is theatre. The program commits to genuine Kill/Hold/Recycle authority, to the stop conditions in Section 2.4, and to the principle that abandoning a path on good evidence is a success of the process, not a failure of the team.</w:t>
            </w:r>
          </w:p>
        </w:tc>
      </w:tr>
    </w:tbl>
    <w:p>
      <w:pPr>
        <w:pStyle w:val="Heading2"/>
      </w:pPr>
      <w:r>
        <w:rPr>
          <w:rFonts w:ascii="Calibri" w:cs="Calibri" w:eastAsia="Calibri" w:hAnsi="Calibri"/>
          <w:color w:val="2B3440"/>
          <w:sz w:val="25"/>
          <w:szCs w:val="25"/>
        </w:rPr>
        <w:t xml:space="preserve">8.3  Governance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60"/>
        <w:gridCol w:w="1700"/>
        <w:gridCol w:w="2500"/>
      </w:tblGrid>
      <w:tr>
        <w:trPr>
          <w:tblHeader/>
        </w:trPr>
        <w:tc>
          <w:tcPr>
            <w:tcW w:type="dxa" w:w="21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Body</w:t>
            </w:r>
          </w:p>
        </w:tc>
        <w:tc>
          <w:tcPr>
            <w:tcW w:type="dxa" w:w="30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Composition</w:t>
            </w:r>
          </w:p>
        </w:tc>
        <w:tc>
          <w:tcPr>
            <w:tcW w:type="dxa" w:w="1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Cadence</w:t>
            </w:r>
          </w:p>
        </w:tc>
        <w:tc>
          <w:tcPr>
            <w:tcW w:type="dxa" w:w="2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Mandate</w:t>
            </w:r>
          </w:p>
        </w:tc>
      </w:tr>
      <w:tr>
        <w:tc>
          <w:tcPr>
            <w:tcW w:type="dxa" w:w="2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Steering group</w:t>
            </w:r>
          </w:p>
        </w:tc>
        <w:tc>
          <w:tcPr>
            <w:tcW w:type="dxa" w:w="3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Founders + lead investor/advisor</w:t>
            </w:r>
          </w:p>
        </w:tc>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At each gate + quarterly</w:t>
            </w:r>
          </w:p>
        </w:tc>
        <w:tc>
          <w:tcPr>
            <w:tcW w:type="dxa" w:w="2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Gate verdicts, budget release, strategic direction.</w:t>
            </w:r>
          </w:p>
        </w:tc>
      </w:tr>
      <w:tr>
        <w:tc>
          <w:tcPr>
            <w:tcW w:type="dxa" w:w="2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lead</w:t>
            </w:r>
          </w:p>
        </w:tc>
        <w:tc>
          <w:tcPr>
            <w:tcW w:type="dxa" w:w="3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Single accountable owner</w:t>
            </w:r>
          </w:p>
        </w:tc>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Continuous</w:t>
            </w:r>
          </w:p>
        </w:tc>
        <w:tc>
          <w:tcPr>
            <w:tcW w:type="dxa" w:w="2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Day-to-day execution, the plan, escalation.</w:t>
            </w:r>
          </w:p>
        </w:tc>
      </w:tr>
      <w:tr>
        <w:tc>
          <w:tcPr>
            <w:tcW w:type="dxa" w:w="2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 review board</w:t>
            </w:r>
          </w:p>
        </w:tc>
        <w:tc>
          <w:tcPr>
            <w:tcW w:type="dxa" w:w="30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Eng. lead + external safety expert</w:t>
            </w:r>
          </w:p>
        </w:tc>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Before any hazardous test or pilot</w:t>
            </w:r>
          </w:p>
        </w:tc>
        <w:tc>
          <w:tcPr>
            <w:tcW w:type="dxa" w:w="2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Veto over unsafe activity; sign-off on hazardous steps.</w:t>
            </w:r>
          </w:p>
        </w:tc>
      </w:tr>
      <w:tr>
        <w:tc>
          <w:tcPr>
            <w:tcW w:type="dxa" w:w="2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Workstream leads</w:t>
            </w:r>
          </w:p>
        </w:tc>
        <w:tc>
          <w:tcPr>
            <w:tcW w:type="dxa" w:w="30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Owners of WBS 2.0–9.0</w:t>
            </w:r>
          </w:p>
        </w:tc>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Weekly</w:t>
            </w:r>
          </w:p>
        </w:tc>
        <w:tc>
          <w:tcPr>
            <w:tcW w:type="dxa" w:w="2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Deliverables, local risk, status to program lead.</w:t>
            </w:r>
          </w:p>
        </w:tc>
      </w:tr>
    </w:tbl>
    <w:p>
      <w:pPr>
        <w:spacing w:after="120"/>
      </w:pPr>
      <w:r>
        <w:t xml:space="preserve"/>
      </w:r>
    </w:p>
    <w:p>
      <w:pPr>
        <w:keepNext w:val="false"/>
        <w:spacing w:after="140" w:before="0" w:line="276"/>
        <w:jc w:val="both"/>
      </w:pPr>
      <w:r>
        <w:rPr>
          <w:rFonts w:ascii="Calibri" w:cs="Calibri" w:eastAsia="Calibri" w:hAnsi="Calibri"/>
          <w:color w:val="1A1F25"/>
          <w:sz w:val="21"/>
          <w:szCs w:val="21"/>
        </w:rPr>
        <w:t xml:space="preserve">The safety review board deserves emphasis: it holds an independent veto over any hazardous activity and must sign off before the first methane test, the first methanol handling, and the pilot launch. This is the structural expression of the program’s safety-first principle — safety authority is separated from schedule authority so that timeline pressure can never override a safety judgement.</w:t>
      </w:r>
    </w:p>
    <w:p>
      <w:pPr>
        <w:pStyle w:val="Heading1"/>
        <w:pageBreakBefore/>
      </w:pPr>
      <w:r>
        <w:rPr>
          <w:rFonts w:ascii="Calibri" w:cs="Calibri" w:eastAsia="Calibri" w:hAnsi="Calibri"/>
          <w:color w:val="1F6F43"/>
          <w:sz w:val="30"/>
          <w:szCs w:val="30"/>
        </w:rPr>
        <w:t xml:space="preserve">9.  Cost Management &amp; Budget Baseline</w:t>
      </w:r>
    </w:p>
    <w:p>
      <w:pPr>
        <w:keepNext w:val="false"/>
        <w:spacing w:after="140" w:before="0" w:line="276"/>
        <w:jc w:val="both"/>
      </w:pPr>
      <w:r>
        <w:rPr>
          <w:rFonts w:ascii="Calibri" w:cs="Calibri" w:eastAsia="Calibri" w:hAnsi="Calibri"/>
          <w:color w:val="1A1F25"/>
          <w:sz w:val="21"/>
          <w:szCs w:val="21"/>
        </w:rPr>
        <w:t xml:space="preserve">This section establishes the cost baseline against which performance is measured. The figures are order-of-magnitude ranges appropriate to a pre-seed and seed-stage hardware program; they are refined into firmer numbers at each gate as quotes and designs mature. The total range — roughly ten to fifty million dollars from proof to first production — reflects the well-documented reality that cleantech hardware requires on the order of twice the capital of an equivalent software effort once grants, debt, and equity are combined.</w:t>
      </w:r>
    </w:p>
    <w:p>
      <w:pPr>
        <w:pStyle w:val="Heading2"/>
      </w:pPr>
      <w:r>
        <w:rPr>
          <w:rFonts w:ascii="Calibri" w:cs="Calibri" w:eastAsia="Calibri" w:hAnsi="Calibri"/>
          <w:color w:val="2B3440"/>
          <w:sz w:val="25"/>
          <w:szCs w:val="25"/>
        </w:rPr>
        <w:t xml:space="preserve">9.1  Budget by work package (program total,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900"/>
        <w:gridCol w:w="900"/>
        <w:gridCol w:w="3260"/>
      </w:tblGrid>
      <w:tr>
        <w:trPr>
          <w:tblHeader/>
        </w:trPr>
        <w:tc>
          <w:tcPr>
            <w:tcW w:type="dxa" w:w="1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WBS</w:t>
            </w:r>
          </w:p>
        </w:tc>
        <w:tc>
          <w:tcPr>
            <w:tcW w:type="dxa" w:w="3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Work package</w:t>
            </w:r>
          </w:p>
        </w:tc>
        <w:tc>
          <w:tcPr>
            <w:tcW w:type="dxa" w:w="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Low</w:t>
            </w:r>
          </w:p>
        </w:tc>
        <w:tc>
          <w:tcPr>
            <w:tcW w:type="dxa" w:w="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High</w:t>
            </w:r>
          </w:p>
        </w:tc>
        <w:tc>
          <w:tcPr>
            <w:tcW w:type="dxa" w:w="32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Notes</w:t>
            </w:r>
          </w:p>
        </w:tc>
      </w:tr>
      <w:tr>
        <w:tc>
          <w:tcPr>
            <w:tcW w:type="dxa" w:w="1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3.0–5.0</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Hardware (chassis, modules, sensing/controls)</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$0.5M</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$2M</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Engineering, sensors, safety testing, small pilot run of units.</w:t>
            </w:r>
          </w:p>
        </w:tc>
      </w:tr>
      <w:tr>
        <w:tc>
          <w:tcPr>
            <w:tcW w:type="dxa" w:w="1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Vehicle/integration prototypes (optional, deferred)</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$2M</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$10M</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Only if a vehicle path is pursued via licensing; excluded from base case.</w:t>
            </w:r>
          </w:p>
        </w:tc>
      </w:tr>
      <w:tr>
        <w:tc>
          <w:tcPr>
            <w:tcW w:type="dxa" w:w="1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Factory setup &amp; tooling (initial)</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$3M</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$15M</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First small production line and equipment.</w:t>
            </w:r>
          </w:p>
        </w:tc>
      </w:tr>
      <w:tr>
        <w:tc>
          <w:tcPr>
            <w:tcW w:type="dxa" w:w="1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6.0</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&amp; platform</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$0.3M</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$1M</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MVP through scale; includes security and integrations.</w:t>
            </w:r>
          </w:p>
        </w:tc>
      </w:tr>
      <w:tr>
        <w:tc>
          <w:tcPr>
            <w:tcW w:type="dxa" w:w="1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9.0</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Marketing, community, pilots</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$2M</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$8M</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Content, influencer, events, early-user incentives.</w:t>
            </w:r>
          </w:p>
        </w:tc>
      </w:tr>
      <w:tr>
        <w:tc>
          <w:tcPr>
            <w:tcW w:type="dxa" w:w="1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8.0</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Legal, regulatory, IP</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$1M</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$3M</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Patents, certifications, entity, compliance counsel.</w:t>
            </w:r>
          </w:p>
        </w:tc>
      </w:tr>
      <w:tr>
        <w:tc>
          <w:tcPr>
            <w:tcW w:type="dxa" w:w="1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Working capital &amp; contingency</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$1.2M</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$11M</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Buffer for delays, supply chain, team ramp.</w:t>
            </w:r>
          </w:p>
        </w:tc>
      </w:tr>
      <w:tr>
        <w:tc>
          <w:tcPr>
            <w:tcW w:type="dxa" w:w="1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TOTAL</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$10M</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$50M</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Crypto/DeSci raises + grants can offset 20–40%.</w:t>
            </w:r>
          </w:p>
        </w:tc>
      </w:tr>
    </w:tbl>
    <w:p>
      <w:pPr>
        <w:spacing w:after="120"/>
      </w:pPr>
      <w:r>
        <w:t xml:space="preserve"/>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Base case vs. full vision</w:t>
            </w:r>
          </w:p>
          <w:p>
            <w:pPr>
              <w:spacing w:after="0" w:line="264"/>
              <w:jc w:val="left"/>
            </w:pPr>
            <w:r>
              <w:rPr>
                <w:rFonts w:ascii="Calibri" w:cs="Calibri" w:eastAsia="Calibri" w:hAnsi="Calibri"/>
                <w:color w:val="1A1F25"/>
                <w:sz w:val="19"/>
                <w:szCs w:val="19"/>
              </w:rPr>
              <w:t xml:space="preserve">The base case for this 36-month plan excludes full vehicle manufacturing and large factory tooling; it targets the appliance, the platform, the pilot, and a small production run, which sits near the lower half of the range. The upper end of the range only applies if the program deliberately pursues the vehicle and large-scale manufacturing paths through change control after the appliance succeeds.</w:t>
            </w:r>
          </w:p>
        </w:tc>
      </w:tr>
    </w:tbl>
    <w:p>
      <w:pPr>
        <w:pStyle w:val="Heading2"/>
      </w:pPr>
      <w:r>
        <w:rPr>
          <w:rFonts w:ascii="Calibri" w:cs="Calibri" w:eastAsia="Calibri" w:hAnsi="Calibri"/>
          <w:color w:val="2B3440"/>
          <w:sz w:val="25"/>
          <w:szCs w:val="25"/>
        </w:rPr>
        <w:t xml:space="preserve">9.2  Phase budget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2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Indicative spend</w:t>
            </w:r>
          </w:p>
        </w:tc>
        <w:tc>
          <w:tcPr>
            <w:tcW w:type="dxa" w:w="4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Dominant costs</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1 (0–12 mo)</w:t>
            </w:r>
          </w:p>
        </w:tc>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Lower end; grant-heavy</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Engineering prototype, software MVP, legal/regulatory, small team.</w:t>
            </w:r>
          </w:p>
        </w:tc>
      </w:tr>
      <w:tr>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2 (12–24 mo)</w:t>
            </w:r>
          </w:p>
        </w:tc>
        <w:tc>
          <w:tcPr>
            <w:tcW w:type="dxa" w:w="2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Mid; mixed grant/equity</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Biodiesel module, pilot operations, certification, team growth.</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3 (24–36 mo)</w:t>
            </w:r>
          </w:p>
        </w:tc>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Higher; equity/strategic</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Production run, tooling, platform scale, go-to-market.</w:t>
            </w:r>
          </w:p>
        </w:tc>
      </w:tr>
    </w:tbl>
    <w:p>
      <w:pPr>
        <w:spacing w:after="120"/>
      </w:pPr>
      <w:r>
        <w:t xml:space="preserve"/>
      </w:r>
    </w:p>
    <w:p>
      <w:pPr>
        <w:pStyle w:val="Heading2"/>
      </w:pPr>
      <w:r>
        <w:rPr>
          <w:rFonts w:ascii="Calibri" w:cs="Calibri" w:eastAsia="Calibri" w:hAnsi="Calibri"/>
          <w:color w:val="2B3440"/>
          <w:sz w:val="25"/>
          <w:szCs w:val="25"/>
        </w:rPr>
        <w:t xml:space="preserve">9.3  Cost control mechanisms</w:t>
      </w:r>
    </w:p>
    <w:p>
      <w:pPr>
        <w:pStyle w:val="ListParagraph"/>
        <w:numPr>
          <w:ilvl w:val="0"/>
          <w:numId w:val="2"/>
        </w:numPr>
        <w:spacing w:after="70" w:line="268"/>
        <w:jc w:val="left"/>
      </w:pPr>
      <w:r>
        <w:rPr>
          <w:rFonts w:ascii="Calibri" w:cs="Calibri" w:eastAsia="Calibri" w:hAnsi="Calibri"/>
          <w:b/>
          <w:bCs/>
          <w:color w:val="1A1F25"/>
          <w:sz w:val="21"/>
          <w:szCs w:val="21"/>
        </w:rPr>
        <w:t xml:space="preserve">Gate-based budget release.</w:t>
      </w:r>
      <w:r>
        <w:rPr>
          <w:rFonts w:ascii="Calibri" w:cs="Calibri" w:eastAsia="Calibri" w:hAnsi="Calibri"/>
          <w:color w:val="1A1F25"/>
          <w:sz w:val="21"/>
          <w:szCs w:val="21"/>
        </w:rPr>
        <w:t xml:space="preserve"> Capital is committed one phase at a time; the next phase’s budget is released only on a Go verdict.</w:t>
      </w:r>
    </w:p>
    <w:p>
      <w:pPr>
        <w:pStyle w:val="ListParagraph"/>
        <w:numPr>
          <w:ilvl w:val="0"/>
          <w:numId w:val="2"/>
        </w:numPr>
        <w:spacing w:after="70" w:line="268"/>
        <w:jc w:val="left"/>
      </w:pPr>
      <w:r>
        <w:rPr>
          <w:rFonts w:ascii="Calibri" w:cs="Calibri" w:eastAsia="Calibri" w:hAnsi="Calibri"/>
          <w:b/>
          <w:bCs/>
          <w:color w:val="1A1F25"/>
          <w:sz w:val="21"/>
          <w:szCs w:val="21"/>
        </w:rPr>
        <w:t xml:space="preserve">Earned-value tracking.</w:t>
      </w:r>
      <w:r>
        <w:rPr>
          <w:rFonts w:ascii="Calibri" w:cs="Calibri" w:eastAsia="Calibri" w:hAnsi="Calibri"/>
          <w:color w:val="1A1F25"/>
          <w:sz w:val="21"/>
          <w:szCs w:val="21"/>
        </w:rPr>
        <w:t xml:space="preserve"> Cost and schedule performance indices are reported monthly (Section 18) so overruns surface early.</w:t>
      </w:r>
    </w:p>
    <w:p>
      <w:pPr>
        <w:pStyle w:val="ListParagraph"/>
        <w:numPr>
          <w:ilvl w:val="0"/>
          <w:numId w:val="2"/>
        </w:numPr>
        <w:spacing w:after="70" w:line="268"/>
        <w:jc w:val="left"/>
      </w:pPr>
      <w:r>
        <w:rPr>
          <w:rFonts w:ascii="Calibri" w:cs="Calibri" w:eastAsia="Calibri" w:hAnsi="Calibri"/>
          <w:b/>
          <w:bCs/>
          <w:color w:val="1A1F25"/>
          <w:sz w:val="21"/>
          <w:szCs w:val="21"/>
        </w:rPr>
        <w:t xml:space="preserve">Off-the-shelf first.</w:t>
      </w:r>
      <w:r>
        <w:rPr>
          <w:rFonts w:ascii="Calibri" w:cs="Calibri" w:eastAsia="Calibri" w:hAnsi="Calibri"/>
          <w:color w:val="1A1F25"/>
          <w:sz w:val="21"/>
          <w:szCs w:val="21"/>
        </w:rPr>
        <w:t xml:space="preserve"> Standard tanks, pumps, and sensors are used wherever possible in v1 to avoid bespoke-engineering cost.</w:t>
      </w:r>
    </w:p>
    <w:p>
      <w:pPr>
        <w:pStyle w:val="ListParagraph"/>
        <w:numPr>
          <w:ilvl w:val="0"/>
          <w:numId w:val="2"/>
        </w:numPr>
        <w:spacing w:after="70" w:line="268"/>
        <w:jc w:val="left"/>
      </w:pPr>
      <w:r>
        <w:rPr>
          <w:rFonts w:ascii="Calibri" w:cs="Calibri" w:eastAsia="Calibri" w:hAnsi="Calibri"/>
          <w:b/>
          <w:bCs/>
          <w:color w:val="1A1F25"/>
          <w:sz w:val="21"/>
          <w:szCs w:val="21"/>
        </w:rPr>
        <w:t xml:space="preserve">Non-dilutive offset.</w:t>
      </w:r>
      <w:r>
        <w:rPr>
          <w:rFonts w:ascii="Calibri" w:cs="Calibri" w:eastAsia="Calibri" w:hAnsi="Calibri"/>
          <w:color w:val="1A1F25"/>
          <w:sz w:val="21"/>
          <w:szCs w:val="21"/>
        </w:rPr>
        <w:t xml:space="preserve"> Grants and credits reduce net burn and are pursued before equity (Section 10).</w:t>
      </w:r>
    </w:p>
    <w:p>
      <w:pPr>
        <w:pStyle w:val="ListParagraph"/>
        <w:numPr>
          <w:ilvl w:val="0"/>
          <w:numId w:val="2"/>
        </w:numPr>
        <w:spacing w:after="70" w:line="268"/>
        <w:jc w:val="left"/>
      </w:pPr>
      <w:r>
        <w:rPr>
          <w:rFonts w:ascii="Calibri" w:cs="Calibri" w:eastAsia="Calibri" w:hAnsi="Calibri"/>
          <w:b/>
          <w:bCs/>
          <w:color w:val="1A1F25"/>
          <w:sz w:val="21"/>
          <w:szCs w:val="21"/>
        </w:rPr>
        <w:t xml:space="preserve">Contingency by phase.</w:t>
      </w:r>
      <w:r>
        <w:rPr>
          <w:rFonts w:ascii="Calibri" w:cs="Calibri" w:eastAsia="Calibri" w:hAnsi="Calibri"/>
          <w:color w:val="1A1F25"/>
          <w:sz w:val="21"/>
          <w:szCs w:val="21"/>
        </w:rPr>
        <w:t xml:space="preserve"> Contingency is held against identified risks and released only against realized risk events, not absorbed silently.</w:t>
      </w:r>
    </w:p>
    <w:p>
      <w:pPr>
        <w:pStyle w:val="Heading2"/>
      </w:pPr>
      <w:r>
        <w:rPr>
          <w:rFonts w:ascii="Calibri" w:cs="Calibri" w:eastAsia="Calibri" w:hAnsi="Calibri"/>
          <w:color w:val="2B3440"/>
          <w:sz w:val="25"/>
          <w:szCs w:val="25"/>
        </w:rPr>
        <w:t xml:space="preserve">9.4  Unit techno-economics: the metrics that decide viability</w:t>
      </w:r>
    </w:p>
    <w:p>
      <w:pPr>
        <w:keepNext w:val="false"/>
        <w:spacing w:after="140" w:before="0" w:line="276"/>
        <w:jc w:val="both"/>
      </w:pPr>
      <w:r>
        <w:rPr>
          <w:rFonts w:ascii="Calibri" w:cs="Calibri" w:eastAsia="Calibri" w:hAnsi="Calibri"/>
          <w:color w:val="1A1F25"/>
          <w:sz w:val="21"/>
          <w:szCs w:val="21"/>
        </w:rPr>
        <w:t xml:space="preserve">Program budgets describe what it costs to build the company; a separate set of metrics describes whether the product itself is economically and energetically viable in a customer’s hands. The feasibility study established these as the decisive measures, and the program tracks them from the first prototype because they — not the program budget — determine whether Biotank has a defensible reason to exist. Three are financial and one is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Metric</w:t>
            </w:r>
          </w:p>
        </w:tc>
        <w:tc>
          <w:tcPr>
            <w:tcW w:type="dxa" w:w="3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What it measures</w:t>
            </w:r>
          </w:p>
        </w:tc>
        <w:tc>
          <w:tcPr>
            <w:tcW w:type="dxa" w:w="32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Why it gates the product</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Levelized cost of fuel / energy (LCOF / LCOE)</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Constant per-unit price that recovers all discounted lifetime costs of producing the fuel or electricity.</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If LCOF exceeds the retail price of the fuel it replaces, the unit has no standalone cost rationale.</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Net present value (NPV) and payback</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Discounted net value, and time to recover the unit’s cost, including avoided fuel/disposal cost and credits.</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Determines whether ownership pays back within an acceptable horizon.</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Internal rate of return (IRR)</w:t>
            </w:r>
          </w:p>
        </w:tc>
        <w:tc>
          <w:tcPr>
            <w:tcW w:type="dxa" w:w="3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Discount rate at which the unit’s NPV is zero.</w:t>
            </w:r>
          </w:p>
        </w:tc>
        <w:tc>
          <w:tcPr>
            <w:tcW w:type="dxa" w:w="32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Compares the unit against a household’s alternative uses of capital.</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Energy return on investment (EROI)</w:t>
            </w:r>
          </w:p>
        </w:tc>
        <w:tc>
          <w:tcPr>
            <w:tcW w:type="dxa" w:w="3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Usable energy out divided by energy in, across the life cycle, after parasitic loads.</w:t>
            </w:r>
          </w:p>
        </w:tc>
        <w:tc>
          <w:tcPr>
            <w:tcW w:type="dxa" w:w="32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 EROI at or below ~3:1 means the unit is a poor net-energy producer regardless of favorable financials.</w:t>
            </w:r>
          </w:p>
        </w:tc>
      </w:tr>
    </w:tbl>
    <w:p>
      <w:pPr>
        <w:spacing w:after="80"/>
      </w:pPr>
      <w:r>
        <w:t xml:space="preserve"/>
      </w:r>
    </w:p>
    <w:p>
      <w:pPr>
        <w:keepNext w:val="false"/>
        <w:spacing w:after="140" w:before="0" w:line="276"/>
        <w:jc w:val="both"/>
      </w:pPr>
      <w:r>
        <w:rPr>
          <w:rFonts w:ascii="Calibri" w:cs="Calibri" w:eastAsia="Calibri" w:hAnsi="Calibri"/>
          <w:color w:val="1A1F25"/>
          <w:sz w:val="21"/>
          <w:szCs w:val="21"/>
        </w:rPr>
        <w:t xml:space="preserve">The study’s findings on these metrics are sobering and are treated as the realistic base case rather than a pessimistic scenario. For the fuels Biotank makes, published energy return on investment sits at roughly 1.2–2.6 — at or below the approximately 3:1 threshold associated with sustainable net energy — and small-scale capital cost runs on the order of $500–$12,000 per kW, well above the levels at which distributed digestion becomes attractive. Published biodiesel economics turn positive only where waste feedstock is effectively free, and biogas economics typically close only when the value of waste disposal (tipping fees), co-products (fertilizer), and policy credits are stacked alongside the energy itself. The program’s response is the reframing recorded in the executive summary and Section 17: pursue the community-aggregation model that can plausibly capture scale and credit value, hold the five benchmarks of Section 2.6 as gate criteria, and measure rather than assume unit performance from the first pilot units.</w:t>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Budget viability vs. product viability</w:t>
            </w:r>
          </w:p>
          <w:p>
            <w:pPr>
              <w:spacing w:after="0" w:line="264"/>
              <w:jc w:val="left"/>
            </w:pPr>
            <w:r>
              <w:rPr>
                <w:rFonts w:ascii="Calibri" w:cs="Calibri" w:eastAsia="Calibri" w:hAnsi="Calibri"/>
                <w:color w:val="1A1F25"/>
                <w:sz w:val="19"/>
                <w:szCs w:val="19"/>
              </w:rPr>
              <w:t xml:space="preserve">A program can be funded and well-run and still produce a product that does not make economic or energetic sense for its owner. Separating program budget (Sections 9.1–9.3) from unit techno-economics (this subsection) keeps both in view, and ties the second to falsifiable gate criteria so the program cannot quietly proceed on a product that the evidence says is a net loss.</w:t>
            </w:r>
          </w:p>
        </w:tc>
      </w:tr>
    </w:tbl>
    <w:p>
      <w:pPr>
        <w:pStyle w:val="Heading1"/>
        <w:pageBreakBefore/>
      </w:pPr>
      <w:r>
        <w:rPr>
          <w:rFonts w:ascii="Calibri" w:cs="Calibri" w:eastAsia="Calibri" w:hAnsi="Calibri"/>
          <w:color w:val="1F6F43"/>
          <w:sz w:val="30"/>
          <w:szCs w:val="30"/>
        </w:rPr>
        <w:t xml:space="preserve">10.  Funding Strategy &amp; Capital Plan</w:t>
      </w:r>
    </w:p>
    <w:p>
      <w:pPr>
        <w:keepNext w:val="false"/>
        <w:spacing w:after="140" w:before="0" w:line="276"/>
        <w:jc w:val="both"/>
      </w:pPr>
      <w:r>
        <w:rPr>
          <w:rFonts w:ascii="Calibri" w:cs="Calibri" w:eastAsia="Calibri" w:hAnsi="Calibri"/>
          <w:color w:val="1A1F25"/>
          <w:sz w:val="21"/>
          <w:szCs w:val="21"/>
        </w:rPr>
        <w:t xml:space="preserve">The funding strategy is built around a single hard-won lesson from cleantech history: hardware is capital-intensive and unforgiving, so the program raises the cheapest, least-dilutive capital first, proves value before expensive scale-up, and treats grants as both runway and validation. The sequence is non-dilutive grants and a modest pre-seed, then a seed round, then a larger Series A only once the appliance and platform have de-risked the thesis.</w:t>
      </w:r>
    </w:p>
    <w:p>
      <w:pPr>
        <w:pStyle w:val="Heading2"/>
      </w:pPr>
      <w:r>
        <w:rPr>
          <w:rFonts w:ascii="Calibri" w:cs="Calibri" w:eastAsia="Calibri" w:hAnsi="Calibri"/>
          <w:color w:val="2B3440"/>
          <w:sz w:val="25"/>
          <w:szCs w:val="25"/>
        </w:rPr>
        <w:t xml:space="preserve">10.1  Funding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00"/>
        <w:gridCol w:w="2160"/>
        <w:gridCol w:w="2300"/>
      </w:tblGrid>
      <w:tr>
        <w:trPr>
          <w:tblHeader/>
        </w:trPr>
        <w:tc>
          <w:tcPr>
            <w:tcW w:type="dxa" w:w="1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Stage</w:t>
            </w:r>
          </w:p>
        </w:tc>
        <w:tc>
          <w:tcPr>
            <w:tcW w:type="dxa" w:w="1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Timing</w:t>
            </w:r>
          </w:p>
        </w:tc>
        <w:tc>
          <w:tcPr>
            <w:tcW w:type="dxa" w:w="1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Target</w:t>
            </w:r>
          </w:p>
        </w:tc>
        <w:tc>
          <w:tcPr>
            <w:tcW w:type="dxa" w:w="21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Sources</w:t>
            </w:r>
          </w:p>
        </w:tc>
        <w:tc>
          <w:tcPr>
            <w:tcW w:type="dxa" w:w="2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Use of funds</w:t>
            </w:r>
          </w:p>
        </w:tc>
      </w:tr>
      <w:tr>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Non-dilutive + pre-seed</w:t>
            </w:r>
          </w:p>
        </w:tc>
        <w:tc>
          <w:tcPr>
            <w:tcW w:type="dxa" w:w="1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Now → mo. 9</w:t>
            </w:r>
          </w:p>
        </w:tc>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Up to ~$1.2M grants + small angel</w:t>
            </w:r>
          </w:p>
        </w:tc>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DOE SBIR, USDA REAP, angels, token utility raise</w:t>
            </w:r>
          </w:p>
        </w:tc>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MVP, safe prototype, regulatory work.</w:t>
            </w:r>
          </w:p>
        </w:tc>
      </w:tr>
      <w:tr>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Seed</w:t>
            </w:r>
          </w:p>
        </w:tc>
        <w:tc>
          <w:tcPr>
            <w:tcW w:type="dxa" w:w="1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 9 → 18</w:t>
            </w:r>
          </w:p>
        </w:tc>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$5M–$15M</w:t>
            </w:r>
          </w:p>
        </w:tc>
        <w:tc>
          <w:tcPr>
            <w:tcW w:type="dxa" w:w="2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Seed VC, strategic angels, larger grants/credits</w:t>
            </w:r>
          </w:p>
        </w:tc>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Biodiesel module, pilot, certification, team.</w:t>
            </w:r>
          </w:p>
        </w:tc>
      </w:tr>
      <w:tr>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Series A</w:t>
            </w:r>
          </w:p>
        </w:tc>
        <w:tc>
          <w:tcPr>
            <w:tcW w:type="dxa" w:w="1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 18 → 30</w:t>
            </w:r>
          </w:p>
        </w:tc>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$30M–$80M</w:t>
            </w:r>
          </w:p>
        </w:tc>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Cleantech VC, strategic (auto/energy/ag), IRA-linked</w:t>
            </w:r>
          </w:p>
        </w:tc>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Production, tooling, platform scale, GTM.</w:t>
            </w:r>
          </w:p>
        </w:tc>
      </w:tr>
      <w:tr>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Growth / project</w:t>
            </w:r>
          </w:p>
        </w:tc>
        <w:tc>
          <w:tcPr>
            <w:tcW w:type="dxa" w:w="1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 30+</w:t>
            </w:r>
          </w:p>
        </w:tc>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As required</w:t>
            </w:r>
          </w:p>
        </w:tc>
        <w:tc>
          <w:tcPr>
            <w:tcW w:type="dxa" w:w="2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Growth equity, project finance, strategic exit</w:t>
            </w:r>
          </w:p>
        </w:tc>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Factory replication, expansion.</w:t>
            </w:r>
          </w:p>
        </w:tc>
      </w:tr>
    </w:tbl>
    <w:p>
      <w:pPr>
        <w:spacing w:after="120"/>
      </w:pPr>
      <w:r>
        <w:t xml:space="preserve"/>
      </w:r>
    </w:p>
    <w:p>
      <w:pPr>
        <w:pStyle w:val="Heading2"/>
      </w:pPr>
      <w:r>
        <w:rPr>
          <w:rFonts w:ascii="Calibri" w:cs="Calibri" w:eastAsia="Calibri" w:hAnsi="Calibri"/>
          <w:color w:val="2B3440"/>
          <w:sz w:val="25"/>
          <w:szCs w:val="25"/>
        </w:rPr>
        <w:t xml:space="preserve">10.2  Non-dilutive funding detail</w:t>
      </w:r>
    </w:p>
    <w:p>
      <w:pPr>
        <w:keepNext w:val="false"/>
        <w:spacing w:after="140" w:before="0" w:line="276"/>
        <w:jc w:val="both"/>
      </w:pPr>
      <w:r>
        <w:rPr>
          <w:rFonts w:ascii="Calibri" w:cs="Calibri" w:eastAsia="Calibri" w:hAnsi="Calibri"/>
          <w:color w:val="1A1F25"/>
          <w:sz w:val="21"/>
          <w:szCs w:val="21"/>
        </w:rPr>
        <w:t xml:space="preserve">Two federal programs anchor the non-dilutive strategy, and they are the program’s first funding action because they validate the technology to later investors at the same time as they extend runway.</w:t>
      </w:r>
    </w:p>
    <w:p>
      <w:pPr>
        <w:pStyle w:val="Heading4"/>
      </w:pPr>
      <w:r>
        <w:rPr>
          <w:rFonts w:ascii="Calibri" w:cs="Calibri" w:eastAsia="Calibri" w:hAnsi="Calibri"/>
          <w:color w:val="2B3440"/>
          <w:sz w:val="21"/>
          <w:szCs w:val="21"/>
        </w:rPr>
        <w:t xml:space="preserve">DOE SBIR / STTR</w:t>
      </w:r>
    </w:p>
    <w:p>
      <w:pPr>
        <w:keepNext w:val="false"/>
        <w:spacing w:after="140" w:before="0" w:line="276"/>
        <w:jc w:val="both"/>
      </w:pPr>
      <w:r>
        <w:rPr>
          <w:rFonts w:ascii="Calibri" w:cs="Calibri" w:eastAsia="Calibri" w:hAnsi="Calibri"/>
          <w:color w:val="1A1F25"/>
          <w:sz w:val="21"/>
          <w:szCs w:val="21"/>
        </w:rPr>
        <w:t xml:space="preserve">The Department of Energy’s Small Business Innovation Research and Small Business Technology Transfer programs fund early R&amp;D in phases: Phase I awards of up to roughly two hundred thousand dollars to establish feasibility, and Phase II awards of up to roughly 1.1 million dollars to develop the prototype, with higher statutory ceilings in some cases. Biotank’s clean-energy and waste-to-energy profile fits these programs well. The plan notes that federal program schedules have seen disruption, including a statutory lapse affecting SBIR in late 2025, so timing must be verified against current solicitations rather than assumed.</w:t>
      </w:r>
    </w:p>
    <w:p>
      <w:pPr>
        <w:pStyle w:val="Heading4"/>
      </w:pPr>
      <w:r>
        <w:rPr>
          <w:rFonts w:ascii="Calibri" w:cs="Calibri" w:eastAsia="Calibri" w:hAnsi="Calibri"/>
          <w:color w:val="2B3440"/>
          <w:sz w:val="21"/>
          <w:szCs w:val="21"/>
        </w:rPr>
        <w:t xml:space="preserve">USDA REAP</w:t>
      </w:r>
    </w:p>
    <w:p>
      <w:pPr>
        <w:keepNext w:val="false"/>
        <w:spacing w:after="140" w:before="0" w:line="276"/>
        <w:jc w:val="both"/>
      </w:pPr>
      <w:r>
        <w:rPr>
          <w:rFonts w:ascii="Calibri" w:cs="Calibri" w:eastAsia="Calibri" w:hAnsi="Calibri"/>
          <w:color w:val="1A1F25"/>
          <w:sz w:val="21"/>
          <w:szCs w:val="21"/>
        </w:rPr>
        <w:t xml:space="preserve">The Rural Energy for America Program provides grants covering a portion of renewable-energy-system project costs — historically twenty-five to fifty percent cost share, with renewable-energy-system grants ranging up to one million dollars and a per-applicant annual ceiling — plus loan guarantees. Arkansas’s rural profile and abundant agricultural feedstock make REAP a natural fit for pilot and early-production funding. As with SBIR, the plan flags that application windows and cost-share percentages have been subject to recent change and must be confirmed.</w:t>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45Z and other credits</w:t>
            </w:r>
          </w:p>
          <w:p>
            <w:pPr>
              <w:spacing w:after="0" w:line="264"/>
              <w:jc w:val="left"/>
            </w:pPr>
            <w:r>
              <w:rPr>
                <w:rFonts w:ascii="Calibri" w:cs="Calibri" w:eastAsia="Calibri" w:hAnsi="Calibri"/>
                <w:color w:val="1A1F25"/>
                <w:sz w:val="19"/>
                <w:szCs w:val="19"/>
              </w:rPr>
              <w:t xml:space="preserve">The 45Z Clean Fuel Production Credit (2025–2029) rewards qualifying fuel producers, not home hobbyists, and requires registration and North-American feedstock. It is relevant to the company at production scale, not to individual users, and is tracked as a future revenue/financing input rather than an early funding source.</w:t>
            </w:r>
          </w:p>
        </w:tc>
      </w:tr>
    </w:tbl>
    <w:p>
      <w:pPr>
        <w:pStyle w:val="Heading2"/>
      </w:pPr>
      <w:r>
        <w:rPr>
          <w:rFonts w:ascii="Calibri" w:cs="Calibri" w:eastAsia="Calibri" w:hAnsi="Calibri"/>
          <w:color w:val="2B3440"/>
          <w:sz w:val="25"/>
          <w:szCs w:val="25"/>
        </w:rPr>
        <w:t xml:space="preserve">10.3  The token raise — deliberate constraints</w:t>
      </w:r>
    </w:p>
    <w:p>
      <w:pPr>
        <w:keepNext w:val="false"/>
        <w:spacing w:after="140" w:before="0" w:line="276"/>
        <w:jc w:val="both"/>
      </w:pPr>
      <w:r>
        <w:rPr>
          <w:rFonts w:ascii="Calibri" w:cs="Calibri" w:eastAsia="Calibri" w:hAnsi="Calibri"/>
          <w:color w:val="1A1F25"/>
          <w:sz w:val="21"/>
          <w:szCs w:val="21"/>
        </w:rPr>
        <w:t xml:space="preserve">A token or decentralized-science raise can offset a meaningful share of early cost and simultaneously seed the community, but it is approached conservatively. The token is designed as utility — discounts, access, features — rather than as a speculative instrument, and any raise is contingent on the regulatory analysis in Section 13 confirming it does not create securities or commodity-law exposure. Decentralized-science precedents show token incentives can genuinely mobilize distributed contributors; the program intends to capture that benefit without importing the legal and reputational risks that have attended speculative tokens.</w:t>
      </w:r>
    </w:p>
    <w:p>
      <w:pPr>
        <w:pStyle w:val="Heading2"/>
      </w:pPr>
      <w:r>
        <w:rPr>
          <w:rFonts w:ascii="Calibri" w:cs="Calibri" w:eastAsia="Calibri" w:hAnsi="Calibri"/>
          <w:color w:val="2B3440"/>
          <w:sz w:val="25"/>
          <w:szCs w:val="25"/>
        </w:rPr>
        <w:t xml:space="preserve">10.4  Capital-efficiency principles</w:t>
      </w:r>
    </w:p>
    <w:p>
      <w:pPr>
        <w:pStyle w:val="ListParagraph"/>
        <w:numPr>
          <w:ilvl w:val="0"/>
          <w:numId w:val="2"/>
        </w:numPr>
        <w:spacing w:after="70" w:line="268"/>
        <w:jc w:val="left"/>
      </w:pPr>
      <w:r>
        <w:rPr>
          <w:rFonts w:ascii="Calibri" w:cs="Calibri" w:eastAsia="Calibri" w:hAnsi="Calibri"/>
          <w:b/>
          <w:bCs/>
          <w:color w:val="1A1F25"/>
          <w:sz w:val="21"/>
          <w:szCs w:val="21"/>
        </w:rPr>
        <w:t xml:space="preserve">Prove before you scale.</w:t>
      </w:r>
      <w:r>
        <w:rPr>
          <w:rFonts w:ascii="Calibri" w:cs="Calibri" w:eastAsia="Calibri" w:hAnsi="Calibri"/>
          <w:color w:val="1A1F25"/>
          <w:sz w:val="21"/>
          <w:szCs w:val="21"/>
        </w:rPr>
        <w:t xml:space="preserve"> No large raise precedes a working, safety-validated pilot.</w:t>
      </w:r>
    </w:p>
    <w:p>
      <w:pPr>
        <w:pStyle w:val="ListParagraph"/>
        <w:numPr>
          <w:ilvl w:val="0"/>
          <w:numId w:val="2"/>
        </w:numPr>
        <w:spacing w:after="70" w:line="268"/>
        <w:jc w:val="left"/>
      </w:pPr>
      <w:r>
        <w:rPr>
          <w:rFonts w:ascii="Calibri" w:cs="Calibri" w:eastAsia="Calibri" w:hAnsi="Calibri"/>
          <w:b/>
          <w:bCs/>
          <w:color w:val="1A1F25"/>
          <w:sz w:val="21"/>
          <w:szCs w:val="21"/>
        </w:rPr>
        <w:t xml:space="preserve">Grants first.</w:t>
      </w:r>
      <w:r>
        <w:rPr>
          <w:rFonts w:ascii="Calibri" w:cs="Calibri" w:eastAsia="Calibri" w:hAnsi="Calibri"/>
          <w:color w:val="1A1F25"/>
          <w:sz w:val="21"/>
          <w:szCs w:val="21"/>
        </w:rPr>
        <w:t xml:space="preserve"> Non-dilutive capital is pursued before priced equity at every stage where it is available.</w:t>
      </w:r>
    </w:p>
    <w:p>
      <w:pPr>
        <w:pStyle w:val="ListParagraph"/>
        <w:numPr>
          <w:ilvl w:val="0"/>
          <w:numId w:val="2"/>
        </w:numPr>
        <w:spacing w:after="70" w:line="268"/>
        <w:jc w:val="left"/>
      </w:pPr>
      <w:r>
        <w:rPr>
          <w:rFonts w:ascii="Calibri" w:cs="Calibri" w:eastAsia="Calibri" w:hAnsi="Calibri"/>
          <w:b/>
          <w:bCs/>
          <w:color w:val="1A1F25"/>
          <w:sz w:val="21"/>
          <w:szCs w:val="21"/>
        </w:rPr>
        <w:t xml:space="preserve">Stage-gated spend.</w:t>
      </w:r>
      <w:r>
        <w:rPr>
          <w:rFonts w:ascii="Calibri" w:cs="Calibri" w:eastAsia="Calibri" w:hAnsi="Calibri"/>
          <w:color w:val="1A1F25"/>
          <w:sz w:val="21"/>
          <w:szCs w:val="21"/>
        </w:rPr>
        <w:t xml:space="preserve"> Capital release is tied to gate verdicts, so money follows evidence.</w:t>
      </w:r>
    </w:p>
    <w:p>
      <w:pPr>
        <w:pStyle w:val="ListParagraph"/>
        <w:numPr>
          <w:ilvl w:val="0"/>
          <w:numId w:val="2"/>
        </w:numPr>
        <w:spacing w:after="70" w:line="268"/>
        <w:jc w:val="left"/>
      </w:pPr>
      <w:r>
        <w:rPr>
          <w:rFonts w:ascii="Calibri" w:cs="Calibri" w:eastAsia="Calibri" w:hAnsi="Calibri"/>
          <w:b/>
          <w:bCs/>
          <w:color w:val="1A1F25"/>
          <w:sz w:val="21"/>
          <w:szCs w:val="21"/>
        </w:rPr>
        <w:t xml:space="preserve">Watch the cleantech base rate.</w:t>
      </w:r>
      <w:r>
        <w:rPr>
          <w:rFonts w:ascii="Calibri" w:cs="Calibri" w:eastAsia="Calibri" w:hAnsi="Calibri"/>
          <w:color w:val="1A1F25"/>
          <w:sz w:val="21"/>
          <w:szCs w:val="21"/>
        </w:rPr>
        <w:t xml:space="preserve"> The plan explicitly internalizes that cleantech hardware has historically destroyed capital at high rates; the antidote is sequencing and evidence, and the willingness to stop.</w:t>
      </w:r>
    </w:p>
    <w:p>
      <w:pPr>
        <w:pStyle w:val="Heading1"/>
        <w:pageBreakBefore/>
      </w:pPr>
      <w:r>
        <w:rPr>
          <w:rFonts w:ascii="Calibri" w:cs="Calibri" w:eastAsia="Calibri" w:hAnsi="Calibri"/>
          <w:color w:val="1F6F43"/>
          <w:sz w:val="30"/>
          <w:szCs w:val="30"/>
        </w:rPr>
        <w:t xml:space="preserve">11.  Resource &amp; Organization Plan</w:t>
      </w:r>
    </w:p>
    <w:p>
      <w:pPr>
        <w:keepNext w:val="false"/>
        <w:spacing w:after="140" w:before="0" w:line="276"/>
        <w:jc w:val="both"/>
      </w:pPr>
      <w:r>
        <w:rPr>
          <w:rFonts w:ascii="Calibri" w:cs="Calibri" w:eastAsia="Calibri" w:hAnsi="Calibri"/>
          <w:color w:val="1A1F25"/>
          <w:sz w:val="21"/>
          <w:szCs w:val="21"/>
        </w:rPr>
        <w:t xml:space="preserve">Biotank is built by a small, senior, multidisciplinary core team augmented by a distributed community of incentivized contributors. The organizing principle is that the founding team must carry, from the first day, the two competencies that most determine survival — safety engineering and regulatory navigation — because both are extremely expensive to add late and both can independently end the program.</w:t>
      </w:r>
    </w:p>
    <w:p>
      <w:pPr>
        <w:pStyle w:val="Heading2"/>
      </w:pPr>
      <w:r>
        <w:rPr>
          <w:rFonts w:ascii="Calibri" w:cs="Calibri" w:eastAsia="Calibri" w:hAnsi="Calibri"/>
          <w:color w:val="2B3440"/>
          <w:sz w:val="25"/>
          <w:szCs w:val="25"/>
        </w:rPr>
        <w:t xml:space="preserve">11.1  Core team composition</w:t>
      </w:r>
    </w:p>
    <w:p>
      <w:pPr>
        <w:keepNext w:val="false"/>
        <w:spacing w:after="140" w:before="0" w:line="276"/>
        <w:jc w:val="both"/>
      </w:pPr>
      <w:r>
        <w:rPr>
          <w:rFonts w:ascii="Calibri" w:cs="Calibri" w:eastAsia="Calibri" w:hAnsi="Calibri"/>
          <w:color w:val="1A1F25"/>
          <w:sz w:val="21"/>
          <w:szCs w:val="21"/>
        </w:rPr>
        <w:t xml:space="preserve">The Phase 1 core is ten to fifteen people, growing to thirty to eighty as production comes online. The composition deliberately front-loads engineering and compliance over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050"/>
        <w:gridCol w:w="4360"/>
        <w:gridCol w:w="1800"/>
      </w:tblGrid>
      <w:tr>
        <w:trPr>
          <w:tblHeader/>
        </w:trPr>
        <w:tc>
          <w:tcPr>
            <w:tcW w:type="dxa" w:w="215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Role</w:t>
            </w:r>
          </w:p>
        </w:tc>
        <w:tc>
          <w:tcPr>
            <w:tcW w:type="dxa" w:w="105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Count (P1)</w:t>
            </w:r>
          </w:p>
        </w:tc>
        <w:tc>
          <w:tcPr>
            <w:tcW w:type="dxa" w:w="4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Primary responsibility</w:t>
            </w:r>
          </w:p>
        </w:tc>
        <w:tc>
          <w:tcPr>
            <w:tcW w:type="dxa" w:w="18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WBS</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lead / founder</w:t>
            </w:r>
          </w:p>
        </w:tc>
        <w:tc>
          <w:tcPr>
            <w:tcW w:type="dxa" w:w="10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Accountable owner; the plan; gates; fundraising.</w:t>
            </w:r>
          </w:p>
        </w:tc>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Hardware engineer (mech.)</w:t>
            </w:r>
          </w:p>
        </w:tc>
        <w:tc>
          <w:tcPr>
            <w:tcW w:type="dxa" w:w="10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Chassis, containment, modules, thermal/fire design.</w:t>
            </w:r>
          </w:p>
        </w:tc>
        <w:tc>
          <w:tcPr>
            <w:tcW w:type="dxa" w:w="1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3.0, 4.0</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Controls / safety engineer</w:t>
            </w:r>
          </w:p>
        </w:tc>
        <w:tc>
          <w:tcPr>
            <w:tcW w:type="dxa" w:w="10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Sensing, interlocks, control logic, safety case.</w:t>
            </w:r>
          </w:p>
        </w:tc>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5.0, 8.0</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Process / bio engineer</w:t>
            </w:r>
          </w:p>
        </w:tc>
        <w:tc>
          <w:tcPr>
            <w:tcW w:type="dxa" w:w="10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 (or contractor)</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 and biodiesel process design and validation.</w:t>
            </w:r>
          </w:p>
        </w:tc>
        <w:tc>
          <w:tcPr>
            <w:tcW w:type="dxa" w:w="1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4.0</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Full-stack software</w:t>
            </w:r>
          </w:p>
        </w:tc>
        <w:tc>
          <w:tcPr>
            <w:tcW w:type="dxa" w:w="10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 (incl. founder)</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Biotank Hub: simulator, competition, telemetry.</w:t>
            </w:r>
          </w:p>
        </w:tc>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6.0</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Designer</w:t>
            </w:r>
          </w:p>
        </w:tc>
        <w:tc>
          <w:tcPr>
            <w:tcW w:type="dxa" w:w="10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Frutiger-Aero industrial + UI design language.</w:t>
            </w:r>
          </w:p>
        </w:tc>
        <w:tc>
          <w:tcPr>
            <w:tcW w:type="dxa" w:w="1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3.0, 6.0, 9.0</w:t>
            </w:r>
          </w:p>
        </w:tc>
      </w:tr>
      <w:tr>
        <w:tc>
          <w:tcPr>
            <w:tcW w:type="dxa" w:w="21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Operations / regulatory</w:t>
            </w:r>
          </w:p>
        </w:tc>
        <w:tc>
          <w:tcPr>
            <w:tcW w:type="dxa" w:w="10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Permits, certification, supply chain, insurance.</w:t>
            </w:r>
          </w:p>
        </w:tc>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8.0, 15.0</w:t>
            </w:r>
          </w:p>
        </w:tc>
      </w:tr>
      <w:tr>
        <w:tc>
          <w:tcPr>
            <w:tcW w:type="dxa" w:w="21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 / marketing</w:t>
            </w:r>
          </w:p>
        </w:tc>
        <w:tc>
          <w:tcPr>
            <w:tcW w:type="dxa" w:w="10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Brand, content, community governance, pilots.</w:t>
            </w:r>
          </w:p>
        </w:tc>
        <w:tc>
          <w:tcPr>
            <w:tcW w:type="dxa" w:w="1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9.0</w:t>
            </w:r>
          </w:p>
        </w:tc>
      </w:tr>
    </w:tbl>
    <w:p>
      <w:pPr>
        <w:spacing w:after="120"/>
      </w:pPr>
      <w:r>
        <w:t xml:space="preserve"/>
      </w:r>
    </w:p>
    <w:p>
      <w:pPr>
        <w:pStyle w:val="Heading2"/>
      </w:pPr>
      <w:r>
        <w:rPr>
          <w:rFonts w:ascii="Calibri" w:cs="Calibri" w:eastAsia="Calibri" w:hAnsi="Calibri"/>
          <w:color w:val="2B3440"/>
          <w:sz w:val="25"/>
          <w:szCs w:val="25"/>
        </w:rPr>
        <w:t xml:space="preserve">11.2  Distributed contributor model</w:t>
      </w:r>
    </w:p>
    <w:p>
      <w:pPr>
        <w:keepNext w:val="false"/>
        <w:spacing w:after="140" w:before="0" w:line="276"/>
        <w:jc w:val="both"/>
      </w:pPr>
      <w:r>
        <w:rPr>
          <w:rFonts w:ascii="Calibri" w:cs="Calibri" w:eastAsia="Calibri" w:hAnsi="Calibri"/>
          <w:color w:val="1A1F25"/>
          <w:sz w:val="21"/>
          <w:szCs w:val="21"/>
        </w:rPr>
        <w:t xml:space="preserve">Beyond the core, five to twenty distributed contributors — the “backyard scientists” — are engaged through the competition and rewarded in utility tokens for recipe development and field testing. This is genuine resource leverage: it expands the program’s effective R&amp;D capacity at low fixed cost while building the very community that constitutes the moat. The model is governed by the platform’s verification rules (Section 6.5), so contributions are credited and rewarded on verified results, not claims.</w:t>
      </w:r>
    </w:p>
    <w:p>
      <w:pPr>
        <w:pStyle w:val="Heading2"/>
      </w:pPr>
      <w:r>
        <w:rPr>
          <w:rFonts w:ascii="Calibri" w:cs="Calibri" w:eastAsia="Calibri" w:hAnsi="Calibri"/>
          <w:color w:val="2B3440"/>
          <w:sz w:val="25"/>
          <w:szCs w:val="25"/>
        </w:rPr>
        <w:t xml:space="preserve">11.3  Location strategy</w:t>
      </w:r>
    </w:p>
    <w:p>
      <w:pPr>
        <w:keepNext w:val="false"/>
        <w:spacing w:after="140" w:before="0" w:line="276"/>
        <w:jc w:val="both"/>
      </w:pPr>
      <w:r>
        <w:rPr>
          <w:rFonts w:ascii="Calibri" w:cs="Calibri" w:eastAsia="Calibri" w:hAnsi="Calibri"/>
          <w:color w:val="1A1F25"/>
          <w:sz w:val="21"/>
          <w:szCs w:val="21"/>
        </w:rPr>
        <w:t xml:space="preserve">The program is remote-first with a small physical presence in Northwest Arkansas. The Arkansas anchor is a deliberate cost and policy choice: lower operating costs than coastal hubs, abundant rural and agricultural feedstock for digestion and biodiesel, a state biodiesel mandate and clean-fuel programs that signal a supportive environment, and access to regional university and technical-college talent. Manufacturing is local-to-demand: a single small pilot facility first, replicated only where order volume justifies it, which keeps logistics light and creates the local jobs that turn communities into stakeholders rather than opponents.</w:t>
      </w:r>
    </w:p>
    <w:p>
      <w:pPr>
        <w:pStyle w:val="Heading2"/>
      </w:pPr>
      <w:r>
        <w:rPr>
          <w:rFonts w:ascii="Calibri" w:cs="Calibri" w:eastAsia="Calibri" w:hAnsi="Calibri"/>
          <w:color w:val="2B3440"/>
          <w:sz w:val="25"/>
          <w:szCs w:val="25"/>
        </w:rPr>
        <w:t xml:space="preserve">11.4  Staffing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Headcount</w:t>
            </w:r>
          </w:p>
        </w:tc>
        <w:tc>
          <w:tcPr>
            <w:tcW w:type="dxa" w:w="45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Hiring focus</w:t>
            </w:r>
          </w:p>
        </w:tc>
      </w:tr>
      <w:tr>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1</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10–15 core + 5–20 contributors</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Safety/controls engineering, process engineering, full-stack.</w:t>
            </w:r>
          </w:p>
        </w:tc>
      </w:tr>
      <w:tr>
        <w:tc>
          <w:tcPr>
            <w:tcW w:type="dxa" w:w="18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2</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15–30</w:t>
            </w:r>
          </w:p>
        </w:tc>
        <w:tc>
          <w:tcPr>
            <w:tcW w:type="dxa" w:w="45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operations, certification specialists, manufacturing engineering.</w:t>
            </w:r>
          </w:p>
        </w:tc>
      </w:tr>
      <w:tr>
        <w:tc>
          <w:tcPr>
            <w:tcW w:type="dxa" w:w="18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3</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30–80</w:t>
            </w:r>
          </w:p>
        </w:tc>
        <w:tc>
          <w:tcPr>
            <w:tcW w:type="dxa" w:w="45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Local production hires, QA, support, scaled platform engineering.</w:t>
            </w:r>
          </w:p>
        </w:tc>
      </w:tr>
    </w:tbl>
    <w:p>
      <w:pPr>
        <w:spacing w:after="120"/>
      </w:pPr>
      <w:r>
        <w:t xml:space="preserve"/>
      </w:r>
    </w:p>
    <w:p>
      <w:pPr>
        <w:pStyle w:val="Heading1"/>
        <w:pageBreakBefore/>
      </w:pPr>
      <w:r>
        <w:rPr>
          <w:rFonts w:ascii="Calibri" w:cs="Calibri" w:eastAsia="Calibri" w:hAnsi="Calibri"/>
          <w:color w:val="1F6F43"/>
          <w:sz w:val="30"/>
          <w:szCs w:val="30"/>
        </w:rPr>
        <w:t xml:space="preserve">12.  Risk Management &amp; Register</w:t>
      </w:r>
    </w:p>
    <w:p>
      <w:pPr>
        <w:keepNext w:val="false"/>
        <w:spacing w:after="140" w:before="0" w:line="276"/>
        <w:jc w:val="both"/>
      </w:pPr>
      <w:r>
        <w:rPr>
          <w:rFonts w:ascii="Calibri" w:cs="Calibri" w:eastAsia="Calibri" w:hAnsi="Calibri"/>
          <w:color w:val="1A1F25"/>
          <w:sz w:val="21"/>
          <w:szCs w:val="21"/>
        </w:rPr>
        <w:t xml:space="preserve">Risk management is not a one-time exercise but a continuous discipline embedded in the gates. The program follows the PMBOK risk processes — identify, analyse (qualitative and quantitative), plan responses, and monitor — and maintains a living register reviewed at every steering meeting. The register below captures the principal program risks at baseline; each has an owner, a pre-mitigation severity, a response strategy, and a residual severity after mitigation.</w:t>
      </w:r>
    </w:p>
    <w:p>
      <w:pPr>
        <w:pStyle w:val="Heading2"/>
      </w:pPr>
      <w:r>
        <w:rPr>
          <w:rFonts w:ascii="Calibri" w:cs="Calibri" w:eastAsia="Calibri" w:hAnsi="Calibri"/>
          <w:color w:val="2B3440"/>
          <w:sz w:val="25"/>
          <w:szCs w:val="25"/>
        </w:rPr>
        <w:t xml:space="preserve">12.1  Risk scoring</w:t>
      </w:r>
    </w:p>
    <w:p>
      <w:pPr>
        <w:keepNext w:val="false"/>
        <w:spacing w:after="140" w:before="0" w:line="276"/>
        <w:jc w:val="both"/>
      </w:pPr>
      <w:r>
        <w:rPr>
          <w:rFonts w:ascii="Calibri" w:cs="Calibri" w:eastAsia="Calibri" w:hAnsi="Calibri"/>
          <w:color w:val="1A1F25"/>
          <w:sz w:val="21"/>
          <w:szCs w:val="21"/>
        </w:rPr>
        <w:t xml:space="preserve">Each risk is rated on probability and impact, combined into a severity of Low, Medium, or High. The four standard response strategies are used: avoid (eliminate the cause), mitigate (reduce probability or impact), transfer (shift to a third party such as an insurer or partner), and accept (acknowledge and monitor, with contingency).</w:t>
      </w:r>
    </w:p>
    <w:p>
      <w:pPr>
        <w:pStyle w:val="Heading2"/>
      </w:pPr>
      <w:r>
        <w:rPr>
          <w:rFonts w:ascii="Calibri" w:cs="Calibri" w:eastAsia="Calibri" w:hAnsi="Calibri"/>
          <w:color w:val="2B3440"/>
          <w:sz w:val="25"/>
          <w:szCs w:val="25"/>
        </w:rPr>
        <w:t xml:space="preserve">12.2  Principal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700"/>
        <w:gridCol w:w="3460"/>
        <w:gridCol w:w="700"/>
      </w:tblGrid>
      <w:tr>
        <w:trPr>
          <w:tblHeader/>
        </w:trPr>
        <w:tc>
          <w:tcPr>
            <w:tcW w:type="dxa" w:w="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6"/>
                <w:szCs w:val="16"/>
              </w:rPr>
              <w:t xml:space="preserve">ID</w:t>
            </w:r>
          </w:p>
        </w:tc>
        <w:tc>
          <w:tcPr>
            <w:tcW w:type="dxa" w:w="3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6"/>
                <w:szCs w:val="16"/>
              </w:rPr>
              <w:t xml:space="preserve">Risk</w:t>
            </w:r>
          </w:p>
        </w:tc>
        <w:tc>
          <w:tcPr>
            <w:tcW w:type="dxa" w:w="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6"/>
                <w:szCs w:val="16"/>
              </w:rPr>
              <w:t xml:space="preserve">Pre</w:t>
            </w:r>
          </w:p>
        </w:tc>
        <w:tc>
          <w:tcPr>
            <w:tcW w:type="dxa" w:w="34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6"/>
                <w:szCs w:val="16"/>
              </w:rPr>
              <w:t xml:space="preserve">Response strategy &amp; mitigation</w:t>
            </w:r>
          </w:p>
        </w:tc>
        <w:tc>
          <w:tcPr>
            <w:tcW w:type="dxa" w:w="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6"/>
                <w:szCs w:val="16"/>
              </w:rPr>
              <w:t xml:space="preserve">Post</w:t>
            </w:r>
          </w:p>
        </w:tc>
      </w:tr>
      <w:tr>
        <w:tc>
          <w:tcPr>
            <w:tcW w:type="dxa" w:w="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R1</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Safety incident with flammable fuel or gas (fire, explosion, methanol exposure) in pilot or use.</w:t>
            </w:r>
          </w:p>
        </w:tc>
        <w:tc>
          <w:tcPr>
            <w:tcW w:type="dxa" w:w="700"/>
            <w:tcBorders>
              <w:top w:val="single" w:color="C7CED5" w:sz="1"/>
              <w:left w:val="single" w:color="C7CED5" w:sz="1"/>
              <w:bottom w:val="single" w:color="C7CED5" w:sz="1"/>
              <w:right w:val="single" w:color="C7CED5" w:sz="1"/>
            </w:tcBorders>
            <w:shd w:fill="F7E6E4" w:val="clear"/>
            <w:tcMar>
              <w:top w:type="dxa" w:w="56"/>
              <w:left w:type="dxa" w:w="110"/>
              <w:bottom w:type="dxa" w:w="56"/>
              <w:right w:type="dxa" w:w="110"/>
            </w:tcMar>
            <w:vAlign w:val="center"/>
          </w:tcPr>
          <w:p>
            <w:pPr>
              <w:spacing w:after="0" w:line="248"/>
              <w:jc w:val="center"/>
            </w:pPr>
            <w:r>
              <w:rPr>
                <w:rFonts w:ascii="Calibri" w:cs="Calibri" w:eastAsia="Calibri" w:hAnsi="Calibri"/>
                <w:color w:val="9E2B25"/>
                <w:sz w:val="16"/>
                <w:szCs w:val="16"/>
              </w:rPr>
              <w:t xml:space="preserve">High</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Avoid/mitigate: safety-first architecture; Ex-rated sensing and interlocks; sealed reagent cartridges; independent safety review board veto; staged hazardous testing; insurance (transfer).</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R2</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Cannot achieve safety certification (UL/CE) for a consumer flammable-fuel appliance at acceptable cost.</w:t>
            </w:r>
          </w:p>
        </w:tc>
        <w:tc>
          <w:tcPr>
            <w:tcW w:type="dxa" w:w="700"/>
            <w:tcBorders>
              <w:top w:val="single" w:color="C7CED5" w:sz="1"/>
              <w:left w:val="single" w:color="C7CED5" w:sz="1"/>
              <w:bottom w:val="single" w:color="C7CED5" w:sz="1"/>
              <w:right w:val="single" w:color="C7CED5" w:sz="1"/>
            </w:tcBorders>
            <w:shd w:fill="F7E6E4" w:val="clear"/>
            <w:tcMar>
              <w:top w:type="dxa" w:w="56"/>
              <w:left w:type="dxa" w:w="110"/>
              <w:bottom w:type="dxa" w:w="56"/>
              <w:right w:type="dxa" w:w="110"/>
            </w:tcMar>
            <w:vAlign w:val="center"/>
          </w:tcPr>
          <w:p>
            <w:pPr>
              <w:spacing w:after="0" w:line="248"/>
              <w:jc w:val="center"/>
            </w:pPr>
            <w:r>
              <w:rPr>
                <w:rFonts w:ascii="Calibri" w:cs="Calibri" w:eastAsia="Calibri" w:hAnsi="Calibri"/>
                <w:color w:val="9E2B25"/>
                <w:sz w:val="16"/>
                <w:szCs w:val="16"/>
              </w:rPr>
              <w:t xml:space="preserve">High</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engage certifier early as a design input; modular design so core unit certifies while modules iterate. Kill/recycle condition at gate if no viable path.</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R3</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Regulatory finding prohibits personal-use production or the competition’s value transfer as designed.</w:t>
            </w:r>
          </w:p>
        </w:tc>
        <w:tc>
          <w:tcPr>
            <w:tcW w:type="dxa" w:w="700"/>
            <w:tcBorders>
              <w:top w:val="single" w:color="C7CED5" w:sz="1"/>
              <w:left w:val="single" w:color="C7CED5" w:sz="1"/>
              <w:bottom w:val="single" w:color="C7CED5" w:sz="1"/>
              <w:right w:val="single" w:color="C7CED5" w:sz="1"/>
            </w:tcBorders>
            <w:shd w:fill="F7E6E4" w:val="clear"/>
            <w:tcMar>
              <w:top w:type="dxa" w:w="56"/>
              <w:left w:type="dxa" w:w="110"/>
              <w:bottom w:type="dxa" w:w="56"/>
              <w:right w:type="dxa" w:w="110"/>
            </w:tcMar>
            <w:vAlign w:val="center"/>
          </w:tcPr>
          <w:p>
            <w:pPr>
              <w:spacing w:after="0" w:line="248"/>
              <w:jc w:val="center"/>
            </w:pPr>
            <w:r>
              <w:rPr>
                <w:rFonts w:ascii="Calibri" w:cs="Calibri" w:eastAsia="Calibri" w:hAnsi="Calibri"/>
                <w:color w:val="9E2B25"/>
                <w:sz w:val="16"/>
                <w:szCs w:val="16"/>
              </w:rPr>
              <w:t xml:space="preserve">High</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Avoid/mitigate: early legal memo; build around personal-use posture; launch reward layer as pure utility/testnet until cleared; off-site hub model for high-risk processes.</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R4</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Capital intensity / runway: cleantech hardware historically destroys capital; round fails or burn outpaces funding.</w:t>
            </w:r>
          </w:p>
        </w:tc>
        <w:tc>
          <w:tcPr>
            <w:tcW w:type="dxa" w:w="700"/>
            <w:tcBorders>
              <w:top w:val="single" w:color="C7CED5" w:sz="1"/>
              <w:left w:val="single" w:color="C7CED5" w:sz="1"/>
              <w:bottom w:val="single" w:color="C7CED5" w:sz="1"/>
              <w:right w:val="single" w:color="C7CED5" w:sz="1"/>
            </w:tcBorders>
            <w:shd w:fill="F7E6E4" w:val="clear"/>
            <w:tcMar>
              <w:top w:type="dxa" w:w="56"/>
              <w:left w:type="dxa" w:w="110"/>
              <w:bottom w:type="dxa" w:w="56"/>
              <w:right w:type="dxa" w:w="110"/>
            </w:tcMar>
            <w:vAlign w:val="center"/>
          </w:tcPr>
          <w:p>
            <w:pPr>
              <w:spacing w:after="0" w:line="248"/>
              <w:jc w:val="center"/>
            </w:pPr>
            <w:r>
              <w:rPr>
                <w:rFonts w:ascii="Calibri" w:cs="Calibri" w:eastAsia="Calibri" w:hAnsi="Calibri"/>
                <w:color w:val="9E2B25"/>
                <w:sz w:val="16"/>
                <w:szCs w:val="16"/>
              </w:rPr>
              <w:t xml:space="preserve">High</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non-dilutive first; gate-based spend; prove before scale; software beachhead lowers early burn; explicit stop conditions.</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R5</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Home-produced fuel quality is inconsistent (off-spec biodiesel, variable biogas), damaging engines or trust.</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sensors + filtration + app-guided recipes; lab verification for library/prize recipes; “certified clean” cartridge option; never certify fuel on self-reported data.</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center"/>
            </w:pPr>
            <w:r>
              <w:rPr>
                <w:rFonts w:ascii="Calibri" w:cs="Calibri" w:eastAsia="Calibri" w:hAnsi="Calibri"/>
                <w:color w:val="1F6F43"/>
                <w:sz w:val="16"/>
                <w:szCs w:val="16"/>
              </w:rPr>
              <w:t xml:space="preserve">Low</w:t>
            </w:r>
          </w:p>
        </w:tc>
      </w:tr>
      <w:tr>
        <w:tc>
          <w:tcPr>
            <w:tcW w:type="dxa" w:w="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R6</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Supply chain / manufacturing scale-up difficulty for novel hardware.</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off-the-shelf parts for v1; reference consumer-digester design; local micro-factory model reduces single-point risk; dual-source critical parts.</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R7</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Deferred pathways (pyrolysis, algae) pulled into scope prematurely by enthusiasm or pressure.</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Avoid: hard scope rule (Section 3.2); re-entry only via change control after preconditions met; gates enforce.</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center"/>
            </w:pPr>
            <w:r>
              <w:rPr>
                <w:rFonts w:ascii="Calibri" w:cs="Calibri" w:eastAsia="Calibri" w:hAnsi="Calibri"/>
                <w:color w:val="1F6F43"/>
                <w:sz w:val="16"/>
                <w:szCs w:val="16"/>
              </w:rPr>
              <w:t xml:space="preserve">Low</w:t>
            </w:r>
          </w:p>
        </w:tc>
      </w:tr>
      <w:tr>
        <w:tc>
          <w:tcPr>
            <w:tcW w:type="dxa" w:w="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R8</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Community / token adoption weak; not everyone wants crypto.</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tokens are optional utility, not speculation; strong fiat on-ramps; real utility (cheaper fuel, better unit) is the primary hook.</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center"/>
            </w:pPr>
            <w:r>
              <w:rPr>
                <w:rFonts w:ascii="Calibri" w:cs="Calibri" w:eastAsia="Calibri" w:hAnsi="Calibri"/>
                <w:color w:val="1F6F43"/>
                <w:sz w:val="16"/>
                <w:szCs w:val="16"/>
              </w:rPr>
              <w:t xml:space="preserve">Low</w:t>
            </w:r>
          </w:p>
        </w:tc>
      </w:tr>
      <w:tr>
        <w:tc>
          <w:tcPr>
            <w:tcW w:type="dxa" w:w="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R9</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Competitor copies the integrated concept.</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speed + brand + proprietary performance-data moat + open interface standards so others build on Biotank rather than cloning it.</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R10</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Key-person dependency on a small founding team.</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document rigorously; cross-train; advisory bench; phased hiring of critical competencies.</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R11</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Schedule slip on the critical path (containment/sensing, pilot, certification).</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thin-float items watched weekly; shift resources from float-rich software/GTM streams; early certifier/lab engagement.</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R12</w:t>
            </w:r>
          </w:p>
        </w:tc>
        <w:tc>
          <w:tcPr>
            <w:tcW w:type="dxa" w:w="3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Grant-program disruption (e.g., SBIR lapse, REAP freeze) delays non-dilutive funding.</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c>
          <w:tcPr>
            <w:tcW w:type="dxa" w:w="34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verify live solicitations; diversify across DOE/USDA/state; maintain angel and token fallbacks; do not assume timing.</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r>
        <w:tc>
          <w:tcPr>
            <w:tcW w:type="dxa" w:w="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R13</w:t>
            </w:r>
          </w:p>
        </w:tc>
        <w:tc>
          <w:tcPr>
            <w:tcW w:type="dxa" w:w="3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Unit techno-economics fail: standalone EROI stays at/below ~3:1 and per-unit cost never reaches viability, so the product lacks a defensible rationale.</w:t>
            </w:r>
          </w:p>
        </w:tc>
        <w:tc>
          <w:tcPr>
            <w:tcW w:type="dxa" w:w="700"/>
            <w:tcBorders>
              <w:top w:val="single" w:color="C7CED5" w:sz="1"/>
              <w:left w:val="single" w:color="C7CED5" w:sz="1"/>
              <w:bottom w:val="single" w:color="C7CED5" w:sz="1"/>
              <w:right w:val="single" w:color="C7CED5" w:sz="1"/>
            </w:tcBorders>
            <w:shd w:fill="F7E6E4" w:val="clear"/>
            <w:tcMar>
              <w:top w:type="dxa" w:w="56"/>
              <w:left w:type="dxa" w:w="110"/>
              <w:bottom w:type="dxa" w:w="56"/>
              <w:right w:type="dxa" w:w="110"/>
            </w:tcMar>
            <w:vAlign w:val="center"/>
          </w:tcPr>
          <w:p>
            <w:pPr>
              <w:spacing w:after="0" w:line="248"/>
              <w:jc w:val="center"/>
            </w:pPr>
            <w:r>
              <w:rPr>
                <w:rFonts w:ascii="Calibri" w:cs="Calibri" w:eastAsia="Calibri" w:hAnsi="Calibri"/>
                <w:color w:val="9E2B25"/>
                <w:sz w:val="16"/>
                <w:szCs w:val="16"/>
              </w:rPr>
              <w:t xml:space="preserve">High</w:t>
            </w:r>
          </w:p>
        </w:tc>
        <w:tc>
          <w:tcPr>
            <w:tcW w:type="dxa" w:w="34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6"/>
                <w:szCs w:val="16"/>
              </w:rPr>
              <w:t xml:space="preserve">Mitigate: adopt benchmarks B1–B3 (Section 2.6) as gate criteria; pivot to the community-aggregation + credit-stacking model; measure unit EROI and LCOF from first pilots; Recycle/Hold at the gate rather than proceed on optimism.</w:t>
            </w:r>
          </w:p>
        </w:tc>
        <w:tc>
          <w:tcPr>
            <w:tcW w:type="dxa" w:w="700"/>
            <w:tcBorders>
              <w:top w:val="single" w:color="C7CED5" w:sz="1"/>
              <w:left w:val="single" w:color="C7CED5" w:sz="1"/>
              <w:bottom w:val="single" w:color="C7CED5" w:sz="1"/>
              <w:right w:val="single" w:color="C7CED5" w:sz="1"/>
            </w:tcBorders>
            <w:shd w:fill="FBF0DA" w:val="clear"/>
            <w:tcMar>
              <w:top w:type="dxa" w:w="56"/>
              <w:left w:type="dxa" w:w="110"/>
              <w:bottom w:type="dxa" w:w="56"/>
              <w:right w:type="dxa" w:w="110"/>
            </w:tcMar>
            <w:vAlign w:val="center"/>
          </w:tcPr>
          <w:p>
            <w:pPr>
              <w:spacing w:after="0" w:line="248"/>
              <w:jc w:val="center"/>
            </w:pPr>
            <w:r>
              <w:rPr>
                <w:rFonts w:ascii="Calibri" w:cs="Calibri" w:eastAsia="Calibri" w:hAnsi="Calibri"/>
                <w:color w:val="C8881A"/>
                <w:sz w:val="16"/>
                <w:szCs w:val="16"/>
              </w:rPr>
              <w:t xml:space="preserve">Med</w:t>
            </w:r>
          </w:p>
        </w:tc>
      </w:tr>
    </w:tbl>
    <w:p>
      <w:pPr>
        <w:spacing w:after="120"/>
      </w:pPr>
      <w:r>
        <w:t xml:space="preserve"/>
      </w:r>
    </w:p>
    <w:tbl>
      <w:tblPr>
        <w:tblW w:type="dxa" w:w="9360"/>
        <w:tblBorders>
          <w:top w:val="single" w:color="F7E6E4" w:sz="2"/>
          <w:left w:val="single" w:color="9E2B25" w:sz="28"/>
          <w:bottom w:val="single" w:color="F7E6E4" w:sz="2"/>
          <w:right w:val="single" w:color="F7E6E4" w:sz="2"/>
          <w:insideH w:val="single" w:color="auto" w:sz="4"/>
          <w:insideV w:val="single" w:color="auto" w:sz="4"/>
        </w:tblBorders>
      </w:tblPr>
      <w:tblGrid>
        <w:gridCol w:w="9360"/>
      </w:tblGrid>
      <w:tr>
        <w:tc>
          <w:tcPr>
            <w:tcW w:type="dxa" w:w="9360"/>
            <w:shd w:fill="F7E6E4" w:val="clear"/>
            <w:tcMar>
              <w:top w:type="dxa" w:w="120"/>
              <w:left w:type="dxa" w:w="200"/>
              <w:bottom w:type="dxa" w:w="120"/>
              <w:right w:type="dxa" w:w="160"/>
            </w:tcMar>
          </w:tcPr>
          <w:p>
            <w:pPr>
              <w:spacing w:after="60" w:line="264"/>
              <w:jc w:val="left"/>
            </w:pPr>
            <w:r>
              <w:rPr>
                <w:rFonts w:ascii="Calibri" w:cs="Calibri" w:eastAsia="Calibri" w:hAnsi="Calibri"/>
                <w:color w:val="9E2B25"/>
                <w:sz w:val="19"/>
                <w:szCs w:val="19"/>
              </w:rPr>
              <w:t xml:space="preserve">The risks that can end the program</w:t>
            </w:r>
          </w:p>
          <w:p>
            <w:pPr>
              <w:spacing w:after="0" w:line="264"/>
              <w:jc w:val="left"/>
            </w:pPr>
            <w:r>
              <w:rPr>
                <w:rFonts w:ascii="Calibri" w:cs="Calibri" w:eastAsia="Calibri" w:hAnsi="Calibri"/>
                <w:color w:val="1A1F25"/>
                <w:sz w:val="19"/>
                <w:szCs w:val="19"/>
              </w:rPr>
              <w:t xml:space="preserve">R1 (safety), R2 (certification), and R3 (regulatory) are existential and interlinked — a failure in any one can stop the venture regardless of how well everything else goes. They are why safety, certification, and regulatory work are funded first, owned by senior people, given independent authority, and tied to explicit kill/recycle conditions at the gates. R4 (capital) and R13 (unit techno-economics) are the economic existential risks: R4 is answered by the funding philosophy in Section 10, and R13 by the reframing toward community aggregation and by holding the feasibility benchmarks of Section 2.6 as hard gate criteria rather than hopes.</w:t>
            </w:r>
          </w:p>
        </w:tc>
      </w:tr>
    </w:tbl>
    <w:p>
      <w:pPr>
        <w:pStyle w:val="Heading2"/>
      </w:pPr>
      <w:r>
        <w:rPr>
          <w:rFonts w:ascii="Calibri" w:cs="Calibri" w:eastAsia="Calibri" w:hAnsi="Calibri"/>
          <w:color w:val="2B3440"/>
          <w:sz w:val="25"/>
          <w:szCs w:val="25"/>
        </w:rPr>
        <w:t xml:space="preserve">12.3  Risk monitoring cadence</w:t>
      </w:r>
    </w:p>
    <w:p>
      <w:pPr>
        <w:pStyle w:val="ListParagraph"/>
        <w:numPr>
          <w:ilvl w:val="0"/>
          <w:numId w:val="2"/>
        </w:numPr>
        <w:spacing w:after="70" w:line="268"/>
        <w:jc w:val="left"/>
      </w:pPr>
      <w:r>
        <w:rPr>
          <w:rFonts w:ascii="Calibri" w:cs="Calibri" w:eastAsia="Calibri" w:hAnsi="Calibri"/>
          <w:b/>
          <w:bCs/>
          <w:color w:val="1A1F25"/>
          <w:sz w:val="21"/>
          <w:szCs w:val="21"/>
        </w:rPr>
        <w:t xml:space="preserve">Weekly:</w:t>
      </w:r>
      <w:r>
        <w:rPr>
          <w:rFonts w:ascii="Calibri" w:cs="Calibri" w:eastAsia="Calibri" w:hAnsi="Calibri"/>
          <w:color w:val="1A1F25"/>
          <w:sz w:val="21"/>
          <w:szCs w:val="21"/>
        </w:rPr>
        <w:t xml:space="preserve"> workstream leads update local risks and surface new ones to the program lead.</w:t>
      </w:r>
    </w:p>
    <w:p>
      <w:pPr>
        <w:pStyle w:val="ListParagraph"/>
        <w:numPr>
          <w:ilvl w:val="0"/>
          <w:numId w:val="2"/>
        </w:numPr>
        <w:spacing w:after="70" w:line="268"/>
        <w:jc w:val="left"/>
      </w:pPr>
      <w:r>
        <w:rPr>
          <w:rFonts w:ascii="Calibri" w:cs="Calibri" w:eastAsia="Calibri" w:hAnsi="Calibri"/>
          <w:b/>
          <w:bCs/>
          <w:color w:val="1A1F25"/>
          <w:sz w:val="21"/>
          <w:szCs w:val="21"/>
        </w:rPr>
        <w:t xml:space="preserve">At each steering meeting / gate:</w:t>
      </w:r>
      <w:r>
        <w:rPr>
          <w:rFonts w:ascii="Calibri" w:cs="Calibri" w:eastAsia="Calibri" w:hAnsi="Calibri"/>
          <w:color w:val="1A1F25"/>
          <w:sz w:val="21"/>
          <w:szCs w:val="21"/>
        </w:rPr>
        <w:t xml:space="preserve"> full register review; severities re-scored; responses adjusted; contingency status reviewed.</w:t>
      </w:r>
    </w:p>
    <w:p>
      <w:pPr>
        <w:pStyle w:val="ListParagraph"/>
        <w:numPr>
          <w:ilvl w:val="0"/>
          <w:numId w:val="2"/>
        </w:numPr>
        <w:spacing w:after="70" w:line="268"/>
        <w:jc w:val="left"/>
      </w:pPr>
      <w:r>
        <w:rPr>
          <w:rFonts w:ascii="Calibri" w:cs="Calibri" w:eastAsia="Calibri" w:hAnsi="Calibri"/>
          <w:b/>
          <w:bCs/>
          <w:color w:val="1A1F25"/>
          <w:sz w:val="21"/>
          <w:szCs w:val="21"/>
        </w:rPr>
        <w:t xml:space="preserve">On any safety-relevant event:</w:t>
      </w:r>
      <w:r>
        <w:rPr>
          <w:rFonts w:ascii="Calibri" w:cs="Calibri" w:eastAsia="Calibri" w:hAnsi="Calibri"/>
          <w:color w:val="1A1F25"/>
          <w:sz w:val="21"/>
          <w:szCs w:val="21"/>
        </w:rPr>
        <w:t xml:space="preserve"> immediate safety review board convening, regardless of cadence.</w:t>
      </w:r>
    </w:p>
    <w:p>
      <w:pPr>
        <w:pStyle w:val="ListParagraph"/>
        <w:numPr>
          <w:ilvl w:val="0"/>
          <w:numId w:val="2"/>
        </w:numPr>
        <w:spacing w:after="70" w:line="268"/>
        <w:jc w:val="left"/>
      </w:pPr>
      <w:r>
        <w:rPr>
          <w:rFonts w:ascii="Calibri" w:cs="Calibri" w:eastAsia="Calibri" w:hAnsi="Calibri"/>
          <w:b/>
          <w:bCs/>
          <w:color w:val="1A1F25"/>
          <w:sz w:val="21"/>
          <w:szCs w:val="21"/>
        </w:rPr>
        <w:t xml:space="preserve">Quantitative review at gates G2 and G4:</w:t>
      </w:r>
      <w:r>
        <w:rPr>
          <w:rFonts w:ascii="Calibri" w:cs="Calibri" w:eastAsia="Calibri" w:hAnsi="Calibri"/>
          <w:color w:val="1A1F25"/>
          <w:sz w:val="21"/>
          <w:szCs w:val="21"/>
        </w:rPr>
        <w:t xml:space="preserve"> schedule and cost risk modeled against the critical path before committing the next phase’s capital.</w:t>
      </w:r>
    </w:p>
    <w:p>
      <w:pPr>
        <w:pStyle w:val="Heading1"/>
        <w:pageBreakBefore/>
      </w:pPr>
      <w:r>
        <w:rPr>
          <w:rFonts w:ascii="Calibri" w:cs="Calibri" w:eastAsia="Calibri" w:hAnsi="Calibri"/>
          <w:color w:val="1F6F43"/>
          <w:sz w:val="30"/>
          <w:szCs w:val="30"/>
        </w:rPr>
        <w:t xml:space="preserve">13.  Regulatory, Safety &amp; Compliance Plan</w:t>
      </w:r>
    </w:p>
    <w:p>
      <w:pPr>
        <w:keepNext w:val="false"/>
        <w:spacing w:after="140" w:before="0" w:line="276"/>
        <w:jc w:val="both"/>
      </w:pPr>
      <w:r>
        <w:rPr>
          <w:rFonts w:ascii="Calibri" w:cs="Calibri" w:eastAsia="Calibri" w:hAnsi="Calibri"/>
          <w:color w:val="1A1F25"/>
          <w:sz w:val="21"/>
          <w:szCs w:val="21"/>
        </w:rPr>
        <w:t xml:space="preserve">Regulation and safety are not a section the program reads once; they are a workstream (WBS 8.0) that runs almost the full length of the plan and that holds veto power over the schedule through the safety review board. This section sets out the regulatory landscape as the program currently understands it from its research base, the compliance actions that follow, and the safety regime that governs every hazardous activity. Nothing here is legal advice; the program retains qualified counsel and treats the items below as a structured agenda for that counsel.</w:t>
      </w:r>
    </w:p>
    <w:p>
      <w:pPr>
        <w:pStyle w:val="Heading2"/>
      </w:pPr>
      <w:r>
        <w:rPr>
          <w:rFonts w:ascii="Calibri" w:cs="Calibri" w:eastAsia="Calibri" w:hAnsi="Calibri"/>
          <w:color w:val="2B3440"/>
          <w:sz w:val="25"/>
          <w:szCs w:val="25"/>
        </w:rPr>
        <w:t xml:space="preserve">13.1  The regulatory landscape (US, with Arkansas specifics)</w:t>
      </w:r>
    </w:p>
    <w:p>
      <w:pPr>
        <w:pStyle w:val="Heading4"/>
      </w:pPr>
      <w:r>
        <w:rPr>
          <w:rFonts w:ascii="Calibri" w:cs="Calibri" w:eastAsia="Calibri" w:hAnsi="Calibri"/>
          <w:color w:val="2B3440"/>
          <w:sz w:val="21"/>
          <w:szCs w:val="21"/>
        </w:rPr>
        <w:t xml:space="preserve">Fuel production and the federal framework</w:t>
      </w:r>
    </w:p>
    <w:p>
      <w:pPr>
        <w:keepNext w:val="false"/>
        <w:spacing w:after="140" w:before="0" w:line="276"/>
        <w:jc w:val="both"/>
      </w:pPr>
      <w:r>
        <w:rPr>
          <w:rFonts w:ascii="Calibri" w:cs="Calibri" w:eastAsia="Calibri" w:hAnsi="Calibri"/>
          <w:color w:val="1A1F25"/>
          <w:sz w:val="21"/>
          <w:szCs w:val="21"/>
        </w:rPr>
        <w:t xml:space="preserve">The most important regulatory distinction for Biotank is between personal use and sale. Personal, on-site production and use of biofuel is comparatively lenient; selling fuel, or transferring value tied to fuel, triggers a much heavier regime. The federal Renewable Fuel Standard, administered by the Environmental Protection Agency, sets renewable-fuel volume obligations and the Renewable Identification Number (RIN) system; its 2026–2027 “Set 2” final rule set record biomass-based diesel volumes, which signals strong federal demand for these fuels but also defines the registration regime that applies to anyone generating RINs. Producers who generate RINs or sell fuel for on-road use generally must register under the EPA fuel regulations; personal-use producers who do not sell generally need not. The program’s early posture is therefore explicitly personal-use, with any move toward sale gated behind a confirmed registration pathway.</w:t>
      </w:r>
    </w:p>
    <w:p>
      <w:pPr>
        <w:pStyle w:val="Heading4"/>
      </w:pPr>
      <w:r>
        <w:rPr>
          <w:rFonts w:ascii="Calibri" w:cs="Calibri" w:eastAsia="Calibri" w:hAnsi="Calibri"/>
          <w:color w:val="2B3440"/>
          <w:sz w:val="21"/>
          <w:szCs w:val="21"/>
        </w:rPr>
        <w:t xml:space="preserve">Ethanol and the TTB permit</w:t>
      </w:r>
    </w:p>
    <w:p>
      <w:pPr>
        <w:keepNext w:val="false"/>
        <w:spacing w:after="140" w:before="0" w:line="276"/>
        <w:jc w:val="both"/>
      </w:pPr>
      <w:r>
        <w:rPr>
          <w:rFonts w:ascii="Calibri" w:cs="Calibri" w:eastAsia="Calibri" w:hAnsi="Calibri"/>
          <w:color w:val="1A1F25"/>
          <w:sz w:val="21"/>
          <w:szCs w:val="21"/>
        </w:rPr>
        <w:t xml:space="preserve">Home production of ethanol for fuel requires an Alcohol Fuel Producer permit from the Alcohol and Tobacco Tax and Trade Bureau. The permit is obtainable, carries no bond below a ten-thousand-proof-gallon annual threshold, and requires the fuel to be denatured so it cannot be consumed as a beverage. Filing for this permit is an early, low-cost action (an explicit Phase 1 milestone) because it establishes a lawful basis for the fermentation/ethanol capability even if distillation is initially limited.</w:t>
      </w:r>
    </w:p>
    <w:p>
      <w:pPr>
        <w:pStyle w:val="Heading4"/>
      </w:pPr>
      <w:r>
        <w:rPr>
          <w:rFonts w:ascii="Calibri" w:cs="Calibri" w:eastAsia="Calibri" w:hAnsi="Calibri"/>
          <w:color w:val="2B3440"/>
          <w:sz w:val="21"/>
          <w:szCs w:val="21"/>
        </w:rPr>
        <w:t xml:space="preserve">Home distillation</w:t>
      </w:r>
    </w:p>
    <w:p>
      <w:pPr>
        <w:keepNext w:val="false"/>
        <w:spacing w:after="140" w:before="0" w:line="276"/>
        <w:jc w:val="both"/>
      </w:pPr>
      <w:r>
        <w:rPr>
          <w:rFonts w:ascii="Calibri" w:cs="Calibri" w:eastAsia="Calibri" w:hAnsi="Calibri"/>
          <w:color w:val="1A1F25"/>
          <w:sz w:val="21"/>
          <w:szCs w:val="21"/>
        </w:rPr>
        <w:t xml:space="preserve">The legal status of home distillation shifted recently: a federal court struck down the long-standing prohibition on home distilling as exceeding federal authority, and an appeals court upheld that ruling in 2026. This does not, however, eliminate the fuel-permit requirements or state-law constraints, and the program treats on-board distillation as enabled only where it is clearly lawful, behind safety interlocks, and otherwise out of scope.</w:t>
      </w:r>
    </w:p>
    <w:p>
      <w:pPr>
        <w:pStyle w:val="Heading4"/>
      </w:pPr>
      <w:r>
        <w:rPr>
          <w:rFonts w:ascii="Calibri" w:cs="Calibri" w:eastAsia="Calibri" w:hAnsi="Calibri"/>
          <w:color w:val="2B3440"/>
          <w:sz w:val="21"/>
          <w:szCs w:val="21"/>
        </w:rPr>
        <w:t xml:space="preserve">Flammable-liquids and appliance safety codes</w:t>
      </w:r>
    </w:p>
    <w:p>
      <w:pPr>
        <w:keepNext w:val="false"/>
        <w:spacing w:after="140" w:before="0" w:line="276"/>
        <w:jc w:val="both"/>
      </w:pPr>
      <w:r>
        <w:rPr>
          <w:rFonts w:ascii="Calibri" w:cs="Calibri" w:eastAsia="Calibri" w:hAnsi="Calibri"/>
          <w:color w:val="1A1F25"/>
          <w:sz w:val="21"/>
          <w:szCs w:val="21"/>
        </w:rPr>
        <w:t xml:space="preserve">Storage and handling of methanol, ethanol, and biodiesel fall under flammable- and combustible-liquid codes — principally NFPA 30 — and the appliance itself must meet electrical-safety listing requirements (UL in the US, CE in Europe), with ISO work on household biogas systems informing the digestion subsystem. These standards are design inputs from the first gate, not launch-day checks.</w:t>
      </w:r>
    </w:p>
    <w:p>
      <w:pPr>
        <w:pStyle w:val="Heading4"/>
      </w:pPr>
      <w:r>
        <w:rPr>
          <w:rFonts w:ascii="Calibri" w:cs="Calibri" w:eastAsia="Calibri" w:hAnsi="Calibri"/>
          <w:color w:val="2B3440"/>
          <w:sz w:val="21"/>
          <w:szCs w:val="21"/>
        </w:rPr>
        <w:t xml:space="preserve">Air quality and the case against at-home pyrolysis</w:t>
      </w:r>
    </w:p>
    <w:p>
      <w:pPr>
        <w:keepNext w:val="false"/>
        <w:spacing w:after="140" w:before="0" w:line="276"/>
        <w:jc w:val="both"/>
      </w:pPr>
      <w:r>
        <w:rPr>
          <w:rFonts w:ascii="Calibri" w:cs="Calibri" w:eastAsia="Calibri" w:hAnsi="Calibri"/>
          <w:color w:val="1A1F25"/>
          <w:sz w:val="21"/>
          <w:szCs w:val="21"/>
        </w:rPr>
        <w:t xml:space="preserve">Combustion and especially pyrolysis release regulated pollutants and, in the case of mixed plastics, toxic and carcinogenic compounds; pyrolysis operations have drawn regulatory enforcement. This regulatory reality is a primary reason pyrolysis is out of scope for the at-home appliance and is contemplated only as a licensed off-site hub in the long term.</w:t>
      </w:r>
    </w:p>
    <w:p>
      <w:pPr>
        <w:pStyle w:val="Heading4"/>
      </w:pPr>
      <w:r>
        <w:rPr>
          <w:rFonts w:ascii="Calibri" w:cs="Calibri" w:eastAsia="Calibri" w:hAnsi="Calibri"/>
          <w:color w:val="2B3440"/>
          <w:sz w:val="21"/>
          <w:szCs w:val="21"/>
        </w:rPr>
        <w:t xml:space="preserve">Arkansas specifics</w:t>
      </w:r>
    </w:p>
    <w:p>
      <w:pPr>
        <w:keepNext w:val="false"/>
        <w:spacing w:after="140" w:before="0" w:line="276"/>
        <w:jc w:val="both"/>
      </w:pPr>
      <w:r>
        <w:rPr>
          <w:rFonts w:ascii="Calibri" w:cs="Calibri" w:eastAsia="Calibri" w:hAnsi="Calibri"/>
          <w:color w:val="1A1F25"/>
          <w:sz w:val="21"/>
          <w:szCs w:val="21"/>
        </w:rPr>
        <w:t xml:space="preserve">Arkansas maintains a minimum biodiesel requirement for state-fleet diesel and runs clean-fuel funding and clean-transportation programs, and it requires personal biofuel producers to report gallons to the state and pay the on-road portion of fuel tax. These provisions make Arkansas a supportive but not unregulated environment, and they are reflected in both the location strategy and the compliance checklist.</w:t>
      </w:r>
    </w:p>
    <w:p>
      <w:pPr>
        <w:pStyle w:val="Heading2"/>
      </w:pPr>
      <w:r>
        <w:rPr>
          <w:rFonts w:ascii="Calibri" w:cs="Calibri" w:eastAsia="Calibri" w:hAnsi="Calibri"/>
          <w:color w:val="2B3440"/>
          <w:sz w:val="25"/>
          <w:szCs w:val="25"/>
        </w:rPr>
        <w:t xml:space="preserve">13.2  Compliance action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900"/>
        <w:gridCol w:w="3100"/>
      </w:tblGrid>
      <w:tr>
        <w:trPr>
          <w:tblHeader/>
        </w:trPr>
        <w:tc>
          <w:tcPr>
            <w:tcW w:type="dxa" w:w="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t>
            </w:r>
          </w:p>
        </w:tc>
        <w:tc>
          <w:tcPr>
            <w:tcW w:type="dxa" w:w="47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Action</w:t>
            </w:r>
          </w:p>
        </w:tc>
        <w:tc>
          <w:tcPr>
            <w:tcW w:type="dxa" w:w="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31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Owner</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C1</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Incorporate the entity; establish IP strategy (defensive + open-interface).</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lead + counsel</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C2</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Commission a legal memo on personal-use production and the competition’s value transfer.</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Ops/regulatory + counsel</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C3</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File the TTB Alcohol Fuel Producer permit.</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Ops/regulatory</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C4</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Identify the EPA fuel-registration pathway that would apply if/when fuel is sold.</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w:t>
            </w:r>
          </w:p>
        </w:tc>
        <w:tc>
          <w:tcPr>
            <w:tcW w:type="dxa" w:w="3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Ops/regulatory + counsel</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C5</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Engage a safety-certification body (UL/CE) as a design input.</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w:t>
            </w:r>
          </w:p>
        </w:tc>
        <w:tc>
          <w:tcPr>
            <w:tcW w:type="dxa" w:w="3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Controls/safety eng.</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C6</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Establish NFPA 30-compliant flammable-liquid handling and storage in all test and pilot sites.</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w:t>
            </w:r>
          </w:p>
        </w:tc>
        <w:tc>
          <w:tcPr>
            <w:tcW w:type="dxa" w:w="3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Controls/safety eng.</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C7</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Engage local fire authority and an insurer before the pilot.</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3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Ops/regulatory</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C8</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File Arkansas producer reporting; confirm state clean-fuel program fit.</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3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Ops/regulatory</w:t>
            </w:r>
          </w:p>
        </w:tc>
      </w:tr>
      <w:tr>
        <w:tc>
          <w:tcPr>
            <w:tcW w:type="dxa" w:w="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C9</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Obtain token legal opinion (securities/commodity) before any value-bearing reward launch.</w:t>
            </w:r>
          </w:p>
        </w:tc>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1–2</w:t>
            </w:r>
          </w:p>
        </w:tc>
        <w:tc>
          <w:tcPr>
            <w:tcW w:type="dxa" w:w="31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Counsel</w:t>
            </w:r>
          </w:p>
        </w:tc>
      </w:tr>
      <w:tr>
        <w:tc>
          <w:tcPr>
            <w:tcW w:type="dxa" w:w="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C10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Document the certification roadmap toward a listed, shipping configuration.</w:t>
            </w:r>
          </w:p>
        </w:tc>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2–3</w:t>
            </w:r>
          </w:p>
        </w:tc>
        <w:tc>
          <w:tcPr>
            <w:tcW w:type="dxa" w:w="31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Controls/safety eng.</w:t>
            </w:r>
          </w:p>
        </w:tc>
      </w:tr>
    </w:tbl>
    <w:p>
      <w:pPr>
        <w:spacing w:after="120"/>
      </w:pPr>
      <w:r>
        <w:t xml:space="preserve"/>
      </w:r>
    </w:p>
    <w:p>
      <w:pPr>
        <w:pStyle w:val="Heading2"/>
      </w:pPr>
      <w:r>
        <w:rPr>
          <w:rFonts w:ascii="Calibri" w:cs="Calibri" w:eastAsia="Calibri" w:hAnsi="Calibri"/>
          <w:color w:val="2B3440"/>
          <w:sz w:val="25"/>
          <w:szCs w:val="25"/>
        </w:rPr>
        <w:t xml:space="preserve">13.3  Safety regime</w:t>
      </w:r>
    </w:p>
    <w:p>
      <w:pPr>
        <w:keepNext w:val="false"/>
        <w:spacing w:after="140" w:before="0" w:line="276"/>
        <w:jc w:val="both"/>
      </w:pPr>
      <w:r>
        <w:rPr>
          <w:rFonts w:ascii="Calibri" w:cs="Calibri" w:eastAsia="Calibri" w:hAnsi="Calibri"/>
          <w:color w:val="1A1F25"/>
          <w:sz w:val="21"/>
          <w:szCs w:val="21"/>
        </w:rPr>
        <w:t xml:space="preserve">The safety regime is the operational expression of the design principle that containment and control precede conversion. It governs how hazardous work is authorized and conducted throughout the program.</w:t>
      </w:r>
    </w:p>
    <w:p>
      <w:pPr>
        <w:pStyle w:val="ListParagraph"/>
        <w:numPr>
          <w:ilvl w:val="0"/>
          <w:numId w:val="2"/>
        </w:numPr>
        <w:spacing w:after="70" w:line="268"/>
        <w:jc w:val="left"/>
      </w:pPr>
      <w:r>
        <w:rPr>
          <w:rFonts w:ascii="Calibri" w:cs="Calibri" w:eastAsia="Calibri" w:hAnsi="Calibri"/>
          <w:b/>
          <w:bCs/>
          <w:color w:val="1A1F25"/>
          <w:sz w:val="21"/>
          <w:szCs w:val="21"/>
        </w:rPr>
        <w:t xml:space="preserve">Independent authority.</w:t>
      </w:r>
      <w:r>
        <w:rPr>
          <w:rFonts w:ascii="Calibri" w:cs="Calibri" w:eastAsia="Calibri" w:hAnsi="Calibri"/>
          <w:color w:val="1A1F25"/>
          <w:sz w:val="21"/>
          <w:szCs w:val="21"/>
        </w:rPr>
        <w:t xml:space="preserve"> The safety review board holds a veto over any hazardous activity and must sign off before the first methane test, the first methanol handling, and the pilot launch.</w:t>
      </w:r>
    </w:p>
    <w:p>
      <w:pPr>
        <w:pStyle w:val="ListParagraph"/>
        <w:numPr>
          <w:ilvl w:val="0"/>
          <w:numId w:val="2"/>
        </w:numPr>
        <w:spacing w:after="70" w:line="268"/>
        <w:jc w:val="left"/>
      </w:pPr>
      <w:r>
        <w:rPr>
          <w:rFonts w:ascii="Calibri" w:cs="Calibri" w:eastAsia="Calibri" w:hAnsi="Calibri"/>
          <w:b/>
          <w:bCs/>
          <w:color w:val="1A1F25"/>
          <w:sz w:val="21"/>
          <w:szCs w:val="21"/>
        </w:rPr>
        <w:t xml:space="preserve">Engineering controls first.</w:t>
      </w:r>
      <w:r>
        <w:rPr>
          <w:rFonts w:ascii="Calibri" w:cs="Calibri" w:eastAsia="Calibri" w:hAnsi="Calibri"/>
          <w:color w:val="1A1F25"/>
          <w:sz w:val="21"/>
          <w:szCs w:val="21"/>
        </w:rPr>
        <w:t xml:space="preserve"> Hazards are addressed by design — containment, ventilation, sensing, interlocks, sealed reagents — before relying on procedure or training.</w:t>
      </w:r>
    </w:p>
    <w:p>
      <w:pPr>
        <w:pStyle w:val="ListParagraph"/>
        <w:numPr>
          <w:ilvl w:val="0"/>
          <w:numId w:val="2"/>
        </w:numPr>
        <w:spacing w:after="70" w:line="268"/>
        <w:jc w:val="left"/>
      </w:pPr>
      <w:r>
        <w:rPr>
          <w:rFonts w:ascii="Calibri" w:cs="Calibri" w:eastAsia="Calibri" w:hAnsi="Calibri"/>
          <w:b/>
          <w:bCs/>
          <w:color w:val="1A1F25"/>
          <w:sz w:val="21"/>
          <w:szCs w:val="21"/>
        </w:rPr>
        <w:t xml:space="preserve">No bulk user handling of hazardous reagents.</w:t>
      </w:r>
      <w:r>
        <w:rPr>
          <w:rFonts w:ascii="Calibri" w:cs="Calibri" w:eastAsia="Calibri" w:hAnsi="Calibri"/>
          <w:color w:val="1A1F25"/>
          <w:sz w:val="21"/>
          <w:szCs w:val="21"/>
        </w:rPr>
        <w:t xml:space="preserve"> Methanol and caustic catalysts are delivered in sealed, fail-safe cartridges with a disposal-return program; users never pour bulk methanol.</w:t>
      </w:r>
    </w:p>
    <w:p>
      <w:pPr>
        <w:pStyle w:val="ListParagraph"/>
        <w:numPr>
          <w:ilvl w:val="0"/>
          <w:numId w:val="2"/>
        </w:numPr>
        <w:spacing w:after="70" w:line="268"/>
        <w:jc w:val="left"/>
      </w:pPr>
      <w:r>
        <w:rPr>
          <w:rFonts w:ascii="Calibri" w:cs="Calibri" w:eastAsia="Calibri" w:hAnsi="Calibri"/>
          <w:b/>
          <w:bCs/>
          <w:color w:val="1A1F25"/>
          <w:sz w:val="21"/>
          <w:szCs w:val="21"/>
        </w:rPr>
        <w:t xml:space="preserve">Staged hazardous testing.</w:t>
      </w:r>
      <w:r>
        <w:rPr>
          <w:rFonts w:ascii="Calibri" w:cs="Calibri" w:eastAsia="Calibri" w:hAnsi="Calibri"/>
          <w:color w:val="1A1F25"/>
          <w:sz w:val="21"/>
          <w:szCs w:val="21"/>
        </w:rPr>
        <w:t xml:space="preserve"> New hazardous processes are proven in controlled conditions with monitoring and lab support before they reach a household.</w:t>
      </w:r>
    </w:p>
    <w:p>
      <w:pPr>
        <w:pStyle w:val="ListParagraph"/>
        <w:numPr>
          <w:ilvl w:val="0"/>
          <w:numId w:val="2"/>
        </w:numPr>
        <w:spacing w:after="70" w:line="268"/>
        <w:jc w:val="left"/>
      </w:pPr>
      <w:r>
        <w:rPr>
          <w:rFonts w:ascii="Calibri" w:cs="Calibri" w:eastAsia="Calibri" w:hAnsi="Calibri"/>
          <w:b/>
          <w:bCs/>
          <w:color w:val="1A1F25"/>
          <w:sz w:val="21"/>
          <w:szCs w:val="21"/>
        </w:rPr>
        <w:t xml:space="preserve">Lab verification before fueling.</w:t>
      </w:r>
      <w:r>
        <w:rPr>
          <w:rFonts w:ascii="Calibri" w:cs="Calibri" w:eastAsia="Calibri" w:hAnsi="Calibri"/>
          <w:color w:val="1A1F25"/>
          <w:sz w:val="21"/>
          <w:szCs w:val="21"/>
        </w:rPr>
        <w:t xml:space="preserve"> No fuel is certified for vehicle or equipment use on self-reported data; a partner lab verifies samples first.</w:t>
      </w:r>
    </w:p>
    <w:p>
      <w:pPr>
        <w:pStyle w:val="ListParagraph"/>
        <w:numPr>
          <w:ilvl w:val="0"/>
          <w:numId w:val="2"/>
        </w:numPr>
        <w:spacing w:after="70" w:line="268"/>
        <w:jc w:val="left"/>
      </w:pPr>
      <w:r>
        <w:rPr>
          <w:rFonts w:ascii="Calibri" w:cs="Calibri" w:eastAsia="Calibri" w:hAnsi="Calibri"/>
          <w:b/>
          <w:bCs/>
          <w:color w:val="1A1F25"/>
          <w:sz w:val="21"/>
          <w:szCs w:val="21"/>
        </w:rPr>
        <w:t xml:space="preserve">Insurance as transfer.</w:t>
      </w:r>
      <w:r>
        <w:rPr>
          <w:rFonts w:ascii="Calibri" w:cs="Calibri" w:eastAsia="Calibri" w:hAnsi="Calibri"/>
          <w:color w:val="1A1F25"/>
          <w:sz w:val="21"/>
          <w:szCs w:val="21"/>
        </w:rPr>
        <w:t xml:space="preserve"> Product-liability and pilot coverage are obtained early; an uninsured flammable-fuel appliance does not ship.</w:t>
      </w:r>
    </w:p>
    <w:p>
      <w:pPr>
        <w:spacing w:after="60"/>
      </w:pPr>
      <w:r>
        <w:t xml:space="preserve"/>
      </w:r>
    </w:p>
    <w:tbl>
      <w:tblPr>
        <w:tblW w:type="dxa" w:w="9360"/>
        <w:tblBorders>
          <w:top w:val="single" w:color="F7E6E4" w:sz="2"/>
          <w:left w:val="single" w:color="9E2B25" w:sz="28"/>
          <w:bottom w:val="single" w:color="F7E6E4" w:sz="2"/>
          <w:right w:val="single" w:color="F7E6E4" w:sz="2"/>
          <w:insideH w:val="single" w:color="auto" w:sz="4"/>
          <w:insideV w:val="single" w:color="auto" w:sz="4"/>
        </w:tblBorders>
      </w:tblPr>
      <w:tblGrid>
        <w:gridCol w:w="9360"/>
      </w:tblGrid>
      <w:tr>
        <w:tc>
          <w:tcPr>
            <w:tcW w:type="dxa" w:w="9360"/>
            <w:shd w:fill="F7E6E4" w:val="clear"/>
            <w:tcMar>
              <w:top w:type="dxa" w:w="120"/>
              <w:left w:type="dxa" w:w="200"/>
              <w:bottom w:type="dxa" w:w="120"/>
              <w:right w:type="dxa" w:w="160"/>
            </w:tcMar>
          </w:tcPr>
          <w:p>
            <w:pPr>
              <w:spacing w:after="60" w:line="264"/>
              <w:jc w:val="left"/>
            </w:pPr>
            <w:r>
              <w:rPr>
                <w:rFonts w:ascii="Calibri" w:cs="Calibri" w:eastAsia="Calibri" w:hAnsi="Calibri"/>
                <w:color w:val="9E2B25"/>
                <w:sz w:val="19"/>
                <w:szCs w:val="19"/>
              </w:rPr>
              <w:t xml:space="preserve">Plain statement of hazard</w:t>
            </w:r>
          </w:p>
          <w:p>
            <w:pPr>
              <w:spacing w:after="0" w:line="264"/>
              <w:jc w:val="left"/>
            </w:pPr>
            <w:r>
              <w:rPr>
                <w:rFonts w:ascii="Calibri" w:cs="Calibri" w:eastAsia="Calibri" w:hAnsi="Calibri"/>
                <w:color w:val="1A1F25"/>
                <w:sz w:val="19"/>
                <w:szCs w:val="19"/>
              </w:rPr>
              <w:t xml:space="preserve">Biotank handles methane (explosive), methanol (flammable and acutely toxic), and — in deferred pathways — pyrolysis products (toxic and carcinogenic). A consumer appliance handling these is a serious hazard-engineering and liability undertaking. The program’s entire architecture, governance, and sequencing exist to make that undertaking responsible. Nothing in this plan endorses unsupervised home production outside the engineered, certified system.</w:t>
            </w:r>
          </w:p>
        </w:tc>
      </w:tr>
    </w:tbl>
    <w:p>
      <w:pPr>
        <w:pStyle w:val="Heading1"/>
        <w:pageBreakBefore/>
      </w:pPr>
      <w:r>
        <w:rPr>
          <w:rFonts w:ascii="Calibri" w:cs="Calibri" w:eastAsia="Calibri" w:hAnsi="Calibri"/>
          <w:color w:val="1F6F43"/>
          <w:sz w:val="30"/>
          <w:szCs w:val="30"/>
        </w:rPr>
        <w:t xml:space="preserve">14.  Quality Management Plan</w:t>
      </w:r>
    </w:p>
    <w:p>
      <w:pPr>
        <w:keepNext w:val="false"/>
        <w:spacing w:after="140" w:before="0" w:line="276"/>
        <w:jc w:val="both"/>
      </w:pPr>
      <w:r>
        <w:rPr>
          <w:rFonts w:ascii="Calibri" w:cs="Calibri" w:eastAsia="Calibri" w:hAnsi="Calibri"/>
          <w:color w:val="1A1F25"/>
          <w:sz w:val="21"/>
          <w:szCs w:val="21"/>
        </w:rPr>
        <w:t xml:space="preserve">Quality in this program has an unusually literal meaning: a quality failure is not merely a dissatisfied customer but potentially a safety incident or a damaged engine. The quality plan therefore binds tightly to the safety and standards regime. It defines what “good” means for each deliverable, how it is verified, and how defects are prevented rather than caught late.</w:t>
      </w:r>
    </w:p>
    <w:p>
      <w:pPr>
        <w:pStyle w:val="Heading2"/>
      </w:pPr>
      <w:r>
        <w:rPr>
          <w:rFonts w:ascii="Calibri" w:cs="Calibri" w:eastAsia="Calibri" w:hAnsi="Calibri"/>
          <w:color w:val="2B3440"/>
          <w:sz w:val="25"/>
          <w:szCs w:val="25"/>
        </w:rPr>
        <w:t xml:space="preserve">14.1  Quality standards by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Deliverable</w:t>
            </w:r>
          </w:p>
        </w:tc>
        <w:tc>
          <w:tcPr>
            <w:tcW w:type="dxa" w:w="66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Quality standard / acceptance basis</w:t>
            </w:r>
          </w:p>
        </w:tc>
      </w:tr>
      <w:tr>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Biodiesel output</w:t>
            </w:r>
          </w:p>
        </w:tc>
        <w:tc>
          <w:tcPr>
            <w:tcW w:type="dxa" w:w="66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Conformance to ASTM D6751 / EN 14214 for any fuel intended for engine use; lab-verified.</w:t>
            </w:r>
          </w:p>
        </w:tc>
      </w:tr>
      <w:tr>
        <w:tc>
          <w:tcPr>
            <w:tcW w:type="dxa" w:w="2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Biogas / generator</w:t>
            </w:r>
          </w:p>
        </w:tc>
        <w:tc>
          <w:tcPr>
            <w:tcW w:type="dxa" w:w="66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Methane content and H₂S levels within engine-safe limits; scrubbing validated.</w:t>
            </w:r>
          </w:p>
        </w:tc>
      </w:tr>
      <w:tr>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Appliance electrical safety</w:t>
            </w:r>
          </w:p>
        </w:tc>
        <w:tc>
          <w:tcPr>
            <w:tcW w:type="dxa" w:w="66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Progress toward and ultimately UL/CE listing for the shipping configuration.</w:t>
            </w:r>
          </w:p>
        </w:tc>
      </w:tr>
      <w:tr>
        <w:tc>
          <w:tcPr>
            <w:tcW w:type="dxa" w:w="2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Flammable-liquid handling</w:t>
            </w:r>
          </w:p>
        </w:tc>
        <w:tc>
          <w:tcPr>
            <w:tcW w:type="dxa" w:w="66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NFPA 30 conformance at every test, pilot, and production site.</w:t>
            </w:r>
          </w:p>
        </w:tc>
      </w:tr>
      <w:tr>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Control system</w:t>
            </w:r>
          </w:p>
        </w:tc>
        <w:tc>
          <w:tcPr>
            <w:tcW w:type="dxa" w:w="66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Verified interlock behavior: every fault path tested to fail safe (vent/isolate/de-energize).</w:t>
            </w:r>
          </w:p>
        </w:tc>
      </w:tr>
      <w:tr>
        <w:tc>
          <w:tcPr>
            <w:tcW w:type="dxa" w:w="2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(Hub)</w:t>
            </w:r>
          </w:p>
        </w:tc>
        <w:tc>
          <w:tcPr>
            <w:tcW w:type="dxa" w:w="66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Functional acceptance tests per release; telemetry integrity; secure handling of accounts and rewards.</w:t>
            </w:r>
          </w:p>
        </w:tc>
      </w:tr>
      <w:tr>
        <w:tc>
          <w:tcPr>
            <w:tcW w:type="dxa" w:w="2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Recipes in official library</w:t>
            </w:r>
          </w:p>
        </w:tc>
        <w:tc>
          <w:tcPr>
            <w:tcW w:type="dxa" w:w="66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Telemetry + accredited-lab certificate + on-chain provenance before promotion.</w:t>
            </w:r>
          </w:p>
        </w:tc>
      </w:tr>
    </w:tbl>
    <w:p>
      <w:pPr>
        <w:spacing w:after="120"/>
      </w:pPr>
      <w:r>
        <w:t xml:space="preserve"/>
      </w:r>
    </w:p>
    <w:p>
      <w:pPr>
        <w:pStyle w:val="Heading2"/>
      </w:pPr>
      <w:r>
        <w:rPr>
          <w:rFonts w:ascii="Calibri" w:cs="Calibri" w:eastAsia="Calibri" w:hAnsi="Calibri"/>
          <w:color w:val="2B3440"/>
          <w:sz w:val="25"/>
          <w:szCs w:val="25"/>
        </w:rPr>
        <w:t xml:space="preserve">14.2  Quality assurance vs. quality control</w:t>
      </w:r>
    </w:p>
    <w:p>
      <w:pPr>
        <w:keepNext w:val="false"/>
        <w:spacing w:after="140" w:before="0" w:line="276"/>
        <w:jc w:val="both"/>
      </w:pPr>
      <w:r>
        <w:rPr>
          <w:rFonts w:ascii="Calibri" w:cs="Calibri" w:eastAsia="Calibri" w:hAnsi="Calibri"/>
          <w:color w:val="1A1F25"/>
          <w:sz w:val="21"/>
          <w:szCs w:val="21"/>
        </w:rPr>
        <w:t xml:space="preserve">The plan distinguishes assurance (building quality in through process) from control (inspecting it after the fact), and weights toward assurance because, for a hazardous product, catching defects late is too dangerous and too expensive. Assurance mechanisms include design reviews at each gate, the safety review board sign-offs, standards-driven design inputs, and the staged-testing discipline. Control mechanisms include lab verification of fuel samples, interlock fault-testing, software acceptance testing, and incoming-component inspection.</w:t>
      </w:r>
    </w:p>
    <w:p>
      <w:pPr>
        <w:pStyle w:val="Heading2"/>
      </w:pPr>
      <w:r>
        <w:rPr>
          <w:rFonts w:ascii="Calibri" w:cs="Calibri" w:eastAsia="Calibri" w:hAnsi="Calibri"/>
          <w:color w:val="2B3440"/>
          <w:sz w:val="25"/>
          <w:szCs w:val="25"/>
        </w:rPr>
        <w:t xml:space="preserve">14.3  Verification and validation</w:t>
      </w:r>
    </w:p>
    <w:p>
      <w:pPr>
        <w:pStyle w:val="ListParagraph"/>
        <w:numPr>
          <w:ilvl w:val="0"/>
          <w:numId w:val="2"/>
        </w:numPr>
        <w:spacing w:after="70" w:line="268"/>
        <w:jc w:val="left"/>
      </w:pPr>
      <w:r>
        <w:rPr>
          <w:rFonts w:ascii="Calibri" w:cs="Calibri" w:eastAsia="Calibri" w:hAnsi="Calibri"/>
          <w:b/>
          <w:bCs/>
          <w:color w:val="1A1F25"/>
          <w:sz w:val="21"/>
          <w:szCs w:val="21"/>
        </w:rPr>
        <w:t xml:space="preserve">Verification</w:t>
      </w:r>
      <w:r>
        <w:rPr>
          <w:rFonts w:ascii="Calibri" w:cs="Calibri" w:eastAsia="Calibri" w:hAnsi="Calibri"/>
          <w:color w:val="1A1F25"/>
          <w:sz w:val="21"/>
          <w:szCs w:val="21"/>
        </w:rPr>
        <w:t xml:space="preserve"> (are we building it right?): each subsystem is tested against its specification — sensors calibrated, interlocks fault-tested, software acceptance-tested, fuel assayed against standard.</w:t>
      </w:r>
    </w:p>
    <w:p>
      <w:pPr>
        <w:pStyle w:val="ListParagraph"/>
        <w:numPr>
          <w:ilvl w:val="0"/>
          <w:numId w:val="2"/>
        </w:numPr>
        <w:spacing w:after="70" w:line="268"/>
        <w:jc w:val="left"/>
      </w:pPr>
      <w:r>
        <w:rPr>
          <w:rFonts w:ascii="Calibri" w:cs="Calibri" w:eastAsia="Calibri" w:hAnsi="Calibri"/>
          <w:b/>
          <w:bCs/>
          <w:color w:val="1A1F25"/>
          <w:sz w:val="21"/>
          <w:szCs w:val="21"/>
        </w:rPr>
        <w:t xml:space="preserve">Validation</w:t>
      </w:r>
      <w:r>
        <w:rPr>
          <w:rFonts w:ascii="Calibri" w:cs="Calibri" w:eastAsia="Calibri" w:hAnsi="Calibri"/>
          <w:color w:val="1A1F25"/>
          <w:sz w:val="21"/>
          <w:szCs w:val="21"/>
        </w:rPr>
        <w:t xml:space="preserve"> (are we building the right thing?): the pilot validates that real households can safely operate the appliance and produce usable fuel and energy, and that the platform actually drives community innovation.</w:t>
      </w:r>
    </w:p>
    <w:p>
      <w:pPr>
        <w:pStyle w:val="ListParagraph"/>
        <w:numPr>
          <w:ilvl w:val="0"/>
          <w:numId w:val="2"/>
        </w:numPr>
        <w:spacing w:after="70" w:line="268"/>
        <w:jc w:val="left"/>
      </w:pPr>
      <w:r>
        <w:rPr>
          <w:rFonts w:ascii="Calibri" w:cs="Calibri" w:eastAsia="Calibri" w:hAnsi="Calibri"/>
          <w:b/>
          <w:bCs/>
          <w:color w:val="1A1F25"/>
          <w:sz w:val="21"/>
          <w:szCs w:val="21"/>
        </w:rPr>
        <w:t xml:space="preserve">Continuous calibration:</w:t>
      </w:r>
      <w:r>
        <w:rPr>
          <w:rFonts w:ascii="Calibri" w:cs="Calibri" w:eastAsia="Calibri" w:hAnsi="Calibri"/>
          <w:color w:val="1A1F25"/>
          <w:sz w:val="21"/>
          <w:szCs w:val="21"/>
        </w:rPr>
        <w:t xml:space="preserve"> simulator models are revalidated against pilot telemetry, closing the loop between predicted and measured performance.</w:t>
      </w:r>
    </w:p>
    <w:p>
      <w:pPr>
        <w:pStyle w:val="Heading1"/>
        <w:pageBreakBefore/>
      </w:pPr>
      <w:r>
        <w:rPr>
          <w:rFonts w:ascii="Calibri" w:cs="Calibri" w:eastAsia="Calibri" w:hAnsi="Calibri"/>
          <w:color w:val="1F6F43"/>
          <w:sz w:val="30"/>
          <w:szCs w:val="30"/>
        </w:rPr>
        <w:t xml:space="preserve">15.  Procurement &amp; Supply Chain Plan</w:t>
      </w:r>
    </w:p>
    <w:p>
      <w:pPr>
        <w:keepNext w:val="false"/>
        <w:spacing w:after="140" w:before="0" w:line="276"/>
        <w:jc w:val="both"/>
      </w:pPr>
      <w:r>
        <w:rPr>
          <w:rFonts w:ascii="Calibri" w:cs="Calibri" w:eastAsia="Calibri" w:hAnsi="Calibri"/>
          <w:color w:val="1A1F25"/>
          <w:sz w:val="21"/>
          <w:szCs w:val="21"/>
        </w:rPr>
        <w:t xml:space="preserve">The procurement strategy follows directly from the capital-efficiency and schedule philosophies: buy proven, standard components wherever possible for v1; engineer bespoke parts only where differentiation or safety demands it; and avoid single points of failure on anything on the critical path.</w:t>
      </w:r>
    </w:p>
    <w:p>
      <w:pPr>
        <w:pStyle w:val="Heading2"/>
      </w:pPr>
      <w:r>
        <w:rPr>
          <w:rFonts w:ascii="Calibri" w:cs="Calibri" w:eastAsia="Calibri" w:hAnsi="Calibri"/>
          <w:color w:val="2B3440"/>
          <w:sz w:val="25"/>
          <w:szCs w:val="25"/>
        </w:rPr>
        <w:t xml:space="preserve">15.1  Make-vs-buy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Category</w:t>
            </w:r>
          </w:p>
        </w:tc>
        <w:tc>
          <w:tcPr>
            <w:tcW w:type="dxa" w:w="24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Posture</w:t>
            </w:r>
          </w:p>
        </w:tc>
        <w:tc>
          <w:tcPr>
            <w:tcW w:type="dxa" w:w="4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Rationale</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Tanks, pumps, heaters, plumbing</w:t>
            </w:r>
          </w:p>
        </w:tc>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Buy (off-the-shelf)</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Mature commodity components; no reason to engineer from scratch in v1.</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Sensors (gas, pH, temp, pressure)</w:t>
            </w:r>
          </w:p>
        </w:tc>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Buy (industrial-grade)</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Certified, hazardous-location-rated devices exist; safety-critical, so buy proven.</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Digestion module</w:t>
            </w:r>
          </w:p>
        </w:tc>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Buy/adapt then refine</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Consumer-digester reference designs exist; adapt to compress schedule, then differentiate.</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Biodiesel module enclosure</w:t>
            </w:r>
          </w:p>
        </w:tc>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Make (with bought sub-parts)</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 differentiation — sealed, ventilated, interlocked — is core IP.</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Control system / firmware</w:t>
            </w:r>
          </w:p>
        </w:tc>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Make</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The safety logic and telemetry are core IP and the basis of the safety case.</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 platform</w:t>
            </w:r>
          </w:p>
        </w:tc>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Make (on managed services)</w:t>
            </w:r>
          </w:p>
        </w:tc>
        <w:tc>
          <w:tcPr>
            <w:tcW w:type="dxa" w:w="4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Core product; built on standard managed back-end and hosting to save cost.</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Generator / genset</w:t>
            </w:r>
          </w:p>
        </w:tc>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Buy</w:t>
            </w:r>
          </w:p>
        </w:tc>
        <w:tc>
          <w:tcPr>
            <w:tcW w:type="dxa" w:w="4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Small gensets are a mature category; integrate rather than build.</w:t>
            </w:r>
          </w:p>
        </w:tc>
      </w:tr>
    </w:tbl>
    <w:p>
      <w:pPr>
        <w:spacing w:after="120"/>
      </w:pPr>
      <w:r>
        <w:t xml:space="preserve"/>
      </w:r>
    </w:p>
    <w:p>
      <w:pPr>
        <w:pStyle w:val="Heading2"/>
      </w:pPr>
      <w:r>
        <w:rPr>
          <w:rFonts w:ascii="Calibri" w:cs="Calibri" w:eastAsia="Calibri" w:hAnsi="Calibri"/>
          <w:color w:val="2B3440"/>
          <w:sz w:val="25"/>
          <w:szCs w:val="25"/>
        </w:rPr>
        <w:t xml:space="preserve">15.2  Key partners to engage early</w:t>
      </w:r>
    </w:p>
    <w:p>
      <w:pPr>
        <w:pStyle w:val="ListParagraph"/>
        <w:numPr>
          <w:ilvl w:val="0"/>
          <w:numId w:val="2"/>
        </w:numPr>
        <w:spacing w:after="70" w:line="268"/>
        <w:jc w:val="left"/>
      </w:pPr>
      <w:r>
        <w:rPr>
          <w:rFonts w:ascii="Calibri" w:cs="Calibri" w:eastAsia="Calibri" w:hAnsi="Calibri"/>
          <w:b/>
          <w:bCs/>
          <w:color w:val="1A1F25"/>
          <w:sz w:val="21"/>
          <w:szCs w:val="21"/>
        </w:rPr>
        <w:t xml:space="preserve">Consumer-digester manufacturer</w:t>
      </w:r>
      <w:r>
        <w:rPr>
          <w:rFonts w:ascii="Calibri" w:cs="Calibri" w:eastAsia="Calibri" w:hAnsi="Calibri"/>
          <w:color w:val="1A1F25"/>
          <w:sz w:val="21"/>
          <w:szCs w:val="21"/>
        </w:rPr>
        <w:t xml:space="preserve"> — for reference hardware and supply of the digestion subsystem.</w:t>
      </w:r>
    </w:p>
    <w:p>
      <w:pPr>
        <w:pStyle w:val="ListParagraph"/>
        <w:numPr>
          <w:ilvl w:val="0"/>
          <w:numId w:val="2"/>
        </w:numPr>
        <w:spacing w:after="70" w:line="268"/>
        <w:jc w:val="left"/>
      </w:pPr>
      <w:r>
        <w:rPr>
          <w:rFonts w:ascii="Calibri" w:cs="Calibri" w:eastAsia="Calibri" w:hAnsi="Calibri"/>
          <w:b/>
          <w:bCs/>
          <w:color w:val="1A1F25"/>
          <w:sz w:val="21"/>
          <w:szCs w:val="21"/>
        </w:rPr>
        <w:t xml:space="preserve">University and accredited analytical labs</w:t>
      </w:r>
      <w:r>
        <w:rPr>
          <w:rFonts w:ascii="Calibri" w:cs="Calibri" w:eastAsia="Calibri" w:hAnsi="Calibri"/>
          <w:color w:val="1A1F25"/>
          <w:sz w:val="21"/>
          <w:szCs w:val="21"/>
        </w:rPr>
        <w:t xml:space="preserve"> — for fuel verification and pilot support; the credibility backbone of the competition.</w:t>
      </w:r>
    </w:p>
    <w:p>
      <w:pPr>
        <w:pStyle w:val="ListParagraph"/>
        <w:numPr>
          <w:ilvl w:val="0"/>
          <w:numId w:val="2"/>
        </w:numPr>
        <w:spacing w:after="70" w:line="268"/>
        <w:jc w:val="left"/>
      </w:pPr>
      <w:r>
        <w:rPr>
          <w:rFonts w:ascii="Calibri" w:cs="Calibri" w:eastAsia="Calibri" w:hAnsi="Calibri"/>
          <w:b/>
          <w:bCs/>
          <w:color w:val="1A1F25"/>
          <w:sz w:val="21"/>
          <w:szCs w:val="21"/>
        </w:rPr>
        <w:t xml:space="preserve">Industrial sensor and control vendors</w:t>
      </w:r>
      <w:r>
        <w:rPr>
          <w:rFonts w:ascii="Calibri" w:cs="Calibri" w:eastAsia="Calibri" w:hAnsi="Calibri"/>
          <w:color w:val="1A1F25"/>
          <w:sz w:val="21"/>
          <w:szCs w:val="21"/>
        </w:rPr>
        <w:t xml:space="preserve"> — for certified, hazardous-location-rated instrumentation.</w:t>
      </w:r>
    </w:p>
    <w:p>
      <w:pPr>
        <w:pStyle w:val="ListParagraph"/>
        <w:numPr>
          <w:ilvl w:val="0"/>
          <w:numId w:val="2"/>
        </w:numPr>
        <w:spacing w:after="70" w:line="268"/>
        <w:jc w:val="left"/>
      </w:pPr>
      <w:r>
        <w:rPr>
          <w:rFonts w:ascii="Calibri" w:cs="Calibri" w:eastAsia="Calibri" w:hAnsi="Calibri"/>
          <w:b/>
          <w:bCs/>
          <w:color w:val="1A1F25"/>
          <w:sz w:val="21"/>
          <w:szCs w:val="21"/>
        </w:rPr>
        <w:t xml:space="preserve">Regulatory and fuel-law counsel</w:t>
      </w:r>
      <w:r>
        <w:rPr>
          <w:rFonts w:ascii="Calibri" w:cs="Calibri" w:eastAsia="Calibri" w:hAnsi="Calibri"/>
          <w:color w:val="1A1F25"/>
          <w:sz w:val="21"/>
          <w:szCs w:val="21"/>
        </w:rPr>
        <w:t xml:space="preserve"> — engaged as an ongoing partner, not a one-off.</w:t>
      </w:r>
    </w:p>
    <w:p>
      <w:pPr>
        <w:pStyle w:val="ListParagraph"/>
        <w:numPr>
          <w:ilvl w:val="0"/>
          <w:numId w:val="2"/>
        </w:numPr>
        <w:spacing w:after="70" w:line="268"/>
        <w:jc w:val="left"/>
      </w:pPr>
      <w:r>
        <w:rPr>
          <w:rFonts w:ascii="Calibri" w:cs="Calibri" w:eastAsia="Calibri" w:hAnsi="Calibri"/>
          <w:b/>
          <w:bCs/>
          <w:color w:val="1A1F25"/>
          <w:sz w:val="21"/>
          <w:szCs w:val="21"/>
        </w:rPr>
        <w:t xml:space="preserve">Local micro-refinery / waste-to-energy operators</w:t>
      </w:r>
      <w:r>
        <w:rPr>
          <w:rFonts w:ascii="Calibri" w:cs="Calibri" w:eastAsia="Calibri" w:hAnsi="Calibri"/>
          <w:color w:val="1A1F25"/>
          <w:sz w:val="21"/>
          <w:szCs w:val="21"/>
        </w:rPr>
        <w:t xml:space="preserve"> — for the future off-site model for high-hazard processing.</w:t>
      </w:r>
    </w:p>
    <w:p>
      <w:pPr>
        <w:pStyle w:val="ListParagraph"/>
        <w:numPr>
          <w:ilvl w:val="0"/>
          <w:numId w:val="2"/>
        </w:numPr>
        <w:spacing w:after="70" w:line="268"/>
        <w:jc w:val="left"/>
      </w:pPr>
      <w:r>
        <w:rPr>
          <w:rFonts w:ascii="Calibri" w:cs="Calibri" w:eastAsia="Calibri" w:hAnsi="Calibri"/>
          <w:b/>
          <w:bCs/>
          <w:color w:val="1A1F25"/>
          <w:sz w:val="21"/>
          <w:szCs w:val="21"/>
        </w:rPr>
        <w:t xml:space="preserve">Insurer</w:t>
      </w:r>
      <w:r>
        <w:rPr>
          <w:rFonts w:ascii="Calibri" w:cs="Calibri" w:eastAsia="Calibri" w:hAnsi="Calibri"/>
          <w:color w:val="1A1F25"/>
          <w:sz w:val="21"/>
          <w:szCs w:val="21"/>
        </w:rPr>
        <w:t xml:space="preserve"> — for product-liability and pilot coverage, engaged before the pilot.</w:t>
      </w:r>
    </w:p>
    <w:p>
      <w:pPr>
        <w:pStyle w:val="Heading2"/>
      </w:pPr>
      <w:r>
        <w:rPr>
          <w:rFonts w:ascii="Calibri" w:cs="Calibri" w:eastAsia="Calibri" w:hAnsi="Calibri"/>
          <w:color w:val="2B3440"/>
          <w:sz w:val="25"/>
          <w:szCs w:val="25"/>
        </w:rPr>
        <w:t xml:space="preserve">15.3  Supply-chain risk controls</w:t>
      </w:r>
    </w:p>
    <w:p>
      <w:pPr>
        <w:pStyle w:val="ListParagraph"/>
        <w:numPr>
          <w:ilvl w:val="0"/>
          <w:numId w:val="2"/>
        </w:numPr>
        <w:spacing w:after="70" w:line="268"/>
        <w:jc w:val="left"/>
      </w:pPr>
      <w:r>
        <w:rPr>
          <w:rFonts w:ascii="Calibri" w:cs="Calibri" w:eastAsia="Calibri" w:hAnsi="Calibri"/>
          <w:b/>
          <w:bCs/>
          <w:color w:val="1A1F25"/>
          <w:sz w:val="21"/>
          <w:szCs w:val="21"/>
        </w:rPr>
        <w:t xml:space="preserve">Dual-source</w:t>
      </w:r>
      <w:r>
        <w:rPr>
          <w:rFonts w:ascii="Calibri" w:cs="Calibri" w:eastAsia="Calibri" w:hAnsi="Calibri"/>
          <w:color w:val="1A1F25"/>
          <w:sz w:val="21"/>
          <w:szCs w:val="21"/>
        </w:rPr>
        <w:t xml:space="preserve"> critical and long-lead components.</w:t>
      </w:r>
    </w:p>
    <w:p>
      <w:pPr>
        <w:pStyle w:val="ListParagraph"/>
        <w:numPr>
          <w:ilvl w:val="0"/>
          <w:numId w:val="2"/>
        </w:numPr>
        <w:spacing w:after="70" w:line="268"/>
        <w:jc w:val="left"/>
      </w:pPr>
      <w:r>
        <w:rPr>
          <w:rFonts w:ascii="Calibri" w:cs="Calibri" w:eastAsia="Calibri" w:hAnsi="Calibri"/>
          <w:b/>
          <w:bCs/>
          <w:color w:val="1A1F25"/>
          <w:sz w:val="21"/>
          <w:szCs w:val="21"/>
        </w:rPr>
        <w:t xml:space="preserve">Local-to-demand assembly</w:t>
      </w:r>
      <w:r>
        <w:rPr>
          <w:rFonts w:ascii="Calibri" w:cs="Calibri" w:eastAsia="Calibri" w:hAnsi="Calibri"/>
          <w:color w:val="1A1F25"/>
          <w:sz w:val="21"/>
          <w:szCs w:val="21"/>
        </w:rPr>
        <w:t xml:space="preserve"> to reduce logistics exposure and single-site risk.</w:t>
      </w:r>
    </w:p>
    <w:p>
      <w:pPr>
        <w:pStyle w:val="ListParagraph"/>
        <w:numPr>
          <w:ilvl w:val="0"/>
          <w:numId w:val="2"/>
        </w:numPr>
        <w:spacing w:after="70" w:line="268"/>
        <w:jc w:val="left"/>
      </w:pPr>
      <w:r>
        <w:rPr>
          <w:rFonts w:ascii="Calibri" w:cs="Calibri" w:eastAsia="Calibri" w:hAnsi="Calibri"/>
          <w:b/>
          <w:bCs/>
          <w:color w:val="1A1F25"/>
          <w:sz w:val="21"/>
          <w:szCs w:val="21"/>
        </w:rPr>
        <w:t xml:space="preserve">Buffer stock</w:t>
      </w:r>
      <w:r>
        <w:rPr>
          <w:rFonts w:ascii="Calibri" w:cs="Calibri" w:eastAsia="Calibri" w:hAnsi="Calibri"/>
          <w:color w:val="1A1F25"/>
          <w:sz w:val="21"/>
          <w:szCs w:val="21"/>
        </w:rPr>
        <w:t xml:space="preserve"> of critical sensors and safety components given their role in the safety case.</w:t>
      </w:r>
    </w:p>
    <w:p>
      <w:pPr>
        <w:pStyle w:val="ListParagraph"/>
        <w:numPr>
          <w:ilvl w:val="0"/>
          <w:numId w:val="2"/>
        </w:numPr>
        <w:spacing w:after="70" w:line="268"/>
        <w:jc w:val="left"/>
      </w:pPr>
      <w:r>
        <w:rPr>
          <w:rFonts w:ascii="Calibri" w:cs="Calibri" w:eastAsia="Calibri" w:hAnsi="Calibri"/>
          <w:b/>
          <w:bCs/>
          <w:color w:val="1A1F25"/>
          <w:sz w:val="21"/>
          <w:szCs w:val="21"/>
        </w:rPr>
        <w:t xml:space="preserve">Qualify suppliers</w:t>
      </w:r>
      <w:r>
        <w:rPr>
          <w:rFonts w:ascii="Calibri" w:cs="Calibri" w:eastAsia="Calibri" w:hAnsi="Calibri"/>
          <w:color w:val="1A1F25"/>
          <w:sz w:val="21"/>
          <w:szCs w:val="21"/>
        </w:rPr>
        <w:t xml:space="preserve"> against the quality standards in Section 14 before committing volume.</w:t>
      </w:r>
    </w:p>
    <w:p>
      <w:pPr>
        <w:pStyle w:val="Heading1"/>
        <w:pageBreakBefore/>
      </w:pPr>
      <w:r>
        <w:rPr>
          <w:rFonts w:ascii="Calibri" w:cs="Calibri" w:eastAsia="Calibri" w:hAnsi="Calibri"/>
          <w:color w:val="1F6F43"/>
          <w:sz w:val="30"/>
          <w:szCs w:val="30"/>
        </w:rPr>
        <w:t xml:space="preserve">16.  Stakeholder &amp; Communications Plan</w:t>
      </w:r>
    </w:p>
    <w:p>
      <w:pPr>
        <w:keepNext w:val="false"/>
        <w:spacing w:after="140" w:before="0" w:line="276"/>
        <w:jc w:val="both"/>
      </w:pPr>
      <w:r>
        <w:rPr>
          <w:rFonts w:ascii="Calibri" w:cs="Calibri" w:eastAsia="Calibri" w:hAnsi="Calibri"/>
          <w:color w:val="1A1F25"/>
          <w:sz w:val="21"/>
          <w:szCs w:val="21"/>
        </w:rPr>
        <w:t xml:space="preserve">The program has an unusually broad stakeholder set for its size — from individual hobbyist users to federal regulators — and managing their differing interests is itself a workstream. The plan maps each stakeholder group to its interest, its influence, and the cadence and channel of communication.</w:t>
      </w:r>
    </w:p>
    <w:p>
      <w:pPr>
        <w:pStyle w:val="Heading2"/>
      </w:pPr>
      <w:r>
        <w:rPr>
          <w:rFonts w:ascii="Calibri" w:cs="Calibri" w:eastAsia="Calibri" w:hAnsi="Calibri"/>
          <w:color w:val="2B3440"/>
          <w:sz w:val="25"/>
          <w:szCs w:val="25"/>
        </w:rPr>
        <w:t xml:space="preserve">16.1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60"/>
        <w:gridCol w:w="1200"/>
        <w:gridCol w:w="3000"/>
      </w:tblGrid>
      <w:tr>
        <w:trPr>
          <w:tblHeader/>
        </w:trPr>
        <w:tc>
          <w:tcPr>
            <w:tcW w:type="dxa" w:w="23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Stakeholder</w:t>
            </w:r>
          </w:p>
        </w:tc>
        <w:tc>
          <w:tcPr>
            <w:tcW w:type="dxa" w:w="28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Interest</w:t>
            </w:r>
          </w:p>
        </w:tc>
        <w:tc>
          <w:tcPr>
            <w:tcW w:type="dxa" w:w="12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Influence</w:t>
            </w:r>
          </w:p>
        </w:tc>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Engagement</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Founders / team</w:t>
            </w:r>
          </w:p>
        </w:tc>
        <w:tc>
          <w:tcPr>
            <w:tcW w:type="dxa" w:w="28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Mission, equity, execution</w:t>
            </w:r>
          </w:p>
        </w:tc>
        <w:tc>
          <w:tcPr>
            <w:tcW w:type="dxa" w:w="1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Continuous; the operating rhythm.</w:t>
            </w:r>
          </w:p>
        </w:tc>
      </w:tr>
      <w:tr>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Investors / grant officers</w:t>
            </w:r>
          </w:p>
        </w:tc>
        <w:tc>
          <w:tcPr>
            <w:tcW w:type="dxa" w:w="28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Return, milestones, technical validity</w:t>
            </w:r>
          </w:p>
        </w:tc>
        <w:tc>
          <w:tcPr>
            <w:tcW w:type="dxa" w:w="1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Gate reviews, quarterly reports, diligence packs.</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Regulators (EPA, TTB, state)</w:t>
            </w:r>
          </w:p>
        </w:tc>
        <w:tc>
          <w:tcPr>
            <w:tcW w:type="dxa" w:w="28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Compliance, safety, lawful operation</w:t>
            </w:r>
          </w:p>
        </w:tc>
        <w:tc>
          <w:tcPr>
            <w:tcW w:type="dxa" w:w="1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Proactive filings and consultations; transparency.</w:t>
            </w:r>
          </w:p>
        </w:tc>
      </w:tr>
      <w:tr>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 certifier / insurer</w:t>
            </w:r>
          </w:p>
        </w:tc>
        <w:tc>
          <w:tcPr>
            <w:tcW w:type="dxa" w:w="28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Risk, conformance</w:t>
            </w:r>
          </w:p>
        </w:tc>
        <w:tc>
          <w:tcPr>
            <w:tcW w:type="dxa" w:w="1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Early and continuous as design inputs.</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 / contributors</w:t>
            </w:r>
          </w:p>
        </w:tc>
        <w:tc>
          <w:tcPr>
            <w:tcW w:type="dxa" w:w="28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Fairness, rewards, recognition, fun</w:t>
            </w:r>
          </w:p>
        </w:tc>
        <w:tc>
          <w:tcPr>
            <w:tcW w:type="dxa" w:w="1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Platform, transparent scoring, challenges, recognition.</w:t>
            </w:r>
          </w:p>
        </w:tc>
      </w:tr>
      <w:tr>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households</w:t>
            </w:r>
          </w:p>
        </w:tc>
        <w:tc>
          <w:tcPr>
            <w:tcW w:type="dxa" w:w="28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 savings, support</w:t>
            </w:r>
          </w:p>
        </w:tc>
        <w:tc>
          <w:tcPr>
            <w:tcW w:type="dxa" w:w="1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Direct support, clear consent, monitoring, responsiveness.</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Partner labs / universities</w:t>
            </w:r>
          </w:p>
        </w:tc>
        <w:tc>
          <w:tcPr>
            <w:tcW w:type="dxa" w:w="28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Rigor, collaboration, credit</w:t>
            </w:r>
          </w:p>
        </w:tc>
        <w:tc>
          <w:tcPr>
            <w:tcW w:type="dxa" w:w="1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Formal agreements; shared results.</w:t>
            </w:r>
          </w:p>
        </w:tc>
      </w:tr>
      <w:tr>
        <w:tc>
          <w:tcPr>
            <w:tcW w:type="dxa" w:w="23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Local community / authorities</w:t>
            </w:r>
          </w:p>
        </w:tc>
        <w:tc>
          <w:tcPr>
            <w:tcW w:type="dxa" w:w="28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Jobs, safety, nuisance</w:t>
            </w:r>
          </w:p>
        </w:tc>
        <w:tc>
          <w:tcPr>
            <w:tcW w:type="dxa" w:w="1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Local hiring, fire-authority engagement, good-neighbor posture.</w:t>
            </w:r>
          </w:p>
        </w:tc>
      </w:tr>
      <w:tr>
        <w:tc>
          <w:tcPr>
            <w:tcW w:type="dxa" w:w="23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Press / influencers</w:t>
            </w:r>
          </w:p>
        </w:tc>
        <w:tc>
          <w:tcPr>
            <w:tcW w:type="dxa" w:w="28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Story, novelty, credibility</w:t>
            </w:r>
          </w:p>
        </w:tc>
        <w:tc>
          <w:tcPr>
            <w:tcW w:type="dxa" w:w="1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Low–Med</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Build videos, demos, honest framing — never preachy.</w:t>
            </w:r>
          </w:p>
        </w:tc>
      </w:tr>
    </w:tbl>
    <w:p>
      <w:pPr>
        <w:spacing w:after="120"/>
      </w:pPr>
      <w:r>
        <w:t xml:space="preserve"/>
      </w:r>
    </w:p>
    <w:p>
      <w:pPr>
        <w:pStyle w:val="Heading2"/>
      </w:pPr>
      <w:r>
        <w:rPr>
          <w:rFonts w:ascii="Calibri" w:cs="Calibri" w:eastAsia="Calibri" w:hAnsi="Calibri"/>
          <w:color w:val="2B3440"/>
          <w:sz w:val="25"/>
          <w:szCs w:val="25"/>
        </w:rPr>
        <w:t xml:space="preserve">16.2  Communication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Audience</w:t>
            </w:r>
          </w:p>
        </w:tc>
        <w:tc>
          <w:tcPr>
            <w:tcW w:type="dxa" w:w="4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Channel</w:t>
            </w:r>
          </w:p>
        </w:tc>
        <w:tc>
          <w:tcPr>
            <w:tcW w:type="dxa" w:w="29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Cadence</w:t>
            </w:r>
          </w:p>
        </w:tc>
      </w:tr>
      <w:tr>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Team</w:t>
            </w:r>
          </w:p>
        </w:tc>
        <w:tc>
          <w:tcPr>
            <w:tcW w:type="dxa" w:w="4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Standups, weekly leads sync, planning tool</w:t>
            </w:r>
          </w:p>
        </w:tc>
        <w:tc>
          <w:tcPr>
            <w:tcW w:type="dxa" w:w="29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Daily / weekly</w:t>
            </w:r>
          </w:p>
        </w:tc>
      </w:tr>
      <w:tr>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Steering group</w:t>
            </w:r>
          </w:p>
        </w:tc>
        <w:tc>
          <w:tcPr>
            <w:tcW w:type="dxa" w:w="4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Gate reviews + quarterly board update</w:t>
            </w:r>
          </w:p>
        </w:tc>
        <w:tc>
          <w:tcPr>
            <w:tcW w:type="dxa" w:w="29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At gates + quarterly</w:t>
            </w:r>
          </w:p>
        </w:tc>
      </w:tr>
      <w:tr>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Investors / grants</w:t>
            </w:r>
          </w:p>
        </w:tc>
        <w:tc>
          <w:tcPr>
            <w:tcW w:type="dxa" w:w="4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Written update + metrics dashboard</w:t>
            </w:r>
          </w:p>
        </w:tc>
        <w:tc>
          <w:tcPr>
            <w:tcW w:type="dxa" w:w="29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Monthly / quarterly</w:t>
            </w:r>
          </w:p>
        </w:tc>
      </w:tr>
      <w:tr>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w:t>
            </w:r>
          </w:p>
        </w:tc>
        <w:tc>
          <w:tcPr>
            <w:tcW w:type="dxa" w:w="4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Platform, social, challenge announcements</w:t>
            </w:r>
          </w:p>
        </w:tc>
        <w:tc>
          <w:tcPr>
            <w:tcW w:type="dxa" w:w="29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Continuous</w:t>
            </w:r>
          </w:p>
        </w:tc>
      </w:tr>
      <w:tr>
        <w:tc>
          <w:tcPr>
            <w:tcW w:type="dxa" w:w="24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Regulators / certifier</w:t>
            </w:r>
          </w:p>
        </w:tc>
        <w:tc>
          <w:tcPr>
            <w:tcW w:type="dxa" w:w="4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Filings, consultations, audits</w:t>
            </w:r>
          </w:p>
        </w:tc>
        <w:tc>
          <w:tcPr>
            <w:tcW w:type="dxa" w:w="29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As required + proactive</w:t>
            </w:r>
          </w:p>
        </w:tc>
      </w:tr>
      <w:tr>
        <w:tc>
          <w:tcPr>
            <w:tcW w:type="dxa" w:w="24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Pilot households</w:t>
            </w:r>
          </w:p>
        </w:tc>
        <w:tc>
          <w:tcPr>
            <w:tcW w:type="dxa" w:w="4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Support channel + check-ins</w:t>
            </w:r>
          </w:p>
        </w:tc>
        <w:tc>
          <w:tcPr>
            <w:tcW w:type="dxa" w:w="29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Continuous during pilot</w:t>
            </w:r>
          </w:p>
        </w:tc>
      </w:tr>
    </w:tbl>
    <w:p>
      <w:pPr>
        <w:spacing w:after="120"/>
      </w:pPr>
      <w:r>
        <w:t xml:space="preserve"/>
      </w:r>
    </w:p>
    <w:p>
      <w:pPr>
        <w:pStyle w:val="Heading1"/>
        <w:pageBreakBefore/>
      </w:pPr>
      <w:r>
        <w:rPr>
          <w:rFonts w:ascii="Calibri" w:cs="Calibri" w:eastAsia="Calibri" w:hAnsi="Calibri"/>
          <w:color w:val="1F6F43"/>
          <w:sz w:val="30"/>
          <w:szCs w:val="30"/>
        </w:rPr>
        <w:t xml:space="preserve">17.  Go-to-Market &amp; Pilot Operations</w:t>
      </w:r>
    </w:p>
    <w:p>
      <w:pPr>
        <w:keepNext w:val="false"/>
        <w:spacing w:after="140" w:before="0" w:line="276"/>
        <w:jc w:val="both"/>
      </w:pPr>
      <w:r>
        <w:rPr>
          <w:rFonts w:ascii="Calibri" w:cs="Calibri" w:eastAsia="Calibri" w:hAnsi="Calibri"/>
          <w:color w:val="1A1F25"/>
          <w:sz w:val="21"/>
          <w:szCs w:val="21"/>
        </w:rPr>
        <w:t xml:space="preserve">Go-to-market begins long before the appliance ships, through the software beachhead and the community, and culminates in the supervised pilot that doubles as both validation and the first real market test. The strategy targets a specific early adopter, grows through owned community and authentic content rather than paid acquisition, and uses Arkansas as the first proving ground.</w:t>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Positioning follows the feasibility verdict</w:t>
            </w:r>
          </w:p>
          <w:p>
            <w:pPr>
              <w:spacing w:after="0" w:line="264"/>
              <w:jc w:val="left"/>
            </w:pPr>
            <w:r>
              <w:rPr>
                <w:rFonts w:ascii="Calibri" w:cs="Calibri" w:eastAsia="Calibri" w:hAnsi="Calibri"/>
                <w:color w:val="1A1F25"/>
                <w:sz w:val="19"/>
                <w:szCs w:val="19"/>
              </w:rPr>
              <w:t xml:space="preserve">Because the standalone “make all your own fuel” claim does not survive the techno-economic analysis, the go-to-market message leads with what the evidence supports: turning waste into value (disposal savings, fertilizer, fuel, and resilience) and improving at it within a community, with aggregation and credit capture doing the economic work. Early-customer selection and the pilot are oriented toward contexts where feedstock is genuinely abundant and waste-disposal and credit value can be captured — rural and smallholding settings and small fleets — rather than toward a promise of household fuel autarky.</w:t>
            </w:r>
          </w:p>
        </w:tc>
      </w:tr>
    </w:tbl>
    <w:p>
      <w:pPr>
        <w:pStyle w:val="Heading2"/>
      </w:pPr>
      <w:r>
        <w:rPr>
          <w:rFonts w:ascii="Calibri" w:cs="Calibri" w:eastAsia="Calibri" w:hAnsi="Calibri"/>
          <w:color w:val="2B3440"/>
          <w:sz w:val="25"/>
          <w:szCs w:val="25"/>
        </w:rPr>
        <w:t xml:space="preserve">17.1  Target customer</w:t>
      </w:r>
    </w:p>
    <w:p>
      <w:pPr>
        <w:pStyle w:val="ListParagraph"/>
        <w:numPr>
          <w:ilvl w:val="0"/>
          <w:numId w:val="2"/>
        </w:numPr>
        <w:spacing w:after="70" w:line="268"/>
        <w:jc w:val="left"/>
      </w:pPr>
      <w:r>
        <w:rPr>
          <w:rFonts w:ascii="Calibri" w:cs="Calibri" w:eastAsia="Calibri" w:hAnsi="Calibri"/>
          <w:b/>
          <w:bCs/>
          <w:color w:val="1A1F25"/>
          <w:sz w:val="21"/>
          <w:szCs w:val="21"/>
        </w:rPr>
        <w:t xml:space="preserve">Primary:</w:t>
      </w:r>
      <w:r>
        <w:rPr>
          <w:rFonts w:ascii="Calibri" w:cs="Calibri" w:eastAsia="Calibri" w:hAnsi="Calibri"/>
          <w:color w:val="1A1F25"/>
          <w:sz w:val="21"/>
          <w:szCs w:val="21"/>
        </w:rPr>
        <w:t xml:space="preserve"> 20–45-year-old eco-maximalists and serious do-it-yourselfers who already tinker with cars, solar, homesteading, or crypto, and who are drawn to capability and savings rather than guilt.</w:t>
      </w:r>
    </w:p>
    <w:p>
      <w:pPr>
        <w:pStyle w:val="ListParagraph"/>
        <w:numPr>
          <w:ilvl w:val="0"/>
          <w:numId w:val="2"/>
        </w:numPr>
        <w:spacing w:after="70" w:line="268"/>
        <w:jc w:val="left"/>
      </w:pPr>
      <w:r>
        <w:rPr>
          <w:rFonts w:ascii="Calibri" w:cs="Calibri" w:eastAsia="Calibri" w:hAnsi="Calibri"/>
          <w:b/>
          <w:bCs/>
          <w:color w:val="1A1F25"/>
          <w:sz w:val="21"/>
          <w:szCs w:val="21"/>
        </w:rPr>
        <w:t xml:space="preserve">Secondary:</w:t>
      </w:r>
      <w:r>
        <w:rPr>
          <w:rFonts w:ascii="Calibri" w:cs="Calibri" w:eastAsia="Calibri" w:hAnsi="Calibri"/>
          <w:color w:val="1A1F25"/>
          <w:sz w:val="21"/>
          <w:szCs w:val="21"/>
        </w:rPr>
        <w:t xml:space="preserve"> practical rural and smallholding families with abundant feedstock (food, yard, and animal waste) seeking lower disposal cost, fertilizer, and energy resilience — the segment where the unit economics are most favorable.</w:t>
      </w:r>
    </w:p>
    <w:p>
      <w:pPr>
        <w:pStyle w:val="ListParagraph"/>
        <w:numPr>
          <w:ilvl w:val="0"/>
          <w:numId w:val="2"/>
        </w:numPr>
        <w:spacing w:after="70" w:line="268"/>
        <w:jc w:val="left"/>
      </w:pPr>
      <w:r>
        <w:rPr>
          <w:rFonts w:ascii="Calibri" w:cs="Calibri" w:eastAsia="Calibri" w:hAnsi="Calibri"/>
          <w:b/>
          <w:bCs/>
          <w:color w:val="1A1F25"/>
          <w:sz w:val="21"/>
          <w:szCs w:val="21"/>
        </w:rPr>
        <w:t xml:space="preserve">Tertiary:</w:t>
      </w:r>
      <w:r>
        <w:rPr>
          <w:rFonts w:ascii="Calibri" w:cs="Calibri" w:eastAsia="Calibri" w:hAnsi="Calibri"/>
          <w:color w:val="1A1F25"/>
          <w:sz w:val="21"/>
          <w:szCs w:val="21"/>
        </w:rPr>
        <w:t xml:space="preserve"> small fleets — delivery, municipal, utility — that value local fuel production, waste valorization, and quick module swaps, and that can aggregate volume to capture scale and credits.</w:t>
      </w:r>
    </w:p>
    <w:p>
      <w:pPr>
        <w:pStyle w:val="Heading2"/>
      </w:pPr>
      <w:r>
        <w:rPr>
          <w:rFonts w:ascii="Calibri" w:cs="Calibri" w:eastAsia="Calibri" w:hAnsi="Calibri"/>
          <w:color w:val="2B3440"/>
          <w:sz w:val="25"/>
          <w:szCs w:val="25"/>
        </w:rPr>
        <w:t xml:space="preserve">17.2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Channel</w:t>
            </w:r>
          </w:p>
        </w:tc>
        <w:tc>
          <w:tcPr>
            <w:tcW w:type="dxa" w:w="48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Role</w:t>
            </w:r>
          </w:p>
        </w:tc>
        <w:tc>
          <w:tcPr>
            <w:tcW w:type="dxa" w:w="2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 emphasis</w:t>
            </w:r>
          </w:p>
        </w:tc>
      </w:tr>
      <w:tr>
        <w:tc>
          <w:tcPr>
            <w:tcW w:type="dxa" w:w="2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Owned community + platform</w:t>
            </w:r>
          </w:p>
        </w:tc>
        <w:tc>
          <w:tcPr>
            <w:tcW w:type="dxa" w:w="48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Primary growth engine; leaderboards and challenges drive organic sharing.</w:t>
            </w:r>
          </w:p>
        </w:tc>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All phases</w:t>
            </w:r>
          </w:p>
        </w:tc>
      </w:tr>
      <w:tr>
        <w:tc>
          <w:tcPr>
            <w:tcW w:type="dxa" w:w="2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Creator / influencer</w:t>
            </w:r>
          </w:p>
        </w:tc>
        <w:tc>
          <w:tcPr>
            <w:tcW w:type="dxa" w:w="48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Backyard-biofuel, homesteading, and tech creators produce build and challenge content.</w:t>
            </w:r>
          </w:p>
        </w:tc>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2–3</w:t>
            </w:r>
          </w:p>
        </w:tc>
      </w:tr>
      <w:tr>
        <w:tc>
          <w:tcPr>
            <w:tcW w:type="dxa" w:w="25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Events &amp; demos</w:t>
            </w:r>
          </w:p>
        </w:tc>
        <w:tc>
          <w:tcPr>
            <w:tcW w:type="dxa" w:w="48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Arkansas-first “test track” style demos; maker fairs and energy expos.</w:t>
            </w:r>
          </w:p>
        </w:tc>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2–3</w:t>
            </w:r>
          </w:p>
        </w:tc>
      </w:tr>
      <w:tr>
        <w:tc>
          <w:tcPr>
            <w:tcW w:type="dxa" w:w="25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Partnerships</w:t>
            </w:r>
          </w:p>
        </w:tc>
        <w:tc>
          <w:tcPr>
            <w:tcW w:type="dxa" w:w="48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Feedstock collection (co-ops/ag), insurers, charger/adapter integrations.</w:t>
            </w:r>
          </w:p>
        </w:tc>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Phase 2–3</w:t>
            </w:r>
          </w:p>
        </w:tc>
      </w:tr>
    </w:tbl>
    <w:p>
      <w:pPr>
        <w:spacing w:after="120"/>
      </w:pPr>
      <w:r>
        <w:t xml:space="preserve"/>
      </w:r>
    </w:p>
    <w:p>
      <w:pPr>
        <w:pStyle w:val="Heading2"/>
      </w:pPr>
      <w:r>
        <w:rPr>
          <w:rFonts w:ascii="Calibri" w:cs="Calibri" w:eastAsia="Calibri" w:hAnsi="Calibri"/>
          <w:color w:val="2B3440"/>
          <w:sz w:val="25"/>
          <w:szCs w:val="25"/>
        </w:rPr>
        <w:t xml:space="preserve">17.3  Brand and messaging</w:t>
      </w:r>
    </w:p>
    <w:p>
      <w:pPr>
        <w:keepNext w:val="false"/>
        <w:spacing w:after="140" w:before="0" w:line="276"/>
        <w:jc w:val="both"/>
      </w:pPr>
      <w:r>
        <w:rPr>
          <w:rFonts w:ascii="Calibri" w:cs="Calibri" w:eastAsia="Calibri" w:hAnsi="Calibri"/>
          <w:color w:val="1A1F25"/>
          <w:sz w:val="21"/>
          <w:szCs w:val="21"/>
        </w:rPr>
        <w:t xml:space="preserve">The brand voice is optimistic, human, and empowering, expressed through the Frutiger-Aero visual language — glossy, nature-connected, friendly, premium but approachable. The core message is ownership: your waste, your fuel, your choice, your future. The program commits to never being preachy or guilt-based; the appeal is ingenuity, savings, and fun. This positioning is also strategic — a friendly, accessible aesthetic broadens the audience across political lines as “maximalist efficiency using what the planet already gives us,” rather than reading as either cold tech or militant green.</w:t>
      </w:r>
    </w:p>
    <w:p>
      <w:pPr>
        <w:pStyle w:val="Heading2"/>
      </w:pPr>
      <w:r>
        <w:rPr>
          <w:rFonts w:ascii="Calibri" w:cs="Calibri" w:eastAsia="Calibri" w:hAnsi="Calibri"/>
          <w:color w:val="2B3440"/>
          <w:sz w:val="25"/>
          <w:szCs w:val="25"/>
        </w:rPr>
        <w:t xml:space="preserve">17.4  Pilot operations</w:t>
      </w:r>
    </w:p>
    <w:p>
      <w:pPr>
        <w:keepNext w:val="false"/>
        <w:spacing w:after="140" w:before="0" w:line="276"/>
        <w:jc w:val="both"/>
      </w:pPr>
      <w:r>
        <w:rPr>
          <w:rFonts w:ascii="Calibri" w:cs="Calibri" w:eastAsia="Calibri" w:hAnsi="Calibri"/>
          <w:color w:val="1A1F25"/>
          <w:sz w:val="21"/>
          <w:szCs w:val="21"/>
        </w:rPr>
        <w:t xml:space="preserve">The pilot is the hinge of the whole program — the point where the appliance meets real households and where the program earns or loses the right to produce. It is run with the seriousness of a clinical study.</w:t>
      </w:r>
    </w:p>
    <w:p>
      <w:pPr>
        <w:pStyle w:val="ListParagraph"/>
        <w:numPr>
          <w:ilvl w:val="0"/>
          <w:numId w:val="3"/>
        </w:numPr>
        <w:spacing w:after="70" w:line="268"/>
        <w:jc w:val="left"/>
      </w:pPr>
      <w:r>
        <w:rPr>
          <w:rFonts w:ascii="Calibri" w:cs="Calibri" w:eastAsia="Calibri" w:hAnsi="Calibri"/>
          <w:b/>
          <w:bCs/>
          <w:color w:val="1A1F25"/>
          <w:sz w:val="21"/>
          <w:szCs w:val="21"/>
        </w:rPr>
        <w:t xml:space="preserve">Site selection:</w:t>
      </w:r>
      <w:r>
        <w:rPr>
          <w:rFonts w:ascii="Calibri" w:cs="Calibri" w:eastAsia="Calibri" w:hAnsi="Calibri"/>
          <w:color w:val="1A1F25"/>
          <w:sz w:val="21"/>
          <w:szCs w:val="21"/>
        </w:rPr>
        <w:t xml:space="preserve"> 10–50 Arkansas households screened for suitability (garage/ventilation, feedstock availability, willingness to be monitored).</w:t>
      </w:r>
    </w:p>
    <w:p>
      <w:pPr>
        <w:pStyle w:val="ListParagraph"/>
        <w:numPr>
          <w:ilvl w:val="0"/>
          <w:numId w:val="3"/>
        </w:numPr>
        <w:spacing w:after="70" w:line="268"/>
        <w:jc w:val="left"/>
      </w:pPr>
      <w:r>
        <w:rPr>
          <w:rFonts w:ascii="Calibri" w:cs="Calibri" w:eastAsia="Calibri" w:hAnsi="Calibri"/>
          <w:b/>
          <w:bCs/>
          <w:color w:val="1A1F25"/>
          <w:sz w:val="21"/>
          <w:szCs w:val="21"/>
        </w:rPr>
        <w:t xml:space="preserve">Instrumentation:</w:t>
      </w:r>
      <w:r>
        <w:rPr>
          <w:rFonts w:ascii="Calibri" w:cs="Calibri" w:eastAsia="Calibri" w:hAnsi="Calibri"/>
          <w:color w:val="1A1F25"/>
          <w:sz w:val="21"/>
          <w:szCs w:val="21"/>
        </w:rPr>
        <w:t xml:space="preserve"> every unit fully sensorized with telemetry to the Hub; baseline conditions recorded.</w:t>
      </w:r>
    </w:p>
    <w:p>
      <w:pPr>
        <w:pStyle w:val="ListParagraph"/>
        <w:numPr>
          <w:ilvl w:val="0"/>
          <w:numId w:val="3"/>
        </w:numPr>
        <w:spacing w:after="70" w:line="268"/>
        <w:jc w:val="left"/>
      </w:pPr>
      <w:r>
        <w:rPr>
          <w:rFonts w:ascii="Calibri" w:cs="Calibri" w:eastAsia="Calibri" w:hAnsi="Calibri"/>
          <w:b/>
          <w:bCs/>
          <w:color w:val="1A1F25"/>
          <w:sz w:val="21"/>
          <w:szCs w:val="21"/>
        </w:rPr>
        <w:t xml:space="preserve">Safety review:</w:t>
      </w:r>
      <w:r>
        <w:rPr>
          <w:rFonts w:ascii="Calibri" w:cs="Calibri" w:eastAsia="Calibri" w:hAnsi="Calibri"/>
          <w:color w:val="1A1F25"/>
          <w:sz w:val="21"/>
          <w:szCs w:val="21"/>
        </w:rPr>
        <w:t xml:space="preserve"> safety review board sign-off before any unit is energized in a home; fire-authority and insurer engaged.</w:t>
      </w:r>
    </w:p>
    <w:p>
      <w:pPr>
        <w:pStyle w:val="ListParagraph"/>
        <w:numPr>
          <w:ilvl w:val="0"/>
          <w:numId w:val="3"/>
        </w:numPr>
        <w:spacing w:after="70" w:line="268"/>
        <w:jc w:val="left"/>
      </w:pPr>
      <w:r>
        <w:rPr>
          <w:rFonts w:ascii="Calibri" w:cs="Calibri" w:eastAsia="Calibri" w:hAnsi="Calibri"/>
          <w:b/>
          <w:bCs/>
          <w:color w:val="1A1F25"/>
          <w:sz w:val="21"/>
          <w:szCs w:val="21"/>
        </w:rPr>
        <w:t xml:space="preserve">Lab verification:</w:t>
      </w:r>
      <w:r>
        <w:rPr>
          <w:rFonts w:ascii="Calibri" w:cs="Calibri" w:eastAsia="Calibri" w:hAnsi="Calibri"/>
          <w:color w:val="1A1F25"/>
          <w:sz w:val="21"/>
          <w:szCs w:val="21"/>
        </w:rPr>
        <w:t xml:space="preserve"> fuel samples analysed by the partner lab on a defined schedule.</w:t>
      </w:r>
    </w:p>
    <w:p>
      <w:pPr>
        <w:pStyle w:val="ListParagraph"/>
        <w:numPr>
          <w:ilvl w:val="0"/>
          <w:numId w:val="3"/>
        </w:numPr>
        <w:spacing w:after="70" w:line="268"/>
        <w:jc w:val="left"/>
      </w:pPr>
      <w:r>
        <w:rPr>
          <w:rFonts w:ascii="Calibri" w:cs="Calibri" w:eastAsia="Calibri" w:hAnsi="Calibri"/>
          <w:b/>
          <w:bCs/>
          <w:color w:val="1A1F25"/>
          <w:sz w:val="21"/>
          <w:szCs w:val="21"/>
        </w:rPr>
        <w:t xml:space="preserve">Incident monitoring:</w:t>
      </w:r>
      <w:r>
        <w:rPr>
          <w:rFonts w:ascii="Calibri" w:cs="Calibri" w:eastAsia="Calibri" w:hAnsi="Calibri"/>
          <w:color w:val="1A1F25"/>
          <w:sz w:val="21"/>
          <w:szCs w:val="21"/>
        </w:rPr>
        <w:t xml:space="preserve"> a defined protocol for any anomaly; zero serious incidents is an explicit gate criterion.</w:t>
      </w:r>
    </w:p>
    <w:p>
      <w:pPr>
        <w:pStyle w:val="ListParagraph"/>
        <w:numPr>
          <w:ilvl w:val="0"/>
          <w:numId w:val="3"/>
        </w:numPr>
        <w:spacing w:after="70" w:line="268"/>
        <w:jc w:val="left"/>
      </w:pPr>
      <w:r>
        <w:rPr>
          <w:rFonts w:ascii="Calibri" w:cs="Calibri" w:eastAsia="Calibri" w:hAnsi="Calibri"/>
          <w:b/>
          <w:bCs/>
          <w:color w:val="1A1F25"/>
          <w:sz w:val="21"/>
          <w:szCs w:val="21"/>
        </w:rPr>
        <w:t xml:space="preserve">Data collection:</w:t>
      </w:r>
      <w:r>
        <w:rPr>
          <w:rFonts w:ascii="Calibri" w:cs="Calibri" w:eastAsia="Calibri" w:hAnsi="Calibri"/>
          <w:color w:val="1A1F25"/>
          <w:sz w:val="21"/>
          <w:szCs w:val="21"/>
        </w:rPr>
        <w:t xml:space="preserve"> performance, reliability, usability, and recipe data feed both certification evidence and simulator recalibration.</w:t>
      </w:r>
    </w:p>
    <w:p>
      <w:pPr>
        <w:spacing w:after="60"/>
      </w:pPr>
      <w:r>
        <w:t xml:space="preserve"/>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The pilot is a gate, not a launch</w:t>
            </w:r>
          </w:p>
          <w:p>
            <w:pPr>
              <w:spacing w:after="0" w:line="264"/>
              <w:jc w:val="left"/>
            </w:pPr>
            <w:r>
              <w:rPr>
                <w:rFonts w:ascii="Calibri" w:cs="Calibri" w:eastAsia="Calibri" w:hAnsi="Calibri"/>
                <w:color w:val="1A1F25"/>
                <w:sz w:val="19"/>
                <w:szCs w:val="19"/>
              </w:rPr>
              <w:t xml:space="preserve">The pilot exists to learn and to prove safety and value under real conditions, not to generate revenue. Its success criteria — real units, real homes, lab-verified outputs, and zero serious safety incidents — are the entry evidence for gate G4 and the decision to produce.</w:t>
            </w:r>
          </w:p>
        </w:tc>
      </w:tr>
    </w:tbl>
    <w:p>
      <w:pPr>
        <w:pStyle w:val="Heading1"/>
        <w:pageBreakBefore/>
      </w:pPr>
      <w:r>
        <w:rPr>
          <w:rFonts w:ascii="Calibri" w:cs="Calibri" w:eastAsia="Calibri" w:hAnsi="Calibri"/>
          <w:color w:val="1F6F43"/>
          <w:sz w:val="30"/>
          <w:szCs w:val="30"/>
        </w:rPr>
        <w:t xml:space="preserve">18.  Monitoring, KPIs &amp; Earned Value</w:t>
      </w:r>
    </w:p>
    <w:p>
      <w:pPr>
        <w:keepNext w:val="false"/>
        <w:spacing w:after="140" w:before="0" w:line="276"/>
        <w:jc w:val="both"/>
      </w:pPr>
      <w:r>
        <w:rPr>
          <w:rFonts w:ascii="Calibri" w:cs="Calibri" w:eastAsia="Calibri" w:hAnsi="Calibri"/>
          <w:color w:val="1A1F25"/>
          <w:sz w:val="21"/>
          <w:szCs w:val="21"/>
        </w:rPr>
        <w:t xml:space="preserve">The program is steered by a small set of indicators reported monthly, spanning schedule, cost, technical progress, safety, and community. The discipline is to track leading indicators that surface problems early, not just lagging outcomes.</w:t>
      </w:r>
    </w:p>
    <w:p>
      <w:pPr>
        <w:pStyle w:val="Heading2"/>
      </w:pPr>
      <w:r>
        <w:rPr>
          <w:rFonts w:ascii="Calibri" w:cs="Calibri" w:eastAsia="Calibri" w:hAnsi="Calibri"/>
          <w:color w:val="2B3440"/>
          <w:sz w:val="25"/>
          <w:szCs w:val="25"/>
        </w:rPr>
        <w:t xml:space="preserve">18.1  Earned-value metrics</w:t>
      </w:r>
    </w:p>
    <w:p>
      <w:pPr>
        <w:keepNext w:val="false"/>
        <w:spacing w:after="140" w:before="0" w:line="276"/>
        <w:jc w:val="both"/>
      </w:pPr>
      <w:r>
        <w:rPr>
          <w:rFonts w:ascii="Calibri" w:cs="Calibri" w:eastAsia="Calibri" w:hAnsi="Calibri"/>
          <w:color w:val="1A1F25"/>
          <w:sz w:val="21"/>
          <w:szCs w:val="21"/>
        </w:rPr>
        <w:t xml:space="preserve">Cost and schedule performance are tracked using earned-value management so that variances are visible early and quantitatively, rather than discovered at a gate. Three indices are reported each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Metric</w:t>
            </w:r>
          </w:p>
        </w:tc>
        <w:tc>
          <w:tcPr>
            <w:tcW w:type="dxa" w:w="41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What it tells us</w:t>
            </w:r>
          </w:p>
        </w:tc>
        <w:tc>
          <w:tcPr>
            <w:tcW w:type="dxa" w:w="2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Healthy range</w:t>
            </w:r>
          </w:p>
        </w:tc>
      </w:tr>
      <w:tr>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Schedule Performance Index (SPI)</w:t>
            </w:r>
          </w:p>
        </w:tc>
        <w:tc>
          <w:tcPr>
            <w:tcW w:type="dxa" w:w="4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Work accomplished vs. planned.</w:t>
            </w:r>
          </w:p>
        </w:tc>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0.95</w:t>
            </w:r>
          </w:p>
        </w:tc>
      </w:tr>
      <w:tr>
        <w:tc>
          <w:tcPr>
            <w:tcW w:type="dxa" w:w="32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Cost Performance Index (CPI)</w:t>
            </w:r>
          </w:p>
        </w:tc>
        <w:tc>
          <w:tcPr>
            <w:tcW w:type="dxa" w:w="41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Value earned vs. cost spent.</w:t>
            </w:r>
          </w:p>
        </w:tc>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 0.95</w:t>
            </w:r>
          </w:p>
        </w:tc>
      </w:tr>
      <w:tr>
        <w:tc>
          <w:tcPr>
            <w:tcW w:type="dxa" w:w="32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Estimate at Completion (EAC)</w:t>
            </w:r>
          </w:p>
        </w:tc>
        <w:tc>
          <w:tcPr>
            <w:tcW w:type="dxa" w:w="4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Projected total cost given performance to date.</w:t>
            </w:r>
          </w:p>
        </w:tc>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Within approved range</w:t>
            </w:r>
          </w:p>
        </w:tc>
      </w:tr>
    </w:tbl>
    <w:p>
      <w:pPr>
        <w:spacing w:after="120"/>
      </w:pPr>
      <w:r>
        <w:t xml:space="preserve"/>
      </w:r>
    </w:p>
    <w:p>
      <w:pPr>
        <w:pStyle w:val="Heading2"/>
      </w:pPr>
      <w:r>
        <w:rPr>
          <w:rFonts w:ascii="Calibri" w:cs="Calibri" w:eastAsia="Calibri" w:hAnsi="Calibri"/>
          <w:color w:val="2B3440"/>
          <w:sz w:val="25"/>
          <w:szCs w:val="25"/>
        </w:rPr>
        <w:t xml:space="preserve">18.2  Program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Domain</w:t>
            </w:r>
          </w:p>
        </w:tc>
        <w:tc>
          <w:tcPr>
            <w:tcW w:type="dxa" w:w="37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KPI</w:t>
            </w:r>
          </w:p>
        </w:tc>
        <w:tc>
          <w:tcPr>
            <w:tcW w:type="dxa" w:w="3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Why it matters</w:t>
            </w:r>
          </w:p>
        </w:tc>
      </w:tr>
      <w:tr>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Schedule</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Milestones hit on time; critical-path float</w:t>
            </w:r>
          </w:p>
        </w:tc>
        <w:tc>
          <w:tcPr>
            <w:tcW w:type="dxa" w:w="3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Early warning of slip on the constraining chain.</w:t>
            </w:r>
          </w:p>
        </w:tc>
      </w:tr>
      <w:tr>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Cost</w:t>
            </w:r>
          </w:p>
        </w:tc>
        <w:tc>
          <w:tcPr>
            <w:tcW w:type="dxa" w:w="3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CPI; burn vs. runway; non-dilutive secured</w:t>
            </w:r>
          </w:p>
        </w:tc>
        <w:tc>
          <w:tcPr>
            <w:tcW w:type="dxa" w:w="3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Capital discipline and runway protection.</w:t>
            </w:r>
          </w:p>
        </w:tc>
      </w:tr>
      <w:tr>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Technical</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Pathway yields vs. targets; interlock test pass rate</w:t>
            </w:r>
          </w:p>
        </w:tc>
        <w:tc>
          <w:tcPr>
            <w:tcW w:type="dxa" w:w="3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Whether the engineering is meeting its design targets.</w:t>
            </w:r>
          </w:p>
        </w:tc>
      </w:tr>
      <w:tr>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Safety</w:t>
            </w:r>
          </w:p>
        </w:tc>
        <w:tc>
          <w:tcPr>
            <w:tcW w:type="dxa" w:w="3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Hazardous-test sign-offs; incidents (target zero)</w:t>
            </w:r>
          </w:p>
        </w:tc>
        <w:tc>
          <w:tcPr>
            <w:tcW w:type="dxa" w:w="3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The existential metric; zero serious incidents is non-negotiable.</w:t>
            </w:r>
          </w:p>
        </w:tc>
      </w:tr>
      <w:tr>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Software</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Simulator users; recipes submitted; waitlist size</w:t>
            </w:r>
          </w:p>
        </w:tc>
        <w:tc>
          <w:tcPr>
            <w:tcW w:type="dxa" w:w="3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Demand validation and community formation.</w:t>
            </w:r>
          </w:p>
        </w:tc>
      </w:tr>
      <w:tr>
        <w:tc>
          <w:tcPr>
            <w:tcW w:type="dxa" w:w="1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w:t>
            </w:r>
          </w:p>
        </w:tc>
        <w:tc>
          <w:tcPr>
            <w:tcW w:type="dxa" w:w="3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Verified recipes; active contributors; retention</w:t>
            </w:r>
          </w:p>
        </w:tc>
        <w:tc>
          <w:tcPr>
            <w:tcW w:type="dxa" w:w="3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Health of the moat and the innovation flywheel.</w:t>
            </w:r>
          </w:p>
        </w:tc>
      </w:tr>
      <w:tr>
        <w:tc>
          <w:tcPr>
            <w:tcW w:type="dxa" w:w="1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Regulatory</w:t>
            </w:r>
          </w:p>
        </w:tc>
        <w:tc>
          <w:tcPr>
            <w:tcW w:type="dxa" w:w="3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Compliance actions closed; permits/certs secured</w:t>
            </w:r>
          </w:p>
        </w:tc>
        <w:tc>
          <w:tcPr>
            <w:tcW w:type="dxa" w:w="3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Progress against the existential regulatory risk.</w:t>
            </w:r>
          </w:p>
        </w:tc>
      </w:tr>
    </w:tbl>
    <w:p>
      <w:pPr>
        <w:spacing w:after="120"/>
      </w:pPr>
      <w:r>
        <w:t xml:space="preserve"/>
      </w:r>
    </w:p>
    <w:p>
      <w:pPr>
        <w:pStyle w:val="Heading1"/>
        <w:pageBreakBefore/>
      </w:pPr>
      <w:r>
        <w:rPr>
          <w:rFonts w:ascii="Calibri" w:cs="Calibri" w:eastAsia="Calibri" w:hAnsi="Calibri"/>
          <w:color w:val="1F6F43"/>
          <w:sz w:val="30"/>
          <w:szCs w:val="30"/>
        </w:rPr>
        <w:t xml:space="preserve">19.  Change Control &amp; Closeout</w:t>
      </w:r>
    </w:p>
    <w:p>
      <w:pPr>
        <w:keepNext w:val="false"/>
        <w:spacing w:after="140" w:before="0" w:line="276"/>
        <w:jc w:val="both"/>
      </w:pPr>
      <w:r>
        <w:rPr>
          <w:rFonts w:ascii="Calibri" w:cs="Calibri" w:eastAsia="Calibri" w:hAnsi="Calibri"/>
          <w:color w:val="1A1F25"/>
          <w:sz w:val="21"/>
          <w:szCs w:val="21"/>
        </w:rPr>
        <w:t xml:space="preserve">A plan this long will change; the question is whether it changes deliberately or by drift. Change control makes change deliberate. Closeout ensures that whatever the program produces — including knowledge from paths that are stopped — is captured rather than lost.</w:t>
      </w:r>
    </w:p>
    <w:p>
      <w:pPr>
        <w:pStyle w:val="Heading2"/>
      </w:pPr>
      <w:r>
        <w:rPr>
          <w:rFonts w:ascii="Calibri" w:cs="Calibri" w:eastAsia="Calibri" w:hAnsi="Calibri"/>
          <w:color w:val="2B3440"/>
          <w:sz w:val="25"/>
          <w:szCs w:val="25"/>
        </w:rPr>
        <w:t xml:space="preserve">19.1  Change-control process</w:t>
      </w:r>
    </w:p>
    <w:p>
      <w:pPr>
        <w:pStyle w:val="ListParagraph"/>
        <w:numPr>
          <w:ilvl w:val="0"/>
          <w:numId w:val="3"/>
        </w:numPr>
        <w:spacing w:after="70" w:line="268"/>
        <w:jc w:val="left"/>
      </w:pPr>
      <w:r>
        <w:rPr>
          <w:rFonts w:ascii="Calibri" w:cs="Calibri" w:eastAsia="Calibri" w:hAnsi="Calibri"/>
          <w:b/>
          <w:bCs/>
          <w:color w:val="1A1F25"/>
          <w:sz w:val="21"/>
          <w:szCs w:val="21"/>
        </w:rPr>
        <w:t xml:space="preserve">Raise:</w:t>
      </w:r>
      <w:r>
        <w:rPr>
          <w:rFonts w:ascii="Calibri" w:cs="Calibri" w:eastAsia="Calibri" w:hAnsi="Calibri"/>
          <w:color w:val="1A1F25"/>
          <w:sz w:val="21"/>
          <w:szCs w:val="21"/>
        </w:rPr>
        <w:t xml:space="preserve"> any stakeholder submits a change request describing the change, its rationale, and its expected impact on scope, schedule, cost, and risk.</w:t>
      </w:r>
    </w:p>
    <w:p>
      <w:pPr>
        <w:pStyle w:val="ListParagraph"/>
        <w:numPr>
          <w:ilvl w:val="0"/>
          <w:numId w:val="3"/>
        </w:numPr>
        <w:spacing w:after="70" w:line="268"/>
        <w:jc w:val="left"/>
      </w:pPr>
      <w:r>
        <w:rPr>
          <w:rFonts w:ascii="Calibri" w:cs="Calibri" w:eastAsia="Calibri" w:hAnsi="Calibri"/>
          <w:b/>
          <w:bCs/>
          <w:color w:val="1A1F25"/>
          <w:sz w:val="21"/>
          <w:szCs w:val="21"/>
        </w:rPr>
        <w:t xml:space="preserve">Assess:</w:t>
      </w:r>
      <w:r>
        <w:rPr>
          <w:rFonts w:ascii="Calibri" w:cs="Calibri" w:eastAsia="Calibri" w:hAnsi="Calibri"/>
          <w:color w:val="1A1F25"/>
          <w:sz w:val="21"/>
          <w:szCs w:val="21"/>
        </w:rPr>
        <w:t xml:space="preserve"> the program lead evaluates impact across all baselines and consults affected workstream leads.</w:t>
      </w:r>
    </w:p>
    <w:p>
      <w:pPr>
        <w:pStyle w:val="ListParagraph"/>
        <w:numPr>
          <w:ilvl w:val="0"/>
          <w:numId w:val="3"/>
        </w:numPr>
        <w:spacing w:after="70" w:line="268"/>
        <w:jc w:val="left"/>
      </w:pPr>
      <w:r>
        <w:rPr>
          <w:rFonts w:ascii="Calibri" w:cs="Calibri" w:eastAsia="Calibri" w:hAnsi="Calibri"/>
          <w:b/>
          <w:bCs/>
          <w:color w:val="1A1F25"/>
          <w:sz w:val="21"/>
          <w:szCs w:val="21"/>
        </w:rPr>
        <w:t xml:space="preserve">Decide:</w:t>
      </w:r>
      <w:r>
        <w:rPr>
          <w:rFonts w:ascii="Calibri" w:cs="Calibri" w:eastAsia="Calibri" w:hAnsi="Calibri"/>
          <w:color w:val="1A1F25"/>
          <w:sz w:val="21"/>
          <w:szCs w:val="21"/>
        </w:rPr>
        <w:t xml:space="preserve"> minor changes are approved by the program lead; material changes — especially any that pull deferred scope (pyrolysis, algae, vehicles) back in, or that affect safety — go to the steering group and, where relevant, the safety review board.</w:t>
      </w:r>
    </w:p>
    <w:p>
      <w:pPr>
        <w:pStyle w:val="ListParagraph"/>
        <w:numPr>
          <w:ilvl w:val="0"/>
          <w:numId w:val="3"/>
        </w:numPr>
        <w:spacing w:after="70" w:line="268"/>
        <w:jc w:val="left"/>
      </w:pPr>
      <w:r>
        <w:rPr>
          <w:rFonts w:ascii="Calibri" w:cs="Calibri" w:eastAsia="Calibri" w:hAnsi="Calibri"/>
          <w:b/>
          <w:bCs/>
          <w:color w:val="1A1F25"/>
          <w:sz w:val="21"/>
          <w:szCs w:val="21"/>
        </w:rPr>
        <w:t xml:space="preserve">Baseline:</w:t>
      </w:r>
      <w:r>
        <w:rPr>
          <w:rFonts w:ascii="Calibri" w:cs="Calibri" w:eastAsia="Calibri" w:hAnsi="Calibri"/>
          <w:color w:val="1A1F25"/>
          <w:sz w:val="21"/>
          <w:szCs w:val="21"/>
        </w:rPr>
        <w:t xml:space="preserve"> approved changes update the relevant baselines and the version history; rejected requests are logged with rationale.</w:t>
      </w:r>
    </w:p>
    <w:p>
      <w:pPr>
        <w:spacing w:after="60"/>
      </w:pPr>
      <w:r>
        <w:t xml:space="preserve"/>
      </w:r>
    </w:p>
    <w:tbl>
      <w:tblPr>
        <w:tblW w:type="dxa" w:w="9360"/>
        <w:tblBorders>
          <w:top w:val="single" w:color="E2EDF5" w:sz="2"/>
          <w:left w:val="single" w:color="1E5A8A" w:sz="28"/>
          <w:bottom w:val="single" w:color="E2EDF5" w:sz="2"/>
          <w:right w:val="single" w:color="E2EDF5" w:sz="2"/>
          <w:insideH w:val="single" w:color="auto" w:sz="4"/>
          <w:insideV w:val="single" w:color="auto" w:sz="4"/>
        </w:tblBorders>
      </w:tblPr>
      <w:tblGrid>
        <w:gridCol w:w="9360"/>
      </w:tblGrid>
      <w:tr>
        <w:tc>
          <w:tcPr>
            <w:tcW w:type="dxa" w:w="9360"/>
            <w:shd w:fill="E2EDF5" w:val="clear"/>
            <w:tcMar>
              <w:top w:type="dxa" w:w="120"/>
              <w:left w:type="dxa" w:w="200"/>
              <w:bottom w:type="dxa" w:w="120"/>
              <w:right w:type="dxa" w:w="160"/>
            </w:tcMar>
          </w:tcPr>
          <w:p>
            <w:pPr>
              <w:spacing w:after="60" w:line="264"/>
              <w:jc w:val="left"/>
            </w:pPr>
            <w:r>
              <w:rPr>
                <w:rFonts w:ascii="Calibri" w:cs="Calibri" w:eastAsia="Calibri" w:hAnsi="Calibri"/>
                <w:color w:val="1E5A8A"/>
                <w:sz w:val="19"/>
                <w:szCs w:val="19"/>
              </w:rPr>
              <w:t xml:space="preserve">Deferred scope re-entry is a controlled change</w:t>
            </w:r>
          </w:p>
          <w:p>
            <w:pPr>
              <w:spacing w:after="0" w:line="264"/>
              <w:jc w:val="left"/>
            </w:pPr>
            <w:r>
              <w:rPr>
                <w:rFonts w:ascii="Calibri" w:cs="Calibri" w:eastAsia="Calibri" w:hAnsi="Calibri"/>
                <w:color w:val="1A1F25"/>
                <w:sz w:val="19"/>
                <w:szCs w:val="19"/>
              </w:rPr>
              <w:t xml:space="preserve">Pyrolysis, algae, on-board processing, full vehicle manufacturing, and international distribution can only re-enter scope through this process, and only once the preconditions in Section 3.2 are demonstrably met. This is the mechanism that keeps ambition from quietly expanding the program beyond what it can safely and affordably deliver.</w:t>
            </w:r>
          </w:p>
        </w:tc>
      </w:tr>
    </w:tbl>
    <w:p>
      <w:pPr>
        <w:pStyle w:val="Heading2"/>
      </w:pPr>
      <w:r>
        <w:rPr>
          <w:rFonts w:ascii="Calibri" w:cs="Calibri" w:eastAsia="Calibri" w:hAnsi="Calibri"/>
          <w:color w:val="2B3440"/>
          <w:sz w:val="25"/>
          <w:szCs w:val="25"/>
        </w:rPr>
        <w:t xml:space="preserve">19.2  Phase and program closeout</w:t>
      </w:r>
    </w:p>
    <w:p>
      <w:pPr>
        <w:pStyle w:val="ListParagraph"/>
        <w:numPr>
          <w:ilvl w:val="0"/>
          <w:numId w:val="2"/>
        </w:numPr>
        <w:spacing w:after="70" w:line="268"/>
        <w:jc w:val="left"/>
      </w:pPr>
      <w:r>
        <w:rPr>
          <w:rFonts w:ascii="Calibri" w:cs="Calibri" w:eastAsia="Calibri" w:hAnsi="Calibri"/>
          <w:b/>
          <w:bCs/>
          <w:color w:val="1A1F25"/>
          <w:sz w:val="21"/>
          <w:szCs w:val="21"/>
        </w:rPr>
        <w:t xml:space="preserve">At each gate:</w:t>
      </w:r>
      <w:r>
        <w:rPr>
          <w:rFonts w:ascii="Calibri" w:cs="Calibri" w:eastAsia="Calibri" w:hAnsi="Calibri"/>
          <w:color w:val="1A1F25"/>
          <w:sz w:val="21"/>
          <w:szCs w:val="21"/>
        </w:rPr>
        <w:t xml:space="preserve"> capture lessons learned, update the risk register and estimates, and formally release (or withhold) the next phase’s resources.</w:t>
      </w:r>
    </w:p>
    <w:p>
      <w:pPr>
        <w:pStyle w:val="ListParagraph"/>
        <w:numPr>
          <w:ilvl w:val="0"/>
          <w:numId w:val="2"/>
        </w:numPr>
        <w:spacing w:after="70" w:line="268"/>
        <w:jc w:val="left"/>
      </w:pPr>
      <w:r>
        <w:rPr>
          <w:rFonts w:ascii="Calibri" w:cs="Calibri" w:eastAsia="Calibri" w:hAnsi="Calibri"/>
          <w:b/>
          <w:bCs/>
          <w:color w:val="1A1F25"/>
          <w:sz w:val="21"/>
          <w:szCs w:val="21"/>
        </w:rPr>
        <w:t xml:space="preserve">On any Kill/Recycle:</w:t>
      </w:r>
      <w:r>
        <w:rPr>
          <w:rFonts w:ascii="Calibri" w:cs="Calibri" w:eastAsia="Calibri" w:hAnsi="Calibri"/>
          <w:color w:val="1A1F25"/>
          <w:sz w:val="21"/>
          <w:szCs w:val="21"/>
        </w:rPr>
        <w:t xml:space="preserve"> document why, preserve the technical knowledge gained, and redeploy resources deliberately — a stopped path is a source of learning, not just a sunk cost.</w:t>
      </w:r>
    </w:p>
    <w:p>
      <w:pPr>
        <w:pStyle w:val="ListParagraph"/>
        <w:numPr>
          <w:ilvl w:val="0"/>
          <w:numId w:val="2"/>
        </w:numPr>
        <w:spacing w:after="70" w:line="268"/>
        <w:jc w:val="left"/>
      </w:pPr>
      <w:r>
        <w:rPr>
          <w:rFonts w:ascii="Calibri" w:cs="Calibri" w:eastAsia="Calibri" w:hAnsi="Calibri"/>
          <w:b/>
          <w:bCs/>
          <w:color w:val="1A1F25"/>
          <w:sz w:val="21"/>
          <w:szCs w:val="21"/>
        </w:rPr>
        <w:t xml:space="preserve">At program end (month 36):</w:t>
      </w:r>
      <w:r>
        <w:rPr>
          <w:rFonts w:ascii="Calibri" w:cs="Calibri" w:eastAsia="Calibri" w:hAnsi="Calibri"/>
          <w:color w:val="1A1F25"/>
          <w:sz w:val="21"/>
          <w:szCs w:val="21"/>
        </w:rPr>
        <w:t xml:space="preserve"> a closeout report records what was built, what was learned, the validated performance data, the regulatory position, and a clear recommendation for the next capital and strategic decision.</w:t>
      </w:r>
    </w:p>
    <w:p>
      <w:pPr>
        <w:pStyle w:val="Heading2"/>
      </w:pPr>
      <w:r>
        <w:rPr>
          <w:rFonts w:ascii="Calibri" w:cs="Calibri" w:eastAsia="Calibri" w:hAnsi="Calibri"/>
          <w:color w:val="2B3440"/>
          <w:sz w:val="25"/>
          <w:szCs w:val="25"/>
        </w:rPr>
        <w:t xml:space="preserve">19.3  Knowledge management</w:t>
      </w:r>
    </w:p>
    <w:p>
      <w:pPr>
        <w:keepNext w:val="false"/>
        <w:spacing w:after="140" w:before="0" w:line="276"/>
        <w:jc w:val="both"/>
      </w:pPr>
      <w:r>
        <w:rPr>
          <w:rFonts w:ascii="Calibri" w:cs="Calibri" w:eastAsia="Calibri" w:hAnsi="Calibri"/>
          <w:color w:val="1A1F25"/>
          <w:sz w:val="21"/>
          <w:szCs w:val="21"/>
        </w:rPr>
        <w:t xml:space="preserve">Throughout, the program documents rigorously: a maintained WBS dictionary, a deliverables register (Appendix B), a living risk register, gate-decision records, and the research base. This documentation is itself a deliverable — it is what allows a small team to move fast without losing institutional memory, what satisfies grant and investor diligence, and what makes the eventual hand-off to a larger organization (or the next funding round) possible.</w:t>
      </w:r>
    </w:p>
    <w:p>
      <w:pPr>
        <w:pStyle w:val="Heading1"/>
        <w:pageBreakBefore/>
      </w:pPr>
      <w:r>
        <w:rPr>
          <w:rFonts w:ascii="Calibri" w:cs="Calibri" w:eastAsia="Calibri" w:hAnsi="Calibri"/>
          <w:color w:val="1F6F43"/>
          <w:sz w:val="30"/>
          <w:szCs w:val="30"/>
        </w:rPr>
        <w:t xml:space="preserve">20.  Information &amp; Data Management</w:t>
      </w:r>
    </w:p>
    <w:p>
      <w:pPr>
        <w:keepNext w:val="false"/>
        <w:spacing w:after="140" w:before="0" w:line="276"/>
        <w:jc w:val="both"/>
      </w:pPr>
      <w:r>
        <w:rPr>
          <w:rFonts w:ascii="Calibri" w:cs="Calibri" w:eastAsia="Calibri" w:hAnsi="Calibri"/>
          <w:color w:val="1A1F25"/>
          <w:sz w:val="21"/>
          <w:szCs w:val="21"/>
        </w:rPr>
        <w:t xml:space="preserve">Biotank is, in large part, a data company wearing the body of an appliance. The telemetry from every unit, the recipe submissions from the community, and the lab-verification records together form the proprietary dataset that constitutes the program’s durable moat. That dataset is only an asset if it is well-governed, secure, and trustworthy; mishandled, it becomes a liability. This section sets out how the program treats the information it collects.</w:t>
      </w:r>
    </w:p>
    <w:p>
      <w:pPr>
        <w:pStyle w:val="Heading2"/>
      </w:pPr>
      <w:r>
        <w:rPr>
          <w:rFonts w:ascii="Calibri" w:cs="Calibri" w:eastAsia="Calibri" w:hAnsi="Calibri"/>
          <w:color w:val="2B3440"/>
          <w:sz w:val="25"/>
          <w:szCs w:val="25"/>
        </w:rPr>
        <w:t xml:space="preserve">20.1  Data the program collects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900"/>
        <w:gridCol w:w="3410"/>
        <w:gridCol w:w="2000"/>
      </w:tblGrid>
      <w:tr>
        <w:trPr>
          <w:tblHeader/>
        </w:trPr>
        <w:tc>
          <w:tcPr>
            <w:tcW w:type="dxa" w:w="205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Data type</w:t>
            </w:r>
          </w:p>
        </w:tc>
        <w:tc>
          <w:tcPr>
            <w:tcW w:type="dxa" w:w="1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Source</w:t>
            </w:r>
          </w:p>
        </w:tc>
        <w:tc>
          <w:tcPr>
            <w:tcW w:type="dxa" w:w="341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Primary use</w:t>
            </w:r>
          </w:p>
        </w:tc>
        <w:tc>
          <w:tcPr>
            <w:tcW w:type="dxa" w:w="2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Sensitivity</w:t>
            </w:r>
          </w:p>
        </w:tc>
      </w:tr>
      <w:tr>
        <w:tc>
          <w:tcPr>
            <w:tcW w:type="dxa" w:w="20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Device telemetry</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Appliance sensors</w:t>
            </w:r>
          </w:p>
        </w:tc>
        <w:tc>
          <w:tcPr>
            <w:tcW w:type="dxa" w:w="34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Monitoring, safety, simulator calibration, competition verification.</w:t>
            </w:r>
          </w:p>
        </w:tc>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 — tied to a household.</w:t>
            </w:r>
          </w:p>
        </w:tc>
      </w:tr>
      <w:tr>
        <w:tc>
          <w:tcPr>
            <w:tcW w:type="dxa" w:w="20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Recipes</w:t>
            </w:r>
          </w:p>
        </w:tc>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 submissions</w:t>
            </w:r>
          </w:p>
        </w:tc>
        <w:tc>
          <w:tcPr>
            <w:tcW w:type="dxa" w:w="34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The recipe library; the competition; R&amp;D.</w:t>
            </w:r>
          </w:p>
        </w:tc>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Low–Medium — IP and attribution.</w:t>
            </w:r>
          </w:p>
        </w:tc>
      </w:tr>
      <w:tr>
        <w:tc>
          <w:tcPr>
            <w:tcW w:type="dxa" w:w="20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Lab-verification records</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Partner labs</w:t>
            </w:r>
          </w:p>
        </w:tc>
        <w:tc>
          <w:tcPr>
            <w:tcW w:type="dxa" w:w="34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Trust and provenance for certified recipes and fuel claims.</w:t>
            </w:r>
          </w:p>
        </w:tc>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 — evidentiary.</w:t>
            </w:r>
          </w:p>
        </w:tc>
      </w:tr>
      <w:tr>
        <w:tc>
          <w:tcPr>
            <w:tcW w:type="dxa" w:w="205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Account data</w:t>
            </w:r>
          </w:p>
        </w:tc>
        <w:tc>
          <w:tcPr>
            <w:tcW w:type="dxa" w:w="1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Users</w:t>
            </w:r>
          </w:p>
        </w:tc>
        <w:tc>
          <w:tcPr>
            <w:tcW w:type="dxa" w:w="341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Authentication, rewards, communications.</w:t>
            </w:r>
          </w:p>
        </w:tc>
        <w:tc>
          <w:tcPr>
            <w:tcW w:type="dxa" w:w="2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High — personal data.</w:t>
            </w:r>
          </w:p>
        </w:tc>
      </w:tr>
      <w:tr>
        <w:tc>
          <w:tcPr>
            <w:tcW w:type="dxa" w:w="205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Reward / token ledger</w:t>
            </w:r>
          </w:p>
        </w:tc>
        <w:tc>
          <w:tcPr>
            <w:tcW w:type="dxa" w:w="1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On-chain + platform</w:t>
            </w:r>
          </w:p>
        </w:tc>
        <w:tc>
          <w:tcPr>
            <w:tcW w:type="dxa" w:w="341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Transparent record of contributions and rewards.</w:t>
            </w:r>
          </w:p>
        </w:tc>
        <w:tc>
          <w:tcPr>
            <w:tcW w:type="dxa" w:w="2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Medium — value-bearing.</w:t>
            </w:r>
          </w:p>
        </w:tc>
      </w:tr>
    </w:tbl>
    <w:p>
      <w:pPr>
        <w:spacing w:after="100"/>
      </w:pPr>
      <w:r>
        <w:t xml:space="preserve"/>
      </w:r>
    </w:p>
    <w:p>
      <w:pPr>
        <w:pStyle w:val="Heading2"/>
      </w:pPr>
      <w:r>
        <w:rPr>
          <w:rFonts w:ascii="Calibri" w:cs="Calibri" w:eastAsia="Calibri" w:hAnsi="Calibri"/>
          <w:color w:val="2B3440"/>
          <w:sz w:val="25"/>
          <w:szCs w:val="25"/>
        </w:rPr>
        <w:t xml:space="preserve">20.2  Governance principles</w:t>
      </w:r>
    </w:p>
    <w:p>
      <w:pPr>
        <w:pStyle w:val="ListParagraph"/>
        <w:numPr>
          <w:ilvl w:val="0"/>
          <w:numId w:val="2"/>
        </w:numPr>
        <w:spacing w:after="70" w:line="268"/>
        <w:jc w:val="left"/>
      </w:pPr>
      <w:r>
        <w:rPr>
          <w:rFonts w:ascii="Calibri" w:cs="Calibri" w:eastAsia="Calibri" w:hAnsi="Calibri"/>
          <w:b/>
          <w:bCs/>
          <w:color w:val="1A1F25"/>
          <w:sz w:val="21"/>
          <w:szCs w:val="21"/>
        </w:rPr>
        <w:t xml:space="preserve">Collect what is needed.</w:t>
      </w:r>
      <w:r>
        <w:rPr>
          <w:rFonts w:ascii="Calibri" w:cs="Calibri" w:eastAsia="Calibri" w:hAnsi="Calibri"/>
          <w:color w:val="1A1F25"/>
          <w:sz w:val="21"/>
          <w:szCs w:val="21"/>
        </w:rPr>
        <w:t xml:space="preserve"> Telemetry serves safety, calibration, and verification; the program resists collecting beyond those purposes.</w:t>
      </w:r>
    </w:p>
    <w:p>
      <w:pPr>
        <w:pStyle w:val="ListParagraph"/>
        <w:numPr>
          <w:ilvl w:val="0"/>
          <w:numId w:val="2"/>
        </w:numPr>
        <w:spacing w:after="70" w:line="268"/>
        <w:jc w:val="left"/>
      </w:pPr>
      <w:r>
        <w:rPr>
          <w:rFonts w:ascii="Calibri" w:cs="Calibri" w:eastAsia="Calibri" w:hAnsi="Calibri"/>
          <w:b/>
          <w:bCs/>
          <w:color w:val="1A1F25"/>
          <w:sz w:val="21"/>
          <w:szCs w:val="21"/>
        </w:rPr>
        <w:t xml:space="preserve">Security by design.</w:t>
      </w:r>
      <w:r>
        <w:rPr>
          <w:rFonts w:ascii="Calibri" w:cs="Calibri" w:eastAsia="Calibri" w:hAnsi="Calibri"/>
          <w:color w:val="1A1F25"/>
          <w:sz w:val="21"/>
          <w:szCs w:val="21"/>
        </w:rPr>
        <w:t xml:space="preserve"> Account and personal data are protected with standard modern controls; the reward ledger’s integrity is protected by its on-chain design.</w:t>
      </w:r>
    </w:p>
    <w:p>
      <w:pPr>
        <w:pStyle w:val="ListParagraph"/>
        <w:numPr>
          <w:ilvl w:val="0"/>
          <w:numId w:val="2"/>
        </w:numPr>
        <w:spacing w:after="70" w:line="268"/>
        <w:jc w:val="left"/>
      </w:pPr>
      <w:r>
        <w:rPr>
          <w:rFonts w:ascii="Calibri" w:cs="Calibri" w:eastAsia="Calibri" w:hAnsi="Calibri"/>
          <w:b/>
          <w:bCs/>
          <w:color w:val="1A1F25"/>
          <w:sz w:val="21"/>
          <w:szCs w:val="21"/>
        </w:rPr>
        <w:t xml:space="preserve">Transparency to contributors.</w:t>
      </w:r>
      <w:r>
        <w:rPr>
          <w:rFonts w:ascii="Calibri" w:cs="Calibri" w:eastAsia="Calibri" w:hAnsi="Calibri"/>
          <w:color w:val="1A1F25"/>
          <w:sz w:val="21"/>
          <w:szCs w:val="21"/>
        </w:rPr>
        <w:t xml:space="preserve"> Community members can see how their recipes are scored and rewarded; verification is auditable, not a black box.</w:t>
      </w:r>
    </w:p>
    <w:p>
      <w:pPr>
        <w:pStyle w:val="ListParagraph"/>
        <w:numPr>
          <w:ilvl w:val="0"/>
          <w:numId w:val="2"/>
        </w:numPr>
        <w:spacing w:after="70" w:line="268"/>
        <w:jc w:val="left"/>
      </w:pPr>
      <w:r>
        <w:rPr>
          <w:rFonts w:ascii="Calibri" w:cs="Calibri" w:eastAsia="Calibri" w:hAnsi="Calibri"/>
          <w:b/>
          <w:bCs/>
          <w:color w:val="1A1F25"/>
          <w:sz w:val="21"/>
          <w:szCs w:val="21"/>
        </w:rPr>
        <w:t xml:space="preserve">Provenance over assertion.</w:t>
      </w:r>
      <w:r>
        <w:rPr>
          <w:rFonts w:ascii="Calibri" w:cs="Calibri" w:eastAsia="Calibri" w:hAnsi="Calibri"/>
          <w:color w:val="1A1F25"/>
          <w:sz w:val="21"/>
          <w:szCs w:val="21"/>
        </w:rPr>
        <w:t xml:space="preserve"> The combination of telemetry and lab-certificate hashes recorded on-chain makes the dataset tamper-evident and any fuel claim defensible.</w:t>
      </w:r>
    </w:p>
    <w:p>
      <w:pPr>
        <w:pStyle w:val="ListParagraph"/>
        <w:numPr>
          <w:ilvl w:val="0"/>
          <w:numId w:val="2"/>
        </w:numPr>
        <w:spacing w:after="70" w:line="268"/>
        <w:jc w:val="left"/>
      </w:pPr>
      <w:r>
        <w:rPr>
          <w:rFonts w:ascii="Calibri" w:cs="Calibri" w:eastAsia="Calibri" w:hAnsi="Calibri"/>
          <w:b/>
          <w:bCs/>
          <w:color w:val="1A1F25"/>
          <w:sz w:val="21"/>
          <w:szCs w:val="21"/>
        </w:rPr>
        <w:t xml:space="preserve">Contributor attribution.</w:t>
      </w:r>
      <w:r>
        <w:rPr>
          <w:rFonts w:ascii="Calibri" w:cs="Calibri" w:eastAsia="Calibri" w:hAnsi="Calibri"/>
          <w:color w:val="1A1F25"/>
          <w:sz w:val="21"/>
          <w:szCs w:val="21"/>
        </w:rPr>
        <w:t xml:space="preserve"> Recipes carry authorship; the community’s contributions are credited, which is both fair and a driver of engagement.</w:t>
      </w:r>
    </w:p>
    <w:p>
      <w:pPr>
        <w:spacing w:after="60"/>
      </w:pPr>
      <w:r>
        <w:t xml:space="preserve"/>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Data is the moat — and a responsibility</w:t>
            </w:r>
          </w:p>
          <w:p>
            <w:pPr>
              <w:spacing w:after="0" w:line="264"/>
              <w:jc w:val="left"/>
            </w:pPr>
            <w:r>
              <w:rPr>
                <w:rFonts w:ascii="Calibri" w:cs="Calibri" w:eastAsia="Calibri" w:hAnsi="Calibri"/>
                <w:color w:val="1A1F25"/>
                <w:sz w:val="19"/>
                <w:szCs w:val="19"/>
              </w:rPr>
              <w:t xml:space="preserve">The accumulating record of real-world performance is what a competitor cannot quickly copy, and it is what makes future optimization features possible. Precisely because it is so valuable, it is governed deliberately: minimized in collection, secured in storage, transparent to contributors, and tamper-evident in its provenance.</w:t>
            </w:r>
          </w:p>
        </w:tc>
      </w:tr>
    </w:tbl>
    <w:p>
      <w:pPr>
        <w:pStyle w:val="Heading1"/>
        <w:pageBreakBefore/>
      </w:pPr>
      <w:r>
        <w:rPr>
          <w:rFonts w:ascii="Calibri" w:cs="Calibri" w:eastAsia="Calibri" w:hAnsi="Calibri"/>
          <w:color w:val="1F6F43"/>
          <w:sz w:val="30"/>
          <w:szCs w:val="30"/>
        </w:rPr>
        <w:t xml:space="preserve">21.  Sustainability &amp; Impact</w:t>
      </w:r>
    </w:p>
    <w:p>
      <w:pPr>
        <w:keepNext w:val="false"/>
        <w:spacing w:after="140" w:before="0" w:line="276"/>
        <w:jc w:val="both"/>
      </w:pPr>
      <w:r>
        <w:rPr>
          <w:rFonts w:ascii="Calibri" w:cs="Calibri" w:eastAsia="Calibri" w:hAnsi="Calibri"/>
          <w:color w:val="1A1F25"/>
          <w:sz w:val="21"/>
          <w:szCs w:val="21"/>
        </w:rPr>
        <w:t xml:space="preserve">Biotank’s mission is environmental, but the program is disciplined about distinguishing genuine impact from green marketing. This section states the impact thesis plainly, along with the honest caveats that keep it credible — because an environmental claim that does not survive scrutiny is worse than no claim at all.</w:t>
      </w:r>
    </w:p>
    <w:p>
      <w:pPr>
        <w:pStyle w:val="Heading2"/>
      </w:pPr>
      <w:r>
        <w:rPr>
          <w:rFonts w:ascii="Calibri" w:cs="Calibri" w:eastAsia="Calibri" w:hAnsi="Calibri"/>
          <w:color w:val="2B3440"/>
          <w:sz w:val="25"/>
          <w:szCs w:val="25"/>
        </w:rPr>
        <w:t xml:space="preserve">21.1  The impact thesis</w:t>
      </w:r>
    </w:p>
    <w:p>
      <w:pPr>
        <w:keepNext w:val="false"/>
        <w:spacing w:after="140" w:before="0" w:line="276"/>
        <w:jc w:val="both"/>
      </w:pPr>
      <w:r>
        <w:rPr>
          <w:rFonts w:ascii="Calibri" w:cs="Calibri" w:eastAsia="Calibri" w:hAnsi="Calibri"/>
          <w:color w:val="1A1F25"/>
          <w:sz w:val="21"/>
          <w:szCs w:val="21"/>
        </w:rPr>
        <w:t xml:space="preserve">The core environmental logic is circularity: waste that would otherwise decompose in landfill (emitting methane uncaptured) or be hauled away at energy cost is instead converted on-site into usable fuel and electricity, displacing some fossil-fuel demand and some grid draw. Anaerobic digestion in particular captures methane that would otherwise escape, and uses it productively. At household scale the per-unit effect is modest; the thesis is that distributed adoption aggregates many modest effects into a meaningful one, while also shifting people’s relationship to their own waste and energy.</w:t>
      </w:r>
    </w:p>
    <w:p>
      <w:pPr>
        <w:pStyle w:val="Heading2"/>
      </w:pPr>
      <w:r>
        <w:rPr>
          <w:rFonts w:ascii="Calibri" w:cs="Calibri" w:eastAsia="Calibri" w:hAnsi="Calibri"/>
          <w:color w:val="2B3440"/>
          <w:sz w:val="25"/>
          <w:szCs w:val="25"/>
        </w:rPr>
        <w:t xml:space="preserve">21.2  Impact metrics the program will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Metric</w:t>
            </w:r>
          </w:p>
        </w:tc>
        <w:tc>
          <w:tcPr>
            <w:tcW w:type="dxa" w:w="63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What it captures</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Waste diverted</w:t>
            </w:r>
          </w:p>
        </w:tc>
        <w:tc>
          <w:tcPr>
            <w:tcW w:type="dxa" w:w="6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Mass of organic waste processed rather than landfilled or hauled.</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Fuel produced</w:t>
            </w:r>
          </w:p>
        </w:tc>
        <w:tc>
          <w:tcPr>
            <w:tcW w:type="dxa" w:w="6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Volume/energy of biofuel generated on-site.</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Grid electricity offset</w:t>
            </w:r>
          </w:p>
        </w:tc>
        <w:tc>
          <w:tcPr>
            <w:tcW w:type="dxa" w:w="6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Kilowatt-hours from the generator displacing grid draw.</w:t>
            </w:r>
          </w:p>
        </w:tc>
      </w:tr>
      <w:tr>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Methane captured</w:t>
            </w:r>
          </w:p>
        </w:tc>
        <w:tc>
          <w:tcPr>
            <w:tcW w:type="dxa" w:w="63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Biogas methane productively used rather than released.</w:t>
            </w:r>
          </w:p>
        </w:tc>
      </w:tr>
      <w:tr>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Carbon intensity / lifecycle GHG</w:t>
            </w:r>
          </w:p>
        </w:tc>
        <w:tc>
          <w:tcPr>
            <w:tcW w:type="dxa" w:w="63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Honest, lifecycle-aware estimate of net effect, including process energy.</w:t>
            </w:r>
          </w:p>
        </w:tc>
      </w:tr>
    </w:tbl>
    <w:p>
      <w:pPr>
        <w:spacing w:after="100"/>
      </w:pPr>
      <w:r>
        <w:t xml:space="preserve"/>
      </w:r>
    </w:p>
    <w:p>
      <w:pPr>
        <w:pStyle w:val="Heading2"/>
      </w:pPr>
      <w:r>
        <w:rPr>
          <w:rFonts w:ascii="Calibri" w:cs="Calibri" w:eastAsia="Calibri" w:hAnsi="Calibri"/>
          <w:color w:val="2B3440"/>
          <w:sz w:val="25"/>
          <w:szCs w:val="25"/>
        </w:rPr>
        <w:t xml:space="preserve">21.3  Honest caveats</w:t>
      </w:r>
    </w:p>
    <w:p>
      <w:pPr>
        <w:keepNext w:val="false"/>
        <w:spacing w:after="140" w:before="0" w:line="276"/>
        <w:jc w:val="both"/>
      </w:pPr>
      <w:r>
        <w:rPr>
          <w:rFonts w:ascii="Calibri" w:cs="Calibri" w:eastAsia="Calibri" w:hAnsi="Calibri"/>
          <w:color w:val="1A1F25"/>
          <w:sz w:val="21"/>
          <w:szCs w:val="21"/>
        </w:rPr>
        <w:t xml:space="preserve">Credibility requires stating the limits of the impact case as clearly as its strengths. The program commits to the following honesty in all external communication.</w:t>
      </w:r>
    </w:p>
    <w:p>
      <w:pPr>
        <w:pStyle w:val="ListParagraph"/>
        <w:numPr>
          <w:ilvl w:val="0"/>
          <w:numId w:val="2"/>
        </w:numPr>
        <w:spacing w:after="70" w:line="268"/>
        <w:jc w:val="left"/>
      </w:pPr>
      <w:r>
        <w:rPr>
          <w:rFonts w:ascii="Calibri" w:cs="Calibri" w:eastAsia="Calibri" w:hAnsi="Calibri"/>
          <w:b/>
          <w:bCs/>
          <w:color w:val="1A1F25"/>
          <w:sz w:val="21"/>
          <w:szCs w:val="21"/>
        </w:rPr>
        <w:t xml:space="preserve">Net, not gross.</w:t>
      </w:r>
      <w:r>
        <w:rPr>
          <w:rFonts w:ascii="Calibri" w:cs="Calibri" w:eastAsia="Calibri" w:hAnsi="Calibri"/>
          <w:color w:val="1A1F25"/>
          <w:sz w:val="21"/>
          <w:szCs w:val="21"/>
        </w:rPr>
        <w:t xml:space="preserve"> Process energy (heating, pumping, the generator’s own losses) must be subtracted; the program reports energy-return and lifecycle figures, not just outputs.</w:t>
      </w:r>
    </w:p>
    <w:p>
      <w:pPr>
        <w:pStyle w:val="ListParagraph"/>
        <w:numPr>
          <w:ilvl w:val="0"/>
          <w:numId w:val="2"/>
        </w:numPr>
        <w:spacing w:after="70" w:line="268"/>
        <w:jc w:val="left"/>
      </w:pPr>
      <w:r>
        <w:rPr>
          <w:rFonts w:ascii="Calibri" w:cs="Calibri" w:eastAsia="Calibri" w:hAnsi="Calibri"/>
          <w:b/>
          <w:bCs/>
          <w:color w:val="1A1F25"/>
          <w:sz w:val="21"/>
          <w:szCs w:val="21"/>
        </w:rPr>
        <w:t xml:space="preserve">Combustion still emits.</w:t>
      </w:r>
      <w:r>
        <w:rPr>
          <w:rFonts w:ascii="Calibri" w:cs="Calibri" w:eastAsia="Calibri" w:hAnsi="Calibri"/>
          <w:color w:val="1A1F25"/>
          <w:sz w:val="21"/>
          <w:szCs w:val="21"/>
        </w:rPr>
        <w:t xml:space="preserve"> Burning biofuel is not zero-emission; the benefit is circularity and methane capture, not the absence of combustion products.</w:t>
      </w:r>
    </w:p>
    <w:p>
      <w:pPr>
        <w:pStyle w:val="ListParagraph"/>
        <w:numPr>
          <w:ilvl w:val="0"/>
          <w:numId w:val="2"/>
        </w:numPr>
        <w:spacing w:after="70" w:line="268"/>
        <w:jc w:val="left"/>
      </w:pPr>
      <w:r>
        <w:rPr>
          <w:rFonts w:ascii="Calibri" w:cs="Calibri" w:eastAsia="Calibri" w:hAnsi="Calibri"/>
          <w:b/>
          <w:bCs/>
          <w:color w:val="1A1F25"/>
          <w:sz w:val="21"/>
          <w:szCs w:val="21"/>
        </w:rPr>
        <w:t xml:space="preserve">Scale honesty.</w:t>
      </w:r>
      <w:r>
        <w:rPr>
          <w:rFonts w:ascii="Calibri" w:cs="Calibri" w:eastAsia="Calibri" w:hAnsi="Calibri"/>
          <w:color w:val="1A1F25"/>
          <w:sz w:val="21"/>
          <w:szCs w:val="21"/>
        </w:rPr>
        <w:t xml:space="preserve"> A single household’s effect is small; the program will not overstate individual impact, and frames the thesis around aggregate distributed adoption.</w:t>
      </w:r>
    </w:p>
    <w:p>
      <w:pPr>
        <w:pStyle w:val="ListParagraph"/>
        <w:numPr>
          <w:ilvl w:val="0"/>
          <w:numId w:val="2"/>
        </w:numPr>
        <w:spacing w:after="70" w:line="268"/>
        <w:jc w:val="left"/>
      </w:pPr>
      <w:r>
        <w:rPr>
          <w:rFonts w:ascii="Calibri" w:cs="Calibri" w:eastAsia="Calibri" w:hAnsi="Calibri"/>
          <w:b/>
          <w:bCs/>
          <w:color w:val="1A1F25"/>
          <w:sz w:val="21"/>
          <w:szCs w:val="21"/>
        </w:rPr>
        <w:t xml:space="preserve">Feedstock honesty.</w:t>
      </w:r>
      <w:r>
        <w:rPr>
          <w:rFonts w:ascii="Calibri" w:cs="Calibri" w:eastAsia="Calibri" w:hAnsi="Calibri"/>
          <w:color w:val="1A1F25"/>
          <w:sz w:val="21"/>
          <w:szCs w:val="21"/>
        </w:rPr>
        <w:t xml:space="preserve"> The strongest impact and economics arise where feedstock is genuinely waste; converting purpose-grown inputs would weaken the case and is not the model.</w:t>
      </w:r>
    </w:p>
    <w:p>
      <w:pPr>
        <w:spacing w:after="60"/>
      </w:pPr>
      <w:r>
        <w:t xml:space="preserve"/>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Impact framed honestly</w:t>
            </w:r>
          </w:p>
          <w:p>
            <w:pPr>
              <w:spacing w:after="0" w:line="264"/>
              <w:jc w:val="left"/>
            </w:pPr>
            <w:r>
              <w:rPr>
                <w:rFonts w:ascii="Calibri" w:cs="Calibri" w:eastAsia="Calibri" w:hAnsi="Calibri"/>
                <w:color w:val="1A1F25"/>
                <w:sz w:val="19"/>
                <w:szCs w:val="19"/>
              </w:rPr>
              <w:t xml:space="preserve">Biotank’s environmental case rests on circularity and methane capture at distributed scale, reported on a net, lifecycle-aware basis. The program treats overstatement as a strategic risk: a movement built on exaggerated claims collapses on contact with scrutiny, whereas one built on honest, verifiable, modest-but-real benefits compounds. The same verification infrastructure that powers the competition also disciplines the impact claims.</w:t>
            </w:r>
          </w:p>
        </w:tc>
      </w:tr>
    </w:tbl>
    <w:p>
      <w:pPr>
        <w:pStyle w:val="Heading1"/>
        <w:pageBreakBefore/>
      </w:pPr>
      <w:r>
        <w:rPr>
          <w:rFonts w:ascii="Calibri" w:cs="Calibri" w:eastAsia="Calibri" w:hAnsi="Calibri"/>
          <w:color w:val="1F6F43"/>
          <w:sz w:val="30"/>
          <w:szCs w:val="30"/>
        </w:rPr>
        <w:t xml:space="preserve">Appendix A — RACI Matrix</w:t>
      </w:r>
    </w:p>
    <w:p>
      <w:pPr>
        <w:keepNext w:val="false"/>
        <w:spacing w:after="140" w:before="0" w:line="276"/>
        <w:jc w:val="both"/>
      </w:pPr>
      <w:r>
        <w:rPr>
          <w:rFonts w:ascii="Calibri" w:cs="Calibri" w:eastAsia="Calibri" w:hAnsi="Calibri"/>
          <w:color w:val="1A1F25"/>
          <w:sz w:val="21"/>
          <w:szCs w:val="21"/>
        </w:rPr>
        <w:t xml:space="preserve">Responsibility assignment across the nine work packages. R = Responsible (does the work), A = Accountable (owns the outcome), C = Consulted, I = Informed. The legend is colour-coded in the table.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080"/>
        <w:gridCol w:w="1080"/>
        <w:gridCol w:w="1080"/>
        <w:gridCol w:w="1080"/>
        <w:gridCol w:w="1080"/>
        <w:gridCol w:w="720"/>
      </w:tblGrid>
      <w:tr>
        <w:trPr>
          <w:tblHeader/>
        </w:trPr>
        <w:tc>
          <w:tcPr>
            <w:tcW w:type="dxa" w:w="21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WBS / Activity</w:t>
            </w:r>
          </w:p>
        </w:tc>
        <w:tc>
          <w:tcPr>
            <w:tcW w:type="dxa" w:w="108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Prog. Lead</w:t>
            </w:r>
          </w:p>
        </w:tc>
        <w:tc>
          <w:tcPr>
            <w:tcW w:type="dxa" w:w="108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HW Eng.</w:t>
            </w:r>
          </w:p>
        </w:tc>
        <w:tc>
          <w:tcPr>
            <w:tcW w:type="dxa" w:w="108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Ctrl/Safety</w:t>
            </w:r>
          </w:p>
        </w:tc>
        <w:tc>
          <w:tcPr>
            <w:tcW w:type="dxa" w:w="108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Process Eng.</w:t>
            </w:r>
          </w:p>
        </w:tc>
        <w:tc>
          <w:tcPr>
            <w:tcW w:type="dxa" w:w="108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Software</w:t>
            </w:r>
          </w:p>
        </w:tc>
        <w:tc>
          <w:tcPr>
            <w:tcW w:type="dxa" w:w="108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Ops/Reg.</w:t>
            </w:r>
          </w:p>
        </w:tc>
        <w:tc>
          <w:tcPr>
            <w:tcW w:type="dxa" w:w="72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center"/>
            </w:pPr>
            <w:r>
              <w:rPr>
                <w:rFonts w:ascii="Calibri" w:cs="Calibri" w:eastAsia="Calibri" w:hAnsi="Calibri"/>
                <w:color w:val="FFFFFF"/>
                <w:sz w:val="14"/>
                <w:szCs w:val="14"/>
              </w:rPr>
              <w:t xml:space="preserve">Comm./Mkt.</w:t>
            </w: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1.0 Program management</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72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2.0 Research base</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72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3.0 Chassis &amp; containment</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center"/>
            </w:pP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72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center"/>
            </w:pP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4.0 Conversion modules</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72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center"/>
            </w:pP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5.0 Sensing, controls &amp; safety</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72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center"/>
            </w:pP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6.0 Biotank Hub software</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72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7.0 Pilot &amp; field ops</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72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8.0 Regulatory &amp; compliance</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c>
          <w:tcPr>
            <w:tcW w:type="dxa" w:w="72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9.0 Go-to-market &amp; community</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720"/>
            <w:tcBorders>
              <w:top w:val="single" w:color="C7CED5" w:sz="1"/>
              <w:left w:val="single" w:color="C7CED5" w:sz="1"/>
              <w:bottom w:val="single" w:color="C7CED5" w:sz="1"/>
              <w:right w:val="single" w:color="C7CED5" w:sz="1"/>
            </w:tcBorders>
            <w:shd w:fill="1F6F43"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R</w:t>
            </w:r>
          </w:p>
        </w:tc>
      </w:tr>
      <w:tr>
        <w:tc>
          <w:tcPr>
            <w:tcW w:type="dxa" w:w="21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4"/>
                <w:szCs w:val="14"/>
              </w:rPr>
              <w:t xml:space="preserve">Safety sign-offs (gates)</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C8881A" w:val="clear"/>
            <w:tcMar>
              <w:top w:type="dxa" w:w="56"/>
              <w:left w:type="dxa" w:w="110"/>
              <w:bottom w:type="dxa" w:w="56"/>
              <w:right w:type="dxa" w:w="110"/>
            </w:tcMar>
            <w:vAlign w:val="center"/>
          </w:tcPr>
          <w:p>
            <w:pPr>
              <w:spacing w:after="0" w:line="248"/>
              <w:jc w:val="center"/>
            </w:pPr>
            <w:r>
              <w:rPr>
                <w:rFonts w:ascii="Calibri" w:cs="Calibri" w:eastAsia="Calibri" w:hAnsi="Calibri"/>
                <w:color w:val="FFFFFF"/>
                <w:sz w:val="14"/>
                <w:szCs w:val="14"/>
              </w:rPr>
              <w:t xml:space="preserve">A</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108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c>
          <w:tcPr>
            <w:tcW w:type="dxa" w:w="1080"/>
            <w:tcBorders>
              <w:top w:val="single" w:color="C7CED5" w:sz="1"/>
              <w:left w:val="single" w:color="C7CED5" w:sz="1"/>
              <w:bottom w:val="single" w:color="C7CED5" w:sz="1"/>
              <w:right w:val="single" w:color="C7CED5" w:sz="1"/>
            </w:tcBorders>
            <w:shd w:fill="E2EDF5" w:val="clear"/>
            <w:tcMar>
              <w:top w:type="dxa" w:w="56"/>
              <w:left w:type="dxa" w:w="110"/>
              <w:bottom w:type="dxa" w:w="56"/>
              <w:right w:type="dxa" w:w="110"/>
            </w:tcMar>
            <w:vAlign w:val="center"/>
          </w:tcPr>
          <w:p>
            <w:pPr>
              <w:spacing w:after="0" w:line="248"/>
              <w:jc w:val="center"/>
            </w:pPr>
            <w:r>
              <w:rPr>
                <w:rFonts w:ascii="Calibri" w:cs="Calibri" w:eastAsia="Calibri" w:hAnsi="Calibri"/>
                <w:color w:val="1E5A8A"/>
                <w:sz w:val="14"/>
                <w:szCs w:val="14"/>
              </w:rPr>
              <w:t xml:space="preserve">C</w:t>
            </w:r>
          </w:p>
        </w:tc>
        <w:tc>
          <w:tcPr>
            <w:tcW w:type="dxa" w:w="720"/>
            <w:tcBorders>
              <w:top w:val="single" w:color="C7CED5" w:sz="1"/>
              <w:left w:val="single" w:color="C7CED5" w:sz="1"/>
              <w:bottom w:val="single" w:color="C7CED5" w:sz="1"/>
              <w:right w:val="single" w:color="C7CED5" w:sz="1"/>
            </w:tcBorders>
            <w:shd w:fill="EEF1F4" w:val="clear"/>
            <w:tcMar>
              <w:top w:type="dxa" w:w="56"/>
              <w:left w:type="dxa" w:w="110"/>
              <w:bottom w:type="dxa" w:w="56"/>
              <w:right w:type="dxa" w:w="110"/>
            </w:tcMar>
            <w:vAlign w:val="center"/>
          </w:tcPr>
          <w:p>
            <w:pPr>
              <w:spacing w:after="0" w:line="248"/>
              <w:jc w:val="center"/>
            </w:pPr>
            <w:r>
              <w:rPr>
                <w:rFonts w:ascii="Calibri" w:cs="Calibri" w:eastAsia="Calibri" w:hAnsi="Calibri"/>
                <w:color w:val="2B3440"/>
                <w:sz w:val="14"/>
                <w:szCs w:val="14"/>
              </w:rPr>
              <w:t xml:space="preserve">I</w:t>
            </w:r>
          </w:p>
        </w:tc>
      </w:tr>
    </w:tbl>
    <w:p>
      <w:pPr>
        <w:spacing w:after="80"/>
      </w:pPr>
      <w:r>
        <w:t xml:space="preserve"/>
      </w:r>
    </w:p>
    <w:p>
      <w:pPr>
        <w:keepNext w:val="false"/>
        <w:spacing w:after="140" w:before="0" w:line="276"/>
        <w:jc w:val="both"/>
      </w:pPr>
      <w:r>
        <w:rPr>
          <w:rFonts w:ascii="Calibri" w:cs="Calibri" w:eastAsia="Calibri" w:hAnsi="Calibri"/>
          <w:color w:val="6B7682"/>
          <w:sz w:val="18"/>
          <w:szCs w:val="18"/>
        </w:rPr>
        <w:t xml:space="preserve">Note: the program lead is accountable for delivery across all packages, but accountability for safety sign-offs at gates rests with the controls/safety function and the independent safety review board — the one place where the program deliberately separates safety authority from schedule authority.</w:t>
      </w:r>
    </w:p>
    <w:p>
      <w:pPr>
        <w:pStyle w:val="Heading1"/>
        <w:pageBreakBefore/>
      </w:pPr>
      <w:r>
        <w:rPr>
          <w:rFonts w:ascii="Calibri" w:cs="Calibri" w:eastAsia="Calibri" w:hAnsi="Calibri"/>
          <w:color w:val="1F6F43"/>
          <w:sz w:val="30"/>
          <w:szCs w:val="30"/>
        </w:rPr>
        <w:t xml:space="preserve">Appendix B — Master Deliverables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60"/>
        <w:gridCol w:w="700"/>
        <w:gridCol w:w="3000"/>
      </w:tblGrid>
      <w:tr>
        <w:trPr>
          <w:tblHeader/>
        </w:trPr>
        <w:tc>
          <w:tcPr>
            <w:tcW w:type="dxa" w:w="9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WBS</w:t>
            </w:r>
          </w:p>
        </w:tc>
        <w:tc>
          <w:tcPr>
            <w:tcW w:type="dxa" w:w="47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Deliverable</w:t>
            </w:r>
          </w:p>
        </w:tc>
        <w:tc>
          <w:tcPr>
            <w:tcW w:type="dxa" w:w="7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Phase</w:t>
            </w:r>
          </w:p>
        </w:tc>
        <w:tc>
          <w:tcPr>
            <w:tcW w:type="dxa" w:w="30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Acceptance</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Baselined Project Management Plan (this document)</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Steering-group approval at G1.</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Research &amp; evidence base; model parameter library</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Reviewed; feeds simulator and grants.</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2.0</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Feasibility study paper (125-source IEEE techno-economic + systems-design study)</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Completed; grounds this plan and grant/investor diligence.</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Containment + chassis prototype</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Leak/containment and ventilation tests passed.</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5.0</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Sensing &amp; control system with validated interlocks</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Every fault path tested to fail safe.</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4.0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Anaerobic-digestion module prototype</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Metered gas output + fuel sample (O1).</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6.0</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Biotank Hub v0.1 (simulator + competition + waitlist)</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Public, functional; waitlist live (O2).</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8.0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Regulatory memo + filed TTB permit</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Memo delivered; permit filed (O3).</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4.1</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Enclosed biodiesel module prototype</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Sealed/ventilated/interlocked; vapor sensing verified.</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7.0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Supervised household pilot + results</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Real units, lab-verified outputs, zero serious incidents (O4).</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8.0</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Certification roadmap (UL/CE progress)</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Documented path for shipping configuration (O5).</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6.0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Biotank Hub v1.0 (verified competition)</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2</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Live rewards; recalibrated models.</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3.0–5.0</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Initial production batch</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Quality-accepted to spec (O6).</w:t>
            </w:r>
          </w:p>
        </w:tc>
      </w:tr>
      <w:tr>
        <w:tc>
          <w:tcPr>
            <w:tcW w:type="dxa" w:w="9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9.0</w:t>
            </w:r>
          </w:p>
        </w:tc>
        <w:tc>
          <w:tcPr>
            <w:tcW w:type="dxa" w:w="4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Community flywheel evidence; fulfilled pre-orders</w:t>
            </w:r>
          </w:p>
        </w:tc>
        <w:tc>
          <w:tcPr>
            <w:tcW w:type="dxa" w:w="7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w:t>
            </w:r>
          </w:p>
        </w:tc>
        <w:tc>
          <w:tcPr>
            <w:tcW w:type="dxa" w:w="30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Defined count of verified library recipes (O7).</w:t>
            </w:r>
          </w:p>
        </w:tc>
      </w:tr>
      <w:tr>
        <w:tc>
          <w:tcPr>
            <w:tcW w:type="dxa" w:w="9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1.0</w:t>
            </w:r>
          </w:p>
        </w:tc>
        <w:tc>
          <w:tcPr>
            <w:tcW w:type="dxa" w:w="4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Program closeout report + next-capital recommendation</w:t>
            </w:r>
          </w:p>
        </w:tc>
        <w:tc>
          <w:tcPr>
            <w:tcW w:type="dxa" w:w="7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3</w:t>
            </w:r>
          </w:p>
        </w:tc>
        <w:tc>
          <w:tcPr>
            <w:tcW w:type="dxa" w:w="30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Delivered at G5.</w:t>
            </w:r>
          </w:p>
        </w:tc>
      </w:tr>
    </w:tbl>
    <w:p>
      <w:pPr>
        <w:pStyle w:val="Heading1"/>
        <w:pageBreakBefore/>
      </w:pPr>
      <w:r>
        <w:rPr>
          <w:rFonts w:ascii="Calibri" w:cs="Calibri" w:eastAsia="Calibri" w:hAnsi="Calibri"/>
          <w:color w:val="1F6F43"/>
          <w:sz w:val="30"/>
          <w:szCs w:val="30"/>
        </w:rPr>
        <w:t xml:space="preserve">Appendix C — Assumptions, Constraints &amp; Glossary</w:t>
      </w:r>
    </w:p>
    <w:p>
      <w:pPr>
        <w:pStyle w:val="Heading2"/>
      </w:pPr>
      <w:r>
        <w:rPr>
          <w:rFonts w:ascii="Calibri" w:cs="Calibri" w:eastAsia="Calibri" w:hAnsi="Calibri"/>
          <w:color w:val="2B3440"/>
          <w:sz w:val="25"/>
          <w:szCs w:val="25"/>
        </w:rPr>
        <w:t xml:space="preserve">Assumptions</w:t>
      </w:r>
    </w:p>
    <w:p>
      <w:pPr>
        <w:pStyle w:val="ListParagraph"/>
        <w:numPr>
          <w:ilvl w:val="0"/>
          <w:numId w:val="2"/>
        </w:numPr>
        <w:spacing w:after="70" w:line="268"/>
        <w:jc w:val="left"/>
      </w:pPr>
      <w:r>
        <w:rPr>
          <w:rFonts w:ascii="Calibri" w:cs="Calibri" w:eastAsia="Calibri" w:hAnsi="Calibri"/>
          <w:color w:val="1A1F25"/>
          <w:sz w:val="21"/>
          <w:szCs w:val="21"/>
        </w:rPr>
        <w:t xml:space="preserve">Funding sufficient to begin Phase 1 is secured at month 0; later phases are gate-released.</w:t>
      </w:r>
    </w:p>
    <w:p>
      <w:pPr>
        <w:pStyle w:val="ListParagraph"/>
        <w:numPr>
          <w:ilvl w:val="0"/>
          <w:numId w:val="2"/>
        </w:numPr>
        <w:spacing w:after="70" w:line="268"/>
        <w:jc w:val="left"/>
      </w:pPr>
      <w:r>
        <w:rPr>
          <w:rFonts w:ascii="Calibri" w:cs="Calibri" w:eastAsia="Calibri" w:hAnsi="Calibri"/>
          <w:color w:val="1A1F25"/>
          <w:sz w:val="21"/>
          <w:szCs w:val="21"/>
        </w:rPr>
        <w:t xml:space="preserve">The conversion science holds at appliance scale as the bench/small-scale literature indicates; the pilot tests this.</w:t>
      </w:r>
    </w:p>
    <w:p>
      <w:pPr>
        <w:pStyle w:val="ListParagraph"/>
        <w:numPr>
          <w:ilvl w:val="0"/>
          <w:numId w:val="2"/>
        </w:numPr>
        <w:spacing w:after="70" w:line="268"/>
        <w:jc w:val="left"/>
      </w:pPr>
      <w:r>
        <w:rPr>
          <w:rFonts w:ascii="Calibri" w:cs="Calibri" w:eastAsia="Calibri" w:hAnsi="Calibri"/>
          <w:color w:val="1A1F25"/>
          <w:sz w:val="21"/>
          <w:szCs w:val="21"/>
        </w:rPr>
        <w:t xml:space="preserve">A consumer-digester reference design and a fuel-verification lab partner are obtainable in Phase 1.</w:t>
      </w:r>
    </w:p>
    <w:p>
      <w:pPr>
        <w:pStyle w:val="ListParagraph"/>
        <w:numPr>
          <w:ilvl w:val="0"/>
          <w:numId w:val="2"/>
        </w:numPr>
        <w:spacing w:after="70" w:line="268"/>
        <w:jc w:val="left"/>
      </w:pPr>
      <w:r>
        <w:rPr>
          <w:rFonts w:ascii="Calibri" w:cs="Calibri" w:eastAsia="Calibri" w:hAnsi="Calibri"/>
          <w:color w:val="1A1F25"/>
          <w:sz w:val="21"/>
          <w:szCs w:val="21"/>
        </w:rPr>
        <w:t xml:space="preserve">Personal-use production remains lawful and a certification path for the appliance exists at acceptable cost.</w:t>
      </w:r>
    </w:p>
    <w:p>
      <w:pPr>
        <w:pStyle w:val="ListParagraph"/>
        <w:numPr>
          <w:ilvl w:val="0"/>
          <w:numId w:val="2"/>
        </w:numPr>
        <w:spacing w:after="70" w:line="268"/>
        <w:jc w:val="left"/>
      </w:pPr>
      <w:r>
        <w:rPr>
          <w:rFonts w:ascii="Calibri" w:cs="Calibri" w:eastAsia="Calibri" w:hAnsi="Calibri"/>
          <w:color w:val="1A1F25"/>
          <w:sz w:val="21"/>
          <w:szCs w:val="21"/>
        </w:rPr>
        <w:t xml:space="preserve">Federal grant programs (SBIR, REAP) run on schedules the program can verify and use, despite recent disruptions.</w:t>
      </w:r>
    </w:p>
    <w:p>
      <w:pPr>
        <w:pStyle w:val="Heading2"/>
      </w:pPr>
      <w:r>
        <w:rPr>
          <w:rFonts w:ascii="Calibri" w:cs="Calibri" w:eastAsia="Calibri" w:hAnsi="Calibri"/>
          <w:color w:val="2B3440"/>
          <w:sz w:val="25"/>
          <w:szCs w:val="25"/>
        </w:rPr>
        <w:t xml:space="preserve">Constraints</w:t>
      </w:r>
    </w:p>
    <w:p>
      <w:pPr>
        <w:pStyle w:val="ListParagraph"/>
        <w:numPr>
          <w:ilvl w:val="0"/>
          <w:numId w:val="2"/>
        </w:numPr>
        <w:spacing w:after="70" w:line="268"/>
        <w:jc w:val="left"/>
      </w:pPr>
      <w:r>
        <w:rPr>
          <w:rFonts w:ascii="Calibri" w:cs="Calibri" w:eastAsia="Calibri" w:hAnsi="Calibri"/>
          <w:color w:val="1A1F25"/>
          <w:sz w:val="21"/>
          <w:szCs w:val="21"/>
        </w:rPr>
        <w:t xml:space="preserve">Capital is bounded and staged; the program cannot outspend its gate-released budget.</w:t>
      </w:r>
    </w:p>
    <w:p>
      <w:pPr>
        <w:pStyle w:val="ListParagraph"/>
        <w:numPr>
          <w:ilvl w:val="0"/>
          <w:numId w:val="2"/>
        </w:numPr>
        <w:spacing w:after="70" w:line="268"/>
        <w:jc w:val="left"/>
      </w:pPr>
      <w:r>
        <w:rPr>
          <w:rFonts w:ascii="Calibri" w:cs="Calibri" w:eastAsia="Calibri" w:hAnsi="Calibri"/>
          <w:color w:val="1A1F25"/>
          <w:sz w:val="21"/>
          <w:szCs w:val="21"/>
        </w:rPr>
        <w:t xml:space="preserve">Safety and regulation hold veto power over schedule; no hazardous step proceeds without sign-off.</w:t>
      </w:r>
    </w:p>
    <w:p>
      <w:pPr>
        <w:pStyle w:val="ListParagraph"/>
        <w:numPr>
          <w:ilvl w:val="0"/>
          <w:numId w:val="2"/>
        </w:numPr>
        <w:spacing w:after="70" w:line="268"/>
        <w:jc w:val="left"/>
      </w:pPr>
      <w:r>
        <w:rPr>
          <w:rFonts w:ascii="Calibri" w:cs="Calibri" w:eastAsia="Calibri" w:hAnsi="Calibri"/>
          <w:color w:val="1A1F25"/>
          <w:sz w:val="21"/>
          <w:szCs w:val="21"/>
        </w:rPr>
        <w:t xml:space="preserve">Scope is fixed to two conversion pathways for v1; deferred pathways require change control.</w:t>
      </w:r>
    </w:p>
    <w:p>
      <w:pPr>
        <w:pStyle w:val="ListParagraph"/>
        <w:numPr>
          <w:ilvl w:val="0"/>
          <w:numId w:val="2"/>
        </w:numPr>
        <w:spacing w:after="70" w:line="268"/>
        <w:jc w:val="left"/>
      </w:pPr>
      <w:r>
        <w:rPr>
          <w:rFonts w:ascii="Calibri" w:cs="Calibri" w:eastAsia="Calibri" w:hAnsi="Calibri"/>
          <w:color w:val="1A1F25"/>
          <w:sz w:val="21"/>
          <w:szCs w:val="21"/>
        </w:rPr>
        <w:t xml:space="preserve">The team is small; only a limited number of workstreams can be pushed hard at once, which is why the critical path is protected.</w:t>
      </w:r>
    </w:p>
    <w:p>
      <w:pPr>
        <w:pStyle w:val="Heading2"/>
      </w:pPr>
      <w:r>
        <w:rPr>
          <w:rFonts w:ascii="Calibri" w:cs="Calibri" w:eastAsia="Calibri" w:hAnsi="Calibri"/>
          <w:color w:val="2B3440"/>
          <w:sz w:val="25"/>
          <w:szCs w:val="25"/>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Term</w:t>
            </w:r>
          </w:p>
        </w:tc>
        <w:tc>
          <w:tcPr>
            <w:tcW w:type="dxa" w:w="6760"/>
            <w:tcBorders>
              <w:top w:val="single" w:color="C7CED5" w:sz="1"/>
              <w:left w:val="single" w:color="C7CED5" w:sz="1"/>
              <w:bottom w:val="single" w:color="C7CED5" w:sz="1"/>
              <w:right w:val="single" w:color="C7CED5" w:sz="1"/>
            </w:tcBorders>
            <w:shd w:fill="1F6F43" w:val="clear"/>
            <w:tcMar>
              <w:top w:type="dxa" w:w="70"/>
              <w:left w:type="dxa" w:w="110"/>
              <w:bottom w:type="dxa" w:w="70"/>
              <w:right w:type="dxa" w:w="110"/>
            </w:tcMar>
            <w:vAlign w:val="center"/>
          </w:tcPr>
          <w:p>
            <w:pPr>
              <w:spacing w:after="0" w:line="248"/>
              <w:jc w:val="left"/>
            </w:pPr>
            <w:r>
              <w:rPr>
                <w:rFonts w:ascii="Calibri" w:cs="Calibri" w:eastAsia="Calibri" w:hAnsi="Calibri"/>
                <w:color w:val="FFFFFF"/>
                <w:sz w:val="18"/>
                <w:szCs w:val="18"/>
              </w:rPr>
              <w:t xml:space="preserve">Meaning</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Anaerobic digestion (AD)</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Microbial breakdown of organic matter without oxygen, producing biogas.</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ADM1</w:t>
            </w:r>
          </w:p>
        </w:tc>
        <w:tc>
          <w:tcPr>
            <w:tcW w:type="dxa" w:w="6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Anaerobic Digestion Model No. 1 — the standard framework for modeling digester dynamics.</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ASTM D6751 / EN 14214</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US and EU quality standards for biodiesel.</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Biogas / biomethane</w:t>
            </w:r>
          </w:p>
        </w:tc>
        <w:tc>
          <w:tcPr>
            <w:tcW w:type="dxa" w:w="6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Methane-rich gas from anaerobic digestion; upgraded biogas is biomethane.</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EROI</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Energy return on investment — energy out divided by energy in.</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FAME</w:t>
            </w:r>
          </w:p>
        </w:tc>
        <w:tc>
          <w:tcPr>
            <w:tcW w:type="dxa" w:w="6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Fatty-acid methyl esters — the chemical name for biodiesel.</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Gate (G0–G5)</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 decision point returning Go / Kill / Hold / Recycle.</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LHV</w:t>
            </w:r>
          </w:p>
        </w:tc>
        <w:tc>
          <w:tcPr>
            <w:tcW w:type="dxa" w:w="6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Lower heating value — usable energy content of a fuel.</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NFPA 30</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US standard for flammable and combustible liquids.</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RIN</w:t>
            </w:r>
          </w:p>
        </w:tc>
        <w:tc>
          <w:tcPr>
            <w:tcW w:type="dxa" w:w="6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Renewable Identification Number — the EPA’s renewable-fuel credit unit.</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TTB AFP permit</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Alcohol Fuel Producer permit for home ethanol fuel production.</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Transesterification</w:t>
            </w:r>
          </w:p>
        </w:tc>
        <w:tc>
          <w:tcPr>
            <w:tcW w:type="dxa" w:w="6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The reaction converting oils/fats + alcohol into biodiesel + glycerol.</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VS</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Volatile solids — the organic fraction of feedstock that converts to biogas.</w:t>
            </w:r>
          </w:p>
        </w:tc>
      </w:tr>
      <w:tr>
        <w:tc>
          <w:tcPr>
            <w:tcW w:type="dxa" w:w="260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WBS</w:t>
            </w:r>
          </w:p>
        </w:tc>
        <w:tc>
          <w:tcPr>
            <w:tcW w:type="dxa" w:w="6760"/>
            <w:tcBorders>
              <w:top w:val="single" w:color="C7CED5" w:sz="1"/>
              <w:left w:val="single" w:color="C7CED5" w:sz="1"/>
              <w:bottom w:val="single" w:color="C7CED5" w:sz="1"/>
              <w:right w:val="single" w:color="C7CED5" w:sz="1"/>
            </w:tcBorders>
            <w:shd w:fill="E4F0E9"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Work breakdown structure — the hierarchical decomposition of program work.</w:t>
            </w:r>
          </w:p>
        </w:tc>
      </w:tr>
      <w:tr>
        <w:tc>
          <w:tcPr>
            <w:tcW w:type="dxa" w:w="260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WCO</w:t>
            </w:r>
          </w:p>
        </w:tc>
        <w:tc>
          <w:tcPr>
            <w:tcW w:type="dxa" w:w="6760"/>
            <w:tcBorders>
              <w:top w:val="single" w:color="C7CED5" w:sz="1"/>
              <w:left w:val="single" w:color="C7CED5" w:sz="1"/>
              <w:bottom w:val="single" w:color="C7CED5" w:sz="1"/>
              <w:right w:val="single" w:color="C7CED5" w:sz="1"/>
            </w:tcBorders>
            <w:shd w:fill="FFFFFF" w:val="clear"/>
            <w:tcMar>
              <w:top w:type="dxa" w:w="56"/>
              <w:left w:type="dxa" w:w="110"/>
              <w:bottom w:type="dxa" w:w="56"/>
              <w:right w:type="dxa" w:w="110"/>
            </w:tcMar>
            <w:vAlign w:val="center"/>
          </w:tcPr>
          <w:p>
            <w:pPr>
              <w:spacing w:after="0" w:line="248"/>
              <w:jc w:val="left"/>
            </w:pPr>
            <w:r>
              <w:rPr>
                <w:rFonts w:ascii="Calibri" w:cs="Calibri" w:eastAsia="Calibri" w:hAnsi="Calibri"/>
                <w:color w:val="1A1F25"/>
                <w:sz w:val="18"/>
                <w:szCs w:val="18"/>
              </w:rPr>
              <w:t xml:space="preserve">Waste cooking oil — the principal biodiesel feedstock.</w:t>
            </w:r>
          </w:p>
        </w:tc>
      </w:tr>
    </w:tbl>
    <w:p>
      <w:pPr>
        <w:pStyle w:val="Heading1"/>
        <w:pageBreakBefore/>
      </w:pPr>
      <w:r>
        <w:rPr>
          <w:rFonts w:ascii="Calibri" w:cs="Calibri" w:eastAsia="Calibri" w:hAnsi="Calibri"/>
          <w:color w:val="1F6F43"/>
          <w:sz w:val="30"/>
          <w:szCs w:val="30"/>
        </w:rPr>
        <w:t xml:space="preserve">Appendix D — Selected References</w:t>
      </w:r>
    </w:p>
    <w:p>
      <w:pPr>
        <w:keepNext w:val="false"/>
        <w:spacing w:after="140" w:before="0" w:line="276"/>
        <w:jc w:val="both"/>
      </w:pPr>
      <w:r>
        <w:rPr>
          <w:rFonts w:ascii="Calibri" w:cs="Calibri" w:eastAsia="Calibri" w:hAnsi="Calibri"/>
          <w:color w:val="1A1F25"/>
          <w:sz w:val="21"/>
          <w:szCs w:val="21"/>
        </w:rPr>
        <w:t xml:space="preserve">This plan is grounded in a dedicated research base spanning peer-reviewed literature, government and regulatory sources, technical references, and market analyses. The companion academic deliverable — </w:t>
      </w:r>
      <w:r>
        <w:rPr>
          <w:rFonts w:ascii="Calibri" w:cs="Calibri" w:eastAsia="Calibri" w:hAnsi="Calibri"/>
          <w:i/>
          <w:iCs/>
          <w:color w:val="1A1F25"/>
          <w:sz w:val="21"/>
          <w:szCs w:val="21"/>
        </w:rPr>
        <w:t xml:space="preserve">Biotank: A Techno-Economic and Systems-Design Feasibility Study</w:t>
      </w:r>
      <w:r>
        <w:rPr>
          <w:rFonts w:ascii="Calibri" w:cs="Calibri" w:eastAsia="Calibri" w:hAnsi="Calibri"/>
          <w:color w:val="1A1F25"/>
          <w:sz w:val="21"/>
          <w:szCs w:val="21"/>
        </w:rPr>
        <w:t xml:space="preserve"> — contains the full bibliography of 125 IEEE-formatted sources with complete citation detail, and is the authoritative evidence base for the technical, economic, lifecycle, safety, and market claims summarized in this plan. The selected references below indicate the principal categories and load-bearing sources relied upon here; readers seeking the full citations, equations, and the techno-economic and lifecycle analysis should consult that paper.</w:t>
      </w:r>
    </w:p>
    <w:p>
      <w:pPr>
        <w:pStyle w:val="Heading3"/>
      </w:pPr>
      <w:r>
        <w:rPr>
          <w:rFonts w:ascii="Calibri" w:cs="Calibri" w:eastAsia="Calibri" w:hAnsi="Calibri"/>
          <w:color w:val="C8881A"/>
          <w:sz w:val="22"/>
          <w:szCs w:val="22"/>
        </w:rPr>
        <w:t xml:space="preserve">Regulatory and policy</w:t>
      </w:r>
    </w:p>
    <w:p>
      <w:pPr>
        <w:pStyle w:val="ListParagraph"/>
        <w:numPr>
          <w:ilvl w:val="0"/>
          <w:numId w:val="2"/>
        </w:numPr>
        <w:spacing w:after="70" w:line="268"/>
        <w:jc w:val="left"/>
      </w:pPr>
      <w:r>
        <w:rPr>
          <w:rFonts w:ascii="Calibri" w:cs="Calibri" w:eastAsia="Calibri" w:hAnsi="Calibri"/>
          <w:color w:val="1A1F25"/>
          <w:sz w:val="21"/>
          <w:szCs w:val="21"/>
        </w:rPr>
        <w:t xml:space="preserve">U.S. Environmental Protection Agency — Renewable Fuel Standard (RFS) program and the 2026–2027 “Set 2” final rule on renewable-fuel volumes.</w:t>
      </w:r>
    </w:p>
    <w:p>
      <w:pPr>
        <w:pStyle w:val="ListParagraph"/>
        <w:numPr>
          <w:ilvl w:val="0"/>
          <w:numId w:val="2"/>
        </w:numPr>
        <w:spacing w:after="70" w:line="268"/>
        <w:jc w:val="left"/>
      </w:pPr>
      <w:r>
        <w:rPr>
          <w:rFonts w:ascii="Calibri" w:cs="Calibri" w:eastAsia="Calibri" w:hAnsi="Calibri"/>
          <w:color w:val="1A1F25"/>
          <w:sz w:val="21"/>
          <w:szCs w:val="21"/>
        </w:rPr>
        <w:t xml:space="preserve">U.S. Alcohol and Tobacco Tax and Trade Bureau (TTB) — Alcohol Fuel Producer permit requirements and denaturing rules (Form 5110.74).</w:t>
      </w:r>
    </w:p>
    <w:p>
      <w:pPr>
        <w:pStyle w:val="ListParagraph"/>
        <w:numPr>
          <w:ilvl w:val="0"/>
          <w:numId w:val="2"/>
        </w:numPr>
        <w:spacing w:after="70" w:line="268"/>
        <w:jc w:val="left"/>
      </w:pPr>
      <w:r>
        <w:rPr>
          <w:rFonts w:ascii="Calibri" w:cs="Calibri" w:eastAsia="Calibri" w:hAnsi="Calibri"/>
          <w:color w:val="1A1F25"/>
          <w:sz w:val="21"/>
          <w:szCs w:val="21"/>
        </w:rPr>
        <w:t xml:space="preserve">Oklahoma State University Extension — on-farm ethanol production regulatory guidance (AGEC-1019).</w:t>
      </w:r>
    </w:p>
    <w:p>
      <w:pPr>
        <w:pStyle w:val="ListParagraph"/>
        <w:numPr>
          <w:ilvl w:val="0"/>
          <w:numId w:val="2"/>
        </w:numPr>
        <w:spacing w:after="70" w:line="268"/>
        <w:jc w:val="left"/>
      </w:pPr>
      <w:r>
        <w:rPr>
          <w:rFonts w:ascii="Calibri" w:cs="Calibri" w:eastAsia="Calibri" w:hAnsi="Calibri"/>
          <w:color w:val="1A1F25"/>
          <w:sz w:val="21"/>
          <w:szCs w:val="21"/>
        </w:rPr>
        <w:t xml:space="preserve">U.S. Internal Revenue Service / Treasury — 45Z Clean Fuel Production Credit guidance.</w:t>
      </w:r>
    </w:p>
    <w:p>
      <w:pPr>
        <w:pStyle w:val="ListParagraph"/>
        <w:numPr>
          <w:ilvl w:val="0"/>
          <w:numId w:val="2"/>
        </w:numPr>
        <w:spacing w:after="70" w:line="268"/>
        <w:jc w:val="left"/>
      </w:pPr>
      <w:r>
        <w:rPr>
          <w:rFonts w:ascii="Calibri" w:cs="Calibri" w:eastAsia="Calibri" w:hAnsi="Calibri"/>
          <w:color w:val="1A1F25"/>
          <w:sz w:val="21"/>
          <w:szCs w:val="21"/>
        </w:rPr>
        <w:t xml:space="preserve">Hobby Distillers Association v. TTB — federal litigation on home distilling (2024; appeal upheld 2026).</w:t>
      </w:r>
    </w:p>
    <w:p>
      <w:pPr>
        <w:pStyle w:val="ListParagraph"/>
        <w:numPr>
          <w:ilvl w:val="0"/>
          <w:numId w:val="2"/>
        </w:numPr>
        <w:spacing w:after="70" w:line="268"/>
        <w:jc w:val="left"/>
      </w:pPr>
      <w:r>
        <w:rPr>
          <w:rFonts w:ascii="Calibri" w:cs="Calibri" w:eastAsia="Calibri" w:hAnsi="Calibri"/>
          <w:color w:val="1A1F25"/>
          <w:sz w:val="21"/>
          <w:szCs w:val="21"/>
        </w:rPr>
        <w:t xml:space="preserve">Arkansas Code and DEQ clean-fuel programs — state biodiesel mandate and producer reporting.</w:t>
      </w:r>
    </w:p>
    <w:p>
      <w:pPr>
        <w:pStyle w:val="Heading3"/>
      </w:pPr>
      <w:r>
        <w:rPr>
          <w:rFonts w:ascii="Calibri" w:cs="Calibri" w:eastAsia="Calibri" w:hAnsi="Calibri"/>
          <w:color w:val="C8881A"/>
          <w:sz w:val="22"/>
          <w:szCs w:val="22"/>
        </w:rPr>
        <w:t xml:space="preserve">Technical and scientific</w:t>
      </w:r>
    </w:p>
    <w:p>
      <w:pPr>
        <w:pStyle w:val="ListParagraph"/>
        <w:numPr>
          <w:ilvl w:val="0"/>
          <w:numId w:val="2"/>
        </w:numPr>
        <w:spacing w:after="70" w:line="268"/>
        <w:jc w:val="left"/>
      </w:pPr>
      <w:r>
        <w:rPr>
          <w:rFonts w:ascii="Calibri" w:cs="Calibri" w:eastAsia="Calibri" w:hAnsi="Calibri"/>
          <w:color w:val="1A1F25"/>
          <w:sz w:val="21"/>
          <w:szCs w:val="21"/>
        </w:rPr>
        <w:t xml:space="preserve">Peer-reviewed reviews of biodiesel production from waste cooking oil and small-scale/intensified reactor designs (ScienceDirect; Frontiers in Chemical Engineering).</w:t>
      </w:r>
    </w:p>
    <w:p>
      <w:pPr>
        <w:pStyle w:val="ListParagraph"/>
        <w:numPr>
          <w:ilvl w:val="0"/>
          <w:numId w:val="2"/>
        </w:numPr>
        <w:spacing w:after="70" w:line="268"/>
        <w:jc w:val="left"/>
      </w:pPr>
      <w:r>
        <w:rPr>
          <w:rFonts w:ascii="Calibri" w:cs="Calibri" w:eastAsia="Calibri" w:hAnsi="Calibri"/>
          <w:color w:val="1A1F25"/>
          <w:sz w:val="21"/>
          <w:szCs w:val="21"/>
        </w:rPr>
        <w:t xml:space="preserve">Anaerobic-digestion yield meta-analyses and household-digester studies (ScienceDirect; PMC; HomeBiogas/PUXIN documentation).</w:t>
      </w:r>
    </w:p>
    <w:p>
      <w:pPr>
        <w:pStyle w:val="ListParagraph"/>
        <w:numPr>
          <w:ilvl w:val="0"/>
          <w:numId w:val="2"/>
        </w:numPr>
        <w:spacing w:after="70" w:line="268"/>
        <w:jc w:val="left"/>
      </w:pPr>
      <w:r>
        <w:rPr>
          <w:rFonts w:ascii="Calibri" w:cs="Calibri" w:eastAsia="Calibri" w:hAnsi="Calibri"/>
          <w:color w:val="1A1F25"/>
          <w:sz w:val="21"/>
          <w:szCs w:val="21"/>
        </w:rPr>
        <w:t xml:space="preserve">Biodiesel-blend and ethanol-blend combustion studies (AIMS Energy; ACS Energy &amp; Fuels; NREL/AFDC).</w:t>
      </w:r>
    </w:p>
    <w:p>
      <w:pPr>
        <w:pStyle w:val="ListParagraph"/>
        <w:numPr>
          <w:ilvl w:val="0"/>
          <w:numId w:val="2"/>
        </w:numPr>
        <w:spacing w:after="70" w:line="268"/>
        <w:jc w:val="left"/>
      </w:pPr>
      <w:r>
        <w:rPr>
          <w:rFonts w:ascii="Calibri" w:cs="Calibri" w:eastAsia="Calibri" w:hAnsi="Calibri"/>
          <w:color w:val="1A1F25"/>
          <w:sz w:val="21"/>
          <w:szCs w:val="21"/>
        </w:rPr>
        <w:t xml:space="preserve">Biogas-to-electricity conversion and CHP efficiency references (energypedia; Green Gas Inc; engine-manufacturer data).</w:t>
      </w:r>
    </w:p>
    <w:p>
      <w:pPr>
        <w:pStyle w:val="ListParagraph"/>
        <w:numPr>
          <w:ilvl w:val="0"/>
          <w:numId w:val="2"/>
        </w:numPr>
        <w:spacing w:after="70" w:line="268"/>
        <w:jc w:val="left"/>
      </w:pPr>
      <w:r>
        <w:rPr>
          <w:rFonts w:ascii="Calibri" w:cs="Calibri" w:eastAsia="Calibri" w:hAnsi="Calibri"/>
          <w:color w:val="1A1F25"/>
          <w:sz w:val="21"/>
          <w:szCs w:val="21"/>
        </w:rPr>
        <w:t xml:space="preserve">Anaerobic Digestion Model No. 1 — Batstone et al., Water Science &amp; Technology (2002).</w:t>
      </w:r>
    </w:p>
    <w:p>
      <w:pPr>
        <w:pStyle w:val="Heading3"/>
      </w:pPr>
      <w:r>
        <w:rPr>
          <w:rFonts w:ascii="Calibri" w:cs="Calibri" w:eastAsia="Calibri" w:hAnsi="Calibri"/>
          <w:color w:val="C8881A"/>
          <w:sz w:val="22"/>
          <w:szCs w:val="22"/>
        </w:rPr>
        <w:t xml:space="preserve">Market, funding, and methodology</w:t>
      </w:r>
    </w:p>
    <w:p>
      <w:pPr>
        <w:pStyle w:val="ListParagraph"/>
        <w:numPr>
          <w:ilvl w:val="0"/>
          <w:numId w:val="2"/>
        </w:numPr>
        <w:spacing w:after="70" w:line="268"/>
        <w:jc w:val="left"/>
      </w:pPr>
      <w:r>
        <w:rPr>
          <w:rFonts w:ascii="Calibri" w:cs="Calibri" w:eastAsia="Calibri" w:hAnsi="Calibri"/>
          <w:color w:val="1A1F25"/>
          <w:sz w:val="21"/>
          <w:szCs w:val="21"/>
        </w:rPr>
        <w:t xml:space="preserve">Biofuel and hybrid-vehicle market analyses (Mordor Intelligence; Precedence Research; Global Market Insights; Fortune Business Insights; Research and Markets).</w:t>
      </w:r>
    </w:p>
    <w:p>
      <w:pPr>
        <w:pStyle w:val="ListParagraph"/>
        <w:numPr>
          <w:ilvl w:val="0"/>
          <w:numId w:val="2"/>
        </w:numPr>
        <w:spacing w:after="70" w:line="268"/>
        <w:jc w:val="left"/>
      </w:pPr>
      <w:r>
        <w:rPr>
          <w:rFonts w:ascii="Calibri" w:cs="Calibri" w:eastAsia="Calibri" w:hAnsi="Calibri"/>
          <w:color w:val="1A1F25"/>
          <w:sz w:val="21"/>
          <w:szCs w:val="21"/>
        </w:rPr>
        <w:t xml:space="preserve">Decentralized-science and tokenized-incentive references for the community model.</w:t>
      </w:r>
    </w:p>
    <w:p>
      <w:pPr>
        <w:pStyle w:val="ListParagraph"/>
        <w:numPr>
          <w:ilvl w:val="0"/>
          <w:numId w:val="2"/>
        </w:numPr>
        <w:spacing w:after="70" w:line="268"/>
        <w:jc w:val="left"/>
      </w:pPr>
      <w:r>
        <w:rPr>
          <w:rFonts w:ascii="Calibri" w:cs="Calibri" w:eastAsia="Calibri" w:hAnsi="Calibri"/>
          <w:color w:val="1A1F25"/>
          <w:sz w:val="21"/>
          <w:szCs w:val="21"/>
        </w:rPr>
        <w:t xml:space="preserve">DOE SBIR/STTR and USDA REAP program documentation for non-dilutive funding.</w:t>
      </w:r>
    </w:p>
    <w:p>
      <w:pPr>
        <w:pStyle w:val="ListParagraph"/>
        <w:numPr>
          <w:ilvl w:val="0"/>
          <w:numId w:val="2"/>
        </w:numPr>
        <w:spacing w:after="70" w:line="268"/>
        <w:jc w:val="left"/>
      </w:pPr>
      <w:r>
        <w:rPr>
          <w:rFonts w:ascii="Calibri" w:cs="Calibri" w:eastAsia="Calibri" w:hAnsi="Calibri"/>
          <w:color w:val="1A1F25"/>
          <w:sz w:val="21"/>
          <w:szCs w:val="21"/>
        </w:rPr>
        <w:t xml:space="preserve">Stage-Gate methodology (Cooper) and the PMI Standard for Project Management / PMBOK Guide, 7th ed., for governance and risk.</w:t>
      </w:r>
    </w:p>
    <w:p>
      <w:pPr>
        <w:pStyle w:val="ListParagraph"/>
        <w:numPr>
          <w:ilvl w:val="0"/>
          <w:numId w:val="2"/>
        </w:numPr>
        <w:spacing w:after="70" w:line="268"/>
        <w:jc w:val="left"/>
      </w:pPr>
      <w:r>
        <w:rPr>
          <w:rFonts w:ascii="Calibri" w:cs="Calibri" w:eastAsia="Calibri" w:hAnsi="Calibri"/>
          <w:color w:val="1A1F25"/>
          <w:sz w:val="21"/>
          <w:szCs w:val="21"/>
        </w:rPr>
        <w:t xml:space="preserve">Cleantech-venture capital-intensity and failure-rate analyses (MIT Energy Initiative; MIT Technology Review).</w:t>
      </w:r>
    </w:p>
    <w:p>
      <w:pPr>
        <w:spacing w:after="160"/>
      </w:pPr>
      <w:r>
        <w:t xml:space="preserve"/>
      </w:r>
    </w:p>
    <w:tbl>
      <w:tblPr>
        <w:tblW w:type="dxa" w:w="9360"/>
        <w:tblBorders>
          <w:top w:val="single" w:color="E4F0E9" w:sz="2"/>
          <w:left w:val="single" w:color="1F6F43" w:sz="28"/>
          <w:bottom w:val="single" w:color="E4F0E9" w:sz="2"/>
          <w:right w:val="single" w:color="E4F0E9" w:sz="2"/>
          <w:insideH w:val="single" w:color="auto" w:sz="4"/>
          <w:insideV w:val="single" w:color="auto" w:sz="4"/>
        </w:tblBorders>
      </w:tblPr>
      <w:tblGrid>
        <w:gridCol w:w="9360"/>
      </w:tblGrid>
      <w:tr>
        <w:tc>
          <w:tcPr>
            <w:tcW w:type="dxa" w:w="9360"/>
            <w:shd w:fill="E4F0E9" w:val="clear"/>
            <w:tcMar>
              <w:top w:type="dxa" w:w="120"/>
              <w:left w:type="dxa" w:w="200"/>
              <w:bottom w:type="dxa" w:w="120"/>
              <w:right w:type="dxa" w:w="160"/>
            </w:tcMar>
          </w:tcPr>
          <w:p>
            <w:pPr>
              <w:spacing w:after="60" w:line="264"/>
              <w:jc w:val="left"/>
            </w:pPr>
            <w:r>
              <w:rPr>
                <w:rFonts w:ascii="Calibri" w:cs="Calibri" w:eastAsia="Calibri" w:hAnsi="Calibri"/>
                <w:color w:val="1F6F43"/>
                <w:sz w:val="19"/>
                <w:szCs w:val="19"/>
              </w:rPr>
              <w:t xml:space="preserve">Closing note</w:t>
            </w:r>
          </w:p>
          <w:p>
            <w:pPr>
              <w:spacing w:after="0" w:line="264"/>
              <w:jc w:val="left"/>
            </w:pPr>
            <w:r>
              <w:rPr>
                <w:rFonts w:ascii="Calibri" w:cs="Calibri" w:eastAsia="Calibri" w:hAnsi="Calibri"/>
                <w:color w:val="1A1F25"/>
                <w:sz w:val="19"/>
                <w:szCs w:val="19"/>
              </w:rPr>
              <w:t xml:space="preserve">This Project Management Plan is a living document. It will be revised at each gate as evidence accumulates and estimates firm up. Its purpose is not to predict the future precisely but to make the program’s reasoning explicit, its risks visible, and its escalations deliberate — so that an ambitious idea is pursued with discipline, and stopped or redirected honestly if the evidence demands it.</w:t>
            </w:r>
          </w:p>
        </w:tc>
      </w:tr>
    </w:tbl>
    <w:p>
      <w:pPr>
        <w:keepNext w:val="false"/>
        <w:spacing w:after="140" w:before="200" w:line="276"/>
        <w:jc w:val="center"/>
      </w:pPr>
      <w:r>
        <w:rPr>
          <w:rFonts w:ascii="Calibri" w:cs="Calibri" w:eastAsia="Calibri" w:hAnsi="Calibri"/>
          <w:color w:val="6B7682"/>
          <w:sz w:val="18"/>
          <w:szCs w:val="18"/>
        </w:rPr>
        <w:t xml:space="preserve">— End of Project Management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ED5" w:sz="4" w:space="6"/>
      </w:pBdr>
      <w:tabs>
        <w:tab w:val="center" w:pos="4680"/>
        <w:tab w:val="right" w:pos="9360"/>
      </w:tabs>
      <w:spacing w:before="40"/>
    </w:pPr>
    <w:r>
      <w:rPr>
        <w:color w:val="6B7682"/>
        <w:sz w:val="15"/>
        <w:szCs w:val="15"/>
      </w:rPr>
      <w:t xml:space="preserve">Confidential — Internal Planning Document</w:t>
    </w:r>
    <w:r>
      <w:rPr>
        <w:color w:val="6B7682"/>
        <w:sz w:val="15"/>
        <w:szCs w:val="15"/>
      </w:rPr>
      <w:t xml:space="preserve">	Biotank Program</w:t>
    </w:r>
    <w:r>
      <w:rPr>
        <w:color w:val="6B7682"/>
        <w:sz w:val="15"/>
        <w:szCs w:val="15"/>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43" w:sz="4" w:space="6"/>
      </w:pBdr>
      <w:tabs>
        <w:tab w:val="right" w:pos="9360"/>
      </w:tabs>
      <w:spacing w:after="60"/>
    </w:pPr>
    <w:r>
      <w:rPr>
        <w:rFonts w:ascii="Calibri" w:cs="Calibri" w:eastAsia="Calibri" w:hAnsi="Calibri"/>
        <w:b/>
        <w:bCs/>
        <w:color w:val="1F6F43"/>
        <w:sz w:val="16"/>
        <w:szCs w:val="16"/>
      </w:rPr>
      <w:t xml:space="preserve">BIOTANK</w:t>
    </w:r>
    <w:r>
      <w:rPr>
        <w:color w:val="6B7682"/>
        <w:sz w:val="16"/>
        <w:szCs w:val="16"/>
      </w:rPr>
      <w:t xml:space="preserve">  ·  Project Management Plan</w:t>
    </w:r>
    <w:r>
      <w:rPr>
        <w:i/>
        <w:iCs/>
        <w:color w:val="6B7682"/>
        <w:sz w:val="16"/>
        <w:szCs w:val="16"/>
      </w:rPr>
      <w:t xml:space="preserve">	Biotank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lowerLetter"/>
      <w:lvlText w:val="%2."/>
      <w:lvlJc w:val="left"/>
      <w:pPr>
        <w:ind w:left="8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pPr>
    <w:rPr>
      <w:rFonts w:ascii="Calibri" w:cs="Calibri" w:eastAsia="Calibri" w:hAnsi="Calibri"/>
      <w:b/>
      <w:bCs/>
      <w:color w:val="FFFFFF"/>
      <w:sz w:val="56"/>
      <w:szCs w:val="56"/>
    </w:rPr>
  </w:style>
  <w:style w:type="paragraph" w:styleId="Heading1">
    <w:name w:val="Heading 1"/>
    <w:basedOn w:val="Normal"/>
    <w:next w:val="Normal"/>
    <w:qFormat/>
    <w:pPr>
      <w:keepNext/>
      <w:spacing w:after="140" w:before="320"/>
      <w:outlineLvl w:val="0"/>
    </w:pPr>
    <w:rPr>
      <w:rFonts w:ascii="Calibri" w:cs="Calibri" w:eastAsia="Calibri" w:hAnsi="Calibri"/>
      <w:b/>
      <w:bCs/>
      <w:color w:val="1F6F43"/>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B3440"/>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C8881A"/>
      <w:sz w:val="22"/>
      <w:szCs w:val="22"/>
    </w:rPr>
  </w:style>
  <w:style w:type="paragraph" w:styleId="Heading4">
    <w:name w:val="Heading 4"/>
    <w:basedOn w:val="Normal"/>
    <w:next w:val="Normal"/>
    <w:qFormat/>
    <w:pPr>
      <w:keepNext/>
      <w:spacing w:after="60" w:before="140"/>
      <w:outlineLvl w:val="3"/>
    </w:pPr>
    <w:rPr>
      <w:rFonts w:ascii="Calibri" w:cs="Calibri" w:eastAsia="Calibri" w:hAnsi="Calibri"/>
      <w:b/>
      <w:bCs/>
      <w:i/>
      <w:iCs/>
      <w:color w:val="2B3440"/>
      <w:sz w:val="21"/>
      <w:szCs w:val="21"/>
    </w:rPr>
  </w:style>
  <w:style w:type="paragraph" w:styleId="Normal">
    <w:name w:val="Normal"/>
    <w:pPr>
      <w:spacing w:after="140" w:line="276"/>
      <w:jc w:val="both"/>
    </w:pPr>
    <w:rPr>
      <w:rFonts w:ascii="Calibri" w:cs="Calibri" w:eastAsia="Calibri" w:hAnsi="Calibri"/>
      <w:color w:val="1A1F25"/>
      <w:sz w:val="21"/>
      <w:szCs w:val="21"/>
    </w:rPr>
  </w:style>
  <w:style w:type="paragraph" w:styleId="Caption">
    <w:name w:val="Caption"/>
    <w:basedOn w:val="Normal"/>
    <w:next w:val="Normal"/>
    <w:pPr>
      <w:spacing w:after="160" w:before="40"/>
      <w:jc w:val="center"/>
    </w:pPr>
    <w:rPr>
      <w:i/>
      <w:iCs/>
      <w:color w:val="6B7682"/>
      <w:sz w:val="17"/>
      <w:szCs w:val="17"/>
    </w:rPr>
  </w:style>
  <w:style w:type="paragraph" w:styleId="TableText">
    <w:name w:val="TableText"/>
    <w:basedOn w:val="Normal"/>
    <w:next w:val="Normal"/>
    <w:pPr>
      <w:spacing w:after="20" w:line="252"/>
      <w:jc w:val="left"/>
    </w:pPr>
    <w:rPr>
      <w:color w:val="1A1F25"/>
      <w:sz w:val="18"/>
      <w:szCs w:val="18"/>
    </w:rPr>
  </w:style>
  <w:style w:type="paragraph" w:styleId="TableHead">
    <w:name w:val="TableHead"/>
    <w:basedOn w:val="Normal"/>
    <w:next w:val="Normal"/>
    <w:pPr>
      <w:spacing w:after="20" w:line="252"/>
      <w:jc w:val="left"/>
    </w:pPr>
    <w:rPr>
      <w:b/>
      <w:bCs/>
      <w:color w:val="FFFFF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Biotank — Project Management Plan</dc:title>
  <dc:creator>Biotank Program</dc:creator>
  <dc:description>Project management plan for the Biotank home biofuel processor</dc:description>
  <cp:lastModifiedBy>Un-named</cp:lastModifiedBy>
  <cp:revision>1</cp:revision>
  <dcterms:created xsi:type="dcterms:W3CDTF">2026-06-17T20:29:15.616Z</dcterms:created>
  <dcterms:modified xsi:type="dcterms:W3CDTF">2026-06-17T20:29:15.628Z</dcterms:modified>
</cp:coreProperties>
</file>

<file path=docProps/custom.xml><?xml version="1.0" encoding="utf-8"?>
<Properties xmlns="http://schemas.openxmlformats.org/officeDocument/2006/custom-properties" xmlns:vt="http://schemas.openxmlformats.org/officeDocument/2006/docPropsVTypes"/>
</file>