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drawing>
          <wp:inline distT="0" distB="0" distL="0" distR="0">
            <wp:extent cx="1428750" cy="1428750"/>
            <wp:effectExtent t="0" r="0" b="0" l="0"/>
            <wp:docPr id="1" name="logo" descr="DiamondDrive" title="DiamondDri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20"/>
        <w:jc w:val="center"/>
      </w:pPr>
      <w:r>
        <w:rPr>
          <w:rFonts w:ascii="Calibri" w:cs="Calibri" w:eastAsia="Calibri" w:hAnsi="Calibri"/>
          <w:b/>
          <w:bCs/>
          <w:color w:val="0B1F3A"/>
          <w:sz w:val="52"/>
          <w:szCs w:val="52"/>
        </w:rPr>
        <w:t xml:space="preserve">Diamond</w:t>
      </w:r>
      <w:r>
        <w:rPr>
          <w:rFonts w:ascii="Calibri" w:cs="Calibri" w:eastAsia="Calibri" w:hAnsi="Calibri"/>
          <w:b/>
          <w:bCs/>
          <w:color w:val="1C6FD6"/>
          <w:sz w:val="52"/>
          <w:szCs w:val="52"/>
        </w:rPr>
        <w:t xml:space="preserve">Drive</w:t>
      </w:r>
    </w:p>
    <w:p>
      <w:pPr>
        <w:spacing w:after="260"/>
        <w:jc w:val="center"/>
      </w:pPr>
      <w:r>
        <w:rPr>
          <w:rFonts w:ascii="Calibri" w:cs="Calibri" w:eastAsia="Calibri" w:hAnsi="Calibri"/>
          <w:b/>
          <w:bCs/>
          <w:color w:val="9D2235"/>
          <w:spacing w:val="80"/>
          <w:sz w:val="18"/>
          <w:szCs w:val="18"/>
        </w:rPr>
        <w:t xml:space="preserve">PATIENCE PAYS.</w:t>
      </w:r>
    </w:p>
    <w:p>
      <w:pPr>
        <w:pBdr>
          <w:bottom w:val="single" w:color="1C6FD6" w:sz="14" w:space="2"/>
        </w:pBdr>
        <w:spacing w:after="200"/>
        <w:jc w:val="center"/>
      </w:pPr>
      <w:r>
        <w:rPr>
          <w:sz w:val="2"/>
          <w:szCs w:val="2"/>
        </w:rPr>
        <w:t xml:space="preserve"/>
      </w:r>
    </w:p>
    <w:p>
      <w:pPr>
        <w:spacing w:after="60"/>
        <w:jc w:val="center"/>
      </w:pPr>
      <w:r>
        <w:rPr>
          <w:rFonts w:ascii="Calibri" w:cs="Calibri" w:eastAsia="Calibri" w:hAnsi="Calibri"/>
          <w:b/>
          <w:bCs/>
          <w:color w:val="0B1F3A"/>
          <w:sz w:val="46"/>
          <w:szCs w:val="46"/>
        </w:rPr>
        <w:t xml:space="preserve">Project Management Plan</w:t>
      </w:r>
    </w:p>
    <w:p>
      <w:pPr>
        <w:spacing w:after="200"/>
        <w:jc w:val="center"/>
      </w:pPr>
      <w:r>
        <w:rPr>
          <w:rFonts w:ascii="Calibri" w:cs="Calibri" w:eastAsia="Calibri" w:hAnsi="Calibri"/>
          <w:b/>
          <w:bCs/>
          <w:color w:val="3A4A5E"/>
          <w:sz w:val="34"/>
          <w:szCs w:val="34"/>
        </w:rPr>
        <w:t xml:space="preserve">&amp; Feasibility Document</w:t>
      </w:r>
    </w:p>
    <w:p>
      <w:pPr>
        <w:spacing w:after="30"/>
        <w:jc w:val="center"/>
      </w:pPr>
      <w:r>
        <w:rPr>
          <w:rFonts w:ascii="Calibri" w:cs="Calibri" w:eastAsia="Calibri" w:hAnsi="Calibri"/>
          <w:i/>
          <w:iCs/>
          <w:color w:val="20303F"/>
          <w:sz w:val="24"/>
          <w:szCs w:val="24"/>
        </w:rPr>
        <w:t xml:space="preserve">A student-led peer-to-peer rideshare and item-delivery network</w:t>
      </w:r>
    </w:p>
    <w:p>
      <w:pPr>
        <w:spacing w:after="360"/>
        <w:jc w:val="center"/>
      </w:pPr>
      <w:r>
        <w:rPr>
          <w:rFonts w:ascii="Calibri" w:cs="Calibri" w:eastAsia="Calibri" w:hAnsi="Calibri"/>
          <w:i/>
          <w:iCs/>
          <w:color w:val="20303F"/>
          <w:sz w:val="24"/>
          <w:szCs w:val="24"/>
        </w:rPr>
        <w:t xml:space="preserve">for the University of Arkansas and the Northwest Arkansas corridor</w:t>
      </w:r>
    </w:p>
    <w:p>
      <w:pPr>
        <w:spacing w:after="40"/>
        <w:jc w:val="center"/>
      </w:pPr>
      <w:r>
        <w:rPr>
          <w:rFonts w:ascii="Calibri" w:cs="Calibri" w:eastAsia="Calibri" w:hAnsi="Calibri"/>
          <w:b/>
          <w:bCs/>
          <w:color w:val="0B1F3A"/>
          <w:spacing w:val="30"/>
          <w:sz w:val="18"/>
          <w:szCs w:val="18"/>
        </w:rPr>
        <w:t xml:space="preserve">CAPSTONE PILOT PROJECT</w:t>
      </w:r>
      <w:r>
        <w:rPr>
          <w:rFonts w:ascii="Calibri" w:cs="Calibri" w:eastAsia="Calibri" w:hAnsi="Calibri"/>
          <w:b/>
          <w:bCs/>
          <w:color w:val="1C6FD6"/>
          <w:sz w:val="18"/>
          <w:szCs w:val="18"/>
        </w:rPr>
        <w:t xml:space="preserve">      ◆      </w:t>
      </w:r>
      <w:r>
        <w:rPr>
          <w:rFonts w:ascii="Calibri" w:cs="Calibri" w:eastAsia="Calibri" w:hAnsi="Calibri"/>
          <w:b/>
          <w:bCs/>
          <w:color w:val="9D2235"/>
          <w:spacing w:val="30"/>
          <w:sz w:val="18"/>
          <w:szCs w:val="18"/>
        </w:rPr>
        <w:t xml:space="preserve">NWA VENTURE PLAN</w:t>
      </w:r>
    </w:p>
    <w:p>
      <w:pPr>
        <w:spacing w:after="10" w:before="200"/>
        <w:jc w:val="center"/>
      </w:pPr>
      <w:r>
        <w:rPr>
          <w:rFonts w:ascii="Calibri" w:cs="Calibri" w:eastAsia="Calibri" w:hAnsi="Calibri"/>
          <w:color w:val="5A6675"/>
          <w:sz w:val="18"/>
          <w:szCs w:val="18"/>
        </w:rPr>
        <w:t xml:space="preserve">Prepared by</w:t>
      </w:r>
    </w:p>
    <w:p>
      <w:pPr>
        <w:spacing w:after="6"/>
        <w:jc w:val="center"/>
      </w:pPr>
      <w:r>
        <w:rPr>
          <w:rFonts w:ascii="Calibri" w:cs="Calibri" w:eastAsia="Calibri" w:hAnsi="Calibri"/>
          <w:b/>
          <w:bCs/>
          <w:color w:val="0B1F3A"/>
          <w:sz w:val="26"/>
          <w:szCs w:val="26"/>
        </w:rPr>
        <w:t xml:space="preserve">Maximiliano Garcia</w:t>
      </w:r>
    </w:p>
    <w:p>
      <w:pPr>
        <w:spacing w:after="4"/>
        <w:jc w:val="center"/>
      </w:pPr>
      <w:r>
        <w:rPr>
          <w:rFonts w:ascii="Calibri" w:cs="Calibri" w:eastAsia="Calibri" w:hAnsi="Calibri"/>
          <w:i/>
          <w:iCs/>
          <w:color w:val="3A4A5E"/>
          <w:sz w:val="20"/>
          <w:szCs w:val="20"/>
        </w:rPr>
        <w:t xml:space="preserve">Project Lead &amp; Founder</w:t>
      </w:r>
    </w:p>
    <w:p>
      <w:pPr>
        <w:spacing w:after="2"/>
        <w:jc w:val="center"/>
      </w:pPr>
      <w:r>
        <w:rPr>
          <w:rFonts w:ascii="Calibri" w:cs="Calibri" w:eastAsia="Calibri" w:hAnsi="Calibri"/>
          <w:color w:val="20303F"/>
          <w:sz w:val="20"/>
          <w:szCs w:val="20"/>
        </w:rPr>
        <w:t xml:space="preserve">Sam M. Walton College of Business</w:t>
      </w:r>
    </w:p>
    <w:p>
      <w:pPr>
        <w:spacing w:after="300"/>
        <w:jc w:val="center"/>
      </w:pPr>
      <w:r>
        <w:rPr>
          <w:rFonts w:ascii="Calibri" w:cs="Calibri" w:eastAsia="Calibri" w:hAnsi="Calibri"/>
          <w:color w:val="20303F"/>
          <w:sz w:val="20"/>
          <w:szCs w:val="20"/>
        </w:rPr>
        <w:t xml:space="preserve">University of Arkansas</w:t>
      </w:r>
    </w:p>
    <w:p>
      <w:pPr>
        <w:spacing w:after="0"/>
        <w:jc w:val="center"/>
      </w:pPr>
      <w:r>
        <w:rPr>
          <w:rFonts w:ascii="Calibri" w:cs="Calibri" w:eastAsia="Calibri" w:hAnsi="Calibri"/>
          <w:b/>
          <w:bCs/>
          <w:color w:val="1C6FD6"/>
          <w:sz w:val="19"/>
          <w:szCs w:val="19"/>
        </w:rPr>
        <w:t xml:space="preserve">Version 1.0  ·  June 2026</w:t>
      </w:r>
    </w:p>
    <w:p>
      <w:pPr>
        <w:spacing w:before="200"/>
        <w:jc w:val="center"/>
      </w:pPr>
      <w:r>
        <w:rPr>
          <w:rFonts w:ascii="Calibri" w:cs="Calibri" w:eastAsia="Calibri" w:hAnsi="Calibri"/>
          <w:i/>
          <w:iCs/>
          <w:color w:val="5A6675"/>
          <w:sz w:val="15"/>
          <w:szCs w:val="15"/>
        </w:rPr>
        <w:t xml:space="preserve">A Sam M. Walton College of Business concept. Not affiliated with or endorsed by the University of Arkansas.</w:t>
      </w:r>
    </w:p>
    <w:p>
      <w:r>
        <w:br w:type="page"/>
      </w:r>
    </w:p>
    <w:p>
      <w:pPr>
        <w:pStyle w:val="Heading1"/>
        <w:pBdr>
          <w:bottom w:val="single" w:color="1C6FD6" w:sz="10" w:space="4"/>
        </w:pBdr>
        <w:spacing w:after="150" w:before="340"/>
      </w:pPr>
      <w:r>
        <w:rPr>
          <w:rFonts w:ascii="Calibri" w:cs="Calibri" w:eastAsia="Calibri" w:hAnsi="Calibri"/>
          <w:b/>
          <w:bCs/>
          <w:color w:val="0B1F3A"/>
          <w:sz w:val="30"/>
          <w:szCs w:val="30"/>
        </w:rPr>
        <w:t xml:space="preserve">Document Control</w:t>
      </w:r>
    </w:p>
    <w:p>
      <w:pPr>
        <w:spacing w:after="140" w:line="278"/>
        <w:jc w:val="both"/>
      </w:pPr>
      <w:r>
        <w:rPr>
          <w:rFonts w:ascii="Calibri" w:cs="Calibri" w:eastAsia="Calibri" w:hAnsi="Calibri"/>
          <w:b/>
          <w:bCs/>
          <w:color w:val="20303F"/>
          <w:sz w:val="22"/>
          <w:szCs w:val="22"/>
        </w:rPr>
        <w:t xml:space="preserve">Purpose. </w:t>
      </w:r>
      <w:r>
        <w:rPr>
          <w:rFonts w:ascii="Calibri" w:cs="Calibri" w:eastAsia="Calibri" w:hAnsi="Calibri"/>
          <w:color w:val="20303F"/>
          <w:sz w:val="22"/>
          <w:szCs w:val="22"/>
        </w:rPr>
        <w:t xml:space="preserve">This document is the master project management plan and feasibility analysis for DiamondDrive. It is written to serve two readers at once: a course/capstone evaluator assessing a bounded build-and-pilot project at the University of Arkansas, and a prospective sponsor or advisor evaluating DiamondDrive as a venture intended to scale across the Northwest Arkansas (NWA) corridor. Sections are labelled so each reader can navigate to the layer they care about.</w:t>
      </w:r>
    </w:p>
    <w:p>
      <w:pPr>
        <w:keepNext/>
        <w:spacing w:after="90" w:before="60"/>
      </w:pPr>
      <w:r>
        <w:rPr>
          <w:rFonts w:ascii="Calibri" w:cs="Calibri" w:eastAsia="Calibri" w:hAnsi="Calibri"/>
          <w:b/>
          <w:bCs/>
          <w:color w:val="9D2235"/>
          <w:sz w:val="19"/>
          <w:szCs w:val="19"/>
        </w:rPr>
        <w:t xml:space="preserve">Table DC-1.  </w:t>
      </w:r>
      <w:r>
        <w:rPr>
          <w:rFonts w:ascii="Calibri" w:cs="Calibri" w:eastAsia="Calibri" w:hAnsi="Calibri"/>
          <w:b/>
          <w:bCs/>
          <w:color w:val="0B1F3A"/>
          <w:sz w:val="19"/>
          <w:szCs w:val="19"/>
        </w:rPr>
        <w:t xml:space="preserve">Document control and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Field</w:t>
            </w:r>
          </w:p>
        </w:tc>
        <w:tc>
          <w:tcPr>
            <w:tcW w:type="dxa" w:w="6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Detail</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Document title</w:t>
            </w:r>
          </w:p>
        </w:tc>
        <w:tc>
          <w:tcPr>
            <w:tcW w:type="dxa" w:w="6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DiamondDrive — Project Management Plan &amp; Feasibility Document</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Version</w:t>
            </w:r>
          </w:p>
        </w:tc>
        <w:tc>
          <w:tcPr>
            <w:tcW w:type="dxa" w:w="6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1.0 (baseline)</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Status</w:t>
            </w:r>
          </w:p>
        </w:tc>
        <w:tc>
          <w:tcPr>
            <w:tcW w:type="dxa" w:w="6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Released for review</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Author / owner</w:t>
            </w:r>
          </w:p>
        </w:tc>
        <w:tc>
          <w:tcPr>
            <w:tcW w:type="dxa" w:w="6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Maximiliano Garcia — Project Lead &amp; Founder</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Date issued</w:t>
            </w:r>
          </w:p>
        </w:tc>
        <w:tc>
          <w:tcPr>
            <w:tcW w:type="dxa" w:w="6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June 2026</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Review cycle</w:t>
            </w:r>
          </w:p>
        </w:tc>
        <w:tc>
          <w:tcPr>
            <w:tcW w:type="dxa" w:w="6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Per phase gate; minor revisions at each sprint review</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Distribution</w:t>
            </w:r>
          </w:p>
        </w:tc>
        <w:tc>
          <w:tcPr>
            <w:tcW w:type="dxa" w:w="6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evaluator; project team; prospective NWA advisors and sponsors</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Classification</w:t>
            </w:r>
          </w:p>
        </w:tc>
        <w:tc>
          <w:tcPr>
            <w:tcW w:type="dxa" w:w="6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Internal / academic — contains no confidential third-party data</w:t>
            </w:r>
          </w:p>
        </w:tc>
      </w:tr>
    </w:tbl>
    <w:p>
      <w:pPr>
        <w:spacing w:after="120"/>
      </w:pPr>
    </w:p>
    <w:p>
      <w:pPr>
        <w:keepNext/>
        <w:spacing w:after="90" w:before="60"/>
      </w:pPr>
      <w:r>
        <w:rPr>
          <w:rFonts w:ascii="Calibri" w:cs="Calibri" w:eastAsia="Calibri" w:hAnsi="Calibri"/>
          <w:b/>
          <w:bCs/>
          <w:color w:val="9D2235"/>
          <w:sz w:val="19"/>
          <w:szCs w:val="19"/>
        </w:rPr>
        <w:t xml:space="preserve">Table DC-2.  </w:t>
      </w:r>
      <w:r>
        <w:rPr>
          <w:rFonts w:ascii="Calibri" w:cs="Calibri" w:eastAsia="Calibri" w:hAnsi="Calibri"/>
          <w:b/>
          <w:bCs/>
          <w:color w:val="0B1F3A"/>
          <w:sz w:val="19"/>
          <w:szCs w:val="19"/>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5360"/>
      </w:tblGrid>
      <w:tr>
        <w:trPr>
          <w:tblHeader/>
        </w:trPr>
        <w:tc>
          <w:tcPr>
            <w:tcW w:type="dxa" w:w="9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Ver.</w:t>
            </w:r>
          </w:p>
        </w:tc>
        <w:tc>
          <w:tcPr>
            <w:tcW w:type="dxa" w:w="1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Date</w:t>
            </w:r>
          </w:p>
        </w:tc>
        <w:tc>
          <w:tcPr>
            <w:tcW w:type="dxa" w:w="1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Author</w:t>
            </w:r>
          </w:p>
        </w:tc>
        <w:tc>
          <w:tcPr>
            <w:tcW w:type="dxa" w:w="5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Summary of change</w:t>
            </w:r>
          </w:p>
        </w:tc>
      </w:tr>
      <w:tr>
        <w:trPr>
          <w:cantSplit/>
        </w:trPr>
        <w:tc>
          <w:tcPr>
            <w:tcW w:type="dxa" w:w="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0.1</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May 2026</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 Garcia</w:t>
            </w:r>
          </w:p>
        </w:tc>
        <w:tc>
          <w:tcPr>
            <w:tcW w:type="dxa" w:w="5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Initial outline; charter and business case drafted</w:t>
            </w:r>
          </w:p>
        </w:tc>
      </w:tr>
      <w:tr>
        <w:trPr>
          <w:cantSplit/>
        </w:trPr>
        <w:tc>
          <w:tcPr>
            <w:tcW w:type="dxa" w:w="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0.5</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May 2026</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 Garcia</w:t>
            </w:r>
          </w:p>
        </w:tc>
        <w:tc>
          <w:tcPr>
            <w:tcW w:type="dxa" w:w="5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WBS, schedule and risk register added</w:t>
            </w:r>
          </w:p>
        </w:tc>
      </w:tr>
      <w:tr>
        <w:trPr>
          <w:cantSplit/>
        </w:trPr>
        <w:tc>
          <w:tcPr>
            <w:tcW w:type="dxa" w:w="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0.9</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Jun 2026</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 Garcia</w:t>
            </w:r>
          </w:p>
        </w:tc>
        <w:tc>
          <w:tcPr>
            <w:tcW w:type="dxa" w:w="5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 execution layer, procurement and venture plan added</w:t>
            </w:r>
          </w:p>
        </w:tc>
      </w:tr>
      <w:tr>
        <w:trPr>
          <w:cantSplit/>
        </w:trPr>
        <w:tc>
          <w:tcPr>
            <w:tcW w:type="dxa" w:w="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Jun 2026</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 Garcia</w:t>
            </w:r>
          </w:p>
        </w:tc>
        <w:tc>
          <w:tcPr>
            <w:tcW w:type="dxa" w:w="5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Baselined for review; full artifact suite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How to read this document</w:t>
            </w:r>
          </w:p>
          <w:p>
            <w:pPr>
              <w:spacing w:after="80" w:line="278"/>
              <w:jc w:val="both"/>
            </w:pPr>
            <w:r>
              <w:rPr>
                <w:rFonts w:ascii="Calibri" w:cs="Calibri" w:eastAsia="Calibri" w:hAnsi="Calibri"/>
                <w:b/>
                <w:bCs/>
                <w:color w:val="20303F"/>
                <w:sz w:val="22"/>
                <w:szCs w:val="22"/>
              </w:rPr>
              <w:t xml:space="preserve">Two framings, one plan. </w:t>
            </w:r>
            <w:r>
              <w:rPr>
                <w:rFonts w:ascii="Calibri" w:cs="Calibri" w:eastAsia="Calibri" w:hAnsi="Calibri"/>
                <w:color w:val="20303F"/>
                <w:sz w:val="22"/>
                <w:szCs w:val="22"/>
              </w:rPr>
              <w:t xml:space="preserve">Part I establishes both the </w:t>
            </w:r>
            <w:r>
              <w:rPr>
                <w:rFonts w:ascii="Calibri" w:cs="Calibri" w:eastAsia="Calibri" w:hAnsi="Calibri"/>
                <w:b/>
                <w:bCs/>
                <w:color w:val="20303F"/>
                <w:sz w:val="22"/>
                <w:szCs w:val="22"/>
              </w:rPr>
              <w:t xml:space="preserve">project</w:t>
            </w:r>
            <w:r>
              <w:rPr>
                <w:rFonts w:ascii="Calibri" w:cs="Calibri" w:eastAsia="Calibri" w:hAnsi="Calibri"/>
                <w:color w:val="20303F"/>
                <w:sz w:val="22"/>
                <w:szCs w:val="22"/>
              </w:rPr>
              <w:t xml:space="preserve"> (the bounded pilot, governed predictively) and the </w:t>
            </w:r>
            <w:r>
              <w:rPr>
                <w:rFonts w:ascii="Calibri" w:cs="Calibri" w:eastAsia="Calibri" w:hAnsi="Calibri"/>
                <w:b/>
                <w:bCs/>
                <w:color w:val="20303F"/>
                <w:sz w:val="22"/>
                <w:szCs w:val="22"/>
              </w:rPr>
              <w:t xml:space="preserve">program/venture</w:t>
            </w:r>
            <w:r>
              <w:rPr>
                <w:rFonts w:ascii="Calibri" w:cs="Calibri" w:eastAsia="Calibri" w:hAnsi="Calibri"/>
                <w:color w:val="20303F"/>
                <w:sz w:val="22"/>
                <w:szCs w:val="22"/>
              </w:rPr>
              <w:t xml:space="preserve"> (the company, governed as a rolling portfolio). Parts II–IV are the core PMI-style planning artifacts. Part V zooms out to the venture and go-to-market case. Part VI covers control and closure, and Part VII collects the team-cadence artifacts and appendices.</w:t>
            </w:r>
          </w:p>
          <w:p>
            <w:pPr>
              <w:spacing w:after="0" w:line="278"/>
              <w:jc w:val="both"/>
            </w:pPr>
            <w:r>
              <w:rPr>
                <w:rFonts w:ascii="Calibri" w:cs="Calibri" w:eastAsia="Calibri" w:hAnsi="Calibri"/>
                <w:b/>
                <w:bCs/>
                <w:color w:val="20303F"/>
                <w:sz w:val="22"/>
                <w:szCs w:val="22"/>
              </w:rPr>
              <w:t xml:space="preserve">Mixed methodology. </w:t>
            </w:r>
            <w:r>
              <w:rPr>
                <w:rFonts w:ascii="Calibri" w:cs="Calibri" w:eastAsia="Calibri" w:hAnsi="Calibri"/>
                <w:color w:val="20303F"/>
                <w:sz w:val="22"/>
                <w:szCs w:val="22"/>
              </w:rPr>
              <w:t xml:space="preserve">The institutional wrapper — charter, scope, schedule, budget, procurement, risk — is </w:t>
            </w:r>
            <w:r>
              <w:rPr>
                <w:rFonts w:ascii="Calibri" w:cs="Calibri" w:eastAsia="Calibri" w:hAnsi="Calibri"/>
                <w:b/>
                <w:bCs/>
                <w:color w:val="20303F"/>
                <w:sz w:val="22"/>
                <w:szCs w:val="22"/>
              </w:rPr>
              <w:t xml:space="preserve">predictive (waterfall)</w:t>
            </w:r>
            <w:r>
              <w:rPr>
                <w:rFonts w:ascii="Calibri" w:cs="Calibri" w:eastAsia="Calibri" w:hAnsi="Calibri"/>
                <w:color w:val="20303F"/>
                <w:sz w:val="22"/>
                <w:szCs w:val="22"/>
              </w:rPr>
              <w:t xml:space="preserve"> because it has fixed milestones, a named sponsor, and gated funding. The software build at the core runs </w:t>
            </w:r>
            <w:r>
              <w:rPr>
                <w:rFonts w:ascii="Calibri" w:cs="Calibri" w:eastAsia="Calibri" w:hAnsi="Calibri"/>
                <w:b/>
                <w:bCs/>
                <w:color w:val="20303F"/>
                <w:sz w:val="22"/>
                <w:szCs w:val="22"/>
              </w:rPr>
              <w:t xml:space="preserve">Agile (Scrum)</w:t>
            </w:r>
            <w:r>
              <w:rPr>
                <w:rFonts w:ascii="Calibri" w:cs="Calibri" w:eastAsia="Calibri" w:hAnsi="Calibri"/>
                <w:color w:val="20303F"/>
                <w:sz w:val="22"/>
                <w:szCs w:val="22"/>
              </w:rPr>
              <w:t xml:space="preserve">: two-week sprints, a groomed backlog, and the standard ceremonies. Section 5 explains exactly where the seam between the two sits.</w:t>
            </w:r>
          </w:p>
        </w:tc>
      </w:tr>
    </w:tbl>
    <w:p>
      <w:r>
        <w:br w:type="page"/>
      </w:r>
    </w:p>
    <w:p>
      <w:pPr>
        <w:pBdr>
          <w:bottom w:val="single" w:color="1C6FD6" w:sz="10" w:space="4"/>
        </w:pBdr>
        <w:spacing w:after="140"/>
      </w:pPr>
      <w:r>
        <w:rPr>
          <w:rFonts w:ascii="Calibri" w:cs="Calibri" w:eastAsia="Calibri" w:hAnsi="Calibri"/>
          <w:b/>
          <w:bCs/>
          <w:color w:val="0B1F3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60"/>
      </w:pPr>
      <w:r>
        <w:rPr>
          <w:rFonts w:ascii="Calibri" w:cs="Calibri" w:eastAsia="Calibri" w:hAnsi="Calibri"/>
          <w:i/>
          <w:iCs/>
          <w:color w:val="5A6675"/>
          <w:sz w:val="16"/>
          <w:szCs w:val="16"/>
        </w:rPr>
        <w:t xml:space="preserve">Right-click the table and choose “Update Field” to refresh page numbers in Word.</w:t>
      </w:r>
    </w:p>
    <w:p>
      <w:r>
        <w:br w:type="page"/>
      </w:r>
    </w:p>
    <w:p>
      <w:pPr>
        <w:pStyle w:val="Heading1"/>
        <w:pBdr>
          <w:bottom w:val="single" w:color="1C6FD6" w:sz="10" w:space="4"/>
        </w:pBdr>
        <w:spacing w:after="150" w:before="340"/>
      </w:pPr>
      <w:r>
        <w:rPr>
          <w:rFonts w:ascii="Calibri" w:cs="Calibri" w:eastAsia="Calibri" w:hAnsi="Calibri"/>
          <w:b/>
          <w:bCs/>
          <w:color w:val="0B1F3A"/>
          <w:sz w:val="30"/>
          <w:szCs w:val="30"/>
        </w:rPr>
        <w:t xml:space="preserve">Executive Summary</w:t>
      </w:r>
    </w:p>
    <w:p>
      <w:pPr>
        <w:spacing w:after="140" w:line="278"/>
        <w:jc w:val="both"/>
      </w:pPr>
      <w:r>
        <w:rPr>
          <w:rFonts w:ascii="Calibri" w:cs="Calibri" w:eastAsia="Calibri" w:hAnsi="Calibri"/>
          <w:b/>
          <w:bCs/>
          <w:color w:val="20303F"/>
          <w:sz w:val="22"/>
          <w:szCs w:val="22"/>
        </w:rPr>
        <w:t xml:space="preserve">DiamondDrive</w:t>
      </w:r>
      <w:r>
        <w:rPr>
          <w:rFonts w:ascii="Calibri" w:cs="Calibri" w:eastAsia="Calibri" w:hAnsi="Calibri"/>
          <w:color w:val="20303F"/>
          <w:sz w:val="22"/>
          <w:szCs w:val="22"/>
        </w:rPr>
        <w:t xml:space="preserve"> is a student-led, verified-access </w:t>
      </w:r>
      <w:r>
        <w:rPr>
          <w:rFonts w:ascii="Calibri" w:cs="Calibri" w:eastAsia="Calibri" w:hAnsi="Calibri"/>
          <w:b/>
          <w:bCs/>
          <w:color w:val="20303F"/>
          <w:sz w:val="22"/>
          <w:szCs w:val="22"/>
        </w:rPr>
        <w:t xml:space="preserve">peer-to-peer rideshare and item-delivery network</w:t>
      </w:r>
      <w:r>
        <w:rPr>
          <w:rFonts w:ascii="Calibri" w:cs="Calibri" w:eastAsia="Calibri" w:hAnsi="Calibri"/>
          <w:color w:val="20303F"/>
          <w:sz w:val="22"/>
          <w:szCs w:val="22"/>
        </w:rPr>
        <w:t xml:space="preserve"> built first for the University of Arkansas and designed to scale across the Northwest Arkansas (NWA) corridor of Fayetteville, Springdale, Rogers, and Bentonville. It pairs students who are already driving a route with students who need that route, and it moves small items along the same trips. Access is gated to verified </w:t>
      </w:r>
      <w:r>
        <w:rPr>
          <w:rFonts w:ascii="Consolas" w:cs="Consolas" w:eastAsia="Consolas" w:hAnsi="Consolas"/>
          <w:color w:val="20303F"/>
          <w:sz w:val="20"/>
          <w:szCs w:val="20"/>
        </w:rPr>
        <w:t xml:space="preserve">@uark.edu</w:t>
      </w:r>
      <w:r>
        <w:rPr>
          <w:rFonts w:ascii="Calibri" w:cs="Calibri" w:eastAsia="Calibri" w:hAnsi="Calibri"/>
          <w:color w:val="20303F"/>
          <w:sz w:val="22"/>
          <w:szCs w:val="22"/>
        </w:rPr>
        <w:t xml:space="preserve"> identities, which is the single design decision the rest of the model depends on: a closed, accountable network is what makes a low-cost campus mobility service trustworthy enough to use.</w:t>
      </w:r>
    </w:p>
    <w:p>
      <w:pPr>
        <w:spacing w:after="140" w:line="278"/>
        <w:jc w:val="both"/>
      </w:pPr>
      <w:r>
        <w:rPr>
          <w:rFonts w:ascii="Calibri" w:cs="Calibri" w:eastAsia="Calibri" w:hAnsi="Calibri"/>
          <w:b/>
          <w:bCs/>
          <w:color w:val="20303F"/>
          <w:sz w:val="22"/>
          <w:szCs w:val="22"/>
        </w:rPr>
        <w:t xml:space="preserve">The problem is concrete and growing. </w:t>
      </w:r>
      <w:r>
        <w:rPr>
          <w:rFonts w:ascii="Calibri" w:cs="Calibri" w:eastAsia="Calibri" w:hAnsi="Calibri"/>
          <w:color w:val="20303F"/>
          <w:sz w:val="22"/>
          <w:szCs w:val="22"/>
        </w:rPr>
        <w:t xml:space="preserve">University of Arkansas enrollment reached </w:t>
      </w:r>
      <w:r>
        <w:rPr>
          <w:rFonts w:ascii="Calibri" w:cs="Calibri" w:eastAsia="Calibri" w:hAnsi="Calibri"/>
          <w:b/>
          <w:bCs/>
          <w:color w:val="20303F"/>
          <w:sz w:val="22"/>
          <w:szCs w:val="22"/>
        </w:rPr>
        <w:t xml:space="preserve">34,175 in Fall 2025</w:t>
      </w:r>
      <w:r>
        <w:rPr>
          <w:rFonts w:ascii="Calibri" w:cs="Calibri" w:eastAsia="Calibri" w:hAnsi="Calibri"/>
          <w:color w:val="20303F"/>
          <w:sz w:val="22"/>
          <w:szCs w:val="22"/>
        </w:rPr>
        <w:t xml:space="preserve"> — a fifth consecutive record and roughly a 24% increase since 2020 — while parking permits sell out, the next structured parking garage is not scheduled to open until </w:t>
      </w:r>
      <w:r>
        <w:rPr>
          <w:rFonts w:ascii="Calibri" w:cs="Calibri" w:eastAsia="Calibri" w:hAnsi="Calibri"/>
          <w:b/>
          <w:bCs/>
          <w:color w:val="20303F"/>
          <w:sz w:val="22"/>
          <w:szCs w:val="22"/>
        </w:rPr>
        <w:t xml:space="preserve">2029</w:t>
      </w:r>
      <w:r>
        <w:rPr>
          <w:rFonts w:ascii="Calibri" w:cs="Calibri" w:eastAsia="Calibri" w:hAnsi="Calibri"/>
          <w:color w:val="20303F"/>
          <w:sz w:val="22"/>
          <w:szCs w:val="22"/>
        </w:rPr>
        <w:t xml:space="preserve">, and the existing ASG-funded Safe Ride service carried </w:t>
      </w:r>
      <w:r>
        <w:rPr>
          <w:rFonts w:ascii="Calibri" w:cs="Calibri" w:eastAsia="Calibri" w:hAnsi="Calibri"/>
          <w:b/>
          <w:bCs/>
          <w:color w:val="20303F"/>
          <w:sz w:val="22"/>
          <w:szCs w:val="22"/>
        </w:rPr>
        <w:t xml:space="preserve">7,431 passengers</w:t>
      </w:r>
      <w:r>
        <w:rPr>
          <w:rFonts w:ascii="Calibri" w:cs="Calibri" w:eastAsia="Calibri" w:hAnsi="Calibri"/>
          <w:color w:val="20303F"/>
          <w:sz w:val="22"/>
          <w:szCs w:val="22"/>
        </w:rPr>
        <w:t xml:space="preserve"> in a recent year after demand doubled year over year. There is a real, measurable gap between how many people need to move around campus and the corridor and the capacity of the options available to them today.</w:t>
      </w:r>
    </w:p>
    <w:p>
      <w:pPr>
        <w:spacing w:after="140" w:line="278"/>
        <w:jc w:val="both"/>
      </w:pPr>
      <w:r>
        <w:rPr>
          <w:rFonts w:ascii="Calibri" w:cs="Calibri" w:eastAsia="Calibri" w:hAnsi="Calibri"/>
          <w:b/>
          <w:bCs/>
          <w:color w:val="20303F"/>
          <w:sz w:val="22"/>
          <w:szCs w:val="22"/>
        </w:rPr>
        <w:t xml:space="preserve">The plan is deliberately written for two readers. </w:t>
      </w:r>
      <w:r>
        <w:rPr>
          <w:rFonts w:ascii="Calibri" w:cs="Calibri" w:eastAsia="Calibri" w:hAnsi="Calibri"/>
          <w:color w:val="20303F"/>
          <w:sz w:val="22"/>
          <w:szCs w:val="22"/>
        </w:rPr>
        <w:t xml:space="preserve">As a </w:t>
      </w:r>
      <w:r>
        <w:rPr>
          <w:rFonts w:ascii="Calibri" w:cs="Calibri" w:eastAsia="Calibri" w:hAnsi="Calibri"/>
          <w:b/>
          <w:bCs/>
          <w:color w:val="20303F"/>
          <w:sz w:val="22"/>
          <w:szCs w:val="22"/>
        </w:rPr>
        <w:t xml:space="preserve">capstone project</w:t>
      </w:r>
      <w:r>
        <w:rPr>
          <w:rFonts w:ascii="Calibri" w:cs="Calibri" w:eastAsia="Calibri" w:hAnsi="Calibri"/>
          <w:color w:val="20303F"/>
          <w:sz w:val="22"/>
          <w:szCs w:val="22"/>
        </w:rPr>
        <w:t xml:space="preserve">, DiamondDrive is a bounded build-and-pilot effort with a charter, a sponsor, a fixed pilot semester, and a go/no-go decision gate. As a </w:t>
      </w:r>
      <w:r>
        <w:rPr>
          <w:rFonts w:ascii="Calibri" w:cs="Calibri" w:eastAsia="Calibri" w:hAnsi="Calibri"/>
          <w:b/>
          <w:bCs/>
          <w:color w:val="20303F"/>
          <w:sz w:val="22"/>
          <w:szCs w:val="22"/>
        </w:rPr>
        <w:t xml:space="preserve">venture</w:t>
      </w:r>
      <w:r>
        <w:rPr>
          <w:rFonts w:ascii="Calibri" w:cs="Calibri" w:eastAsia="Calibri" w:hAnsi="Calibri"/>
          <w:color w:val="20303F"/>
          <w:sz w:val="22"/>
          <w:szCs w:val="22"/>
        </w:rPr>
        <w:t xml:space="preserve">, it is an early-stage company with a path to scale across NWA. These two framings are not in tension; they are sequential. The pilot is the gate the venture has to pass through, and this document plans both layers so each reader can evaluate the part they care about.</w:t>
      </w:r>
    </w:p>
    <w:p>
      <w:pPr>
        <w:spacing w:after="140" w:line="278"/>
        <w:jc w:val="both"/>
      </w:pPr>
      <w:r>
        <w:rPr>
          <w:rFonts w:ascii="Calibri" w:cs="Calibri" w:eastAsia="Calibri" w:hAnsi="Calibri"/>
          <w:b/>
          <w:bCs/>
          <w:color w:val="20303F"/>
          <w:sz w:val="22"/>
          <w:szCs w:val="22"/>
        </w:rPr>
        <w:t xml:space="preserve">Methodology is mixed by design. </w:t>
      </w:r>
      <w:r>
        <w:rPr>
          <w:rFonts w:ascii="Calibri" w:cs="Calibri" w:eastAsia="Calibri" w:hAnsi="Calibri"/>
          <w:color w:val="20303F"/>
          <w:sz w:val="22"/>
          <w:szCs w:val="22"/>
        </w:rPr>
        <w:t xml:space="preserve">The institutional wrapper — charter, scope, schedule, budget, procurement, and risk — is governed </w:t>
      </w:r>
      <w:r>
        <w:rPr>
          <w:rFonts w:ascii="Calibri" w:cs="Calibri" w:eastAsia="Calibri" w:hAnsi="Calibri"/>
          <w:b/>
          <w:bCs/>
          <w:color w:val="20303F"/>
          <w:sz w:val="22"/>
          <w:szCs w:val="22"/>
        </w:rPr>
        <w:t xml:space="preserve">predictively</w:t>
      </w:r>
      <w:r>
        <w:rPr>
          <w:rFonts w:ascii="Calibri" w:cs="Calibri" w:eastAsia="Calibri" w:hAnsi="Calibri"/>
          <w:color w:val="20303F"/>
          <w:sz w:val="22"/>
          <w:szCs w:val="22"/>
        </w:rPr>
        <w:t xml:space="preserve"> because it answers to fixed milestones and gated funding. The software at the core is built </w:t>
      </w:r>
      <w:r>
        <w:rPr>
          <w:rFonts w:ascii="Calibri" w:cs="Calibri" w:eastAsia="Calibri" w:hAnsi="Calibri"/>
          <w:b/>
          <w:bCs/>
          <w:color w:val="20303F"/>
          <w:sz w:val="22"/>
          <w:szCs w:val="22"/>
        </w:rPr>
        <w:t xml:space="preserve">Agile (Scrum)</w:t>
      </w:r>
      <w:r>
        <w:rPr>
          <w:rFonts w:ascii="Calibri" w:cs="Calibri" w:eastAsia="Calibri" w:hAnsi="Calibri"/>
          <w:color w:val="20303F"/>
          <w:sz w:val="22"/>
          <w:szCs w:val="22"/>
        </w:rPr>
        <w:t xml:space="preserve"> in two-week sprints against a groomed backlog. Section 5 defines exactly where that seam sits so the two cadences reinforce rather than fight each other.</w:t>
      </w:r>
    </w:p>
    <w:p>
      <w:pPr>
        <w:spacing w:after="140" w:line="278"/>
        <w:jc w:val="both"/>
      </w:pPr>
      <w:r>
        <w:rPr>
          <w:rFonts w:ascii="Calibri" w:cs="Calibri" w:eastAsia="Calibri" w:hAnsi="Calibri"/>
          <w:b/>
          <w:bCs/>
          <w:color w:val="20303F"/>
          <w:sz w:val="22"/>
          <w:szCs w:val="22"/>
        </w:rPr>
        <w:t xml:space="preserve">The defining risk is insurance and regulatory classification, not technology. </w:t>
      </w:r>
      <w:r>
        <w:rPr>
          <w:rFonts w:ascii="Calibri" w:cs="Calibri" w:eastAsia="Calibri" w:hAnsi="Calibri"/>
          <w:color w:val="20303F"/>
          <w:sz w:val="22"/>
          <w:szCs w:val="22"/>
        </w:rPr>
        <w:t xml:space="preserve">If DiamondDrive were treated as a transportation network company, personal-auto policies could exclude coverage the moment a driver logs in, and the commercial coverage that classification implies would be financially fatal to a student service. The plan's central control is therefore to operate as a genuine </w:t>
      </w:r>
      <w:r>
        <w:rPr>
          <w:rFonts w:ascii="Calibri" w:cs="Calibri" w:eastAsia="Calibri" w:hAnsi="Calibri"/>
          <w:b/>
          <w:bCs/>
          <w:color w:val="20303F"/>
          <w:sz w:val="22"/>
          <w:szCs w:val="22"/>
        </w:rPr>
        <w:t xml:space="preserve">cost-sharing carpool</w:t>
      </w:r>
      <w:r>
        <w:rPr>
          <w:rFonts w:ascii="Calibri" w:cs="Calibri" w:eastAsia="Calibri" w:hAnsi="Calibri"/>
          <w:color w:val="20303F"/>
          <w:sz w:val="22"/>
          <w:szCs w:val="22"/>
        </w:rPr>
        <w:t xml:space="preserve"> — riders contribute toward trip cost, drivers recover gas rather than earn a wage, and there is no surge or profit margin on a ride — and to secure a binding legal opinion before any public launch. This single posture shapes the pricing, the product copy, and the go-to-market sequence throughout.</w:t>
      </w:r>
    </w:p>
    <w:p>
      <w:pPr>
        <w:keepNext/>
        <w:spacing w:after="90" w:before="60"/>
      </w:pPr>
      <w:r>
        <w:rPr>
          <w:rFonts w:ascii="Calibri" w:cs="Calibri" w:eastAsia="Calibri" w:hAnsi="Calibri"/>
          <w:b/>
          <w:bCs/>
          <w:color w:val="9D2235"/>
          <w:sz w:val="19"/>
          <w:szCs w:val="19"/>
        </w:rPr>
        <w:t xml:space="preserve">Table ES-1.  </w:t>
      </w:r>
      <w:r>
        <w:rPr>
          <w:rFonts w:ascii="Calibri" w:cs="Calibri" w:eastAsia="Calibri" w:hAnsi="Calibri"/>
          <w:b/>
          <w:bCs/>
          <w:color w:val="0B1F3A"/>
          <w:sz w:val="19"/>
          <w:szCs w:val="19"/>
        </w:rPr>
        <w:t xml:space="preserve">The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Dimension</w:t>
            </w:r>
          </w:p>
        </w:tc>
        <w:tc>
          <w:tcPr>
            <w:tcW w:type="dxa" w:w="373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Capstone pilot (predictive)</w:t>
            </w:r>
          </w:p>
        </w:tc>
        <w:tc>
          <w:tcPr>
            <w:tcW w:type="dxa" w:w="373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NWA venture (Agile / rolling)</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Objective</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Prove demand, safety, and the cost-sharing model in one semester</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Scale a sustainable corridor mobility company across NWA</w:t>
            </w:r>
          </w:p>
        </w:tc>
      </w:tr>
      <w:tr>
        <w:trPr>
          <w:cantSplit/>
        </w:trPr>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Time horizon</w:t>
            </w:r>
          </w:p>
        </w:tc>
        <w:tc>
          <w:tcPr>
            <w:tcW w:type="dxa" w:w="373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One pilot semester with a fixed close</w:t>
            </w:r>
          </w:p>
        </w:tc>
        <w:tc>
          <w:tcPr>
            <w:tcW w:type="dxa" w:w="373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Multi-year, milestone-gated expansion</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Primary metric</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Activation, repeat-ride rate, safety incidents, unit cost</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Active corridors, retention, contribution margin</w:t>
            </w:r>
          </w:p>
        </w:tc>
      </w:tr>
      <w:tr>
        <w:trPr>
          <w:cantSplit/>
        </w:trPr>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Funding</w:t>
            </w:r>
          </w:p>
        </w:tc>
        <w:tc>
          <w:tcPr>
            <w:tcW w:type="dxa" w:w="373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Sponsorship + small grant; ~$6k–$45k MVP envelope</w:t>
            </w:r>
          </w:p>
        </w:tc>
        <w:tc>
          <w:tcPr>
            <w:tcW w:type="dxa" w:w="373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Sponsorship, then seed capital against traction</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Decision gate</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Go / refine / no-go at pilot close</w:t>
            </w:r>
          </w:p>
        </w:tc>
        <w:tc>
          <w:tcPr>
            <w:tcW w:type="dxa" w:w="373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Expand / hold per corridor scorecard</w:t>
            </w:r>
          </w:p>
        </w:tc>
      </w:tr>
    </w:tbl>
    <w:p>
      <w:pPr>
        <w:spacing w:after="200" w:before="70"/>
        <w:jc w:val="left"/>
      </w:pPr>
      <w:r>
        <w:rPr>
          <w:rFonts w:ascii="Calibri" w:cs="Calibri" w:eastAsia="Calibri" w:hAnsi="Calibri"/>
          <w:i/>
          <w:iCs/>
          <w:color w:val="5A6675"/>
          <w:sz w:val="17"/>
          <w:szCs w:val="17"/>
        </w:rPr>
        <w:t xml:space="preserve">ES-1 previews the dual framing carried throughout the document; Part I formalises both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Bottom line</w:t>
            </w:r>
          </w:p>
          <w:p>
            <w:pPr>
              <w:spacing w:after="0" w:line="278"/>
              <w:jc w:val="both"/>
            </w:pPr>
            <w:r>
              <w:rPr>
                <w:rFonts w:ascii="Calibri" w:cs="Calibri" w:eastAsia="Calibri" w:hAnsi="Calibri"/>
                <w:color w:val="20303F"/>
                <w:sz w:val="22"/>
                <w:szCs w:val="22"/>
              </w:rPr>
              <w:t xml:space="preserve">DiamondDrive is feasible as a bounded pilot and credible as a venture, </w:t>
            </w:r>
            <w:r>
              <w:rPr>
                <w:rFonts w:ascii="Calibri" w:cs="Calibri" w:eastAsia="Calibri" w:hAnsi="Calibri"/>
                <w:b/>
                <w:bCs/>
                <w:color w:val="20303F"/>
                <w:sz w:val="22"/>
                <w:szCs w:val="22"/>
              </w:rPr>
              <w:t xml:space="preserve">conditioned on one thing above all others</w:t>
            </w:r>
            <w:r>
              <w:rPr>
                <w:rFonts w:ascii="Calibri" w:cs="Calibri" w:eastAsia="Calibri" w:hAnsi="Calibri"/>
                <w:color w:val="20303F"/>
                <w:sz w:val="22"/>
                <w:szCs w:val="22"/>
              </w:rPr>
              <w:t xml:space="preserve">: resolving the insurance and regulatory posture before launch. With the cost-sharing model legally confirmed and a verified-access network seeded on a single high-density corridor, the pilot can demonstrate the demand the enrollment and parking data already imply.</w:t>
            </w:r>
          </w:p>
        </w:tc>
      </w:tr>
    </w:tbl>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I</w:t>
      </w:r>
    </w:p>
    <w:p>
      <w:pPr>
        <w:pBdr>
          <w:bottom w:val="single" w:color="0B1F3A" w:sz="18" w:space="6"/>
        </w:pBdr>
        <w:spacing w:after="60" w:before="0"/>
      </w:pPr>
      <w:r>
        <w:rPr>
          <w:rFonts w:ascii="Calibri" w:cs="Calibri" w:eastAsia="Calibri" w:hAnsi="Calibri"/>
          <w:b/>
          <w:bCs/>
          <w:color w:val="0B1F3A"/>
          <w:sz w:val="38"/>
          <w:szCs w:val="38"/>
        </w:rPr>
        <w:t xml:space="preserve">Project Foundation</w:t>
      </w:r>
    </w:p>
    <w:p>
      <w:pPr>
        <w:spacing w:after="140" w:line="278"/>
        <w:jc w:val="both"/>
      </w:pPr>
      <w:r>
        <w:rPr>
          <w:rFonts w:ascii="Calibri" w:cs="Calibri" w:eastAsia="Calibri" w:hAnsi="Calibri"/>
          <w:color w:val="20303F"/>
          <w:sz w:val="22"/>
          <w:szCs w:val="22"/>
        </w:rPr>
        <w:t xml:space="preserve">Part I sets the ground the rest of the plan stands on. It states what DiamondDrive is, why it is worth doing, what </w:t>
      </w:r>
      <w:r>
        <w:rPr>
          <w:rFonts w:ascii="Calibri" w:cs="Calibri" w:eastAsia="Calibri" w:hAnsi="Calibri"/>
          <w:b/>
          <w:bCs/>
          <w:color w:val="20303F"/>
          <w:sz w:val="22"/>
          <w:szCs w:val="22"/>
        </w:rPr>
        <w:t xml:space="preserve">done</w:t>
      </w:r>
      <w:r>
        <w:rPr>
          <w:rFonts w:ascii="Calibri" w:cs="Calibri" w:eastAsia="Calibri" w:hAnsi="Calibri"/>
          <w:color w:val="20303F"/>
          <w:sz w:val="22"/>
          <w:szCs w:val="22"/>
        </w:rPr>
        <w:t xml:space="preserve"> and </w:t>
      </w:r>
      <w:r>
        <w:rPr>
          <w:rFonts w:ascii="Calibri" w:cs="Calibri" w:eastAsia="Calibri" w:hAnsi="Calibri"/>
          <w:b/>
          <w:bCs/>
          <w:color w:val="20303F"/>
          <w:sz w:val="22"/>
          <w:szCs w:val="22"/>
        </w:rPr>
        <w:t xml:space="preserve">successful</w:t>
      </w:r>
      <w:r>
        <w:rPr>
          <w:rFonts w:ascii="Calibri" w:cs="Calibri" w:eastAsia="Calibri" w:hAnsi="Calibri"/>
          <w:color w:val="20303F"/>
          <w:sz w:val="22"/>
          <w:szCs w:val="22"/>
        </w:rPr>
        <w:t xml:space="preserve"> mean, what the plan assumes and is bound by, and how a predictive project wrapper and an Agile build are deliberately combined. Every later artifact — scope, schedule, budget, procurement, risk, and the control and closure machinery — traces back to the charter and business case established here.</w:t>
      </w:r>
    </w:p>
    <w:p>
      <w:pPr>
        <w:pStyle w:val="Heading1"/>
        <w:pBdr>
          <w:bottom w:val="single" w:color="1C6FD6" w:sz="10" w:space="4"/>
        </w:pBdr>
        <w:spacing w:after="150" w:before="340"/>
      </w:pPr>
      <w:r>
        <w:rPr>
          <w:rFonts w:ascii="Calibri" w:cs="Calibri" w:eastAsia="Calibri" w:hAnsi="Calibri"/>
          <w:b/>
          <w:bCs/>
          <w:color w:val="0B1F3A"/>
          <w:sz w:val="30"/>
          <w:szCs w:val="30"/>
        </w:rPr>
        <w:t xml:space="preserve">1  Project Charter</w:t>
      </w:r>
    </w:p>
    <w:p>
      <w:pPr>
        <w:spacing w:after="140" w:line="278"/>
        <w:jc w:val="both"/>
      </w:pPr>
      <w:r>
        <w:rPr>
          <w:rFonts w:ascii="Calibri" w:cs="Calibri" w:eastAsia="Calibri" w:hAnsi="Calibri"/>
          <w:color w:val="20303F"/>
          <w:sz w:val="22"/>
          <w:szCs w:val="22"/>
        </w:rPr>
        <w:t xml:space="preserve">The charter authorises DiamondDrive as a project, names its sponsor and project lead, and fixes the boundary conditions — purpose, objectives, high-level milestones, budget authority, and the criteria by which success will be judged. It is intentionally short; the detail lives in the planning sections it points to.</w:t>
      </w:r>
    </w:p>
    <w:p>
      <w:pPr>
        <w:keepNext/>
        <w:spacing w:after="90" w:before="60"/>
      </w:pPr>
      <w:r>
        <w:rPr>
          <w:rFonts w:ascii="Calibri" w:cs="Calibri" w:eastAsia="Calibri" w:hAnsi="Calibri"/>
          <w:b/>
          <w:bCs/>
          <w:color w:val="9D2235"/>
          <w:sz w:val="19"/>
          <w:szCs w:val="19"/>
        </w:rPr>
        <w:t xml:space="preserve">Table 1-1.  </w:t>
      </w:r>
      <w:r>
        <w:rPr>
          <w:rFonts w:ascii="Calibri" w:cs="Calibri" w:eastAsia="Calibri" w:hAnsi="Calibri"/>
          <w:b/>
          <w:bCs/>
          <w:color w:val="0B1F3A"/>
          <w:sz w:val="19"/>
          <w:szCs w:val="19"/>
        </w:rPr>
        <w:t xml:space="preserve">Project charter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Element</w:t>
            </w:r>
          </w:p>
        </w:tc>
        <w:tc>
          <w:tcPr>
            <w:tcW w:type="dxa" w:w="72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Statement</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name</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DiamondDrive — campus rideshare &amp; item-delivery pilot</w:t>
            </w:r>
          </w:p>
        </w:tc>
      </w:tr>
      <w:tr>
        <w:trPr>
          <w:cantSplit/>
        </w:trPr>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7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Maximiliano Garcia (Project Lead &amp; Founder), Sam M. Walton College of Business</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sponsor / capstone evaluator (academic); founder-led for the venture track</w:t>
            </w:r>
          </w:p>
        </w:tc>
      </w:tr>
      <w:tr>
        <w:trPr>
          <w:cantSplit/>
        </w:trPr>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Problem</w:t>
            </w:r>
          </w:p>
        </w:tc>
        <w:tc>
          <w:tcPr>
            <w:tcW w:type="dxa" w:w="7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Record enrollment and chronic parking scarcity outpace campus mobility options; the next garage is not due until 2029.</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Purpose</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Pilot a verified, cost-shared, peer-to-peer ride and delivery network on one high-density corridor and prove demand, safety, and unit economics.</w:t>
            </w:r>
          </w:p>
        </w:tc>
      </w:tr>
      <w:tr>
        <w:trPr>
          <w:cantSplit/>
        </w:trPr>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 scope (high level)</w:t>
            </w:r>
          </w:p>
        </w:tc>
        <w:tc>
          <w:tcPr>
            <w:tcW w:type="dxa" w:w="7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Verified onboarding; ride matching on the Springdale–campus corridor; co-located item delivery; safety tooling; a rewards loop; one pilot semester.</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Out of scope (high level)</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Open public (non-verified) access; payments that constitute driver wages; multi-city operations; autonomous or fleet vehicles.</w:t>
            </w:r>
          </w:p>
        </w:tc>
      </w:tr>
      <w:tr>
        <w:trPr>
          <w:cantSplit/>
        </w:trPr>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Key milestones</w:t>
            </w:r>
          </w:p>
        </w:tc>
        <w:tc>
          <w:tcPr>
            <w:tcW w:type="dxa" w:w="7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Charter baseline → MVP build (sprints) → closed beta → pilot launch → pilot close &amp; go/no-go (see §13).</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Budget authority</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MVP envelope of ~$6k–$45k; pilot operating budget approved per phase gate (see §15).</w:t>
            </w:r>
          </w:p>
        </w:tc>
      </w:tr>
      <w:tr>
        <w:trPr>
          <w:cantSplit/>
        </w:trPr>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Top risk</w:t>
            </w:r>
          </w:p>
        </w:tc>
        <w:tc>
          <w:tcPr>
            <w:tcW w:type="dxa" w:w="7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Insurance / regulatory classification — mitigated by the cost-sharing posture and a binding pre-launch legal opinion (see §18).</w:t>
            </w:r>
          </w:p>
        </w:tc>
      </w:tr>
      <w:tr>
        <w:trPr>
          <w:cantSplit/>
        </w:trPr>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Success (summary)</w:t>
            </w:r>
          </w:p>
        </w:tc>
        <w:tc>
          <w:tcPr>
            <w:tcW w:type="dxa" w:w="7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repeat usage, zero serious safety incidents, and a defensible unit cost at pilot close (see §3).</w:t>
            </w:r>
          </w:p>
        </w:tc>
      </w:tr>
    </w:tbl>
    <w:p>
      <w:pPr>
        <w:spacing w:after="200" w:before="70"/>
        <w:jc w:val="left"/>
      </w:pPr>
      <w:r>
        <w:rPr>
          <w:rFonts w:ascii="Calibri" w:cs="Calibri" w:eastAsia="Calibri" w:hAnsi="Calibri"/>
          <w:i/>
          <w:iCs/>
          <w:color w:val="5A6675"/>
          <w:sz w:val="17"/>
          <w:szCs w:val="17"/>
        </w:rPr>
        <w:t xml:space="preserve">Table 1-1 is the one-page authorisation; cross-references point to the sections that elaborate each line.</w:t>
      </w:r>
    </w:p>
    <w:p>
      <w:pPr>
        <w:pStyle w:val="Heading2"/>
        <w:keepNext/>
        <w:spacing w:after="110" w:before="240"/>
      </w:pPr>
      <w:r>
        <w:rPr>
          <w:rFonts w:ascii="Calibri" w:cs="Calibri" w:eastAsia="Calibri" w:hAnsi="Calibri"/>
          <w:b/>
          <w:bCs/>
          <w:color w:val="1C6FD6"/>
          <w:sz w:val="25"/>
          <w:szCs w:val="25"/>
        </w:rPr>
        <w:t xml:space="preserve">1.1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0" w:line="278"/>
              <w:jc w:val="center"/>
            </w:pPr>
            <w:r>
              <w:rPr>
                <w:rFonts w:ascii="Calibri" w:cs="Calibri" w:eastAsia="Calibri" w:hAnsi="Calibri"/>
                <w:i/>
                <w:iCs/>
                <w:color w:val="20303F"/>
                <w:sz w:val="22"/>
                <w:szCs w:val="22"/>
              </w:rPr>
              <w:t xml:space="preserve">“Get every Razorback where they need to go — and get their stuff there too — through a network they can trust, at a price that only has to cover the trip.”</w:t>
            </w:r>
          </w:p>
        </w:tc>
      </w:tr>
    </w:tbl>
    <w:p>
      <w:pPr>
        <w:spacing w:after="80"/>
      </w:pPr>
    </w:p>
    <w:p>
      <w:pPr>
        <w:spacing w:after="140" w:line="278"/>
        <w:jc w:val="both"/>
      </w:pPr>
      <w:r>
        <w:rPr>
          <w:rFonts w:ascii="Calibri" w:cs="Calibri" w:eastAsia="Calibri" w:hAnsi="Calibri"/>
          <w:color w:val="20303F"/>
          <w:sz w:val="22"/>
          <w:szCs w:val="22"/>
        </w:rPr>
        <w:t xml:space="preserve">The vision deliberately fuses three ideas the plan returns to repeatedly: </w:t>
      </w:r>
      <w:r>
        <w:rPr>
          <w:rFonts w:ascii="Calibri" w:cs="Calibri" w:eastAsia="Calibri" w:hAnsi="Calibri"/>
          <w:b/>
          <w:bCs/>
          <w:color w:val="20303F"/>
          <w:sz w:val="22"/>
          <w:szCs w:val="22"/>
        </w:rPr>
        <w:t xml:space="preserve">trust</w:t>
      </w:r>
      <w:r>
        <w:rPr>
          <w:rFonts w:ascii="Calibri" w:cs="Calibri" w:eastAsia="Calibri" w:hAnsi="Calibri"/>
          <w:color w:val="20303F"/>
          <w:sz w:val="22"/>
          <w:szCs w:val="22"/>
        </w:rPr>
        <w:t xml:space="preserve"> (a closed, verified network), </w:t>
      </w:r>
      <w:r>
        <w:rPr>
          <w:rFonts w:ascii="Calibri" w:cs="Calibri" w:eastAsia="Calibri" w:hAnsi="Calibri"/>
          <w:b/>
          <w:bCs/>
          <w:color w:val="20303F"/>
          <w:sz w:val="22"/>
          <w:szCs w:val="22"/>
        </w:rPr>
        <w:t xml:space="preserve">dual utility</w:t>
      </w:r>
      <w:r>
        <w:rPr>
          <w:rFonts w:ascii="Calibri" w:cs="Calibri" w:eastAsia="Calibri" w:hAnsi="Calibri"/>
          <w:color w:val="20303F"/>
          <w:sz w:val="22"/>
          <w:szCs w:val="22"/>
        </w:rPr>
        <w:t xml:space="preserve"> (rides and deliveries on the same trips), and </w:t>
      </w:r>
      <w:r>
        <w:rPr>
          <w:rFonts w:ascii="Calibri" w:cs="Calibri" w:eastAsia="Calibri" w:hAnsi="Calibri"/>
          <w:b/>
          <w:bCs/>
          <w:color w:val="20303F"/>
          <w:sz w:val="22"/>
          <w:szCs w:val="22"/>
        </w:rPr>
        <w:t xml:space="preserve">cost-sharing</w:t>
      </w:r>
      <w:r>
        <w:rPr>
          <w:rFonts w:ascii="Calibri" w:cs="Calibri" w:eastAsia="Calibri" w:hAnsi="Calibri"/>
          <w:color w:val="20303F"/>
          <w:sz w:val="22"/>
          <w:szCs w:val="22"/>
        </w:rPr>
        <w:t xml:space="preserve"> (a price that covers the trip rather than generating profit on a ride). Those three commitments are not marketing; they are the load-bearing constraints that the insurance posture, the pricing, and the go-to-market sequence all derive from.</w:t>
      </w:r>
    </w:p>
    <w:p>
      <w:pPr>
        <w:pStyle w:val="Heading2"/>
        <w:keepNext/>
        <w:spacing w:after="110" w:before="240"/>
      </w:pPr>
      <w:r>
        <w:rPr>
          <w:rFonts w:ascii="Calibri" w:cs="Calibri" w:eastAsia="Calibri" w:hAnsi="Calibri"/>
          <w:b/>
          <w:bCs/>
          <w:color w:val="1C6FD6"/>
          <w:sz w:val="25"/>
          <w:szCs w:val="25"/>
        </w:rPr>
        <w:t xml:space="preserve">1.2  Project objectives</w:t>
      </w:r>
    </w:p>
    <w:p>
      <w:pPr>
        <w:spacing w:after="140" w:line="278"/>
        <w:jc w:val="both"/>
      </w:pPr>
      <w:r>
        <w:rPr>
          <w:rFonts w:ascii="Calibri" w:cs="Calibri" w:eastAsia="Calibri" w:hAnsi="Calibri"/>
          <w:color w:val="20303F"/>
          <w:sz w:val="22"/>
          <w:szCs w:val="22"/>
        </w:rPr>
        <w:t xml:space="preserve">The charter commits the project to five objectives, each made measurable in §3:</w:t>
      </w:r>
    </w:p>
    <w:p>
      <w:pPr>
        <w:pStyle w:val="ListParagraph"/>
        <w:numPr>
          <w:ilvl w:val="0"/>
          <w:numId w:val="2"/>
        </w:numPr>
        <w:spacing w:after="70" w:line="268"/>
        <w:jc w:val="left"/>
      </w:pPr>
      <w:r>
        <w:rPr>
          <w:rFonts w:ascii="Calibri" w:cs="Calibri" w:eastAsia="Calibri" w:hAnsi="Calibri"/>
          <w:b/>
          <w:bCs/>
          <w:color w:val="20303F"/>
          <w:sz w:val="22"/>
          <w:szCs w:val="22"/>
        </w:rPr>
        <w:t xml:space="preserve">Prove demand </w:t>
      </w:r>
      <w:r>
        <w:rPr>
          <w:rFonts w:ascii="Calibri" w:cs="Calibri" w:eastAsia="Calibri" w:hAnsi="Calibri"/>
          <w:color w:val="20303F"/>
          <w:sz w:val="22"/>
          <w:szCs w:val="22"/>
        </w:rPr>
        <w:t xml:space="preserve">on one corridor — that enough verified students will both offer and take shared rides to clear the cold-start threshold.</w:t>
      </w:r>
    </w:p>
    <w:p>
      <w:pPr>
        <w:pStyle w:val="ListParagraph"/>
        <w:numPr>
          <w:ilvl w:val="0"/>
          <w:numId w:val="2"/>
        </w:numPr>
        <w:spacing w:after="70" w:line="268"/>
        <w:jc w:val="left"/>
      </w:pPr>
      <w:r>
        <w:rPr>
          <w:rFonts w:ascii="Calibri" w:cs="Calibri" w:eastAsia="Calibri" w:hAnsi="Calibri"/>
          <w:b/>
          <w:bCs/>
          <w:color w:val="20303F"/>
          <w:sz w:val="22"/>
          <w:szCs w:val="22"/>
        </w:rPr>
        <w:t xml:space="preserve">Prove safety </w:t>
      </w:r>
      <w:r>
        <w:rPr>
          <w:rFonts w:ascii="Calibri" w:cs="Calibri" w:eastAsia="Calibri" w:hAnsi="Calibri"/>
          <w:color w:val="20303F"/>
          <w:sz w:val="22"/>
          <w:szCs w:val="22"/>
        </w:rPr>
        <w:t xml:space="preserve">— operate the pilot with zero serious safety incidents and a working, used safety toolkit.</w:t>
      </w:r>
    </w:p>
    <w:p>
      <w:pPr>
        <w:pStyle w:val="ListParagraph"/>
        <w:numPr>
          <w:ilvl w:val="0"/>
          <w:numId w:val="2"/>
        </w:numPr>
        <w:spacing w:after="70" w:line="268"/>
        <w:jc w:val="left"/>
      </w:pPr>
      <w:r>
        <w:rPr>
          <w:rFonts w:ascii="Calibri" w:cs="Calibri" w:eastAsia="Calibri" w:hAnsi="Calibri"/>
          <w:b/>
          <w:bCs/>
          <w:color w:val="20303F"/>
          <w:sz w:val="22"/>
          <w:szCs w:val="22"/>
        </w:rPr>
        <w:t xml:space="preserve">Prove the model is legal and affordable </w:t>
      </w:r>
      <w:r>
        <w:rPr>
          <w:rFonts w:ascii="Calibri" w:cs="Calibri" w:eastAsia="Calibri" w:hAnsi="Calibri"/>
          <w:color w:val="20303F"/>
          <w:sz w:val="22"/>
          <w:szCs w:val="22"/>
        </w:rPr>
        <w:t xml:space="preserve">— validate the cost-sharing posture with counsel and demonstrate a defensible per-ride unit cost.</w:t>
      </w:r>
    </w:p>
    <w:p>
      <w:pPr>
        <w:pStyle w:val="ListParagraph"/>
        <w:numPr>
          <w:ilvl w:val="0"/>
          <w:numId w:val="2"/>
        </w:numPr>
        <w:spacing w:after="70" w:line="268"/>
        <w:jc w:val="left"/>
      </w:pPr>
      <w:r>
        <w:rPr>
          <w:rFonts w:ascii="Calibri" w:cs="Calibri" w:eastAsia="Calibri" w:hAnsi="Calibri"/>
          <w:b/>
          <w:bCs/>
          <w:color w:val="20303F"/>
          <w:sz w:val="22"/>
          <w:szCs w:val="22"/>
        </w:rPr>
        <w:t xml:space="preserve">Ship a working product </w:t>
      </w:r>
      <w:r>
        <w:rPr>
          <w:rFonts w:ascii="Calibri" w:cs="Calibri" w:eastAsia="Calibri" w:hAnsi="Calibri"/>
          <w:color w:val="20303F"/>
          <w:sz w:val="22"/>
          <w:szCs w:val="22"/>
        </w:rPr>
        <w:t xml:space="preserve">— a stable cross-platform app delivering the five core flows (onboard, ride, deliver, reward, drive).</w:t>
      </w:r>
    </w:p>
    <w:p>
      <w:pPr>
        <w:pStyle w:val="ListParagraph"/>
        <w:numPr>
          <w:ilvl w:val="0"/>
          <w:numId w:val="2"/>
        </w:numPr>
        <w:spacing w:after="70" w:line="268"/>
        <w:jc w:val="left"/>
      </w:pPr>
      <w:r>
        <w:rPr>
          <w:rFonts w:ascii="Calibri" w:cs="Calibri" w:eastAsia="Calibri" w:hAnsi="Calibri"/>
          <w:b/>
          <w:bCs/>
          <w:color w:val="20303F"/>
          <w:sz w:val="22"/>
          <w:szCs w:val="22"/>
        </w:rPr>
        <w:t xml:space="preserve">Produce a go/no-go decision </w:t>
      </w:r>
      <w:r>
        <w:rPr>
          <w:rFonts w:ascii="Calibri" w:cs="Calibri" w:eastAsia="Calibri" w:hAnsi="Calibri"/>
          <w:color w:val="20303F"/>
          <w:sz w:val="22"/>
          <w:szCs w:val="22"/>
        </w:rPr>
        <w:t xml:space="preserve">— a defensible recommendation, backed by pilot data, on whether to scale into the NWA venture (see §26).</w:t>
      </w:r>
    </w:p>
    <w:p>
      <w:pPr>
        <w:pStyle w:val="Heading2"/>
        <w:keepNext/>
        <w:spacing w:after="110" w:before="240"/>
      </w:pPr>
      <w:r>
        <w:rPr>
          <w:rFonts w:ascii="Calibri" w:cs="Calibri" w:eastAsia="Calibri" w:hAnsi="Calibri"/>
          <w:b/>
          <w:bCs/>
          <w:color w:val="1C6FD6"/>
          <w:sz w:val="25"/>
          <w:szCs w:val="25"/>
        </w:rPr>
        <w:t xml:space="preserve">1.3  Project-manager authority</w:t>
      </w:r>
    </w:p>
    <w:p>
      <w:pPr>
        <w:spacing w:after="140" w:line="278"/>
        <w:jc w:val="both"/>
      </w:pPr>
      <w:r>
        <w:rPr>
          <w:rFonts w:ascii="Calibri" w:cs="Calibri" w:eastAsia="Calibri" w:hAnsi="Calibri"/>
          <w:color w:val="20303F"/>
          <w:sz w:val="22"/>
          <w:szCs w:val="22"/>
        </w:rPr>
        <w:t xml:space="preserve">As project lead, the founder holds authority to allocate the approved budget within the MVP envelope, to prioritise and re-order the product backlog, to accept or reject sprint increments, and to call the recurring ceremonies and phase gates. Authority that sits </w:t>
      </w:r>
      <w:r>
        <w:rPr>
          <w:rFonts w:ascii="Calibri" w:cs="Calibri" w:eastAsia="Calibri" w:hAnsi="Calibri"/>
          <w:b/>
          <w:bCs/>
          <w:color w:val="20303F"/>
          <w:sz w:val="22"/>
          <w:szCs w:val="22"/>
        </w:rPr>
        <w:t xml:space="preserve">above</w:t>
      </w:r>
      <w:r>
        <w:rPr>
          <w:rFonts w:ascii="Calibri" w:cs="Calibri" w:eastAsia="Calibri" w:hAnsi="Calibri"/>
          <w:color w:val="20303F"/>
          <w:sz w:val="22"/>
          <w:szCs w:val="22"/>
        </w:rPr>
        <w:t xml:space="preserve"> the project lead — releasing gated funding, approving a public launch, and the final scale decision — rests with the sponsor and is exercised at the phase gates defined in §21 and §26.</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  Business Case &amp; Feasibility</w:t>
      </w:r>
    </w:p>
    <w:p>
      <w:pPr>
        <w:spacing w:after="140" w:line="278"/>
        <w:jc w:val="both"/>
      </w:pPr>
      <w:r>
        <w:rPr>
          <w:rFonts w:ascii="Calibri" w:cs="Calibri" w:eastAsia="Calibri" w:hAnsi="Calibri"/>
          <w:color w:val="20303F"/>
          <w:sz w:val="22"/>
          <w:szCs w:val="22"/>
        </w:rPr>
        <w:t xml:space="preserve">This section makes the case that DiamondDrive is worth building. It states the problem with University of Arkansas figures, sizes the opportunity, confronts the economics that decide whether the model is viable, weighs the alternatives, and summarises the financial justification. It is the feasibility analysis the capstone brief calls for and the investment case a venture sponsor would read.</w:t>
      </w:r>
    </w:p>
    <w:p>
      <w:pPr>
        <w:pStyle w:val="Heading2"/>
        <w:keepNext/>
        <w:spacing w:after="110" w:before="240"/>
      </w:pPr>
      <w:r>
        <w:rPr>
          <w:rFonts w:ascii="Calibri" w:cs="Calibri" w:eastAsia="Calibri" w:hAnsi="Calibri"/>
          <w:b/>
          <w:bCs/>
          <w:color w:val="1C6FD6"/>
          <w:sz w:val="25"/>
          <w:szCs w:val="25"/>
        </w:rPr>
        <w:t xml:space="preserve">2.1  The problem</w:t>
      </w:r>
    </w:p>
    <w:p>
      <w:pPr>
        <w:spacing w:after="140" w:line="278"/>
        <w:jc w:val="both"/>
      </w:pPr>
      <w:r>
        <w:rPr>
          <w:rFonts w:ascii="Calibri" w:cs="Calibri" w:eastAsia="Calibri" w:hAnsi="Calibri"/>
          <w:color w:val="20303F"/>
          <w:sz w:val="22"/>
          <w:szCs w:val="22"/>
        </w:rPr>
        <w:t xml:space="preserve">The University of Arkansas is growing faster than the infrastructure that moves its students. Enrollment hit </w:t>
      </w:r>
      <w:r>
        <w:rPr>
          <w:rFonts w:ascii="Calibri" w:cs="Calibri" w:eastAsia="Calibri" w:hAnsi="Calibri"/>
          <w:b/>
          <w:bCs/>
          <w:color w:val="20303F"/>
          <w:sz w:val="22"/>
          <w:szCs w:val="22"/>
        </w:rPr>
        <w:t xml:space="preserve">34,175 in Fall 2025</w:t>
      </w:r>
      <w:r>
        <w:rPr>
          <w:rFonts w:ascii="Calibri" w:cs="Calibri" w:eastAsia="Calibri" w:hAnsi="Calibri"/>
          <w:color w:val="20303F"/>
          <w:sz w:val="22"/>
          <w:szCs w:val="22"/>
        </w:rPr>
        <w:t xml:space="preserve">, a fifth straight record and about </w:t>
      </w:r>
      <w:r>
        <w:rPr>
          <w:rFonts w:ascii="Calibri" w:cs="Calibri" w:eastAsia="Calibri" w:hAnsi="Calibri"/>
          <w:b/>
          <w:bCs/>
          <w:color w:val="20303F"/>
          <w:sz w:val="22"/>
          <w:szCs w:val="22"/>
        </w:rPr>
        <w:t xml:space="preserve">24% growth since 2020</w:t>
      </w:r>
      <w:r>
        <w:rPr>
          <w:rFonts w:ascii="Calibri" w:cs="Calibri" w:eastAsia="Calibri" w:hAnsi="Calibri"/>
          <w:color w:val="20303F"/>
          <w:sz w:val="22"/>
          <w:szCs w:val="22"/>
        </w:rPr>
        <w:t xml:space="preserve">. General parking permits are tiered and sell out; the relief that a new structured garage would bring is </w:t>
      </w:r>
      <w:r>
        <w:rPr>
          <w:rFonts w:ascii="Calibri" w:cs="Calibri" w:eastAsia="Calibri" w:hAnsi="Calibri"/>
          <w:b/>
          <w:bCs/>
          <w:color w:val="20303F"/>
          <w:sz w:val="22"/>
          <w:szCs w:val="22"/>
        </w:rPr>
        <w:t xml:space="preserve">not scheduled until 2029</w:t>
      </w:r>
      <w:r>
        <w:rPr>
          <w:rFonts w:ascii="Calibri" w:cs="Calibri" w:eastAsia="Calibri" w:hAnsi="Calibri"/>
          <w:color w:val="20303F"/>
          <w:sz w:val="22"/>
          <w:szCs w:val="22"/>
        </w:rPr>
        <w:t xml:space="preserve">. The university's own demand-response service, ASG-funded Safe Ride, carried </w:t>
      </w:r>
      <w:r>
        <w:rPr>
          <w:rFonts w:ascii="Calibri" w:cs="Calibri" w:eastAsia="Calibri" w:hAnsi="Calibri"/>
          <w:b/>
          <w:bCs/>
          <w:color w:val="20303F"/>
          <w:sz w:val="22"/>
          <w:szCs w:val="22"/>
        </w:rPr>
        <w:t xml:space="preserve">7,431 passengers</w:t>
      </w:r>
      <w:r>
        <w:rPr>
          <w:rFonts w:ascii="Calibri" w:cs="Calibri" w:eastAsia="Calibri" w:hAnsi="Calibri"/>
          <w:color w:val="20303F"/>
          <w:sz w:val="22"/>
          <w:szCs w:val="22"/>
        </w:rPr>
        <w:t xml:space="preserve"> in a recent year after ridership doubled year over year — but it runs limited hours, drops only at residences, and pauses in bad weather. The throughline is simple: demand for campus and corridor mobility is rising on a steep curve while supply is constrained and, in the case of structured parking, years away.</w:t>
      </w:r>
    </w:p>
    <w:p>
      <w:pPr>
        <w:keepNext/>
        <w:spacing w:after="90" w:before="60"/>
      </w:pPr>
      <w:r>
        <w:rPr>
          <w:rFonts w:ascii="Calibri" w:cs="Calibri" w:eastAsia="Calibri" w:hAnsi="Calibri"/>
          <w:b/>
          <w:bCs/>
          <w:color w:val="9D2235"/>
          <w:sz w:val="19"/>
          <w:szCs w:val="19"/>
        </w:rPr>
        <w:t xml:space="preserve">Table 2-1.  </w:t>
      </w:r>
      <w:r>
        <w:rPr>
          <w:rFonts w:ascii="Calibri" w:cs="Calibri" w:eastAsia="Calibri" w:hAnsi="Calibri"/>
          <w:b/>
          <w:bCs/>
          <w:color w:val="0B1F3A"/>
          <w:sz w:val="19"/>
          <w:szCs w:val="19"/>
        </w:rPr>
        <w:t xml:space="preserve">Problem evidence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rPr>
          <w:tblHeader/>
        </w:trPr>
        <w:tc>
          <w:tcPr>
            <w:tcW w:type="dxa" w:w="2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Indicator</w:t>
            </w:r>
          </w:p>
        </w:tc>
        <w:tc>
          <w:tcPr>
            <w:tcW w:type="dxa" w:w="23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Figure</w:t>
            </w:r>
          </w:p>
        </w:tc>
        <w:tc>
          <w:tcPr>
            <w:tcW w:type="dxa" w:w="4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Why it matters</w:t>
            </w:r>
          </w:p>
        </w:tc>
      </w:tr>
      <w:tr>
        <w:trPr>
          <w:cantSplit/>
        </w:trPr>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Fall 2025 enrollment</w:t>
            </w:r>
          </w:p>
        </w:tc>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34,175</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Fifth consecutive record; the user base is large and expanding.</w:t>
            </w:r>
          </w:p>
        </w:tc>
      </w:tr>
      <w:tr>
        <w:trPr>
          <w:cantSplit/>
        </w:trPr>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Enrollment growth since 2020</w:t>
            </w:r>
          </w:p>
        </w:tc>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~24%</w:t>
            </w:r>
          </w:p>
        </w:tc>
        <w:tc>
          <w:tcPr>
            <w:tcW w:type="dxa" w:w="4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is on a steep curve, not a plateau.</w:t>
            </w:r>
          </w:p>
        </w:tc>
      </w:tr>
      <w:tr>
        <w:trPr>
          <w:cantSplit/>
        </w:trPr>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Next parking garage</w:t>
            </w:r>
          </w:p>
        </w:tc>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2029</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Structured-parking relief is years out; the gap is open now.</w:t>
            </w:r>
          </w:p>
        </w:tc>
      </w:tr>
      <w:tr>
        <w:trPr>
          <w:cantSplit/>
        </w:trPr>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 Ride passengers (recent yr)</w:t>
            </w:r>
          </w:p>
        </w:tc>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7,431</w:t>
            </w:r>
          </w:p>
        </w:tc>
        <w:tc>
          <w:tcPr>
            <w:tcW w:type="dxa" w:w="4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for managed rides doubled YoY — appetite is proven.</w:t>
            </w:r>
          </w:p>
        </w:tc>
      </w:tr>
      <w:tr>
        <w:trPr>
          <w:cantSplit/>
        </w:trPr>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 Ride limitations</w:t>
            </w:r>
          </w:p>
        </w:tc>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Hours, residence-only, weather</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Leaves Dickson St., commuters, and bad-weather trips unserved.</w:t>
            </w:r>
          </w:p>
        </w:tc>
      </w:tr>
      <w:tr>
        <w:trPr>
          <w:cantSplit/>
        </w:trPr>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NWA commuter corridor</w:t>
            </w:r>
          </w:p>
        </w:tc>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I-49: Springdale · Rogers · Bentonville</w:t>
            </w:r>
          </w:p>
        </w:tc>
        <w:tc>
          <w:tcPr>
            <w:tcW w:type="dxa" w:w="4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natural, high-density route to seed first.</w:t>
            </w:r>
          </w:p>
        </w:tc>
      </w:tr>
    </w:tbl>
    <w:p>
      <w:pPr>
        <w:spacing w:after="200" w:before="70"/>
        <w:jc w:val="left"/>
      </w:pPr>
      <w:r>
        <w:rPr>
          <w:rFonts w:ascii="Calibri" w:cs="Calibri" w:eastAsia="Calibri" w:hAnsi="Calibri"/>
          <w:i/>
          <w:iCs/>
          <w:color w:val="5A6675"/>
          <w:sz w:val="17"/>
          <w:szCs w:val="17"/>
        </w:rPr>
        <w:t xml:space="preserve">Figures are drawn from the companion research paper's evidence base (see Appendix B).</w:t>
      </w:r>
    </w:p>
    <w:p>
      <w:pPr>
        <w:pStyle w:val="Heading2"/>
        <w:keepNext/>
        <w:spacing w:after="110" w:before="240"/>
      </w:pPr>
      <w:r>
        <w:rPr>
          <w:rFonts w:ascii="Calibri" w:cs="Calibri" w:eastAsia="Calibri" w:hAnsi="Calibri"/>
          <w:b/>
          <w:bCs/>
          <w:color w:val="1C6FD6"/>
          <w:sz w:val="25"/>
          <w:szCs w:val="25"/>
        </w:rPr>
        <w:t xml:space="preserve">2.2  The opportunity</w:t>
      </w:r>
    </w:p>
    <w:p>
      <w:pPr>
        <w:spacing w:after="140" w:line="278"/>
        <w:jc w:val="both"/>
      </w:pPr>
      <w:r>
        <w:rPr>
          <w:rFonts w:ascii="Calibri" w:cs="Calibri" w:eastAsia="Calibri" w:hAnsi="Calibri"/>
          <w:color w:val="20303F"/>
          <w:sz w:val="22"/>
          <w:szCs w:val="22"/>
        </w:rPr>
        <w:t xml:space="preserve">Two structural facts make the opportunity attractive. First, the </w:t>
      </w:r>
      <w:r>
        <w:rPr>
          <w:rFonts w:ascii="Calibri" w:cs="Calibri" w:eastAsia="Calibri" w:hAnsi="Calibri"/>
          <w:b/>
          <w:bCs/>
          <w:color w:val="20303F"/>
          <w:sz w:val="22"/>
          <w:szCs w:val="22"/>
        </w:rPr>
        <w:t xml:space="preserve">student segment is under-served by incumbents</w:t>
      </w:r>
      <w:r>
        <w:rPr>
          <w:rFonts w:ascii="Calibri" w:cs="Calibri" w:eastAsia="Calibri" w:hAnsi="Calibri"/>
          <w:color w:val="20303F"/>
          <w:sz w:val="22"/>
          <w:szCs w:val="22"/>
        </w:rPr>
        <w:t xml:space="preserve">: a large share of Americans never use ride-hailing at all, and price-sensitive students on short, repeating campus routes are exactly the trips the major platforms serve least well. Second, the </w:t>
      </w:r>
      <w:r>
        <w:rPr>
          <w:rFonts w:ascii="Calibri" w:cs="Calibri" w:eastAsia="Calibri" w:hAnsi="Calibri"/>
          <w:b/>
          <w:bCs/>
          <w:color w:val="20303F"/>
          <w:sz w:val="22"/>
          <w:szCs w:val="22"/>
        </w:rPr>
        <w:t xml:space="preserve">combination of rides and delivery</w:t>
      </w:r>
      <w:r>
        <w:rPr>
          <w:rFonts w:ascii="Calibri" w:cs="Calibri" w:eastAsia="Calibri" w:hAnsi="Calibri"/>
          <w:color w:val="20303F"/>
          <w:sz w:val="22"/>
          <w:szCs w:val="22"/>
        </w:rPr>
        <w:t xml:space="preserve"> on the same network is validated at scale — the largest mobility platforms derive meaningful revenue from both moving people and moving goods — which means a single corridor of drivers can serve two demand streams at once. DiamondDrive's wedge is not to out-Uber Uber; it is to serve a closed, verified campus market with a cost-shared model the incumbents structurally cannot match.</w:t>
      </w:r>
    </w:p>
    <w:p>
      <w:pPr>
        <w:spacing w:after="140" w:line="278"/>
        <w:jc w:val="both"/>
      </w:pPr>
      <w:r>
        <w:rPr>
          <w:rFonts w:ascii="Calibri" w:cs="Calibri" w:eastAsia="Calibri" w:hAnsi="Calibri"/>
          <w:b/>
          <w:bCs/>
          <w:color w:val="20303F"/>
          <w:sz w:val="22"/>
          <w:szCs w:val="22"/>
        </w:rPr>
        <w:t xml:space="preserve">Beachhead — </w:t>
      </w:r>
      <w:r>
        <w:rPr>
          <w:rFonts w:ascii="Calibri" w:cs="Calibri" w:eastAsia="Calibri" w:hAnsi="Calibri"/>
          <w:color w:val="20303F"/>
          <w:sz w:val="22"/>
          <w:szCs w:val="22"/>
        </w:rPr>
        <w:t xml:space="preserve">The Springdale–campus leg of the I-49 corridor is the chosen beachhead: a dense, repeating commuter flow with a natural anchor (campus) on one end. Concentrating supply and demand on one corridor is the standard answer to the cold-start problem and is treated as a first-class strategy in §18.</w:t>
      </w:r>
    </w:p>
    <w:p>
      <w:pPr>
        <w:pStyle w:val="Heading2"/>
        <w:keepNext/>
        <w:spacing w:after="110" w:before="240"/>
      </w:pPr>
      <w:r>
        <w:rPr>
          <w:rFonts w:ascii="Calibri" w:cs="Calibri" w:eastAsia="Calibri" w:hAnsi="Calibri"/>
          <w:b/>
          <w:bCs/>
          <w:color w:val="1C6FD6"/>
          <w:sz w:val="25"/>
          <w:szCs w:val="25"/>
        </w:rPr>
        <w:t xml:space="preserve">2.3  The economics that decide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Central finding — the model lives or dies on classification</w:t>
            </w:r>
          </w:p>
          <w:p>
            <w:pPr>
              <w:spacing w:after="80" w:line="278"/>
              <w:jc w:val="both"/>
            </w:pPr>
            <w:r>
              <w:rPr>
                <w:rFonts w:ascii="Calibri" w:cs="Calibri" w:eastAsia="Calibri" w:hAnsi="Calibri"/>
                <w:color w:val="20303F"/>
                <w:sz w:val="22"/>
                <w:szCs w:val="22"/>
              </w:rPr>
              <w:t xml:space="preserve">The decisive question for DiamondDrive is not whether students will use it; it is </w:t>
            </w:r>
            <w:r>
              <w:rPr>
                <w:rFonts w:ascii="Calibri" w:cs="Calibri" w:eastAsia="Calibri" w:hAnsi="Calibri"/>
                <w:b/>
                <w:bCs/>
                <w:color w:val="20303F"/>
                <w:sz w:val="22"/>
                <w:szCs w:val="22"/>
              </w:rPr>
              <w:t xml:space="preserve">how the service is classified for insurance and regulation</w:t>
            </w:r>
            <w:r>
              <w:rPr>
                <w:rFonts w:ascii="Calibri" w:cs="Calibri" w:eastAsia="Calibri" w:hAnsi="Calibri"/>
                <w:color w:val="20303F"/>
                <w:sz w:val="22"/>
                <w:szCs w:val="22"/>
              </w:rPr>
              <w:t xml:space="preserve">. If it operates as a transportation network company (TNC), personal-auto insurers may exclude all coverage the moment a driver goes online, and the commercial coverage a TNC classification implies is financially fatal to a student-priced service.</w:t>
            </w:r>
          </w:p>
          <w:p>
            <w:pPr>
              <w:spacing w:after="0" w:line="278"/>
              <w:jc w:val="both"/>
            </w:pPr>
            <w:r>
              <w:rPr>
                <w:rFonts w:ascii="Calibri" w:cs="Calibri" w:eastAsia="Calibri" w:hAnsi="Calibri"/>
                <w:b/>
                <w:bCs/>
                <w:color w:val="20303F"/>
                <w:sz w:val="22"/>
                <w:szCs w:val="22"/>
              </w:rPr>
              <w:t xml:space="preserve">The escape is to be a genuine cost-sharing carpool. </w:t>
            </w:r>
            <w:r>
              <w:rPr>
                <w:rFonts w:ascii="Calibri" w:cs="Calibri" w:eastAsia="Calibri" w:hAnsi="Calibri"/>
                <w:color w:val="20303F"/>
                <w:sz w:val="22"/>
                <w:szCs w:val="22"/>
              </w:rPr>
              <w:t xml:space="preserve">Riders contribute toward the cost of a trip; drivers recover expenses such as gas rather than earn a wage; there is no surge and no profit margin on a ride. Operated this way, the service is plausibly outside the TNC definition — but that conclusion </w:t>
            </w:r>
            <w:r>
              <w:rPr>
                <w:rFonts w:ascii="Calibri" w:cs="Calibri" w:eastAsia="Calibri" w:hAnsi="Calibri"/>
                <w:b/>
                <w:bCs/>
                <w:color w:val="20303F"/>
                <w:sz w:val="22"/>
                <w:szCs w:val="22"/>
              </w:rPr>
              <w:t xml:space="preserve">must be confirmed by a binding legal opinion before any public launch</w:t>
            </w:r>
            <w:r>
              <w:rPr>
                <w:rFonts w:ascii="Calibri" w:cs="Calibri" w:eastAsia="Calibri" w:hAnsi="Calibri"/>
                <w:color w:val="20303F"/>
                <w:sz w:val="22"/>
                <w:szCs w:val="22"/>
              </w:rPr>
              <w:t xml:space="preserve">. This single posture is why pricing is framed as a contribution, why the product copy says “gas, not profit,” and why launch is gated on counsel in §16 and §18.</w:t>
            </w:r>
          </w:p>
        </w:tc>
      </w:tr>
    </w:tbl>
    <w:p>
      <w:pPr>
        <w:spacing w:after="100"/>
      </w:pPr>
    </w:p>
    <w:p>
      <w:pPr>
        <w:pStyle w:val="Heading2"/>
        <w:keepNext/>
        <w:spacing w:after="110" w:before="240"/>
      </w:pPr>
      <w:r>
        <w:rPr>
          <w:rFonts w:ascii="Calibri" w:cs="Calibri" w:eastAsia="Calibri" w:hAnsi="Calibri"/>
          <w:b/>
          <w:bCs/>
          <w:color w:val="1C6FD6"/>
          <w:sz w:val="25"/>
          <w:szCs w:val="25"/>
        </w:rPr>
        <w:t xml:space="preserve">2.4  Alternatives analysis</w:t>
      </w:r>
    </w:p>
    <w:p>
      <w:pPr>
        <w:spacing w:after="140" w:line="278"/>
        <w:jc w:val="both"/>
      </w:pPr>
      <w:r>
        <w:rPr>
          <w:rFonts w:ascii="Calibri" w:cs="Calibri" w:eastAsia="Calibri" w:hAnsi="Calibri"/>
          <w:color w:val="20303F"/>
          <w:sz w:val="22"/>
          <w:szCs w:val="22"/>
        </w:rPr>
        <w:t xml:space="preserve">Four options were weighed. DiamondDrive is recommended because it is the only one that closes the gap at a student-affordable price while remaining inside a defensible legal posture.</w:t>
      </w:r>
    </w:p>
    <w:p>
      <w:pPr>
        <w:keepNext/>
        <w:spacing w:after="90" w:before="60"/>
      </w:pPr>
      <w:r>
        <w:rPr>
          <w:rFonts w:ascii="Calibri" w:cs="Calibri" w:eastAsia="Calibri" w:hAnsi="Calibri"/>
          <w:b/>
          <w:bCs/>
          <w:color w:val="9D2235"/>
          <w:sz w:val="19"/>
          <w:szCs w:val="19"/>
        </w:rPr>
        <w:t xml:space="preserve">Table 2-2.  </w:t>
      </w:r>
      <w:r>
        <w:rPr>
          <w:rFonts w:ascii="Calibri" w:cs="Calibri" w:eastAsia="Calibri" w:hAnsi="Calibri"/>
          <w:b/>
          <w:bCs/>
          <w:color w:val="0B1F3A"/>
          <w:sz w:val="19"/>
          <w:szCs w:val="19"/>
        </w:rPr>
        <w:t xml:space="preserve">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860"/>
        <w:gridCol w:w="1500"/>
      </w:tblGrid>
      <w:tr>
        <w:trPr>
          <w:tblHeader/>
        </w:trPr>
        <w:tc>
          <w:tcPr>
            <w:tcW w:type="dxa" w:w="2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Option</w:t>
            </w:r>
          </w:p>
        </w:tc>
        <w:tc>
          <w:tcPr>
            <w:tcW w:type="dxa" w:w="1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Closes the gap?</w:t>
            </w:r>
          </w:p>
        </w:tc>
        <w:tc>
          <w:tcPr>
            <w:tcW w:type="dxa" w:w="1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Cost to student</w:t>
            </w:r>
          </w:p>
        </w:tc>
        <w:tc>
          <w:tcPr>
            <w:tcW w:type="dxa" w:w="28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Key drawback</w:t>
            </w:r>
          </w:p>
        </w:tc>
        <w:tc>
          <w:tcPr>
            <w:tcW w:type="dxa" w:w="1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Verdict</w:t>
            </w:r>
          </w:p>
        </w:tc>
      </w:tr>
      <w:tr>
        <w:trPr>
          <w:cantSplit/>
        </w:trPr>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Do nothing</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Gap widens until 2029; demand stays unmet</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Rejected</w:t>
            </w:r>
          </w:p>
        </w:tc>
      </w:tr>
      <w:tr>
        <w:trPr>
          <w:cantSplit/>
        </w:trPr>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Rely on Uber / Lyft</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Partly</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High</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Priced out of repeating short trips; no campus trust layer</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Insufficient</w:t>
            </w:r>
          </w:p>
        </w:tc>
      </w:tr>
      <w:tr>
        <w:trPr>
          <w:cantSplit/>
        </w:trPr>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Expand Safe Ride</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Partly</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Free</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Hours/coverage limits; institutional cost and capacity ceiling</w:t>
            </w:r>
          </w:p>
        </w:tc>
        <w:tc>
          <w:tcPr>
            <w:tcW w:type="dxa" w:w="1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Complementary</w:t>
            </w:r>
          </w:p>
        </w:tc>
      </w:tr>
      <w:tr>
        <w:trPr>
          <w:cantSplit/>
        </w:trPr>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Build DiamondDrive</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Yes</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Low (cost-share)</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Requires cold-start and legal confirmation</w:t>
            </w:r>
          </w:p>
        </w:tc>
        <w:tc>
          <w:tcPr>
            <w:tcW w:type="dxa" w:w="1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Recommended</w:t>
            </w:r>
          </w:p>
        </w:tc>
      </w:tr>
    </w:tbl>
    <w:p>
      <w:pPr>
        <w:spacing w:after="200" w:before="70"/>
        <w:jc w:val="left"/>
      </w:pPr>
      <w:r>
        <w:rPr>
          <w:rFonts w:ascii="Calibri" w:cs="Calibri" w:eastAsia="Calibri" w:hAnsi="Calibri"/>
          <w:i/>
          <w:iCs/>
          <w:color w:val="5A6675"/>
          <w:sz w:val="17"/>
          <w:szCs w:val="17"/>
        </w:rPr>
        <w:t xml:space="preserve">DiamondDrive is positioned as complementary to Safe Ride, not a replacement for it.</w:t>
      </w:r>
    </w:p>
    <w:p>
      <w:pPr>
        <w:pStyle w:val="Heading2"/>
        <w:keepNext/>
        <w:spacing w:after="110" w:before="240"/>
      </w:pPr>
      <w:r>
        <w:rPr>
          <w:rFonts w:ascii="Calibri" w:cs="Calibri" w:eastAsia="Calibri" w:hAnsi="Calibri"/>
          <w:b/>
          <w:bCs/>
          <w:color w:val="1C6FD6"/>
          <w:sz w:val="25"/>
          <w:szCs w:val="25"/>
        </w:rPr>
        <w:t xml:space="preserve">2.5  Financial justification (summary)</w:t>
      </w:r>
    </w:p>
    <w:p>
      <w:pPr>
        <w:spacing w:after="140" w:line="278"/>
        <w:jc w:val="both"/>
      </w:pPr>
      <w:r>
        <w:rPr>
          <w:rFonts w:ascii="Calibri" w:cs="Calibri" w:eastAsia="Calibri" w:hAnsi="Calibri"/>
          <w:color w:val="20303F"/>
          <w:sz w:val="22"/>
          <w:szCs w:val="22"/>
        </w:rPr>
        <w:t xml:space="preserve">The build is inexpensive relative to its potential reach. A functional MVP sits in a </w:t>
      </w:r>
      <w:r>
        <w:rPr>
          <w:rFonts w:ascii="Calibri" w:cs="Calibri" w:eastAsia="Calibri" w:hAnsi="Calibri"/>
          <w:b/>
          <w:bCs/>
          <w:color w:val="20303F"/>
          <w:sz w:val="22"/>
          <w:szCs w:val="22"/>
        </w:rPr>
        <w:t xml:space="preserve">$6,000–$45,000 envelope</w:t>
      </w:r>
      <w:r>
        <w:rPr>
          <w:rFonts w:ascii="Calibri" w:cs="Calibri" w:eastAsia="Calibri" w:hAnsi="Calibri"/>
          <w:color w:val="20303F"/>
          <w:sz w:val="22"/>
          <w:szCs w:val="22"/>
        </w:rPr>
        <w:t xml:space="preserve"> depending on how much is built in-house versus contracted, and the pilot's operating costs are modest because the asset base (the cars) belongs to the drivers, not the project. Anchor sponsorship — with a regional brand such as </w:t>
      </w:r>
      <w:r>
        <w:rPr>
          <w:rFonts w:ascii="Calibri" w:cs="Calibri" w:eastAsia="Calibri" w:hAnsi="Calibri"/>
          <w:b/>
          <w:bCs/>
          <w:color w:val="20303F"/>
          <w:sz w:val="22"/>
          <w:szCs w:val="22"/>
        </w:rPr>
        <w:t xml:space="preserve">7 Brew</w:t>
      </w:r>
      <w:r>
        <w:rPr>
          <w:rFonts w:ascii="Calibri" w:cs="Calibri" w:eastAsia="Calibri" w:hAnsi="Calibri"/>
          <w:color w:val="20303F"/>
          <w:sz w:val="22"/>
          <w:szCs w:val="22"/>
        </w:rPr>
        <w:t xml:space="preserve">, founded in Rogers — can offset launch and rewards costs, and the cost-sharing model means the service does not need to extract margin from rides to function during the pilot. The full budget, by phase and by work package, is in §15.</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3  Goals, Objectives &amp; Success Criteria</w:t>
      </w:r>
    </w:p>
    <w:p>
      <w:pPr>
        <w:spacing w:after="140" w:line="278"/>
        <w:jc w:val="both"/>
      </w:pPr>
      <w:r>
        <w:rPr>
          <w:rFonts w:ascii="Calibri" w:cs="Calibri" w:eastAsia="Calibri" w:hAnsi="Calibri"/>
          <w:color w:val="20303F"/>
          <w:sz w:val="22"/>
          <w:szCs w:val="22"/>
        </w:rPr>
        <w:t xml:space="preserve">This section turns the charter's five objectives into measurable targets. It defines SMART objectives, the KPIs that track them, and the explicit thresholds the pilot must clear at its close — the same thresholds the go/no-go gate in §26 reads.</w:t>
      </w:r>
    </w:p>
    <w:p>
      <w:pPr>
        <w:pStyle w:val="Heading2"/>
        <w:keepNext/>
        <w:spacing w:after="110" w:before="240"/>
      </w:pPr>
      <w:r>
        <w:rPr>
          <w:rFonts w:ascii="Calibri" w:cs="Calibri" w:eastAsia="Calibri" w:hAnsi="Calibri"/>
          <w:b/>
          <w:bCs/>
          <w:color w:val="1C6FD6"/>
          <w:sz w:val="25"/>
          <w:szCs w:val="25"/>
        </w:rPr>
        <w:t xml:space="preserve">3.1  SMART objectives &amp; KPIs</w:t>
      </w:r>
    </w:p>
    <w:p>
      <w:pPr>
        <w:keepNext/>
        <w:spacing w:after="90" w:before="60"/>
      </w:pPr>
      <w:r>
        <w:rPr>
          <w:rFonts w:ascii="Calibri" w:cs="Calibri" w:eastAsia="Calibri" w:hAnsi="Calibri"/>
          <w:b/>
          <w:bCs/>
          <w:color w:val="9D2235"/>
          <w:sz w:val="19"/>
          <w:szCs w:val="19"/>
        </w:rPr>
        <w:t xml:space="preserve">Table 3-1.  </w:t>
      </w:r>
      <w:r>
        <w:rPr>
          <w:rFonts w:ascii="Calibri" w:cs="Calibri" w:eastAsia="Calibri" w:hAnsi="Calibri"/>
          <w:b/>
          <w:bCs/>
          <w:color w:val="0B1F3A"/>
          <w:sz w:val="19"/>
          <w:szCs w:val="19"/>
        </w:rPr>
        <w:t xml:space="preserve">Objectives, metrics, and pilot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28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t>
            </w:r>
          </w:p>
        </w:tc>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Objective</w:t>
            </w:r>
          </w:p>
        </w:tc>
        <w:tc>
          <w:tcPr>
            <w:tcW w:type="dxa" w:w="3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Metric (KPI)</w:t>
            </w:r>
          </w:p>
        </w:tc>
        <w:tc>
          <w:tcPr>
            <w:tcW w:type="dxa" w:w="2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Pilot target</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O1</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Prove corridor demand</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Verified sign-ups; rides matched/week on the pilot corridor</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Clear cold-start: sustained weekly matched rides</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O2</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Prove repeat usage</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4-week repeat-ride rate</w:t>
            </w:r>
          </w:p>
        </w:tc>
        <w:tc>
          <w:tcPr>
            <w:tcW w:type="dxa" w:w="2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40% of riders take a second ride</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O3</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Operate safely</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Serious safety incidents; safety-tool usage</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Zero serious incidents</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O4</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Confirm the model is legal</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Binding legal opinion on cost-sharing posture</w:t>
            </w:r>
          </w:p>
        </w:tc>
        <w:tc>
          <w:tcPr>
            <w:tcW w:type="dxa" w:w="2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Opinion secured before launch</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O5</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Demonstrate affordability</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Average rider contribution per trip; unit cost</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Contribution materially below ride-hail price</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O6</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Ship the product</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Five core flows live and stable across platforms</w:t>
            </w:r>
          </w:p>
        </w:tc>
        <w:tc>
          <w:tcPr>
            <w:tcW w:type="dxa" w:w="2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All five flows in production at launch</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O7</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Decide on scale</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Evidence-backed go/no-go recommendation</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Recommendation delivered at close</w:t>
            </w:r>
          </w:p>
        </w:tc>
      </w:tr>
    </w:tbl>
    <w:p>
      <w:pPr>
        <w:spacing w:after="200" w:before="70"/>
        <w:jc w:val="left"/>
      </w:pPr>
      <w:r>
        <w:rPr>
          <w:rFonts w:ascii="Calibri" w:cs="Calibri" w:eastAsia="Calibri" w:hAnsi="Calibri"/>
          <w:i/>
          <w:iCs/>
          <w:color w:val="5A6675"/>
          <w:sz w:val="17"/>
          <w:szCs w:val="17"/>
        </w:rPr>
        <w:t xml:space="preserve">Targets are intentionally conservative for a single-corridor, single-semester pilot.</w:t>
      </w:r>
    </w:p>
    <w:p>
      <w:pPr>
        <w:pStyle w:val="Heading2"/>
        <w:keepNext/>
        <w:spacing w:after="110" w:before="240"/>
      </w:pPr>
      <w:r>
        <w:rPr>
          <w:rFonts w:ascii="Calibri" w:cs="Calibri" w:eastAsia="Calibri" w:hAnsi="Calibri"/>
          <w:b/>
          <w:bCs/>
          <w:color w:val="1C6FD6"/>
          <w:sz w:val="25"/>
          <w:szCs w:val="25"/>
        </w:rPr>
        <w:t xml:space="preserve">3.2  Definition of success</w:t>
      </w:r>
    </w:p>
    <w:p>
      <w:pPr>
        <w:spacing w:after="140" w:line="278"/>
        <w:jc w:val="both"/>
      </w:pPr>
      <w:r>
        <w:rPr>
          <w:rFonts w:ascii="Calibri" w:cs="Calibri" w:eastAsia="Calibri" w:hAnsi="Calibri"/>
          <w:color w:val="20303F"/>
          <w:sz w:val="22"/>
          <w:szCs w:val="22"/>
        </w:rPr>
        <w:t xml:space="preserve">Success is not “many rides.” It is a </w:t>
      </w:r>
      <w:r>
        <w:rPr>
          <w:rFonts w:ascii="Calibri" w:cs="Calibri" w:eastAsia="Calibri" w:hAnsi="Calibri"/>
          <w:b/>
          <w:bCs/>
          <w:color w:val="20303F"/>
          <w:sz w:val="22"/>
          <w:szCs w:val="22"/>
        </w:rPr>
        <w:t xml:space="preserve">defensible answer to one question</w:t>
      </w:r>
      <w:r>
        <w:rPr>
          <w:rFonts w:ascii="Calibri" w:cs="Calibri" w:eastAsia="Calibri" w:hAnsi="Calibri"/>
          <w:color w:val="20303F"/>
          <w:sz w:val="22"/>
          <w:szCs w:val="22"/>
        </w:rPr>
        <w:t xml:space="preserve">: should DiamondDrive scale into a venture? A successful pilot is one that (a) clears the cold-start threshold on its corridor, (b) shows real repeat usage, (c) records zero serious safety incidents, (d) operates under a legally confirmed cost-sharing model, and (e) demonstrates a unit cost that is sustainable without ride-level profit. Meeting those is a </w:t>
      </w:r>
      <w:r>
        <w:rPr>
          <w:rFonts w:ascii="Calibri" w:cs="Calibri" w:eastAsia="Calibri" w:hAnsi="Calibri"/>
          <w:b/>
          <w:bCs/>
          <w:color w:val="20303F"/>
          <w:sz w:val="22"/>
          <w:szCs w:val="22"/>
        </w:rPr>
        <w:t xml:space="preserve">go</w:t>
      </w:r>
      <w:r>
        <w:rPr>
          <w:rFonts w:ascii="Calibri" w:cs="Calibri" w:eastAsia="Calibri" w:hAnsi="Calibri"/>
          <w:color w:val="20303F"/>
          <w:sz w:val="22"/>
          <w:szCs w:val="22"/>
        </w:rPr>
        <w:t xml:space="preserve">; missing one or two with a clear remediation path is a </w:t>
      </w:r>
      <w:r>
        <w:rPr>
          <w:rFonts w:ascii="Calibri" w:cs="Calibri" w:eastAsia="Calibri" w:hAnsi="Calibri"/>
          <w:b/>
          <w:bCs/>
          <w:color w:val="20303F"/>
          <w:sz w:val="22"/>
          <w:szCs w:val="22"/>
        </w:rPr>
        <w:t xml:space="preserve">refine</w:t>
      </w:r>
      <w:r>
        <w:rPr>
          <w:rFonts w:ascii="Calibri" w:cs="Calibri" w:eastAsia="Calibri" w:hAnsi="Calibri"/>
          <w:color w:val="20303F"/>
          <w:sz w:val="22"/>
          <w:szCs w:val="22"/>
        </w:rPr>
        <w:t xml:space="preserve">; a safety or legal failure is a </w:t>
      </w:r>
      <w:r>
        <w:rPr>
          <w:rFonts w:ascii="Calibri" w:cs="Calibri" w:eastAsia="Calibri" w:hAnsi="Calibri"/>
          <w:b/>
          <w:bCs/>
          <w:color w:val="20303F"/>
          <w:sz w:val="22"/>
          <w:szCs w:val="22"/>
        </w:rPr>
        <w:t xml:space="preserve">no-go</w:t>
      </w:r>
      <w:r>
        <w:rPr>
          <w:rFonts w:ascii="Calibri" w:cs="Calibri" w:eastAsia="Calibri" w:hAnsi="Calibri"/>
          <w:color w:val="20303F"/>
          <w:sz w:val="22"/>
          <w:szCs w:val="22"/>
        </w:rPr>
        <w:t xml:space="preserve"> regardless of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F8FD" w:sz="2"/>
              <w:left w:val="single" w:color="3A4A5E" w:sz="28"/>
              <w:bottom w:val="single" w:color="F4F8FD" w:sz="2"/>
              <w:right w:val="single" w:color="F4F8FD" w:sz="2"/>
            </w:tcBorders>
            <w:shd w:fill="F4F8FD" w:val="clear"/>
            <w:tcMar>
              <w:top w:type="dxa" w:w="110"/>
              <w:left w:type="dxa" w:w="200"/>
              <w:bottom w:type="dxa" w:w="110"/>
              <w:right w:type="dxa" w:w="160"/>
            </w:tcMar>
          </w:tcPr>
          <w:p>
            <w:pPr>
              <w:spacing w:after="80" w:line="264"/>
            </w:pPr>
            <w:r>
              <w:rPr>
                <w:rFonts w:ascii="Calibri" w:cs="Calibri" w:eastAsia="Calibri" w:hAnsi="Calibri"/>
                <w:b/>
                <w:bCs/>
                <w:color w:val="3A4A5E"/>
                <w:sz w:val="20"/>
                <w:szCs w:val="20"/>
              </w:rPr>
              <w:t xml:space="preserve">Success is a decision, not a vanity metric</w:t>
            </w:r>
          </w:p>
          <w:p>
            <w:pPr>
              <w:spacing w:after="0" w:line="278"/>
              <w:jc w:val="both"/>
            </w:pPr>
            <w:r>
              <w:rPr>
                <w:rFonts w:ascii="Calibri" w:cs="Calibri" w:eastAsia="Calibri" w:hAnsi="Calibri"/>
                <w:color w:val="20303F"/>
                <w:sz w:val="22"/>
                <w:szCs w:val="22"/>
              </w:rPr>
              <w:t xml:space="preserve">The pilot is instrumented to answer the scale question honestly. That framing protects the venture from the most common failure mode — scaling on early enthusiasm before the safety and legal foundations are proven.</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4  Assumptions, Constraints &amp; Dependencies</w:t>
      </w:r>
    </w:p>
    <w:p>
      <w:pPr>
        <w:spacing w:after="140" w:line="278"/>
        <w:jc w:val="both"/>
      </w:pPr>
      <w:r>
        <w:rPr>
          <w:rFonts w:ascii="Calibri" w:cs="Calibri" w:eastAsia="Calibri" w:hAnsi="Calibri"/>
          <w:color w:val="20303F"/>
          <w:sz w:val="22"/>
          <w:szCs w:val="22"/>
        </w:rPr>
        <w:t xml:space="preserve">Plans rest on conditions. This section makes DiamondDrive's explicit so they can be tracked: assumptions that must hold for the plan to work, constraints that bound it, and external dependencies it cannot complete without. Each is owned and revisited at phase gates.</w:t>
      </w:r>
    </w:p>
    <w:p>
      <w:pPr>
        <w:pStyle w:val="Heading2"/>
        <w:keepNext/>
        <w:spacing w:after="110" w:before="240"/>
      </w:pPr>
      <w:r>
        <w:rPr>
          <w:rFonts w:ascii="Calibri" w:cs="Calibri" w:eastAsia="Calibri" w:hAnsi="Calibri"/>
          <w:b/>
          <w:bCs/>
          <w:color w:val="1C6FD6"/>
          <w:sz w:val="25"/>
          <w:szCs w:val="25"/>
        </w:rPr>
        <w:t xml:space="preserve">4.1  Assumptions</w:t>
      </w:r>
    </w:p>
    <w:p>
      <w:pPr>
        <w:keepNext/>
        <w:spacing w:after="90" w:before="60"/>
      </w:pPr>
      <w:r>
        <w:rPr>
          <w:rFonts w:ascii="Calibri" w:cs="Calibri" w:eastAsia="Calibri" w:hAnsi="Calibri"/>
          <w:b/>
          <w:bCs/>
          <w:color w:val="9D2235"/>
          <w:sz w:val="19"/>
          <w:szCs w:val="19"/>
        </w:rPr>
        <w:t xml:space="preserve">Table 4-1.  </w:t>
      </w:r>
      <w:r>
        <w:rPr>
          <w:rFonts w:ascii="Calibri" w:cs="Calibri" w:eastAsia="Calibri" w:hAnsi="Calibri"/>
          <w:b/>
          <w:bCs/>
          <w:color w:val="0B1F3A"/>
          <w:sz w:val="19"/>
          <w:szCs w:val="19"/>
        </w:rPr>
        <w:t xml:space="preserve">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ID</w:t>
            </w:r>
          </w:p>
        </w:tc>
        <w:tc>
          <w:tcPr>
            <w:tcW w:type="dxa" w:w="5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Assumption</w:t>
            </w:r>
          </w:p>
        </w:tc>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If it fails…</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A1</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cost-sharing carpool can be operated outside TNC classification with a binding legal opinion.</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9D2235"/>
                <w:sz w:val="19"/>
                <w:szCs w:val="19"/>
              </w:rPr>
              <w:t xml:space="preserve">The model must be re-scoped; launch halts.</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A2</w:t>
            </w:r>
          </w:p>
        </w:tc>
        <w:tc>
          <w:tcPr>
            <w:tcW w:type="dxa" w:w="5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Verified-student access is sufficient trust for riders and drivers to participate.</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Add reputation, references, or in-person verification.</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A3</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Enough drivers already travel the pilot corridor to seed supply.</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Incentivise or recruit drivers; narrow the corridor.</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A4</w:t>
            </w:r>
          </w:p>
        </w:tc>
        <w:tc>
          <w:tcPr>
            <w:tcW w:type="dxa" w:w="5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sponsorship is available to offset launch and rewards costs.</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Reduce rewards; self-fund a leaner pilot.</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A5</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Open-source mapping (Leaflet/OpenStreetMap) meets the prototype's needs at no licence cost.</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Move to a paid tiles/routing provider; add cost.</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A6</w:t>
            </w:r>
          </w:p>
        </w:tc>
        <w:tc>
          <w:tcPr>
            <w:tcW w:type="dxa" w:w="5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pilot can run for a full semester without institutional objection.</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Re-scope to an off-campus / informal pilot.</w:t>
            </w:r>
          </w:p>
        </w:tc>
      </w:tr>
    </w:tbl>
    <w:p>
      <w:pPr>
        <w:pStyle w:val="Heading2"/>
        <w:keepNext/>
        <w:spacing w:after="110" w:before="240"/>
      </w:pPr>
      <w:r>
        <w:rPr>
          <w:rFonts w:ascii="Calibri" w:cs="Calibri" w:eastAsia="Calibri" w:hAnsi="Calibri"/>
          <w:b/>
          <w:bCs/>
          <w:color w:val="1C6FD6"/>
          <w:sz w:val="25"/>
          <w:szCs w:val="25"/>
        </w:rPr>
        <w:t xml:space="preserve">4.2  Constraints</w:t>
      </w:r>
    </w:p>
    <w:p>
      <w:pPr>
        <w:keepNext/>
        <w:spacing w:after="90" w:before="60"/>
      </w:pPr>
      <w:r>
        <w:rPr>
          <w:rFonts w:ascii="Calibri" w:cs="Calibri" w:eastAsia="Calibri" w:hAnsi="Calibri"/>
          <w:b/>
          <w:bCs/>
          <w:color w:val="9D2235"/>
          <w:sz w:val="19"/>
          <w:szCs w:val="19"/>
        </w:rPr>
        <w:t xml:space="preserve">Table 4-2.  </w:t>
      </w:r>
      <w:r>
        <w:rPr>
          <w:rFonts w:ascii="Calibri" w:cs="Calibri" w:eastAsia="Calibri" w:hAnsi="Calibri"/>
          <w:b/>
          <w:bCs/>
          <w:color w:val="0B1F3A"/>
          <w:sz w:val="19"/>
          <w:szCs w:val="19"/>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ID</w:t>
            </w:r>
          </w:p>
        </w:tc>
        <w:tc>
          <w:tcPr>
            <w:tcW w:type="dxa" w:w="61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Constraint</w:t>
            </w:r>
          </w:p>
        </w:tc>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Type</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MVP build must fit the ~$6k–$45k envelope.</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Budget</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Pilot is bounded to one semester with a fixed close.</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Schedule</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Access restricted to verified @uark.edu identities.</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 policy</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C4</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 ride may be priced to yield driver profit or surge.</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Legal / model</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C5</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Founder-led team with limited headcount during the pilot.</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Resource</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C6</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Not affiliated with or endorsed by the University of Arkansas.</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Institutional</w:t>
            </w:r>
          </w:p>
        </w:tc>
      </w:tr>
    </w:tbl>
    <w:p>
      <w:pPr>
        <w:pStyle w:val="Heading2"/>
        <w:keepNext/>
        <w:spacing w:after="110" w:before="240"/>
      </w:pPr>
      <w:r>
        <w:rPr>
          <w:rFonts w:ascii="Calibri" w:cs="Calibri" w:eastAsia="Calibri" w:hAnsi="Calibri"/>
          <w:b/>
          <w:bCs/>
          <w:color w:val="1C6FD6"/>
          <w:sz w:val="25"/>
          <w:szCs w:val="25"/>
        </w:rPr>
        <w:t xml:space="preserve">4.3  Dependencies</w:t>
      </w:r>
    </w:p>
    <w:p>
      <w:pPr>
        <w:keepNext/>
        <w:spacing w:after="90" w:before="60"/>
      </w:pPr>
      <w:r>
        <w:rPr>
          <w:rFonts w:ascii="Calibri" w:cs="Calibri" w:eastAsia="Calibri" w:hAnsi="Calibri"/>
          <w:b/>
          <w:bCs/>
          <w:color w:val="9D2235"/>
          <w:sz w:val="19"/>
          <w:szCs w:val="19"/>
        </w:rPr>
        <w:t xml:space="preserve">Table 4-3.  </w:t>
      </w:r>
      <w:r>
        <w:rPr>
          <w:rFonts w:ascii="Calibri" w:cs="Calibri" w:eastAsia="Calibri" w:hAnsi="Calibri"/>
          <w:b/>
          <w:bCs/>
          <w:color w:val="0B1F3A"/>
          <w:sz w:val="19"/>
          <w:szCs w:val="19"/>
        </w:rPr>
        <w:t xml:space="preserve">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900"/>
        <w:gridCol w:w="21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ID</w:t>
            </w:r>
          </w:p>
        </w:tc>
        <w:tc>
          <w:tcPr>
            <w:tcW w:type="dxa" w:w="3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Dependency</w:t>
            </w:r>
          </w:p>
        </w:tc>
        <w:tc>
          <w:tcPr>
            <w:tcW w:type="dxa" w:w="29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Owner / source</w:t>
            </w:r>
          </w:p>
        </w:tc>
        <w:tc>
          <w:tcPr>
            <w:tcW w:type="dxa" w:w="21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Needed by</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D1</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Binding legal opinion on cost-sharing posture</w:t>
            </w:r>
          </w:p>
        </w:tc>
        <w:tc>
          <w:tcPr>
            <w:tcW w:type="dxa" w:w="2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External counsel</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Before launch</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D2</w:t>
            </w:r>
          </w:p>
        </w:tc>
        <w:tc>
          <w:tcPr>
            <w:tcW w:type="dxa" w:w="3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Identity / background-check provider integration</w:t>
            </w:r>
          </w:p>
        </w:tc>
        <w:tc>
          <w:tcPr>
            <w:tcW w:type="dxa" w:w="2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Vendor (e.g., Checkr/Persona)</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Before closed beta</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D3</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Payments / contribution handling</w:t>
            </w:r>
          </w:p>
        </w:tc>
        <w:tc>
          <w:tcPr>
            <w:tcW w:type="dxa" w:w="2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Vendor (e.g., Stripe)</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Before closed beta</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D4</w:t>
            </w:r>
          </w:p>
        </w:tc>
        <w:tc>
          <w:tcPr>
            <w:tcW w:type="dxa" w:w="3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Mapping &amp; routing tiles</w:t>
            </w:r>
          </w:p>
        </w:tc>
        <w:tc>
          <w:tcPr>
            <w:tcW w:type="dxa" w:w="2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OpenStreetMap / CARTO</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Build (sprint 1)</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D5</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sponsorship agreement</w:t>
            </w:r>
          </w:p>
        </w:tc>
        <w:tc>
          <w:tcPr>
            <w:tcW w:type="dxa" w:w="2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Regional sponsor (e.g., 7 Brew)</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Before launch</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5  Dual Framing &amp; Blended Methodology</w:t>
      </w:r>
    </w:p>
    <w:p>
      <w:pPr>
        <w:spacing w:after="140" w:line="278"/>
        <w:jc w:val="both"/>
      </w:pPr>
      <w:r>
        <w:rPr>
          <w:rFonts w:ascii="Calibri" w:cs="Calibri" w:eastAsia="Calibri" w:hAnsi="Calibri"/>
          <w:color w:val="20303F"/>
          <w:sz w:val="22"/>
          <w:szCs w:val="22"/>
        </w:rPr>
        <w:t xml:space="preserve">This section is the hinge of the whole document. It explains the two framings the plan serves — a bounded </w:t>
      </w:r>
      <w:r>
        <w:rPr>
          <w:rFonts w:ascii="Calibri" w:cs="Calibri" w:eastAsia="Calibri" w:hAnsi="Calibri"/>
          <w:b/>
          <w:bCs/>
          <w:color w:val="20303F"/>
          <w:sz w:val="22"/>
          <w:szCs w:val="22"/>
        </w:rPr>
        <w:t xml:space="preserve">capstone project</w:t>
      </w:r>
      <w:r>
        <w:rPr>
          <w:rFonts w:ascii="Calibri" w:cs="Calibri" w:eastAsia="Calibri" w:hAnsi="Calibri"/>
          <w:color w:val="20303F"/>
          <w:sz w:val="22"/>
          <w:szCs w:val="22"/>
        </w:rPr>
        <w:t xml:space="preserve"> and a scaling </w:t>
      </w:r>
      <w:r>
        <w:rPr>
          <w:rFonts w:ascii="Calibri" w:cs="Calibri" w:eastAsia="Calibri" w:hAnsi="Calibri"/>
          <w:b/>
          <w:bCs/>
          <w:color w:val="20303F"/>
          <w:sz w:val="22"/>
          <w:szCs w:val="22"/>
        </w:rPr>
        <w:t xml:space="preserve">NWA venture</w:t>
      </w:r>
      <w:r>
        <w:rPr>
          <w:rFonts w:ascii="Calibri" w:cs="Calibri" w:eastAsia="Calibri" w:hAnsi="Calibri"/>
          <w:color w:val="20303F"/>
          <w:sz w:val="22"/>
          <w:szCs w:val="22"/>
        </w:rPr>
        <w:t xml:space="preserve"> — and defines the blended methodology that lets one plan govern both. It is where the seam between predictive and Agile delivery is drawn precisely, so that later sections can simply point here.</w:t>
      </w:r>
    </w:p>
    <w:p>
      <w:pPr>
        <w:pStyle w:val="Heading2"/>
        <w:keepNext/>
        <w:spacing w:after="110" w:before="240"/>
      </w:pPr>
      <w:r>
        <w:rPr>
          <w:rFonts w:ascii="Calibri" w:cs="Calibri" w:eastAsia="Calibri" w:hAnsi="Calibri"/>
          <w:b/>
          <w:bCs/>
          <w:color w:val="1C6FD6"/>
          <w:sz w:val="25"/>
          <w:szCs w:val="25"/>
        </w:rPr>
        <w:t xml:space="preserve">5.1  Two framings, one effort</w:t>
      </w:r>
    </w:p>
    <w:p>
      <w:pPr>
        <w:spacing w:after="140" w:line="278"/>
        <w:jc w:val="both"/>
      </w:pPr>
      <w:r>
        <w:rPr>
          <w:rFonts w:ascii="Calibri" w:cs="Calibri" w:eastAsia="Calibri" w:hAnsi="Calibri"/>
          <w:color w:val="20303F"/>
          <w:sz w:val="22"/>
          <w:szCs w:val="22"/>
        </w:rPr>
        <w:t xml:space="preserve">DiamondDrive is described two ways on purpose. As a </w:t>
      </w:r>
      <w:r>
        <w:rPr>
          <w:rFonts w:ascii="Calibri" w:cs="Calibri" w:eastAsia="Calibri" w:hAnsi="Calibri"/>
          <w:b/>
          <w:bCs/>
          <w:color w:val="20303F"/>
          <w:sz w:val="22"/>
          <w:szCs w:val="22"/>
        </w:rPr>
        <w:t xml:space="preserve">project</w:t>
      </w:r>
      <w:r>
        <w:rPr>
          <w:rFonts w:ascii="Calibri" w:cs="Calibri" w:eastAsia="Calibri" w:hAnsi="Calibri"/>
          <w:color w:val="20303F"/>
          <w:sz w:val="22"/>
          <w:szCs w:val="22"/>
        </w:rPr>
        <w:t xml:space="preserve">, it is a finite build-and-pilot effort with a charter, a sponsor, a fixed semester, and a closing decision — the natural unit for a capstone evaluation. As a </w:t>
      </w:r>
      <w:r>
        <w:rPr>
          <w:rFonts w:ascii="Calibri" w:cs="Calibri" w:eastAsia="Calibri" w:hAnsi="Calibri"/>
          <w:b/>
          <w:bCs/>
          <w:color w:val="20303F"/>
          <w:sz w:val="22"/>
          <w:szCs w:val="22"/>
        </w:rPr>
        <w:t xml:space="preserve">program / venture</w:t>
      </w:r>
      <w:r>
        <w:rPr>
          <w:rFonts w:ascii="Calibri" w:cs="Calibri" w:eastAsia="Calibri" w:hAnsi="Calibri"/>
          <w:color w:val="20303F"/>
          <w:sz w:val="22"/>
          <w:szCs w:val="22"/>
        </w:rPr>
        <w:t xml:space="preserve">, it is an ongoing company that the project is meant to launch and that continues, in rolling fashion, long after the pilot closes. The two are sequential rather than competing: the project is the gate the venture must pass through.</w:t>
      </w:r>
    </w:p>
    <w:p>
      <w:pPr>
        <w:keepNext/>
        <w:spacing w:after="90" w:before="60"/>
      </w:pPr>
      <w:r>
        <w:rPr>
          <w:rFonts w:ascii="Calibri" w:cs="Calibri" w:eastAsia="Calibri" w:hAnsi="Calibri"/>
          <w:b/>
          <w:bCs/>
          <w:color w:val="9D2235"/>
          <w:sz w:val="19"/>
          <w:szCs w:val="19"/>
        </w:rPr>
        <w:t xml:space="preserve">Table 5-1.  </w:t>
      </w:r>
      <w:r>
        <w:rPr>
          <w:rFonts w:ascii="Calibri" w:cs="Calibri" w:eastAsia="Calibri" w:hAnsi="Calibri"/>
          <w:b/>
          <w:bCs/>
          <w:color w:val="0B1F3A"/>
          <w:sz w:val="19"/>
          <w:szCs w:val="19"/>
        </w:rPr>
        <w:t xml:space="preserve">Project framing vs. venture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Dimension</w:t>
            </w:r>
          </w:p>
        </w:tc>
        <w:tc>
          <w:tcPr>
            <w:tcW w:type="dxa" w:w="36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Capstone project</w:t>
            </w:r>
          </w:p>
        </w:tc>
        <w:tc>
          <w:tcPr>
            <w:tcW w:type="dxa" w:w="36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NWA venture</w:t>
            </w:r>
          </w:p>
        </w:tc>
      </w:tr>
      <w:tr>
        <w:trPr>
          <w:cantSplit/>
        </w:trPr>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Boundary</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Fixed start and close (one semester)</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Open-ended, milestone-gated</w:t>
            </w:r>
          </w:p>
        </w:tc>
      </w:tr>
      <w:tr>
        <w:trPr>
          <w:cantSplit/>
        </w:trPr>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Governance</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 (waterfall)</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Rolling portfolio of bets</w:t>
            </w:r>
          </w:p>
        </w:tc>
      </w:tr>
      <w:tr>
        <w:trPr>
          <w:cantSplit/>
        </w:trPr>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Definition of done</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Pilot completed, go/no-go delivered</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Sustainable, growing corridors</w:t>
            </w:r>
          </w:p>
        </w:tc>
      </w:tr>
      <w:tr>
        <w:trPr>
          <w:cantSplit/>
        </w:trPr>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evaluator</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 later, seed investors</w:t>
            </w:r>
          </w:p>
        </w:tc>
      </w:tr>
      <w:tr>
        <w:trPr>
          <w:cantSplit/>
        </w:trPr>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Success</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safety, legality, unit cost proven</w:t>
            </w:r>
          </w:p>
        </w:tc>
        <w:tc>
          <w:tcPr>
            <w:tcW w:type="dxa" w:w="3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Retention and contribution margin at scale</w:t>
            </w:r>
          </w:p>
        </w:tc>
      </w:tr>
      <w:tr>
        <w:trPr>
          <w:cantSplit/>
        </w:trPr>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This document</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Parts I–IV, VI–VII</w:t>
            </w:r>
          </w:p>
        </w:tc>
        <w:tc>
          <w:tcPr>
            <w:tcW w:type="dxa" w:w="36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Part V, plus the scale lens throughout</w:t>
            </w:r>
          </w:p>
        </w:tc>
      </w:tr>
    </w:tbl>
    <w:p>
      <w:pPr>
        <w:pStyle w:val="Heading2"/>
        <w:keepNext/>
        <w:spacing w:after="110" w:before="240"/>
      </w:pPr>
      <w:r>
        <w:rPr>
          <w:rFonts w:ascii="Calibri" w:cs="Calibri" w:eastAsia="Calibri" w:hAnsi="Calibri"/>
          <w:b/>
          <w:bCs/>
          <w:color w:val="1C6FD6"/>
          <w:sz w:val="25"/>
          <w:szCs w:val="25"/>
        </w:rPr>
        <w:t xml:space="preserve">5.2  Why the methodology is blended</w:t>
      </w:r>
    </w:p>
    <w:p>
      <w:pPr>
        <w:spacing w:after="140" w:line="278"/>
        <w:jc w:val="both"/>
      </w:pPr>
      <w:r>
        <w:rPr>
          <w:rFonts w:ascii="Calibri" w:cs="Calibri" w:eastAsia="Calibri" w:hAnsi="Calibri"/>
          <w:color w:val="20303F"/>
          <w:sz w:val="22"/>
          <w:szCs w:val="22"/>
        </w:rPr>
        <w:t xml:space="preserve">The two layers want different cadences. The institutional wrapper — charter, scope, schedule, budget, procurement, and risk — has fixed milestones, a named sponsor, and gated money; it is best governed </w:t>
      </w:r>
      <w:r>
        <w:rPr>
          <w:rFonts w:ascii="Calibri" w:cs="Calibri" w:eastAsia="Calibri" w:hAnsi="Calibri"/>
          <w:b/>
          <w:bCs/>
          <w:color w:val="20303F"/>
          <w:sz w:val="22"/>
          <w:szCs w:val="22"/>
        </w:rPr>
        <w:t xml:space="preserve">predictively</w:t>
      </w:r>
      <w:r>
        <w:rPr>
          <w:rFonts w:ascii="Calibri" w:cs="Calibri" w:eastAsia="Calibri" w:hAnsi="Calibri"/>
          <w:color w:val="20303F"/>
          <w:sz w:val="22"/>
          <w:szCs w:val="22"/>
        </w:rPr>
        <w:t xml:space="preserve">, with a baseline and change control. The software at the core lives in a domain of evolving requirements and frequent feedback; it is best built </w:t>
      </w:r>
      <w:r>
        <w:rPr>
          <w:rFonts w:ascii="Calibri" w:cs="Calibri" w:eastAsia="Calibri" w:hAnsi="Calibri"/>
          <w:b/>
          <w:bCs/>
          <w:color w:val="20303F"/>
          <w:sz w:val="22"/>
          <w:szCs w:val="22"/>
        </w:rPr>
        <w:t xml:space="preserve">Agile (Scrum)</w:t>
      </w:r>
      <w:r>
        <w:rPr>
          <w:rFonts w:ascii="Calibri" w:cs="Calibri" w:eastAsia="Calibri" w:hAnsi="Calibri"/>
          <w:color w:val="20303F"/>
          <w:sz w:val="22"/>
          <w:szCs w:val="22"/>
        </w:rPr>
        <w:t xml:space="preserve">, in two-week sprints against a groomed backlog. Forcing either cadence onto the other would be a mistake — a waterfall build would ship the wrong product, and an Agile charter would have no fixed gate for a sponsor to evaluate. The plan therefore runs both and is explicit about where they meet.</w:t>
      </w:r>
    </w:p>
    <w:p>
      <w:pPr>
        <w:pStyle w:val="Heading2"/>
        <w:keepNext/>
        <w:spacing w:after="110" w:before="240"/>
      </w:pPr>
      <w:r>
        <w:rPr>
          <w:rFonts w:ascii="Calibri" w:cs="Calibri" w:eastAsia="Calibri" w:hAnsi="Calibri"/>
          <w:b/>
          <w:bCs/>
          <w:color w:val="1C6FD6"/>
          <w:sz w:val="25"/>
          <w:szCs w:val="25"/>
        </w:rPr>
        <w:t xml:space="preserve">5.3  Where the seam sits</w:t>
      </w:r>
    </w:p>
    <w:p>
      <w:pPr>
        <w:spacing w:after="140" w:line="278"/>
        <w:jc w:val="both"/>
      </w:pPr>
      <w:r>
        <w:rPr>
          <w:rFonts w:ascii="Calibri" w:cs="Calibri" w:eastAsia="Calibri" w:hAnsi="Calibri"/>
          <w:color w:val="20303F"/>
          <w:sz w:val="22"/>
          <w:szCs w:val="22"/>
        </w:rPr>
        <w:t xml:space="preserve">The seam is drawn at the artifact level: each planning artifact is governed by exactly one cadence, and the two synchronise at phase gates.</w:t>
      </w:r>
    </w:p>
    <w:p>
      <w:pPr>
        <w:keepNext/>
        <w:spacing w:after="90" w:before="60"/>
      </w:pPr>
      <w:r>
        <w:rPr>
          <w:rFonts w:ascii="Calibri" w:cs="Calibri" w:eastAsia="Calibri" w:hAnsi="Calibri"/>
          <w:b/>
          <w:bCs/>
          <w:color w:val="9D2235"/>
          <w:sz w:val="19"/>
          <w:szCs w:val="19"/>
        </w:rPr>
        <w:t xml:space="preserve">Table 5-2.  </w:t>
      </w:r>
      <w:r>
        <w:rPr>
          <w:rFonts w:ascii="Calibri" w:cs="Calibri" w:eastAsia="Calibri" w:hAnsi="Calibri"/>
          <w:b/>
          <w:bCs/>
          <w:color w:val="0B1F3A"/>
          <w:sz w:val="19"/>
          <w:szCs w:val="19"/>
        </w:rPr>
        <w:t xml:space="preserve">Predictive wrapper vs. Agile core — the seam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Governed predictively (baselined)</w:t>
            </w:r>
          </w:p>
        </w:tc>
        <w:tc>
          <w:tcPr>
            <w:tcW w:type="dxa" w:w="46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Governed Agile (inspect &amp; adapt)</w:t>
            </w:r>
          </w:p>
        </w:tc>
      </w:tr>
      <w:tr>
        <w:trPr>
          <w:cantSplit/>
        </w:trPr>
        <w:tc>
          <w:tcPr>
            <w:tcW w:type="dxa" w:w="4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pStyle w:val="ListParagraph"/>
              <w:numPr>
                <w:ilvl w:val="0"/>
                <w:numId w:val="3"/>
              </w:numPr>
              <w:spacing w:after="70" w:line="268"/>
              <w:jc w:val="left"/>
            </w:pPr>
            <w:r>
              <w:rPr>
                <w:rFonts w:ascii="Calibri" w:cs="Calibri" w:eastAsia="Calibri" w:hAnsi="Calibri"/>
                <w:color w:val="20303F"/>
                <w:sz w:val="22"/>
                <w:szCs w:val="22"/>
              </w:rPr>
              <w:t xml:space="preserve">Charter, business case, success criteria</w:t>
            </w:r>
          </w:p>
          <w:p>
            <w:pPr>
              <w:pStyle w:val="ListParagraph"/>
              <w:numPr>
                <w:ilvl w:val="0"/>
                <w:numId w:val="3"/>
              </w:numPr>
              <w:spacing w:after="70" w:line="268"/>
              <w:jc w:val="left"/>
            </w:pPr>
            <w:r>
              <w:rPr>
                <w:rFonts w:ascii="Calibri" w:cs="Calibri" w:eastAsia="Calibri" w:hAnsi="Calibri"/>
                <w:color w:val="20303F"/>
                <w:sz w:val="22"/>
                <w:szCs w:val="22"/>
              </w:rPr>
              <w:t xml:space="preserve">Scope statement &amp; WBS baseline</w:t>
            </w:r>
          </w:p>
          <w:p>
            <w:pPr>
              <w:pStyle w:val="ListParagraph"/>
              <w:numPr>
                <w:ilvl w:val="0"/>
                <w:numId w:val="3"/>
              </w:numPr>
              <w:spacing w:after="70" w:line="268"/>
              <w:jc w:val="left"/>
            </w:pPr>
            <w:r>
              <w:rPr>
                <w:rFonts w:ascii="Calibri" w:cs="Calibri" w:eastAsia="Calibri" w:hAnsi="Calibri"/>
                <w:color w:val="20303F"/>
                <w:sz w:val="22"/>
                <w:szCs w:val="22"/>
              </w:rPr>
              <w:t xml:space="preserve">Milestone schedule &amp; phase gates</w:t>
            </w:r>
          </w:p>
          <w:p>
            <w:pPr>
              <w:pStyle w:val="ListParagraph"/>
              <w:numPr>
                <w:ilvl w:val="0"/>
                <w:numId w:val="3"/>
              </w:numPr>
              <w:spacing w:after="70" w:line="268"/>
              <w:jc w:val="left"/>
            </w:pPr>
            <w:r>
              <w:rPr>
                <w:rFonts w:ascii="Calibri" w:cs="Calibri" w:eastAsia="Calibri" w:hAnsi="Calibri"/>
                <w:color w:val="20303F"/>
                <w:sz w:val="22"/>
                <w:szCs w:val="22"/>
              </w:rPr>
              <w:t xml:space="preserve">Budget by phase; funding releases</w:t>
            </w:r>
          </w:p>
          <w:p>
            <w:pPr>
              <w:pStyle w:val="ListParagraph"/>
              <w:numPr>
                <w:ilvl w:val="0"/>
                <w:numId w:val="3"/>
              </w:numPr>
              <w:spacing w:after="70" w:line="268"/>
              <w:jc w:val="left"/>
            </w:pPr>
            <w:r>
              <w:rPr>
                <w:rFonts w:ascii="Calibri" w:cs="Calibri" w:eastAsia="Calibri" w:hAnsi="Calibri"/>
                <w:color w:val="20303F"/>
                <w:sz w:val="22"/>
                <w:szCs w:val="22"/>
              </w:rPr>
              <w:t xml:space="preserve">Procurement &amp; contracts</w:t>
            </w:r>
          </w:p>
          <w:p>
            <w:pPr>
              <w:pStyle w:val="ListParagraph"/>
              <w:numPr>
                <w:ilvl w:val="0"/>
                <w:numId w:val="3"/>
              </w:numPr>
              <w:spacing w:after="70" w:line="268"/>
              <w:jc w:val="left"/>
            </w:pPr>
            <w:r>
              <w:rPr>
                <w:rFonts w:ascii="Calibri" w:cs="Calibri" w:eastAsia="Calibri" w:hAnsi="Calibri"/>
                <w:color w:val="20303F"/>
                <w:sz w:val="22"/>
                <w:szCs w:val="22"/>
              </w:rPr>
              <w:t xml:space="preserve">Risk management plan &amp; register</w:t>
            </w:r>
          </w:p>
        </w:tc>
        <w:tc>
          <w:tcPr>
            <w:tcW w:type="dxa" w:w="46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pStyle w:val="ListParagraph"/>
              <w:numPr>
                <w:ilvl w:val="0"/>
                <w:numId w:val="3"/>
              </w:numPr>
              <w:spacing w:after="70" w:line="268"/>
              <w:jc w:val="left"/>
            </w:pPr>
            <w:r>
              <w:rPr>
                <w:rFonts w:ascii="Calibri" w:cs="Calibri" w:eastAsia="Calibri" w:hAnsi="Calibri"/>
                <w:color w:val="20303F"/>
                <w:sz w:val="22"/>
                <w:szCs w:val="22"/>
              </w:rPr>
              <w:t xml:space="preserve">Product backlog &amp; sprint backlog</w:t>
            </w:r>
          </w:p>
          <w:p>
            <w:pPr>
              <w:pStyle w:val="ListParagraph"/>
              <w:numPr>
                <w:ilvl w:val="0"/>
                <w:numId w:val="3"/>
              </w:numPr>
              <w:spacing w:after="70" w:line="268"/>
              <w:jc w:val="left"/>
            </w:pPr>
            <w:r>
              <w:rPr>
                <w:rFonts w:ascii="Calibri" w:cs="Calibri" w:eastAsia="Calibri" w:hAnsi="Calibri"/>
                <w:color w:val="20303F"/>
                <w:sz w:val="22"/>
                <w:szCs w:val="22"/>
              </w:rPr>
              <w:t xml:space="preserve">Two-week sprints; sprint goals</w:t>
            </w:r>
          </w:p>
          <w:p>
            <w:pPr>
              <w:pStyle w:val="ListParagraph"/>
              <w:numPr>
                <w:ilvl w:val="0"/>
                <w:numId w:val="3"/>
              </w:numPr>
              <w:spacing w:after="70" w:line="268"/>
              <w:jc w:val="left"/>
            </w:pPr>
            <w:r>
              <w:rPr>
                <w:rFonts w:ascii="Calibri" w:cs="Calibri" w:eastAsia="Calibri" w:hAnsi="Calibri"/>
                <w:color w:val="20303F"/>
                <w:sz w:val="22"/>
                <w:szCs w:val="22"/>
              </w:rPr>
              <w:t xml:space="preserve">Ceremonies: planning, daily, review, retro</w:t>
            </w:r>
          </w:p>
          <w:p>
            <w:pPr>
              <w:pStyle w:val="ListParagraph"/>
              <w:numPr>
                <w:ilvl w:val="0"/>
                <w:numId w:val="3"/>
              </w:numPr>
              <w:spacing w:after="70" w:line="268"/>
              <w:jc w:val="left"/>
            </w:pPr>
            <w:r>
              <w:rPr>
                <w:rFonts w:ascii="Calibri" w:cs="Calibri" w:eastAsia="Calibri" w:hAnsi="Calibri"/>
                <w:color w:val="20303F"/>
                <w:sz w:val="22"/>
                <w:szCs w:val="22"/>
              </w:rPr>
              <w:t xml:space="preserve">Increment acceptance per sprint</w:t>
            </w:r>
          </w:p>
          <w:p>
            <w:pPr>
              <w:pStyle w:val="ListParagraph"/>
              <w:numPr>
                <w:ilvl w:val="0"/>
                <w:numId w:val="3"/>
              </w:numPr>
              <w:spacing w:after="70" w:line="268"/>
              <w:jc w:val="left"/>
            </w:pPr>
            <w:r>
              <w:rPr>
                <w:rFonts w:ascii="Calibri" w:cs="Calibri" w:eastAsia="Calibri" w:hAnsi="Calibri"/>
                <w:color w:val="20303F"/>
                <w:sz w:val="22"/>
                <w:szCs w:val="22"/>
              </w:rPr>
              <w:t xml:space="preserve">Velocity &amp; burndown tracking</w:t>
            </w:r>
          </w:p>
          <w:p>
            <w:pPr>
              <w:pStyle w:val="ListParagraph"/>
              <w:numPr>
                <w:ilvl w:val="0"/>
                <w:numId w:val="3"/>
              </w:numPr>
              <w:spacing w:after="70" w:line="268"/>
              <w:jc w:val="left"/>
            </w:pPr>
            <w:r>
              <w:rPr>
                <w:rFonts w:ascii="Calibri" w:cs="Calibri" w:eastAsia="Calibri" w:hAnsi="Calibri"/>
                <w:color w:val="20303F"/>
                <w:sz w:val="22"/>
                <w:szCs w:val="22"/>
              </w:rPr>
              <w:t xml:space="preserve">Continuous UX feedback into backlog</w:t>
            </w:r>
          </w:p>
        </w:tc>
      </w:tr>
    </w:tbl>
    <w:p>
      <w:pPr>
        <w:spacing w:after="200" w:before="70"/>
        <w:jc w:val="left"/>
      </w:pPr>
      <w:r>
        <w:rPr>
          <w:rFonts w:ascii="Calibri" w:cs="Calibri" w:eastAsia="Calibri" w:hAnsi="Calibri"/>
          <w:i/>
          <w:iCs/>
          <w:color w:val="5A6675"/>
          <w:sz w:val="17"/>
          <w:szCs w:val="17"/>
        </w:rPr>
        <w:t xml:space="preserve">The two cadences synchronise at the phase gates in §13 and §21; the build's sprint cadence is detailed in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The seam in one sentence</w:t>
            </w:r>
          </w:p>
          <w:p>
            <w:pPr>
              <w:spacing w:after="0" w:line="278"/>
              <w:jc w:val="both"/>
            </w:pPr>
            <w:r>
              <w:rPr>
                <w:rFonts w:ascii="Calibri" w:cs="Calibri" w:eastAsia="Calibri" w:hAnsi="Calibri"/>
                <w:color w:val="20303F"/>
                <w:sz w:val="22"/>
                <w:szCs w:val="22"/>
              </w:rPr>
              <w:t xml:space="preserve">The </w:t>
            </w:r>
            <w:r>
              <w:rPr>
                <w:rFonts w:ascii="Calibri" w:cs="Calibri" w:eastAsia="Calibri" w:hAnsi="Calibri"/>
                <w:b/>
                <w:bCs/>
                <w:color w:val="20303F"/>
                <w:sz w:val="22"/>
                <w:szCs w:val="22"/>
              </w:rPr>
              <w:t xml:space="preserve">project</w:t>
            </w:r>
            <w:r>
              <w:rPr>
                <w:rFonts w:ascii="Calibri" w:cs="Calibri" w:eastAsia="Calibri" w:hAnsi="Calibri"/>
                <w:color w:val="20303F"/>
                <w:sz w:val="22"/>
                <w:szCs w:val="22"/>
              </w:rPr>
              <w:t xml:space="preserve"> is planned and gated like a predictive project; the </w:t>
            </w:r>
            <w:r>
              <w:rPr>
                <w:rFonts w:ascii="Calibri" w:cs="Calibri" w:eastAsia="Calibri" w:hAnsi="Calibri"/>
                <w:b/>
                <w:bCs/>
                <w:color w:val="20303F"/>
                <w:sz w:val="22"/>
                <w:szCs w:val="22"/>
              </w:rPr>
              <w:t xml:space="preserve">product</w:t>
            </w:r>
            <w:r>
              <w:rPr>
                <w:rFonts w:ascii="Calibri" w:cs="Calibri" w:eastAsia="Calibri" w:hAnsi="Calibri"/>
                <w:color w:val="20303F"/>
                <w:sz w:val="22"/>
                <w:szCs w:val="22"/>
              </w:rPr>
              <w:t xml:space="preserve"> inside it is built like an Agile one — and the phase gates are where the two cadences shake hands.</w:t>
            </w:r>
          </w:p>
        </w:tc>
      </w:tr>
    </w:tbl>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II</w:t>
      </w:r>
    </w:p>
    <w:p>
      <w:pPr>
        <w:pBdr>
          <w:bottom w:val="single" w:color="0B1F3A" w:sz="18" w:space="6"/>
        </w:pBdr>
        <w:spacing w:after="60" w:before="0"/>
      </w:pPr>
      <w:r>
        <w:rPr>
          <w:rFonts w:ascii="Calibri" w:cs="Calibri" w:eastAsia="Calibri" w:hAnsi="Calibri"/>
          <w:b/>
          <w:bCs/>
          <w:color w:val="0B1F3A"/>
          <w:sz w:val="38"/>
          <w:szCs w:val="38"/>
        </w:rPr>
        <w:t xml:space="preserve">Stakeholder &amp; Communications Management</w:t>
      </w:r>
    </w:p>
    <w:p>
      <w:pPr>
        <w:spacing w:after="140" w:line="278"/>
        <w:jc w:val="both"/>
      </w:pPr>
      <w:r>
        <w:rPr>
          <w:rFonts w:ascii="Calibri" w:cs="Calibri" w:eastAsia="Calibri" w:hAnsi="Calibri"/>
          <w:color w:val="20303F"/>
          <w:sz w:val="22"/>
          <w:szCs w:val="22"/>
        </w:rPr>
        <w:t xml:space="preserve">A peer-to-peer network is only as strong as the people who populate and permit it. Part II identifies everyone with a stake in DiamondDrive, weighs how much each can influence or is affected by the project, supplies the questionnaire instrument used to gather their input, and sets the cadence by which the project keeps them informed. Because the venture's core asset is </w:t>
      </w:r>
      <w:r>
        <w:rPr>
          <w:rFonts w:ascii="Calibri" w:cs="Calibri" w:eastAsia="Calibri" w:hAnsi="Calibri"/>
          <w:b/>
          <w:bCs/>
          <w:color w:val="20303F"/>
          <w:sz w:val="22"/>
          <w:szCs w:val="22"/>
        </w:rPr>
        <w:t xml:space="preserve">trust</w:t>
      </w:r>
      <w:r>
        <w:rPr>
          <w:rFonts w:ascii="Calibri" w:cs="Calibri" w:eastAsia="Calibri" w:hAnsi="Calibri"/>
          <w:color w:val="20303F"/>
          <w:sz w:val="22"/>
          <w:szCs w:val="22"/>
        </w:rPr>
        <w:t xml:space="preserve">, stakeholder management here is not administrative housekeeping — it is part of the product.</w:t>
      </w:r>
    </w:p>
    <w:p>
      <w:pPr>
        <w:pStyle w:val="Heading1"/>
        <w:pBdr>
          <w:bottom w:val="single" w:color="1C6FD6" w:sz="10" w:space="4"/>
        </w:pBdr>
        <w:spacing w:after="150" w:before="340"/>
      </w:pPr>
      <w:r>
        <w:rPr>
          <w:rFonts w:ascii="Calibri" w:cs="Calibri" w:eastAsia="Calibri" w:hAnsi="Calibri"/>
          <w:b/>
          <w:bCs/>
          <w:color w:val="0B1F3A"/>
          <w:sz w:val="30"/>
          <w:szCs w:val="30"/>
        </w:rPr>
        <w:t xml:space="preserve">6  Stakeholder Register</w:t>
      </w:r>
    </w:p>
    <w:p>
      <w:pPr>
        <w:spacing w:after="140" w:line="278"/>
        <w:jc w:val="both"/>
      </w:pPr>
      <w:r>
        <w:rPr>
          <w:rFonts w:ascii="Calibri" w:cs="Calibri" w:eastAsia="Calibri" w:hAnsi="Calibri"/>
          <w:color w:val="20303F"/>
          <w:sz w:val="22"/>
          <w:szCs w:val="22"/>
        </w:rPr>
        <w:t xml:space="preserve">The register catalogues each stakeholder group, what they need from the project, what the project needs from them, and who owns the relationship. It separates the two readerships the plan serves — the academic evaluators of the </w:t>
      </w:r>
      <w:r>
        <w:rPr>
          <w:rFonts w:ascii="Calibri" w:cs="Calibri" w:eastAsia="Calibri" w:hAnsi="Calibri"/>
          <w:b/>
          <w:bCs/>
          <w:color w:val="20303F"/>
          <w:sz w:val="22"/>
          <w:szCs w:val="22"/>
        </w:rPr>
        <w:t xml:space="preserve">pilot</w:t>
      </w:r>
      <w:r>
        <w:rPr>
          <w:rFonts w:ascii="Calibri" w:cs="Calibri" w:eastAsia="Calibri" w:hAnsi="Calibri"/>
          <w:color w:val="20303F"/>
          <w:sz w:val="22"/>
          <w:szCs w:val="22"/>
        </w:rPr>
        <w:t xml:space="preserve"> and the market and partners of the </w:t>
      </w:r>
      <w:r>
        <w:rPr>
          <w:rFonts w:ascii="Calibri" w:cs="Calibri" w:eastAsia="Calibri" w:hAnsi="Calibri"/>
          <w:b/>
          <w:bCs/>
          <w:color w:val="20303F"/>
          <w:sz w:val="22"/>
          <w:szCs w:val="22"/>
        </w:rPr>
        <w:t xml:space="preserve">venture</w:t>
      </w:r>
      <w:r>
        <w:rPr>
          <w:rFonts w:ascii="Calibri" w:cs="Calibri" w:eastAsia="Calibri" w:hAnsi="Calibri"/>
          <w:color w:val="20303F"/>
          <w:sz w:val="22"/>
          <w:szCs w:val="22"/>
        </w:rPr>
        <w:t xml:space="preserve"> — because they require different engagement.</w:t>
      </w:r>
    </w:p>
    <w:p>
      <w:pPr>
        <w:keepNext/>
        <w:spacing w:after="90" w:before="60"/>
      </w:pPr>
      <w:r>
        <w:rPr>
          <w:rFonts w:ascii="Calibri" w:cs="Calibri" w:eastAsia="Calibri" w:hAnsi="Calibri"/>
          <w:b/>
          <w:bCs/>
          <w:color w:val="9D2235"/>
          <w:sz w:val="19"/>
          <w:szCs w:val="19"/>
        </w:rPr>
        <w:t xml:space="preserve">Table 6-1.  </w:t>
      </w:r>
      <w:r>
        <w:rPr>
          <w:rFonts w:ascii="Calibri" w:cs="Calibri" w:eastAsia="Calibri" w:hAnsi="Calibri"/>
          <w:b/>
          <w:bCs/>
          <w:color w:val="0B1F3A"/>
          <w:sz w:val="19"/>
          <w:szCs w:val="19"/>
        </w:rPr>
        <w:t xml:space="preserve">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750"/>
        <w:gridCol w:w="2860"/>
        <w:gridCol w:w="1600"/>
      </w:tblGrid>
      <w:tr>
        <w:trPr>
          <w:tblHeader/>
        </w:trPr>
        <w:tc>
          <w:tcPr>
            <w:tcW w:type="dxa" w:w="21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Stakeholder</w:t>
            </w:r>
          </w:p>
        </w:tc>
        <w:tc>
          <w:tcPr>
            <w:tcW w:type="dxa" w:w="27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Interest in the project</w:t>
            </w:r>
          </w:p>
        </w:tc>
        <w:tc>
          <w:tcPr>
            <w:tcW w:type="dxa" w:w="28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What the project needs from them</w:t>
            </w:r>
          </w:p>
        </w:tc>
        <w:tc>
          <w:tcPr>
            <w:tcW w:type="dxa" w:w="1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Owner</w:t>
            </w:r>
          </w:p>
        </w:tc>
      </w:tr>
      <w:tr>
        <w:trPr>
          <w:cantSplit/>
        </w:trPr>
        <w:tc>
          <w:tcPr>
            <w:tcW w:type="dxa" w:w="21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Riders (verified students)</w:t>
            </w:r>
          </w:p>
        </w:tc>
        <w:tc>
          <w:tcPr>
            <w:tcW w:type="dxa" w:w="27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Affordable, safe, reliable trips on repeating routes</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Adoption; honest feedback; good-faith conduct</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Drivers (verified students)</w:t>
            </w:r>
          </w:p>
        </w:tc>
        <w:tc>
          <w:tcPr>
            <w:tcW w:type="dxa" w:w="27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Recover trip costs; convenience; safety</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Supply on the corridor; reliability; safe driving</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sponsor / evaluator</w:t>
            </w:r>
          </w:p>
        </w:tc>
        <w:tc>
          <w:tcPr>
            <w:tcW w:type="dxa" w:w="27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rigorous, well-run capstone project</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Guidance; assessment; gate approvals</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University administration</w:t>
            </w:r>
          </w:p>
        </w:tc>
        <w:tc>
          <w:tcPr>
            <w:tcW w:type="dxa" w:w="27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Student safety; no liability or brand confusion</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Tolerance of the pilot; non-objection</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ASG / Safe Ride</w:t>
            </w:r>
          </w:p>
        </w:tc>
        <w:tc>
          <w:tcPr>
            <w:tcW w:type="dxa" w:w="27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Complementary, not competitive, mobility</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Coexistence; possible referral</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External legal counsel</w:t>
            </w:r>
          </w:p>
        </w:tc>
        <w:tc>
          <w:tcPr>
            <w:tcW w:type="dxa" w:w="27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Clear, answerable scope of advice</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binding opinion on the cost-sharing posture</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Anchor sponsor (e.g., 7 Brew)</w:t>
            </w:r>
          </w:p>
        </w:tc>
        <w:tc>
          <w:tcPr>
            <w:tcW w:type="dxa" w:w="27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Brand exposure to the student market</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Launch and rewards funding; co-marketing</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Service vendors (maps, payments, ID)</w:t>
            </w:r>
          </w:p>
        </w:tc>
        <w:tc>
          <w:tcPr>
            <w:tcW w:type="dxa" w:w="27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paying, growing integration</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Reliable APIs at predictable cost</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21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Prospective seed investors</w:t>
            </w:r>
          </w:p>
        </w:tc>
        <w:tc>
          <w:tcPr>
            <w:tcW w:type="dxa" w:w="27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credible, de-risked venture</w:t>
            </w:r>
          </w:p>
        </w:tc>
        <w:tc>
          <w:tcPr>
            <w:tcW w:type="dxa" w:w="2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Capital against proven traction (post-pilot)</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w:t>
            </w:r>
          </w:p>
        </w:tc>
      </w:tr>
      <w:tr>
        <w:trPr>
          <w:cantSplit/>
        </w:trPr>
        <w:tc>
          <w:tcPr>
            <w:tcW w:type="dxa" w:w="21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NWA community / municipalities</w:t>
            </w:r>
          </w:p>
        </w:tc>
        <w:tc>
          <w:tcPr>
            <w:tcW w:type="dxa" w:w="27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Reduced congestion; civic benefit</w:t>
            </w:r>
          </w:p>
        </w:tc>
        <w:tc>
          <w:tcPr>
            <w:tcW w:type="dxa" w:w="2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Goodwill; eventual corridor partnerships</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w:t>
            </w:r>
          </w:p>
        </w:tc>
      </w:tr>
    </w:tbl>
    <w:p>
      <w:pPr>
        <w:spacing w:after="200" w:before="70"/>
        <w:jc w:val="left"/>
      </w:pPr>
      <w:r>
        <w:rPr>
          <w:rFonts w:ascii="Calibri" w:cs="Calibri" w:eastAsia="Calibri" w:hAnsi="Calibri"/>
          <w:i/>
          <w:iCs/>
          <w:color w:val="5A6675"/>
          <w:sz w:val="17"/>
          <w:szCs w:val="17"/>
        </w:rPr>
        <w:t xml:space="preserve">The register is reviewed at each phase gate; new partners (e.g., additional sponsors) are added as the venture track activates.</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7  Power / Interest Analysis</w:t>
      </w:r>
    </w:p>
    <w:p>
      <w:pPr>
        <w:spacing w:after="140" w:line="278"/>
        <w:jc w:val="both"/>
      </w:pPr>
      <w:r>
        <w:rPr>
          <w:rFonts w:ascii="Calibri" w:cs="Calibri" w:eastAsia="Calibri" w:hAnsi="Calibri"/>
          <w:color w:val="20303F"/>
          <w:sz w:val="22"/>
          <w:szCs w:val="22"/>
        </w:rPr>
        <w:t xml:space="preserve">Not every stakeholder warrants the same attention. The classic power/interest grid sorts them by how much influence they hold over the project and how much they are affected by it, which in turn sets an engagement strategy for each. The defining feature of DiamondDrive's grid is that its </w:t>
      </w:r>
      <w:r>
        <w:rPr>
          <w:rFonts w:ascii="Calibri" w:cs="Calibri" w:eastAsia="Calibri" w:hAnsi="Calibri"/>
          <w:b/>
          <w:bCs/>
          <w:color w:val="20303F"/>
          <w:sz w:val="22"/>
          <w:szCs w:val="22"/>
        </w:rPr>
        <w:t xml:space="preserve">highest-power stakeholder is external counsel</w:t>
      </w:r>
      <w:r>
        <w:rPr>
          <w:rFonts w:ascii="Calibri" w:cs="Calibri" w:eastAsia="Calibri" w:hAnsi="Calibri"/>
          <w:color w:val="20303F"/>
          <w:sz w:val="22"/>
          <w:szCs w:val="22"/>
        </w:rPr>
        <w:t xml:space="preserve"> — a single legal opinion can authorise or halt the entire launch — which is why that relationship is managed closely despite involving just one party.</w:t>
      </w:r>
    </w:p>
    <w:p>
      <w:pPr>
        <w:pStyle w:val="Heading2"/>
        <w:keepNext/>
        <w:spacing w:after="110" w:before="240"/>
      </w:pPr>
      <w:r>
        <w:rPr>
          <w:rFonts w:ascii="Calibri" w:cs="Calibri" w:eastAsia="Calibri" w:hAnsi="Calibri"/>
          <w:b/>
          <w:bCs/>
          <w:color w:val="1C6FD6"/>
          <w:sz w:val="25"/>
          <w:szCs w:val="25"/>
        </w:rPr>
        <w:t xml:space="preserve">7.1  The grid</w:t>
      </w:r>
    </w:p>
    <w:p>
      <w:pPr>
        <w:keepNext/>
        <w:spacing w:after="90" w:before="60"/>
      </w:pPr>
      <w:r>
        <w:rPr>
          <w:rFonts w:ascii="Calibri" w:cs="Calibri" w:eastAsia="Calibri" w:hAnsi="Calibri"/>
          <w:b/>
          <w:bCs/>
          <w:color w:val="9D2235"/>
          <w:sz w:val="19"/>
          <w:szCs w:val="19"/>
        </w:rPr>
        <w:t xml:space="preserve">Table 7-1.  </w:t>
      </w:r>
      <w:r>
        <w:rPr>
          <w:rFonts w:ascii="Calibri" w:cs="Calibri" w:eastAsia="Calibri" w:hAnsi="Calibri"/>
          <w:b/>
          <w:bCs/>
          <w:color w:val="0B1F3A"/>
          <w:sz w:val="19"/>
          <w:szCs w:val="19"/>
        </w:rPr>
        <w:t xml:space="preserve">Power/interest placement and engagement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Quadrant</w:t>
            </w:r>
          </w:p>
        </w:tc>
        <w:tc>
          <w:tcPr>
            <w:tcW w:type="dxa" w:w="40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Stakeholders</w:t>
            </w:r>
          </w:p>
        </w:tc>
        <w:tc>
          <w:tcPr>
            <w:tcW w:type="dxa" w:w="2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Strategy</w:t>
            </w:r>
          </w:p>
        </w:tc>
      </w:tr>
      <w:tr>
        <w:trPr>
          <w:cantSplit/>
        </w:trPr>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High power · High interest</w:t>
            </w:r>
          </w:p>
        </w:tc>
        <w:tc>
          <w:tcPr>
            <w:tcW w:type="dxa" w:w="4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External counsel; faculty sponsor; anchor sponsor</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Manage closely — co-decide, brief continuously</w:t>
            </w:r>
          </w:p>
        </w:tc>
      </w:tr>
      <w:tr>
        <w:trPr>
          <w:cantSplit/>
        </w:trPr>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High power · Low interest</w:t>
            </w:r>
          </w:p>
        </w:tc>
        <w:tc>
          <w:tcPr>
            <w:tcW w:type="dxa" w:w="4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University administration; municipalities</w:t>
            </w:r>
          </w:p>
        </w:tc>
        <w:tc>
          <w:tcPr>
            <w:tcW w:type="dxa" w:w="2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Keep satisfied — proactive, low-friction updates</w:t>
            </w:r>
          </w:p>
        </w:tc>
      </w:tr>
      <w:tr>
        <w:trPr>
          <w:cantSplit/>
        </w:trPr>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Low power · High interest</w:t>
            </w:r>
          </w:p>
        </w:tc>
        <w:tc>
          <w:tcPr>
            <w:tcW w:type="dxa" w:w="4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Riders; drivers; project team</w:t>
            </w:r>
          </w:p>
        </w:tc>
        <w:tc>
          <w:tcPr>
            <w:tcW w:type="dxa" w:w="2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Keep engaged — involve, gather feedback, reward</w:t>
            </w:r>
          </w:p>
        </w:tc>
      </w:tr>
      <w:tr>
        <w:trPr>
          <w:cantSplit/>
        </w:trPr>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Low power · Low interest</w:t>
            </w:r>
          </w:p>
        </w:tc>
        <w:tc>
          <w:tcPr>
            <w:tcW w:type="dxa" w:w="4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General public; non-corridor students</w:t>
            </w:r>
          </w:p>
        </w:tc>
        <w:tc>
          <w:tcPr>
            <w:tcW w:type="dxa" w:w="2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Monitor — light-touch awareness only</w:t>
            </w:r>
          </w:p>
        </w:tc>
      </w:tr>
    </w:tbl>
    <w:p>
      <w:pPr>
        <w:spacing w:after="200" w:before="70"/>
        <w:jc w:val="left"/>
      </w:pPr>
      <w:r>
        <w:rPr>
          <w:rFonts w:ascii="Calibri" w:cs="Calibri" w:eastAsia="Calibri" w:hAnsi="Calibri"/>
          <w:i/>
          <w:iCs/>
          <w:color w:val="5A6675"/>
          <w:sz w:val="17"/>
          <w:szCs w:val="17"/>
        </w:rPr>
        <w:t xml:space="preserve">Placement is reassessed as the venture activates; seed investors move into the high-power/high-interest quadrant once the pilot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The counsel relationship is the one to over-invest in</w:t>
            </w:r>
          </w:p>
          <w:p>
            <w:pPr>
              <w:spacing w:after="0" w:line="278"/>
              <w:jc w:val="both"/>
            </w:pPr>
            <w:r>
              <w:rPr>
                <w:rFonts w:ascii="Calibri" w:cs="Calibri" w:eastAsia="Calibri" w:hAnsi="Calibri"/>
                <w:color w:val="20303F"/>
                <w:sz w:val="22"/>
                <w:szCs w:val="22"/>
              </w:rPr>
              <w:t xml:space="preserve">Most projects place a regulator or financier at the top of the grid. DiamondDrive places </w:t>
            </w:r>
            <w:r>
              <w:rPr>
                <w:rFonts w:ascii="Calibri" w:cs="Calibri" w:eastAsia="Calibri" w:hAnsi="Calibri"/>
                <w:b/>
                <w:bCs/>
                <w:color w:val="20303F"/>
                <w:sz w:val="22"/>
                <w:szCs w:val="22"/>
              </w:rPr>
              <w:t xml:space="preserve">a lawyer</w:t>
            </w:r>
            <w:r>
              <w:rPr>
                <w:rFonts w:ascii="Calibri" w:cs="Calibri" w:eastAsia="Calibri" w:hAnsi="Calibri"/>
                <w:color w:val="20303F"/>
                <w:sz w:val="22"/>
                <w:szCs w:val="22"/>
              </w:rPr>
              <w:t xml:space="preserve"> there: because the cost-sharing classification is the existential question (see §2.3 and §18), the legal opinion is the single highest-leverage input to the whole plan, and the engagement strategy treats it accordingly.</w:t>
            </w:r>
          </w:p>
        </w:tc>
      </w:tr>
    </w:tbl>
    <w:p>
      <w:pPr>
        <w:pStyle w:val="Heading2"/>
        <w:keepNext/>
        <w:spacing w:after="110" w:before="240"/>
      </w:pPr>
      <w:r>
        <w:rPr>
          <w:rFonts w:ascii="Calibri" w:cs="Calibri" w:eastAsia="Calibri" w:hAnsi="Calibri"/>
          <w:b/>
          <w:bCs/>
          <w:color w:val="1C6FD6"/>
          <w:sz w:val="25"/>
          <w:szCs w:val="25"/>
        </w:rPr>
        <w:t xml:space="preserve">7.2  Engagement principles</w:t>
      </w:r>
    </w:p>
    <w:p>
      <w:pPr>
        <w:pStyle w:val="ListParagraph"/>
        <w:numPr>
          <w:ilvl w:val="0"/>
          <w:numId w:val="3"/>
        </w:numPr>
        <w:spacing w:after="70" w:line="268"/>
        <w:jc w:val="left"/>
      </w:pPr>
      <w:r>
        <w:rPr>
          <w:rFonts w:ascii="Calibri" w:cs="Calibri" w:eastAsia="Calibri" w:hAnsi="Calibri"/>
          <w:b/>
          <w:bCs/>
          <w:color w:val="20303F"/>
          <w:sz w:val="22"/>
          <w:szCs w:val="22"/>
        </w:rPr>
        <w:t xml:space="preserve">Drivers are courted like the scarce side they are. </w:t>
      </w:r>
      <w:r>
        <w:rPr>
          <w:rFonts w:ascii="Calibri" w:cs="Calibri" w:eastAsia="Calibri" w:hAnsi="Calibri"/>
          <w:color w:val="20303F"/>
          <w:sz w:val="22"/>
          <w:szCs w:val="22"/>
        </w:rPr>
        <w:t xml:space="preserve">Because supply is harder to seed than demand (see §18), driver engagement gets disproportionate effort — recognition, rewards, and a direct feedback line.</w:t>
      </w:r>
    </w:p>
    <w:p>
      <w:pPr>
        <w:pStyle w:val="ListParagraph"/>
        <w:numPr>
          <w:ilvl w:val="0"/>
          <w:numId w:val="3"/>
        </w:numPr>
        <w:spacing w:after="70" w:line="268"/>
        <w:jc w:val="left"/>
      </w:pPr>
      <w:r>
        <w:rPr>
          <w:rFonts w:ascii="Calibri" w:cs="Calibri" w:eastAsia="Calibri" w:hAnsi="Calibri"/>
          <w:b/>
          <w:bCs/>
          <w:color w:val="20303F"/>
          <w:sz w:val="22"/>
          <w:szCs w:val="22"/>
        </w:rPr>
        <w:t xml:space="preserve">The university is kept satisfied, not surprised. </w:t>
      </w:r>
      <w:r>
        <w:rPr>
          <w:rFonts w:ascii="Calibri" w:cs="Calibri" w:eastAsia="Calibri" w:hAnsi="Calibri"/>
          <w:color w:val="20303F"/>
          <w:sz w:val="22"/>
          <w:szCs w:val="22"/>
        </w:rPr>
        <w:t xml:space="preserve">Proactive, factual updates and a clear non-affiliation stance reduce the risk of institutional objection that could end the pilot (constraint C6).</w:t>
      </w:r>
    </w:p>
    <w:p>
      <w:pPr>
        <w:pStyle w:val="ListParagraph"/>
        <w:numPr>
          <w:ilvl w:val="0"/>
          <w:numId w:val="3"/>
        </w:numPr>
        <w:spacing w:after="70" w:line="268"/>
        <w:jc w:val="left"/>
      </w:pPr>
      <w:r>
        <w:rPr>
          <w:rFonts w:ascii="Calibri" w:cs="Calibri" w:eastAsia="Calibri" w:hAnsi="Calibri"/>
          <w:b/>
          <w:bCs/>
          <w:color w:val="20303F"/>
          <w:sz w:val="22"/>
          <w:szCs w:val="22"/>
        </w:rPr>
        <w:t xml:space="preserve">Riders and drivers are treated as co-builders. </w:t>
      </w:r>
      <w:r>
        <w:rPr>
          <w:rFonts w:ascii="Calibri" w:cs="Calibri" w:eastAsia="Calibri" w:hAnsi="Calibri"/>
          <w:color w:val="20303F"/>
          <w:sz w:val="22"/>
          <w:szCs w:val="22"/>
        </w:rPr>
        <w:t xml:space="preserve">Their feedback flows continuously into the Agile backlog (see §21), making them participants in the product rather than just its users.</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8  Stakeholder Questionnaire (Instrument)</w:t>
      </w:r>
    </w:p>
    <w:p>
      <w:pPr>
        <w:spacing w:after="140" w:line="278"/>
        <w:jc w:val="both"/>
      </w:pPr>
      <w:r>
        <w:rPr>
          <w:rFonts w:ascii="Calibri" w:cs="Calibri" w:eastAsia="Calibri" w:hAnsi="Calibri"/>
          <w:color w:val="20303F"/>
          <w:sz w:val="22"/>
          <w:szCs w:val="22"/>
        </w:rPr>
        <w:t xml:space="preserve">Stakeholder analysis is only as good as the input behind it. This section provides the actual instrument used to gather that input — a structured questionnaire administered to prospective riders and drivers on the pilot corridor. It is reproduced in full so the evaluator can see exactly how demand, willingness, and the safety and pricing assumptions are tested before a line of production code is relied upon.</w:t>
      </w:r>
    </w:p>
    <w:p>
      <w:pPr>
        <w:pStyle w:val="Heading2"/>
        <w:keepNext/>
        <w:spacing w:after="110" w:before="240"/>
      </w:pPr>
      <w:r>
        <w:rPr>
          <w:rFonts w:ascii="Calibri" w:cs="Calibri" w:eastAsia="Calibri" w:hAnsi="Calibri"/>
          <w:b/>
          <w:bCs/>
          <w:color w:val="1C6FD6"/>
          <w:sz w:val="25"/>
          <w:szCs w:val="25"/>
        </w:rPr>
        <w:t xml:space="preserve">8.1  Purpose &amp; method</w:t>
      </w:r>
    </w:p>
    <w:p>
      <w:pPr>
        <w:spacing w:after="140" w:line="278"/>
        <w:jc w:val="both"/>
      </w:pPr>
      <w:r>
        <w:rPr>
          <w:rFonts w:ascii="Calibri" w:cs="Calibri" w:eastAsia="Calibri" w:hAnsi="Calibri"/>
          <w:color w:val="20303F"/>
          <w:sz w:val="22"/>
          <w:szCs w:val="22"/>
        </w:rPr>
        <w:t xml:space="preserve">The questionnaire tests four things: whether the corridor demand the enrollment and parking data imply is real, whether students will both ride and drive under a cost-sharing model, what would make them feel safe enough to participate, and what contribution level is acceptable. It is administered online to verified students and, ideally, in person along the Springdale–campus corridor. Responses feed the assumptions in §4, the pricing in §2, and the prioritised backlog in §21.</w:t>
      </w:r>
    </w:p>
    <w:p>
      <w:pPr>
        <w:pStyle w:val="Heading2"/>
        <w:keepNext/>
        <w:spacing w:after="110" w:before="240"/>
      </w:pPr>
      <w:r>
        <w:rPr>
          <w:rFonts w:ascii="Calibri" w:cs="Calibri" w:eastAsia="Calibri" w:hAnsi="Calibri"/>
          <w:b/>
          <w:bCs/>
          <w:color w:val="1C6FD6"/>
          <w:sz w:val="25"/>
          <w:szCs w:val="25"/>
        </w:rPr>
        <w:t xml:space="preserve">8.2  The instrument</w:t>
      </w:r>
    </w:p>
    <w:p>
      <w:pPr>
        <w:spacing w:after="40" w:before="120"/>
      </w:pPr>
      <w:r>
        <w:rPr>
          <w:rFonts w:ascii="Calibri" w:cs="Calibri" w:eastAsia="Calibri" w:hAnsi="Calibri"/>
          <w:b/>
          <w:bCs/>
          <w:color w:val="1C6FD6"/>
          <w:spacing w:val="40"/>
          <w:sz w:val="17"/>
          <w:szCs w:val="17"/>
        </w:rPr>
        <w:t xml:space="preserve">SECTION A — SCREENING &amp; TRAVEL PATTERN</w:t>
      </w:r>
    </w:p>
    <w:p>
      <w:pPr>
        <w:pStyle w:val="ListParagraph"/>
        <w:numPr>
          <w:ilvl w:val="0"/>
          <w:numId w:val="4"/>
        </w:numPr>
        <w:spacing w:after="70" w:line="268"/>
        <w:jc w:val="left"/>
      </w:pPr>
      <w:r>
        <w:rPr>
          <w:rFonts w:ascii="Calibri" w:cs="Calibri" w:eastAsia="Calibri" w:hAnsi="Calibri"/>
          <w:color w:val="20303F"/>
          <w:sz w:val="22"/>
          <w:szCs w:val="22"/>
        </w:rPr>
        <w:t xml:space="preserve">Are you a currently enrolled University of Arkansas student with a valid </w:t>
      </w:r>
      <w:r>
        <w:rPr>
          <w:rFonts w:ascii="Consolas" w:cs="Consolas" w:eastAsia="Consolas" w:hAnsi="Consolas"/>
          <w:color w:val="20303F"/>
          <w:sz w:val="20"/>
          <w:szCs w:val="20"/>
        </w:rPr>
        <w:t xml:space="preserve">@uark.edu</w:t>
      </w:r>
      <w:r>
        <w:rPr>
          <w:rFonts w:ascii="Calibri" w:cs="Calibri" w:eastAsia="Calibri" w:hAnsi="Calibri"/>
          <w:color w:val="20303F"/>
          <w:sz w:val="22"/>
          <w:szCs w:val="22"/>
        </w:rPr>
        <w:t xml:space="preserve"> email?  (Yes / No)</w:t>
      </w:r>
    </w:p>
    <w:p>
      <w:pPr>
        <w:pStyle w:val="ListParagraph"/>
        <w:numPr>
          <w:ilvl w:val="0"/>
          <w:numId w:val="4"/>
        </w:numPr>
        <w:spacing w:after="70" w:line="268"/>
        <w:jc w:val="left"/>
      </w:pPr>
      <w:r>
        <w:rPr>
          <w:rFonts w:ascii="Calibri" w:cs="Calibri" w:eastAsia="Calibri" w:hAnsi="Calibri"/>
          <w:color w:val="20303F"/>
          <w:sz w:val="22"/>
          <w:szCs w:val="22"/>
        </w:rPr>
        <w:t xml:space="preserve">Where do you primarily travel from when coming to campus? (Fayetteville / Springdale / Rogers / Bentonville / Other)</w:t>
      </w:r>
    </w:p>
    <w:p>
      <w:pPr>
        <w:pStyle w:val="ListParagraph"/>
        <w:numPr>
          <w:ilvl w:val="0"/>
          <w:numId w:val="4"/>
        </w:numPr>
        <w:spacing w:after="70" w:line="268"/>
        <w:jc w:val="left"/>
      </w:pPr>
      <w:r>
        <w:rPr>
          <w:rFonts w:ascii="Calibri" w:cs="Calibri" w:eastAsia="Calibri" w:hAnsi="Calibri"/>
          <w:color w:val="20303F"/>
          <w:sz w:val="22"/>
          <w:szCs w:val="22"/>
        </w:rPr>
        <w:t xml:space="preserve">How many round trips to or from campus do you make in a typical week? (0–2 / 3–5 / 6–10 / 11+)</w:t>
      </w:r>
    </w:p>
    <w:p>
      <w:pPr>
        <w:pStyle w:val="ListParagraph"/>
        <w:numPr>
          <w:ilvl w:val="0"/>
          <w:numId w:val="4"/>
        </w:numPr>
        <w:spacing w:after="70" w:line="268"/>
        <w:jc w:val="left"/>
      </w:pPr>
      <w:r>
        <w:rPr>
          <w:rFonts w:ascii="Calibri" w:cs="Calibri" w:eastAsia="Calibri" w:hAnsi="Calibri"/>
          <w:color w:val="20303F"/>
          <w:sz w:val="22"/>
          <w:szCs w:val="22"/>
        </w:rPr>
        <w:t xml:space="preserve">How do you most often make that trip today? (Personal car / Razorback Transit / Safe Ride / Ride-hail / Walk or bike / Carpool)</w:t>
      </w:r>
    </w:p>
    <w:p>
      <w:pPr>
        <w:pStyle w:val="ListParagraph"/>
        <w:numPr>
          <w:ilvl w:val="0"/>
          <w:numId w:val="4"/>
        </w:numPr>
        <w:spacing w:after="70" w:line="268"/>
        <w:jc w:val="left"/>
      </w:pPr>
      <w:r>
        <w:rPr>
          <w:rFonts w:ascii="Calibri" w:cs="Calibri" w:eastAsia="Calibri" w:hAnsi="Calibri"/>
          <w:color w:val="20303F"/>
          <w:sz w:val="22"/>
          <w:szCs w:val="22"/>
        </w:rPr>
        <w:t xml:space="preserve">On a typical day, how hard is it to park where you need to? (Not hard → Very hard, 1–5)</w:t>
      </w:r>
    </w:p>
    <w:p>
      <w:pPr>
        <w:spacing w:after="40" w:before="120"/>
      </w:pPr>
      <w:r>
        <w:rPr>
          <w:rFonts w:ascii="Calibri" w:cs="Calibri" w:eastAsia="Calibri" w:hAnsi="Calibri"/>
          <w:b/>
          <w:bCs/>
          <w:color w:val="1C6FD6"/>
          <w:spacing w:val="40"/>
          <w:sz w:val="17"/>
          <w:szCs w:val="17"/>
        </w:rPr>
        <w:t xml:space="preserve">SECTION B — RIDER WILLINGNESS</w:t>
      </w:r>
    </w:p>
    <w:p>
      <w:pPr>
        <w:pStyle w:val="ListParagraph"/>
        <w:numPr>
          <w:ilvl w:val="0"/>
          <w:numId w:val="4"/>
        </w:numPr>
        <w:spacing w:after="70" w:line="268"/>
        <w:jc w:val="left"/>
      </w:pPr>
      <w:r>
        <w:rPr>
          <w:rFonts w:ascii="Calibri" w:cs="Calibri" w:eastAsia="Calibri" w:hAnsi="Calibri"/>
          <w:color w:val="20303F"/>
          <w:sz w:val="22"/>
          <w:szCs w:val="22"/>
        </w:rPr>
        <w:t xml:space="preserve">How likely would you be to take a shared ride with a verified fellow student along your route? (1–5)</w:t>
      </w:r>
    </w:p>
    <w:p>
      <w:pPr>
        <w:pStyle w:val="ListParagraph"/>
        <w:numPr>
          <w:ilvl w:val="0"/>
          <w:numId w:val="4"/>
        </w:numPr>
        <w:spacing w:after="70" w:line="268"/>
        <w:jc w:val="left"/>
      </w:pPr>
      <w:r>
        <w:rPr>
          <w:rFonts w:ascii="Calibri" w:cs="Calibri" w:eastAsia="Calibri" w:hAnsi="Calibri"/>
          <w:color w:val="20303F"/>
          <w:sz w:val="22"/>
          <w:szCs w:val="22"/>
        </w:rPr>
        <w:t xml:space="preserve">What is the most you would consider contributing toward a shared one-way trip to cover its cost? (Under $2 / $2–3 / $3–5 / $5+)</w:t>
      </w:r>
    </w:p>
    <w:p>
      <w:pPr>
        <w:pStyle w:val="ListParagraph"/>
        <w:numPr>
          <w:ilvl w:val="0"/>
          <w:numId w:val="4"/>
        </w:numPr>
        <w:spacing w:after="70" w:line="268"/>
        <w:jc w:val="left"/>
      </w:pPr>
      <w:r>
        <w:rPr>
          <w:rFonts w:ascii="Calibri" w:cs="Calibri" w:eastAsia="Calibri" w:hAnsi="Calibri"/>
          <w:color w:val="20303F"/>
          <w:sz w:val="22"/>
          <w:szCs w:val="22"/>
        </w:rPr>
        <w:t xml:space="preserve">Would you use the same network to send or receive a small item (food, documents, parcel) along an existing trip? (Yes / Maybe / No)</w:t>
      </w:r>
    </w:p>
    <w:p>
      <w:pPr>
        <w:spacing w:after="40" w:before="120"/>
      </w:pPr>
      <w:r>
        <w:rPr>
          <w:rFonts w:ascii="Calibri" w:cs="Calibri" w:eastAsia="Calibri" w:hAnsi="Calibri"/>
          <w:b/>
          <w:bCs/>
          <w:color w:val="9D2235"/>
          <w:spacing w:val="40"/>
          <w:sz w:val="17"/>
          <w:szCs w:val="17"/>
        </w:rPr>
        <w:t xml:space="preserve">SECTION C — DRIVER WILLINGNESS</w:t>
      </w:r>
    </w:p>
    <w:p>
      <w:pPr>
        <w:pStyle w:val="ListParagraph"/>
        <w:numPr>
          <w:ilvl w:val="0"/>
          <w:numId w:val="4"/>
        </w:numPr>
        <w:spacing w:after="70" w:line="268"/>
        <w:jc w:val="left"/>
      </w:pPr>
      <w:r>
        <w:rPr>
          <w:rFonts w:ascii="Calibri" w:cs="Calibri" w:eastAsia="Calibri" w:hAnsi="Calibri"/>
          <w:color w:val="20303F"/>
          <w:sz w:val="22"/>
          <w:szCs w:val="22"/>
        </w:rPr>
        <w:t xml:space="preserve">If you already drive your route, how likely would you be to take a verified fellow student going the same way, to recover gas costs? (1–5)</w:t>
      </w:r>
    </w:p>
    <w:p>
      <w:pPr>
        <w:pStyle w:val="ListParagraph"/>
        <w:numPr>
          <w:ilvl w:val="0"/>
          <w:numId w:val="4"/>
        </w:numPr>
        <w:spacing w:after="70" w:line="268"/>
        <w:jc w:val="left"/>
      </w:pPr>
      <w:r>
        <w:rPr>
          <w:rFonts w:ascii="Calibri" w:cs="Calibri" w:eastAsia="Calibri" w:hAnsi="Calibri"/>
          <w:color w:val="20303F"/>
          <w:sz w:val="22"/>
          <w:szCs w:val="22"/>
        </w:rPr>
        <w:t xml:space="preserve">What would most encourage you to offer rides? (Cost recovery / Rewards / Helping peers / Flexibility / Nothing would)</w:t>
      </w:r>
    </w:p>
    <w:p>
      <w:pPr>
        <w:pStyle w:val="ListParagraph"/>
        <w:numPr>
          <w:ilvl w:val="0"/>
          <w:numId w:val="4"/>
        </w:numPr>
        <w:spacing w:after="70" w:line="268"/>
        <w:jc w:val="left"/>
      </w:pPr>
      <w:r>
        <w:rPr>
          <w:rFonts w:ascii="Calibri" w:cs="Calibri" w:eastAsia="Calibri" w:hAnsi="Calibri"/>
          <w:color w:val="20303F"/>
          <w:sz w:val="22"/>
          <w:szCs w:val="22"/>
        </w:rPr>
        <w:t xml:space="preserve">What would most discourage you from offering rides? (Safety / Liability / Time / Awkwardness / Wear on car)</w:t>
      </w:r>
    </w:p>
    <w:p>
      <w:pPr>
        <w:spacing w:after="40" w:before="120"/>
      </w:pPr>
      <w:r>
        <w:rPr>
          <w:rFonts w:ascii="Calibri" w:cs="Calibri" w:eastAsia="Calibri" w:hAnsi="Calibri"/>
          <w:b/>
          <w:bCs/>
          <w:color w:val="9D2235"/>
          <w:spacing w:val="40"/>
          <w:sz w:val="17"/>
          <w:szCs w:val="17"/>
        </w:rPr>
        <w:t xml:space="preserve">SECTION D — TRUST &amp; SAFETY</w:t>
      </w:r>
    </w:p>
    <w:p>
      <w:pPr>
        <w:pStyle w:val="ListParagraph"/>
        <w:numPr>
          <w:ilvl w:val="0"/>
          <w:numId w:val="4"/>
        </w:numPr>
        <w:spacing w:after="70" w:line="268"/>
        <w:jc w:val="left"/>
      </w:pPr>
      <w:r>
        <w:rPr>
          <w:rFonts w:ascii="Calibri" w:cs="Calibri" w:eastAsia="Calibri" w:hAnsi="Calibri"/>
          <w:color w:val="20303F"/>
          <w:sz w:val="22"/>
          <w:szCs w:val="22"/>
        </w:rPr>
        <w:t xml:space="preserve">How much would each of the following increase your willingness to participate — verified-student-only access, in-app trip sharing, an SOS button, ratings and reviews, background checks? (Not at all → A great deal, 1–5 each)</w:t>
      </w:r>
    </w:p>
    <w:p>
      <w:pPr>
        <w:pStyle w:val="ListParagraph"/>
        <w:numPr>
          <w:ilvl w:val="0"/>
          <w:numId w:val="4"/>
        </w:numPr>
        <w:spacing w:after="70" w:line="268"/>
        <w:jc w:val="left"/>
      </w:pPr>
      <w:r>
        <w:rPr>
          <w:rFonts w:ascii="Calibri" w:cs="Calibri" w:eastAsia="Calibri" w:hAnsi="Calibri"/>
          <w:color w:val="20303F"/>
          <w:sz w:val="22"/>
          <w:szCs w:val="22"/>
        </w:rPr>
        <w:t xml:space="preserve">Which single feature would make you feel safest? (open response)</w:t>
      </w:r>
    </w:p>
    <w:p>
      <w:pPr>
        <w:spacing w:after="40" w:before="120"/>
      </w:pPr>
      <w:r>
        <w:rPr>
          <w:rFonts w:ascii="Calibri" w:cs="Calibri" w:eastAsia="Calibri" w:hAnsi="Calibri"/>
          <w:b/>
          <w:bCs/>
          <w:color w:val="1C6FD6"/>
          <w:spacing w:val="40"/>
          <w:sz w:val="17"/>
          <w:szCs w:val="17"/>
        </w:rPr>
        <w:t xml:space="preserve">SECTION E — REWARDS &amp; CLOSE</w:t>
      </w:r>
    </w:p>
    <w:p>
      <w:pPr>
        <w:pStyle w:val="ListParagraph"/>
        <w:numPr>
          <w:ilvl w:val="0"/>
          <w:numId w:val="4"/>
        </w:numPr>
        <w:spacing w:after="70" w:line="268"/>
        <w:jc w:val="left"/>
      </w:pPr>
      <w:r>
        <w:rPr>
          <w:rFonts w:ascii="Calibri" w:cs="Calibri" w:eastAsia="Calibri" w:hAnsi="Calibri"/>
          <w:color w:val="20303F"/>
          <w:sz w:val="22"/>
          <w:szCs w:val="22"/>
        </w:rPr>
        <w:t xml:space="preserve">How appealing are rewards redeemable at local brands such as 7 Brew, Onyx, or Hugo's? (1–5)</w:t>
      </w:r>
    </w:p>
    <w:p>
      <w:pPr>
        <w:pStyle w:val="ListParagraph"/>
        <w:numPr>
          <w:ilvl w:val="0"/>
          <w:numId w:val="4"/>
        </w:numPr>
        <w:spacing w:after="70" w:line="268"/>
        <w:jc w:val="left"/>
      </w:pPr>
      <w:r>
        <w:rPr>
          <w:rFonts w:ascii="Calibri" w:cs="Calibri" w:eastAsia="Calibri" w:hAnsi="Calibri"/>
          <w:color w:val="20303F"/>
          <w:sz w:val="22"/>
          <w:szCs w:val="22"/>
        </w:rPr>
        <w:t xml:space="preserve">Anything else that would make you more or less likely to use DiamondDrive? (open response)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F8FD" w:sz="2"/>
              <w:left w:val="single" w:color="3A4A5E" w:sz="28"/>
              <w:bottom w:val="single" w:color="F4F8FD" w:sz="2"/>
              <w:right w:val="single" w:color="F4F8FD" w:sz="2"/>
            </w:tcBorders>
            <w:shd w:fill="F4F8FD" w:val="clear"/>
            <w:tcMar>
              <w:top w:type="dxa" w:w="110"/>
              <w:left w:type="dxa" w:w="200"/>
              <w:bottom w:type="dxa" w:w="110"/>
              <w:right w:type="dxa" w:w="160"/>
            </w:tcMar>
          </w:tcPr>
          <w:p>
            <w:pPr>
              <w:spacing w:after="80" w:line="264"/>
            </w:pPr>
            <w:r>
              <w:rPr>
                <w:rFonts w:ascii="Calibri" w:cs="Calibri" w:eastAsia="Calibri" w:hAnsi="Calibri"/>
                <w:b/>
                <w:bCs/>
                <w:color w:val="3A4A5E"/>
                <w:sz w:val="20"/>
                <w:szCs w:val="20"/>
              </w:rPr>
              <w:t xml:space="preserve">How the responses are used</w:t>
            </w:r>
          </w:p>
          <w:p>
            <w:pPr>
              <w:spacing w:after="0" w:line="278"/>
              <w:jc w:val="both"/>
            </w:pPr>
            <w:r>
              <w:rPr>
                <w:rFonts w:ascii="Calibri" w:cs="Calibri" w:eastAsia="Calibri" w:hAnsi="Calibri"/>
                <w:color w:val="20303F"/>
                <w:sz w:val="22"/>
                <w:szCs w:val="22"/>
              </w:rPr>
              <w:t xml:space="preserve">Sections A–B size demand and set the contribution band; Section C measures the scarce driver supply and what moves it; Section D ranks the safety features that go to the top of the backlog; Section E gauges the rewards loop and the sponsorship value proposition. Results are summarised in the pilot's evaluation pack (see §26).</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9  Communications Management Plan</w:t>
      </w:r>
    </w:p>
    <w:p>
      <w:pPr>
        <w:spacing w:after="140" w:line="278"/>
        <w:jc w:val="both"/>
      </w:pPr>
      <w:r>
        <w:rPr>
          <w:rFonts w:ascii="Calibri" w:cs="Calibri" w:eastAsia="Calibri" w:hAnsi="Calibri"/>
          <w:color w:val="20303F"/>
          <w:sz w:val="22"/>
          <w:szCs w:val="22"/>
        </w:rPr>
        <w:t xml:space="preserve">This plan sets who hears what, how often, and through which channel. It deliberately maps onto the blended methodology: the predictive wrapper communicates on a fixed gate-and-status rhythm, while the Agile core communicates on the sprint rhythm. The two calendars are kept in sync so that, at every phase gate, the sponsor sees both the project status and the product increment together.</w:t>
      </w:r>
    </w:p>
    <w:p>
      <w:pPr>
        <w:keepNext/>
        <w:spacing w:after="90" w:before="60"/>
      </w:pPr>
      <w:r>
        <w:rPr>
          <w:rFonts w:ascii="Calibri" w:cs="Calibri" w:eastAsia="Calibri" w:hAnsi="Calibri"/>
          <w:b/>
          <w:bCs/>
          <w:color w:val="9D2235"/>
          <w:sz w:val="19"/>
          <w:szCs w:val="19"/>
        </w:rPr>
        <w:t xml:space="preserve">Table 9-1.  </w:t>
      </w:r>
      <w:r>
        <w:rPr>
          <w:rFonts w:ascii="Calibri" w:cs="Calibri" w:eastAsia="Calibri" w:hAnsi="Calibri"/>
          <w:b/>
          <w:bCs/>
          <w:color w:val="0B1F3A"/>
          <w:sz w:val="19"/>
          <w:szCs w:val="19"/>
        </w:rPr>
        <w:t xml:space="preserve">Communications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400"/>
        <w:gridCol w:w="1950"/>
        <w:gridCol w:w="1760"/>
        <w:gridCol w:w="1400"/>
      </w:tblGrid>
      <w:tr>
        <w:trPr>
          <w:tblHeader/>
        </w:trPr>
        <w:tc>
          <w:tcPr>
            <w:tcW w:type="dxa" w:w="18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Audience</w:t>
            </w:r>
          </w:p>
        </w:tc>
        <w:tc>
          <w:tcPr>
            <w:tcW w:type="dxa" w:w="24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Message</w:t>
            </w:r>
          </w:p>
        </w:tc>
        <w:tc>
          <w:tcPr>
            <w:tcW w:type="dxa" w:w="19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Channel</w:t>
            </w:r>
          </w:p>
        </w:tc>
        <w:tc>
          <w:tcPr>
            <w:tcW w:type="dxa" w:w="1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Frequency</w:t>
            </w:r>
          </w:p>
        </w:tc>
        <w:tc>
          <w:tcPr>
            <w:tcW w:type="dxa" w:w="14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Owner</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sponsor</w:t>
            </w:r>
          </w:p>
        </w:tc>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Phase status, gate readiness, risks</w:t>
            </w:r>
          </w:p>
        </w:tc>
        <w:tc>
          <w:tcPr>
            <w:tcW w:type="dxa" w:w="19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Status report + meeting</w:t>
            </w:r>
          </w:p>
        </w:tc>
        <w:tc>
          <w:tcPr>
            <w:tcW w:type="dxa" w:w="1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Per gate + biweekly</w:t>
            </w:r>
          </w:p>
        </w:tc>
        <w:tc>
          <w:tcPr>
            <w:tcW w:type="dxa" w:w="1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team</w:t>
            </w:r>
          </w:p>
        </w:tc>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goals, blockers, progress</w:t>
            </w:r>
          </w:p>
        </w:tc>
        <w:tc>
          <w:tcPr>
            <w:tcW w:type="dxa" w:w="19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Stand-up + board</w:t>
            </w:r>
          </w:p>
        </w:tc>
        <w:tc>
          <w:tcPr>
            <w:tcW w:type="dxa" w:w="1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Daily / per sprint</w:t>
            </w:r>
          </w:p>
        </w:tc>
        <w:tc>
          <w:tcPr>
            <w:tcW w:type="dxa" w:w="1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Riders &amp; drivers</w:t>
            </w:r>
          </w:p>
        </w:tc>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Launch, changes, safety, rewards</w:t>
            </w:r>
          </w:p>
        </w:tc>
        <w:tc>
          <w:tcPr>
            <w:tcW w:type="dxa" w:w="19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In-app + email</w:t>
            </w:r>
          </w:p>
        </w:tc>
        <w:tc>
          <w:tcPr>
            <w:tcW w:type="dxa" w:w="1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 event + monthly</w:t>
            </w:r>
          </w:p>
        </w:tc>
        <w:tc>
          <w:tcPr>
            <w:tcW w:type="dxa" w:w="1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w:t>
            </w:r>
          </w:p>
        </w:tc>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Milestones, reach, co-marketing</w:t>
            </w:r>
          </w:p>
        </w:tc>
        <w:tc>
          <w:tcPr>
            <w:tcW w:type="dxa" w:w="19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Briefing + deck</w:t>
            </w:r>
          </w:p>
        </w:tc>
        <w:tc>
          <w:tcPr>
            <w:tcW w:type="dxa" w:w="1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Monthly</w:t>
            </w:r>
          </w:p>
        </w:tc>
        <w:tc>
          <w:tcPr>
            <w:tcW w:type="dxa" w:w="1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University admin</w:t>
            </w:r>
          </w:p>
        </w:tc>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safety posture, non-affiliation</w:t>
            </w:r>
          </w:p>
        </w:tc>
        <w:tc>
          <w:tcPr>
            <w:tcW w:type="dxa" w:w="19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Brief memo</w:t>
            </w:r>
          </w:p>
        </w:tc>
        <w:tc>
          <w:tcPr>
            <w:tcW w:type="dxa" w:w="1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Per gate / on request</w:t>
            </w:r>
          </w:p>
        </w:tc>
        <w:tc>
          <w:tcPr>
            <w:tcW w:type="dxa" w:w="1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Counsel</w:t>
            </w:r>
          </w:p>
        </w:tc>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of opinion; model questions</w:t>
            </w:r>
          </w:p>
        </w:tc>
        <w:tc>
          <w:tcPr>
            <w:tcW w:type="dxa" w:w="19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Direct working session</w:t>
            </w:r>
          </w:p>
        </w:tc>
        <w:tc>
          <w:tcPr>
            <w:tcW w:type="dxa" w:w="1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As needed (pre-launch)</w:t>
            </w:r>
          </w:p>
        </w:tc>
        <w:tc>
          <w:tcPr>
            <w:tcW w:type="dxa" w:w="1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Investors (post-pilot)</w:t>
            </w:r>
          </w:p>
        </w:tc>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Traction, unit economics, ask</w:t>
            </w:r>
          </w:p>
        </w:tc>
        <w:tc>
          <w:tcPr>
            <w:tcW w:type="dxa" w:w="19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Data room + deck</w:t>
            </w:r>
          </w:p>
        </w:tc>
        <w:tc>
          <w:tcPr>
            <w:tcW w:type="dxa" w:w="1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 milestone</w:t>
            </w:r>
          </w:p>
        </w:tc>
        <w:tc>
          <w:tcPr>
            <w:tcW w:type="dxa" w:w="1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w:t>
            </w:r>
          </w:p>
        </w:tc>
      </w:tr>
    </w:tbl>
    <w:p>
      <w:pPr>
        <w:spacing w:after="200" w:before="70"/>
        <w:jc w:val="left"/>
      </w:pPr>
      <w:r>
        <w:rPr>
          <w:rFonts w:ascii="Calibri" w:cs="Calibri" w:eastAsia="Calibri" w:hAnsi="Calibri"/>
          <w:i/>
          <w:iCs/>
          <w:color w:val="5A6675"/>
          <w:sz w:val="17"/>
          <w:szCs w:val="17"/>
        </w:rPr>
        <w:t xml:space="preserve">The biweekly sponsor cadence and the per-sprint team cadence are detailed as artifacts in §24–§25.</w:t>
      </w:r>
    </w:p>
    <w:p>
      <w:pPr>
        <w:pStyle w:val="Heading2"/>
        <w:keepNext/>
        <w:spacing w:after="110" w:before="240"/>
      </w:pPr>
      <w:r>
        <w:rPr>
          <w:rFonts w:ascii="Calibri" w:cs="Calibri" w:eastAsia="Calibri" w:hAnsi="Calibri"/>
          <w:b/>
          <w:bCs/>
          <w:color w:val="1C6FD6"/>
          <w:sz w:val="25"/>
          <w:szCs w:val="25"/>
        </w:rPr>
        <w:t xml:space="preserve">9.1  Escalation path</w:t>
      </w:r>
    </w:p>
    <w:p>
      <w:pPr>
        <w:spacing w:after="140" w:line="278"/>
        <w:jc w:val="both"/>
      </w:pPr>
      <w:r>
        <w:rPr>
          <w:rFonts w:ascii="Calibri" w:cs="Calibri" w:eastAsia="Calibri" w:hAnsi="Calibri"/>
          <w:color w:val="20303F"/>
          <w:sz w:val="22"/>
          <w:szCs w:val="22"/>
        </w:rPr>
        <w:t xml:space="preserve">Issues escalate on a short, explicit path so nothing critical waits. A blocker raised in a stand-up that the team cannot clear within a sprint is escalated to the project lead; anything touching </w:t>
      </w:r>
      <w:r>
        <w:rPr>
          <w:rFonts w:ascii="Calibri" w:cs="Calibri" w:eastAsia="Calibri" w:hAnsi="Calibri"/>
          <w:b/>
          <w:bCs/>
          <w:color w:val="20303F"/>
          <w:sz w:val="22"/>
          <w:szCs w:val="22"/>
        </w:rPr>
        <w:t xml:space="preserve">safety, legality, or budget authority</w:t>
      </w:r>
      <w:r>
        <w:rPr>
          <w:rFonts w:ascii="Calibri" w:cs="Calibri" w:eastAsia="Calibri" w:hAnsi="Calibri"/>
          <w:color w:val="20303F"/>
          <w:sz w:val="22"/>
          <w:szCs w:val="22"/>
        </w:rPr>
        <w:t xml:space="preserve"> is escalated immediately to the sponsor, out of cadence. The two never-wait triggers are a </w:t>
      </w:r>
      <w:r>
        <w:rPr>
          <w:rFonts w:ascii="Calibri" w:cs="Calibri" w:eastAsia="Calibri" w:hAnsi="Calibri"/>
          <w:b/>
          <w:bCs/>
          <w:color w:val="9D2235"/>
          <w:sz w:val="22"/>
          <w:szCs w:val="22"/>
        </w:rPr>
        <w:t xml:space="preserve">serious safety incident</w:t>
      </w:r>
      <w:r>
        <w:rPr>
          <w:rFonts w:ascii="Calibri" w:cs="Calibri" w:eastAsia="Calibri" w:hAnsi="Calibri"/>
          <w:color w:val="20303F"/>
          <w:sz w:val="22"/>
          <w:szCs w:val="22"/>
        </w:rPr>
        <w:t xml:space="preserve"> and any </w:t>
      </w:r>
      <w:r>
        <w:rPr>
          <w:rFonts w:ascii="Calibri" w:cs="Calibri" w:eastAsia="Calibri" w:hAnsi="Calibri"/>
          <w:b/>
          <w:bCs/>
          <w:color w:val="9D2235"/>
          <w:sz w:val="22"/>
          <w:szCs w:val="22"/>
        </w:rPr>
        <w:t xml:space="preserve">new fact that undermines the cost-sharing posture</w:t>
      </w:r>
      <w:r>
        <w:rPr>
          <w:rFonts w:ascii="Calibri" w:cs="Calibri" w:eastAsia="Calibri" w:hAnsi="Calibri"/>
          <w:color w:val="20303F"/>
          <w:sz w:val="22"/>
          <w:szCs w:val="22"/>
        </w:rPr>
        <w:t xml:space="preserve"> — either one interrupts the normal rhythm and goes straight to the top of the path.</w:t>
      </w:r>
    </w:p>
    <w:p>
      <w:pPr>
        <w:pStyle w:val="Heading2"/>
        <w:keepNext/>
        <w:spacing w:after="110" w:before="240"/>
      </w:pPr>
      <w:r>
        <w:rPr>
          <w:rFonts w:ascii="Calibri" w:cs="Calibri" w:eastAsia="Calibri" w:hAnsi="Calibri"/>
          <w:b/>
          <w:bCs/>
          <w:color w:val="1C6FD6"/>
          <w:sz w:val="25"/>
          <w:szCs w:val="25"/>
        </w:rPr>
        <w:t xml:space="preserve">9.2  Communication principles</w:t>
      </w:r>
    </w:p>
    <w:p>
      <w:pPr>
        <w:pStyle w:val="ListParagraph"/>
        <w:numPr>
          <w:ilvl w:val="0"/>
          <w:numId w:val="3"/>
        </w:numPr>
        <w:spacing w:after="70" w:line="268"/>
        <w:jc w:val="left"/>
      </w:pPr>
      <w:r>
        <w:rPr>
          <w:rFonts w:ascii="Calibri" w:cs="Calibri" w:eastAsia="Calibri" w:hAnsi="Calibri"/>
          <w:b/>
          <w:bCs/>
          <w:color w:val="20303F"/>
          <w:sz w:val="22"/>
          <w:szCs w:val="22"/>
        </w:rPr>
        <w:t xml:space="preserve">One source of truth. </w:t>
      </w:r>
      <w:r>
        <w:rPr>
          <w:rFonts w:ascii="Calibri" w:cs="Calibri" w:eastAsia="Calibri" w:hAnsi="Calibri"/>
          <w:color w:val="20303F"/>
          <w:sz w:val="22"/>
          <w:szCs w:val="22"/>
        </w:rPr>
        <w:t xml:space="preserve">Status, backlog, and risk register live in shared, versioned artifacts so every audience reads from the same data.</w:t>
      </w:r>
    </w:p>
    <w:p>
      <w:pPr>
        <w:pStyle w:val="ListParagraph"/>
        <w:numPr>
          <w:ilvl w:val="0"/>
          <w:numId w:val="3"/>
        </w:numPr>
        <w:spacing w:after="70" w:line="268"/>
        <w:jc w:val="left"/>
      </w:pPr>
      <w:r>
        <w:rPr>
          <w:rFonts w:ascii="Calibri" w:cs="Calibri" w:eastAsia="Calibri" w:hAnsi="Calibri"/>
          <w:b/>
          <w:bCs/>
          <w:color w:val="20303F"/>
          <w:sz w:val="22"/>
          <w:szCs w:val="22"/>
        </w:rPr>
        <w:t xml:space="preserve">Bad news travels fastest. </w:t>
      </w:r>
      <w:r>
        <w:rPr>
          <w:rFonts w:ascii="Calibri" w:cs="Calibri" w:eastAsia="Calibri" w:hAnsi="Calibri"/>
          <w:color w:val="20303F"/>
          <w:sz w:val="22"/>
          <w:szCs w:val="22"/>
        </w:rPr>
        <w:t xml:space="preserve">Risks and incidents are communicated immediately and plainly; the plan rewards early disclosure over tidy reporting.</w:t>
      </w:r>
    </w:p>
    <w:p>
      <w:pPr>
        <w:pStyle w:val="ListParagraph"/>
        <w:numPr>
          <w:ilvl w:val="0"/>
          <w:numId w:val="3"/>
        </w:numPr>
        <w:spacing w:after="70" w:line="268"/>
        <w:jc w:val="left"/>
      </w:pPr>
      <w:r>
        <w:rPr>
          <w:rFonts w:ascii="Calibri" w:cs="Calibri" w:eastAsia="Calibri" w:hAnsi="Calibri"/>
          <w:b/>
          <w:bCs/>
          <w:color w:val="20303F"/>
          <w:sz w:val="22"/>
          <w:szCs w:val="22"/>
        </w:rPr>
        <w:t xml:space="preserve">Non-affiliation is stated, always. </w:t>
      </w:r>
      <w:r>
        <w:rPr>
          <w:rFonts w:ascii="Calibri" w:cs="Calibri" w:eastAsia="Calibri" w:hAnsi="Calibri"/>
          <w:color w:val="20303F"/>
          <w:sz w:val="22"/>
          <w:szCs w:val="22"/>
        </w:rPr>
        <w:t xml:space="preserve">Every external communication carries the line that DiamondDrive is not affiliated with or endorsed by the University of Arkansas.</w:t>
      </w:r>
    </w:p>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III</w:t>
      </w:r>
    </w:p>
    <w:p>
      <w:pPr>
        <w:pBdr>
          <w:bottom w:val="single" w:color="0B1F3A" w:sz="18" w:space="6"/>
        </w:pBdr>
        <w:spacing w:after="60" w:before="0"/>
      </w:pPr>
      <w:r>
        <w:rPr>
          <w:rFonts w:ascii="Calibri" w:cs="Calibri" w:eastAsia="Calibri" w:hAnsi="Calibri"/>
          <w:b/>
          <w:bCs/>
          <w:color w:val="0B1F3A"/>
          <w:sz w:val="38"/>
          <w:szCs w:val="38"/>
        </w:rPr>
        <w:t xml:space="preserve">Scope &amp; Work Breakdown Structure</w:t>
      </w:r>
    </w:p>
    <w:p>
      <w:pPr>
        <w:spacing w:after="140" w:line="278"/>
        <w:jc w:val="both"/>
      </w:pPr>
      <w:r>
        <w:rPr>
          <w:rFonts w:ascii="Calibri" w:cs="Calibri" w:eastAsia="Calibri" w:hAnsi="Calibri"/>
          <w:color w:val="20303F"/>
          <w:sz w:val="22"/>
          <w:szCs w:val="22"/>
        </w:rPr>
        <w:t xml:space="preserve">Part III draws the boundary around the work. It states precisely what the project will and will not deliver, decomposes the in-scope work into a structured work breakdown, and defines each work package so that estimation, scheduling, and assignment in Parts IV and beyond rest on an unambiguous foundation. Scope discipline is doubly important here because two of the project's gravest risks — uncontrolled cost and accidental legal exposure — both begin as scope creep.</w:t>
      </w:r>
    </w:p>
    <w:p>
      <w:pPr>
        <w:pStyle w:val="Heading1"/>
        <w:pBdr>
          <w:bottom w:val="single" w:color="1C6FD6" w:sz="10" w:space="4"/>
        </w:pBdr>
        <w:spacing w:after="150" w:before="340"/>
      </w:pPr>
      <w:r>
        <w:rPr>
          <w:rFonts w:ascii="Calibri" w:cs="Calibri" w:eastAsia="Calibri" w:hAnsi="Calibri"/>
          <w:b/>
          <w:bCs/>
          <w:color w:val="0B1F3A"/>
          <w:sz w:val="30"/>
          <w:szCs w:val="30"/>
        </w:rPr>
        <w:t xml:space="preserve">10  Scope Statement</w:t>
      </w:r>
    </w:p>
    <w:p>
      <w:pPr>
        <w:spacing w:after="140" w:line="278"/>
        <w:jc w:val="both"/>
      </w:pPr>
      <w:r>
        <w:rPr>
          <w:rFonts w:ascii="Calibri" w:cs="Calibri" w:eastAsia="Calibri" w:hAnsi="Calibri"/>
          <w:color w:val="20303F"/>
          <w:sz w:val="22"/>
          <w:szCs w:val="22"/>
        </w:rPr>
        <w:t xml:space="preserve">The scope statement fixes the deliverables and the boundary. It is written against the charter (§1) and is the baseline that change control (§20) protects. Anything not listed here as in-scope is, by definition, out — a stance the plan takes deliberately to keep both the budget and the legal posture contained.</w:t>
      </w:r>
    </w:p>
    <w:p>
      <w:pPr>
        <w:pStyle w:val="Heading2"/>
        <w:keepNext/>
        <w:spacing w:after="110" w:before="240"/>
      </w:pPr>
      <w:r>
        <w:rPr>
          <w:rFonts w:ascii="Calibri" w:cs="Calibri" w:eastAsia="Calibri" w:hAnsi="Calibri"/>
          <w:b/>
          <w:bCs/>
          <w:color w:val="1C6FD6"/>
          <w:sz w:val="25"/>
          <w:szCs w:val="25"/>
        </w:rPr>
        <w:t xml:space="preserve">10.1  Product scope — what DiamondDrive does</w:t>
      </w:r>
    </w:p>
    <w:p>
      <w:pPr>
        <w:spacing w:after="140" w:line="278"/>
        <w:jc w:val="both"/>
      </w:pPr>
      <w:r>
        <w:rPr>
          <w:rFonts w:ascii="Calibri" w:cs="Calibri" w:eastAsia="Calibri" w:hAnsi="Calibri"/>
          <w:color w:val="20303F"/>
          <w:sz w:val="22"/>
          <w:szCs w:val="22"/>
        </w:rPr>
        <w:t xml:space="preserve">The product delivers </w:t>
      </w:r>
      <w:r>
        <w:rPr>
          <w:rFonts w:ascii="Calibri" w:cs="Calibri" w:eastAsia="Calibri" w:hAnsi="Calibri"/>
          <w:b/>
          <w:bCs/>
          <w:color w:val="20303F"/>
          <w:sz w:val="22"/>
          <w:szCs w:val="22"/>
        </w:rPr>
        <w:t xml:space="preserve">five core flows</w:t>
      </w:r>
      <w:r>
        <w:rPr>
          <w:rFonts w:ascii="Calibri" w:cs="Calibri" w:eastAsia="Calibri" w:hAnsi="Calibri"/>
          <w:color w:val="20303F"/>
          <w:sz w:val="22"/>
          <w:szCs w:val="22"/>
        </w:rPr>
        <w:t xml:space="preserve"> on a single cross-platform application: verified onboarding, ride matching, item delivery, a safety toolkit, and a rewards loop — plus the driver-side counterpart of each. These are the flows the prototype already demonstrates and the pilot will operate.</w:t>
      </w:r>
    </w:p>
    <w:p>
      <w:pPr>
        <w:keepNext/>
        <w:spacing w:after="90" w:before="60"/>
      </w:pPr>
      <w:r>
        <w:rPr>
          <w:rFonts w:ascii="Calibri" w:cs="Calibri" w:eastAsia="Calibri" w:hAnsi="Calibri"/>
          <w:b/>
          <w:bCs/>
          <w:color w:val="9D2235"/>
          <w:sz w:val="19"/>
          <w:szCs w:val="19"/>
        </w:rPr>
        <w:t xml:space="preserve">Table 10-1.  </w:t>
      </w:r>
      <w:r>
        <w:rPr>
          <w:rFonts w:ascii="Calibri" w:cs="Calibri" w:eastAsia="Calibri" w:hAnsi="Calibri"/>
          <w:b/>
          <w:bCs/>
          <w:color w:val="0B1F3A"/>
          <w:sz w:val="19"/>
          <w:szCs w:val="19"/>
        </w:rPr>
        <w:t xml:space="preserve">Product scope — the five core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Flow</w:t>
            </w:r>
          </w:p>
        </w:tc>
        <w:tc>
          <w:tcPr>
            <w:tcW w:type="dxa" w:w="4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What it includes</w:t>
            </w:r>
          </w:p>
        </w:tc>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Boundary</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1 · Verified onboarding</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Sign-up gated to @uark.edu; identity/verification; role choice (rider/driver)</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 open public sign-up</w:t>
            </w:r>
          </w:p>
        </w:tc>
      </w:tr>
      <w:tr>
        <w:trPr>
          <w:cantSplit/>
        </w:trPr>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2 · Ride matching</w:t>
            </w:r>
          </w:p>
        </w:tc>
        <w:tc>
          <w:tcPr>
            <w:tcW w:type="dxa" w:w="4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Post/find a ride on the corridor; match; cost-share contribution; live map</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 surge, no driver wage</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3 · Item delivery</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Send/receive small items along existing trips; campus drop-offs</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 commercial freight or fleet</w:t>
            </w:r>
          </w:p>
        </w:tc>
      </w:tr>
      <w:tr>
        <w:trPr>
          <w:cantSplit/>
        </w:trPr>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4 · Safety toolkit</w:t>
            </w:r>
          </w:p>
        </w:tc>
        <w:tc>
          <w:tcPr>
            <w:tcW w:type="dxa" w:w="4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Live trip sharing; SOS; ratings &amp; reviews; verified badges</w:t>
            </w:r>
          </w:p>
        </w:tc>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Not a substitute for 911 / RRPD</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5 · Rewards (DiamondMiles)</w:t>
            </w:r>
          </w:p>
        </w:tc>
        <w:tc>
          <w:tcPr>
            <w:tcW w:type="dxa" w:w="4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Earn on activity; redeem at local sponsors; tier progress</w:t>
            </w:r>
          </w:p>
        </w:tc>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Rewards, not cash payouts</w:t>
            </w:r>
          </w:p>
        </w:tc>
      </w:tr>
    </w:tbl>
    <w:p>
      <w:pPr>
        <w:spacing w:after="200" w:before="70"/>
        <w:jc w:val="left"/>
      </w:pPr>
      <w:r>
        <w:rPr>
          <w:rFonts w:ascii="Calibri" w:cs="Calibri" w:eastAsia="Calibri" w:hAnsi="Calibri"/>
          <w:i/>
          <w:iCs/>
          <w:color w:val="5A6675"/>
          <w:sz w:val="17"/>
          <w:szCs w:val="17"/>
        </w:rPr>
        <w:t xml:space="preserve">The five flows map one-to-one onto the delivered prototype screens and onto the WBS work packages in §11.</w:t>
      </w:r>
    </w:p>
    <w:p>
      <w:pPr>
        <w:pStyle w:val="Heading2"/>
        <w:keepNext/>
        <w:spacing w:after="110" w:before="240"/>
      </w:pPr>
      <w:r>
        <w:rPr>
          <w:rFonts w:ascii="Calibri" w:cs="Calibri" w:eastAsia="Calibri" w:hAnsi="Calibri"/>
          <w:b/>
          <w:bCs/>
          <w:color w:val="1C6FD6"/>
          <w:sz w:val="25"/>
          <w:szCs w:val="25"/>
        </w:rPr>
        <w:t xml:space="preserve">10.2  Project scope — in scope</w:t>
      </w:r>
    </w:p>
    <w:p>
      <w:pPr>
        <w:pStyle w:val="ListParagraph"/>
        <w:numPr>
          <w:ilvl w:val="0"/>
          <w:numId w:val="3"/>
        </w:numPr>
        <w:spacing w:after="70" w:line="268"/>
        <w:jc w:val="left"/>
      </w:pPr>
      <w:r>
        <w:rPr>
          <w:rFonts w:ascii="Calibri" w:cs="Calibri" w:eastAsia="Calibri" w:hAnsi="Calibri"/>
          <w:b/>
          <w:bCs/>
          <w:color w:val="20303F"/>
          <w:sz w:val="22"/>
          <w:szCs w:val="22"/>
        </w:rPr>
        <w:t xml:space="preserve">Product build </w:t>
      </w:r>
      <w:r>
        <w:rPr>
          <w:rFonts w:ascii="Calibri" w:cs="Calibri" w:eastAsia="Calibri" w:hAnsi="Calibri"/>
          <w:color w:val="20303F"/>
          <w:sz w:val="22"/>
          <w:szCs w:val="22"/>
        </w:rPr>
        <w:t xml:space="preserve">of the five core flows as a cross-platform app (web, PWA, desktop) from one codebase.</w:t>
      </w:r>
    </w:p>
    <w:p>
      <w:pPr>
        <w:pStyle w:val="ListParagraph"/>
        <w:numPr>
          <w:ilvl w:val="0"/>
          <w:numId w:val="3"/>
        </w:numPr>
        <w:spacing w:after="70" w:line="268"/>
        <w:jc w:val="left"/>
      </w:pPr>
      <w:r>
        <w:rPr>
          <w:rFonts w:ascii="Calibri" w:cs="Calibri" w:eastAsia="Calibri" w:hAnsi="Calibri"/>
          <w:b/>
          <w:bCs/>
          <w:color w:val="20303F"/>
          <w:sz w:val="22"/>
          <w:szCs w:val="22"/>
        </w:rPr>
        <w:t xml:space="preserve">One-corridor pilot </w:t>
      </w:r>
      <w:r>
        <w:rPr>
          <w:rFonts w:ascii="Calibri" w:cs="Calibri" w:eastAsia="Calibri" w:hAnsi="Calibri"/>
          <w:color w:val="20303F"/>
          <w:sz w:val="22"/>
          <w:szCs w:val="22"/>
        </w:rPr>
        <w:t xml:space="preserve">on the Springdale–campus leg of I-49 for a single semester.</w:t>
      </w:r>
    </w:p>
    <w:p>
      <w:pPr>
        <w:pStyle w:val="ListParagraph"/>
        <w:numPr>
          <w:ilvl w:val="0"/>
          <w:numId w:val="3"/>
        </w:numPr>
        <w:spacing w:after="70" w:line="268"/>
        <w:jc w:val="left"/>
      </w:pPr>
      <w:r>
        <w:rPr>
          <w:rFonts w:ascii="Calibri" w:cs="Calibri" w:eastAsia="Calibri" w:hAnsi="Calibri"/>
          <w:b/>
          <w:bCs/>
          <w:color w:val="20303F"/>
          <w:sz w:val="22"/>
          <w:szCs w:val="22"/>
        </w:rPr>
        <w:t xml:space="preserve">Verified-access network </w:t>
      </w:r>
      <w:r>
        <w:rPr>
          <w:rFonts w:ascii="Calibri" w:cs="Calibri" w:eastAsia="Calibri" w:hAnsi="Calibri"/>
          <w:color w:val="20303F"/>
          <w:sz w:val="22"/>
          <w:szCs w:val="22"/>
        </w:rPr>
        <w:t xml:space="preserve">limited to currently enrolled University of Arkansas students.</w:t>
      </w:r>
    </w:p>
    <w:p>
      <w:pPr>
        <w:pStyle w:val="ListParagraph"/>
        <w:numPr>
          <w:ilvl w:val="0"/>
          <w:numId w:val="3"/>
        </w:numPr>
        <w:spacing w:after="70" w:line="268"/>
        <w:jc w:val="left"/>
      </w:pPr>
      <w:r>
        <w:rPr>
          <w:rFonts w:ascii="Calibri" w:cs="Calibri" w:eastAsia="Calibri" w:hAnsi="Calibri"/>
          <w:b/>
          <w:bCs/>
          <w:color w:val="20303F"/>
          <w:sz w:val="22"/>
          <w:szCs w:val="22"/>
        </w:rPr>
        <w:t xml:space="preserve">Cost-sharing model </w:t>
      </w:r>
      <w:r>
        <w:rPr>
          <w:rFonts w:ascii="Calibri" w:cs="Calibri" w:eastAsia="Calibri" w:hAnsi="Calibri"/>
          <w:color w:val="20303F"/>
          <w:sz w:val="22"/>
          <w:szCs w:val="22"/>
        </w:rPr>
        <w:t xml:space="preserve">with rider contributions and driver cost-recovery only — confirmed by counsel before launch.</w:t>
      </w:r>
    </w:p>
    <w:p>
      <w:pPr>
        <w:pStyle w:val="ListParagraph"/>
        <w:numPr>
          <w:ilvl w:val="0"/>
          <w:numId w:val="3"/>
        </w:numPr>
        <w:spacing w:after="70" w:line="268"/>
        <w:jc w:val="left"/>
      </w:pPr>
      <w:r>
        <w:rPr>
          <w:rFonts w:ascii="Calibri" w:cs="Calibri" w:eastAsia="Calibri" w:hAnsi="Calibri"/>
          <w:b/>
          <w:bCs/>
          <w:color w:val="20303F"/>
          <w:sz w:val="22"/>
          <w:szCs w:val="22"/>
        </w:rPr>
        <w:t xml:space="preserve">Safety tooling, ratings, and a rewards loop </w:t>
      </w:r>
      <w:r>
        <w:rPr>
          <w:rFonts w:ascii="Calibri" w:cs="Calibri" w:eastAsia="Calibri" w:hAnsi="Calibri"/>
          <w:color w:val="20303F"/>
          <w:sz w:val="22"/>
          <w:szCs w:val="22"/>
        </w:rPr>
        <w:t xml:space="preserve">sufficient to operate the pilot credibly.</w:t>
      </w:r>
    </w:p>
    <w:p>
      <w:pPr>
        <w:pStyle w:val="ListParagraph"/>
        <w:numPr>
          <w:ilvl w:val="0"/>
          <w:numId w:val="3"/>
        </w:numPr>
        <w:spacing w:after="70" w:line="268"/>
        <w:jc w:val="left"/>
      </w:pPr>
      <w:r>
        <w:rPr>
          <w:rFonts w:ascii="Calibri" w:cs="Calibri" w:eastAsia="Calibri" w:hAnsi="Calibri"/>
          <w:b/>
          <w:bCs/>
          <w:color w:val="20303F"/>
          <w:sz w:val="22"/>
          <w:szCs w:val="22"/>
        </w:rPr>
        <w:t xml:space="preserve">Sponsorship and partnership outreach </w:t>
      </w:r>
      <w:r>
        <w:rPr>
          <w:rFonts w:ascii="Calibri" w:cs="Calibri" w:eastAsia="Calibri" w:hAnsi="Calibri"/>
          <w:color w:val="20303F"/>
          <w:sz w:val="22"/>
          <w:szCs w:val="22"/>
        </w:rPr>
        <w:t xml:space="preserve">to fund launch and rewards.</w:t>
      </w:r>
    </w:p>
    <w:p>
      <w:pPr>
        <w:pStyle w:val="ListParagraph"/>
        <w:numPr>
          <w:ilvl w:val="0"/>
          <w:numId w:val="3"/>
        </w:numPr>
        <w:spacing w:after="70" w:line="268"/>
        <w:jc w:val="left"/>
      </w:pPr>
      <w:r>
        <w:rPr>
          <w:rFonts w:ascii="Calibri" w:cs="Calibri" w:eastAsia="Calibri" w:hAnsi="Calibri"/>
          <w:b/>
          <w:bCs/>
          <w:color w:val="20303F"/>
          <w:sz w:val="22"/>
          <w:szCs w:val="22"/>
        </w:rPr>
        <w:t xml:space="preserve">Pilot evaluation and a go/no-go recommendation </w:t>
      </w:r>
      <w:r>
        <w:rPr>
          <w:rFonts w:ascii="Calibri" w:cs="Calibri" w:eastAsia="Calibri" w:hAnsi="Calibri"/>
          <w:color w:val="20303F"/>
          <w:sz w:val="22"/>
          <w:szCs w:val="22"/>
        </w:rPr>
        <w:t xml:space="preserve">on scaling into the NWA venture.</w:t>
      </w:r>
    </w:p>
    <w:p>
      <w:pPr>
        <w:pStyle w:val="Heading2"/>
        <w:keepNext/>
        <w:spacing w:after="110" w:before="240"/>
      </w:pPr>
      <w:r>
        <w:rPr>
          <w:rFonts w:ascii="Calibri" w:cs="Calibri" w:eastAsia="Calibri" w:hAnsi="Calibri"/>
          <w:b/>
          <w:bCs/>
          <w:color w:val="1C6FD6"/>
          <w:sz w:val="25"/>
          <w:szCs w:val="25"/>
        </w:rPr>
        <w:t xml:space="preserve">10.3  Project scope — explicitly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Out-of-scope is a control, not an omission</w:t>
            </w:r>
          </w:p>
          <w:p>
            <w:pPr>
              <w:spacing w:after="80" w:line="278"/>
              <w:jc w:val="both"/>
            </w:pPr>
            <w:r>
              <w:rPr>
                <w:rFonts w:ascii="Calibri" w:cs="Calibri" w:eastAsia="Calibri" w:hAnsi="Calibri"/>
                <w:color w:val="20303F"/>
                <w:sz w:val="22"/>
                <w:szCs w:val="22"/>
              </w:rPr>
              <w:t xml:space="preserve">Each exclusion below is load-bearing. Open public access would break the trust model; any driver-wage or surge mechanic would jeopardise the cost-sharing posture and the insurance position; multi-city or fleet operation belongs to the venture's later phases, not the pilot.</w:t>
            </w:r>
          </w:p>
          <w:p>
            <w:pPr>
              <w:pStyle w:val="ListParagraph"/>
              <w:numPr>
                <w:ilvl w:val="0"/>
                <w:numId w:val="3"/>
              </w:numPr>
              <w:spacing w:after="70" w:line="268"/>
              <w:jc w:val="left"/>
            </w:pPr>
            <w:r>
              <w:rPr>
                <w:rFonts w:ascii="Calibri" w:cs="Calibri" w:eastAsia="Calibri" w:hAnsi="Calibri"/>
                <w:b/>
                <w:bCs/>
                <w:color w:val="20303F"/>
                <w:sz w:val="22"/>
                <w:szCs w:val="22"/>
              </w:rPr>
              <w:t xml:space="preserve">Open, non-verified public access. </w:t>
            </w:r>
            <w:r>
              <w:rPr>
                <w:rFonts w:ascii="Calibri" w:cs="Calibri" w:eastAsia="Calibri" w:hAnsi="Calibri"/>
                <w:color w:val="20303F"/>
                <w:sz w:val="22"/>
                <w:szCs w:val="22"/>
              </w:rPr>
              <w:t xml:space="preserve">The network is verified-students-only for the pilot.</w:t>
            </w:r>
          </w:p>
          <w:p>
            <w:pPr>
              <w:pStyle w:val="ListParagraph"/>
              <w:numPr>
                <w:ilvl w:val="0"/>
                <w:numId w:val="3"/>
              </w:numPr>
              <w:spacing w:after="70" w:line="268"/>
              <w:jc w:val="left"/>
            </w:pPr>
            <w:r>
              <w:rPr>
                <w:rFonts w:ascii="Calibri" w:cs="Calibri" w:eastAsia="Calibri" w:hAnsi="Calibri"/>
                <w:b/>
                <w:bCs/>
                <w:color w:val="20303F"/>
                <w:sz w:val="22"/>
                <w:szCs w:val="22"/>
              </w:rPr>
              <w:t xml:space="preserve">Any payment that constitutes a driver wage, or surge pricing. </w:t>
            </w:r>
            <w:r>
              <w:rPr>
                <w:rFonts w:ascii="Calibri" w:cs="Calibri" w:eastAsia="Calibri" w:hAnsi="Calibri"/>
                <w:color w:val="20303F"/>
                <w:sz w:val="22"/>
                <w:szCs w:val="22"/>
              </w:rPr>
              <w:t xml:space="preserve">Would risk TNC classification (see §2.3, §18).</w:t>
            </w:r>
          </w:p>
          <w:p>
            <w:pPr>
              <w:pStyle w:val="ListParagraph"/>
              <w:numPr>
                <w:ilvl w:val="0"/>
                <w:numId w:val="3"/>
              </w:numPr>
              <w:spacing w:after="70" w:line="268"/>
              <w:jc w:val="left"/>
            </w:pPr>
            <w:r>
              <w:rPr>
                <w:rFonts w:ascii="Calibri" w:cs="Calibri" w:eastAsia="Calibri" w:hAnsi="Calibri"/>
                <w:b/>
                <w:bCs/>
                <w:color w:val="20303F"/>
                <w:sz w:val="22"/>
                <w:szCs w:val="22"/>
              </w:rPr>
              <w:t xml:space="preserve">Multi-city or region-wide operations. </w:t>
            </w:r>
            <w:r>
              <w:rPr>
                <w:rFonts w:ascii="Calibri" w:cs="Calibri" w:eastAsia="Calibri" w:hAnsi="Calibri"/>
                <w:color w:val="20303F"/>
                <w:sz w:val="22"/>
                <w:szCs w:val="22"/>
              </w:rPr>
              <w:t xml:space="preserve">Reserved for the venture's scale phases (Part V).</w:t>
            </w:r>
          </w:p>
          <w:p>
            <w:pPr>
              <w:pStyle w:val="ListParagraph"/>
              <w:numPr>
                <w:ilvl w:val="0"/>
                <w:numId w:val="3"/>
              </w:numPr>
              <w:spacing w:after="70" w:line="268"/>
              <w:jc w:val="left"/>
            </w:pPr>
            <w:r>
              <w:rPr>
                <w:rFonts w:ascii="Calibri" w:cs="Calibri" w:eastAsia="Calibri" w:hAnsi="Calibri"/>
                <w:b/>
                <w:bCs/>
                <w:color w:val="20303F"/>
                <w:sz w:val="22"/>
                <w:szCs w:val="22"/>
              </w:rPr>
              <w:t xml:space="preserve">Company-owned vehicles, autonomous vehicles, or a delivery fleet. </w:t>
            </w:r>
            <w:r>
              <w:rPr>
                <w:rFonts w:ascii="Calibri" w:cs="Calibri" w:eastAsia="Calibri" w:hAnsi="Calibri"/>
                <w:color w:val="20303F"/>
                <w:sz w:val="22"/>
                <w:szCs w:val="22"/>
              </w:rPr>
              <w:t xml:space="preserve">The asset base is drivers' own cars.</w:t>
            </w:r>
          </w:p>
          <w:p>
            <w:pPr>
              <w:pStyle w:val="ListParagraph"/>
              <w:numPr>
                <w:ilvl w:val="0"/>
                <w:numId w:val="3"/>
              </w:numPr>
              <w:spacing w:after="70" w:line="268"/>
              <w:jc w:val="left"/>
            </w:pPr>
            <w:r>
              <w:rPr>
                <w:rFonts w:ascii="Calibri" w:cs="Calibri" w:eastAsia="Calibri" w:hAnsi="Calibri"/>
                <w:b/>
                <w:bCs/>
                <w:color w:val="20303F"/>
                <w:sz w:val="22"/>
                <w:szCs w:val="22"/>
              </w:rPr>
              <w:t xml:space="preserve">Integration into official University of Arkansas systems or branding. </w:t>
            </w:r>
            <w:r>
              <w:rPr>
                <w:rFonts w:ascii="Calibri" w:cs="Calibri" w:eastAsia="Calibri" w:hAnsi="Calibri"/>
                <w:color w:val="20303F"/>
                <w:sz w:val="22"/>
                <w:szCs w:val="22"/>
              </w:rPr>
              <w:t xml:space="preserve">The pilot is unaffiliated by design (C6).</w:t>
            </w:r>
          </w:p>
          <w:p>
            <w:pPr>
              <w:pStyle w:val="ListParagraph"/>
              <w:numPr>
                <w:ilvl w:val="0"/>
                <w:numId w:val="3"/>
              </w:numPr>
              <w:spacing w:after="70" w:line="268"/>
              <w:jc w:val="left"/>
            </w:pPr>
            <w:r>
              <w:rPr>
                <w:rFonts w:ascii="Calibri" w:cs="Calibri" w:eastAsia="Calibri" w:hAnsi="Calibri"/>
                <w:b/>
                <w:bCs/>
                <w:color w:val="20303F"/>
                <w:sz w:val="22"/>
                <w:szCs w:val="22"/>
              </w:rPr>
              <w:t xml:space="preserve">Financial-grade fraud, tax, or payroll infrastructure. </w:t>
            </w:r>
            <w:r>
              <w:rPr>
                <w:rFonts w:ascii="Calibri" w:cs="Calibri" w:eastAsia="Calibri" w:hAnsi="Calibri"/>
                <w:color w:val="20303F"/>
                <w:sz w:val="22"/>
                <w:szCs w:val="22"/>
              </w:rPr>
              <w:t xml:space="preserve">Out of scope at pilot scale; revisited if the venture proceeds.</w:t>
            </w:r>
          </w:p>
        </w:tc>
      </w:tr>
    </w:tbl>
    <w:p>
      <w:pPr>
        <w:pStyle w:val="Heading2"/>
        <w:keepNext/>
        <w:spacing w:after="110" w:before="240"/>
      </w:pPr>
      <w:r>
        <w:rPr>
          <w:rFonts w:ascii="Calibri" w:cs="Calibri" w:eastAsia="Calibri" w:hAnsi="Calibri"/>
          <w:b/>
          <w:bCs/>
          <w:color w:val="1C6FD6"/>
          <w:sz w:val="25"/>
          <w:szCs w:val="25"/>
        </w:rPr>
        <w:t xml:space="preserve">10.4  Acceptance criteria</w:t>
      </w:r>
    </w:p>
    <w:p>
      <w:pPr>
        <w:spacing w:after="140" w:line="278"/>
        <w:jc w:val="both"/>
      </w:pPr>
      <w:r>
        <w:rPr>
          <w:rFonts w:ascii="Calibri" w:cs="Calibri" w:eastAsia="Calibri" w:hAnsi="Calibri"/>
          <w:color w:val="20303F"/>
          <w:sz w:val="22"/>
          <w:szCs w:val="22"/>
        </w:rPr>
        <w:t xml:space="preserve">The project's deliverables are accepted when the five core flows are live and stable across platforms, the pilot has run its full semester on the corridor, the cost-sharing model has a binding legal opinion behind it, safety tooling has been operational throughout with zero serious incidents, and the evaluation pack with its go/no-go recommendation has been delivered to the sponsor. These criteria correspond directly to the success definition in §3.2 and the closure gate in §26.</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11  Work Breakdown Structure (WBS)</w:t>
      </w:r>
    </w:p>
    <w:p>
      <w:pPr>
        <w:spacing w:after="140" w:line="278"/>
        <w:jc w:val="both"/>
      </w:pPr>
      <w:r>
        <w:rPr>
          <w:rFonts w:ascii="Calibri" w:cs="Calibri" w:eastAsia="Calibri" w:hAnsi="Calibri"/>
          <w:color w:val="20303F"/>
          <w:sz w:val="22"/>
          <w:szCs w:val="22"/>
        </w:rPr>
        <w:t xml:space="preserve">The WBS decomposes the entire in-scope effort into seven top-level work packages, each broken into the activities that deliver it. It is deliberately deliverable-oriented rather than time-oriented: it says </w:t>
      </w:r>
      <w:r>
        <w:rPr>
          <w:rFonts w:ascii="Calibri" w:cs="Calibri" w:eastAsia="Calibri" w:hAnsi="Calibri"/>
          <w:b/>
          <w:bCs/>
          <w:color w:val="20303F"/>
          <w:sz w:val="22"/>
          <w:szCs w:val="22"/>
        </w:rPr>
        <w:t xml:space="preserve">what</w:t>
      </w:r>
      <w:r>
        <w:rPr>
          <w:rFonts w:ascii="Calibri" w:cs="Calibri" w:eastAsia="Calibri" w:hAnsi="Calibri"/>
          <w:color w:val="20303F"/>
          <w:sz w:val="22"/>
          <w:szCs w:val="22"/>
        </w:rPr>
        <w:t xml:space="preserve"> must be produced, while the schedule in §13 says </w:t>
      </w:r>
      <w:r>
        <w:rPr>
          <w:rFonts w:ascii="Calibri" w:cs="Calibri" w:eastAsia="Calibri" w:hAnsi="Calibri"/>
          <w:b/>
          <w:bCs/>
          <w:color w:val="20303F"/>
          <w:sz w:val="22"/>
          <w:szCs w:val="22"/>
        </w:rPr>
        <w:t xml:space="preserve">when</w:t>
      </w:r>
      <w:r>
        <w:rPr>
          <w:rFonts w:ascii="Calibri" w:cs="Calibri" w:eastAsia="Calibri" w:hAnsi="Calibri"/>
          <w:color w:val="20303F"/>
          <w:sz w:val="22"/>
          <w:szCs w:val="22"/>
        </w:rPr>
        <w:t xml:space="preserve">. The numbering (1.0–7.0) carries through the dictionary (§12), the schedule (§13), and the budget (§15) so a reader can trace any package across all three.</w:t>
      </w:r>
    </w:p>
    <w:p>
      <w:pPr>
        <w:keepNext/>
        <w:spacing w:after="90" w:before="60"/>
      </w:pPr>
      <w:r>
        <w:rPr>
          <w:rFonts w:ascii="Calibri" w:cs="Calibri" w:eastAsia="Calibri" w:hAnsi="Calibri"/>
          <w:b/>
          <w:bCs/>
          <w:color w:val="9D2235"/>
          <w:sz w:val="19"/>
          <w:szCs w:val="19"/>
        </w:rPr>
        <w:t xml:space="preserve">Table 11-1.  </w:t>
      </w:r>
      <w:r>
        <w:rPr>
          <w:rFonts w:ascii="Calibri" w:cs="Calibri" w:eastAsia="Calibri" w:hAnsi="Calibri"/>
          <w:b/>
          <w:bCs/>
          <w:color w:val="0B1F3A"/>
          <w:sz w:val="19"/>
          <w:szCs w:val="19"/>
        </w:rPr>
        <w:t xml:space="preserve">Work breakdown structure to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60"/>
        <w:gridCol w:w="2100"/>
      </w:tblGrid>
      <w:tr>
        <w:trPr>
          <w:tblHeader/>
        </w:trPr>
        <w:tc>
          <w:tcPr>
            <w:tcW w:type="dxa" w:w="11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WBS</w:t>
            </w:r>
          </w:p>
        </w:tc>
        <w:tc>
          <w:tcPr>
            <w:tcW w:type="dxa" w:w="61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Work package / activity</w:t>
            </w:r>
          </w:p>
        </w:tc>
        <w:tc>
          <w:tcPr>
            <w:tcW w:type="dxa" w:w="21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Cadence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1.0</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Project Management &amp; Governance</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1.1</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Charter, scope, and baseline plans</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1.2</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Schedule, budget, and phase-gate control</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1.3</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Risk, procurement, and change control</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1.4</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Status reporting and stakeholder comms</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2.0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Discovery &amp; Feasibility</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Stakeholder questionnaire &amp; demand analysis</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Market, corridor, and competitor analysis</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Unit-economics &amp; pricing model</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6E7EA"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3.0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Legal, Safety &amp; Compliance</w:t>
            </w:r>
          </w:p>
        </w:tc>
        <w:tc>
          <w:tcPr>
            <w:tcW w:type="dxa" w:w="2100"/>
            <w:tcBorders>
              <w:top w:val="single" w:color="C9D4E2" w:sz="1"/>
              <w:left w:val="single" w:color="C9D4E2" w:sz="1"/>
              <w:bottom w:val="single" w:color="C9D4E2" w:sz="1"/>
              <w:right w:val="single" w:color="C9D4E2" w:sz="1"/>
            </w:tcBorders>
            <w:shd w:fill="F6E7EA"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Cost-sharing legal opinion (binding)</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Safety policy, incident protocol, ToS &amp; privacy</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Identity &amp; background-check approach</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4.0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Product Design &amp; Build</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1C6FD6"/>
                <w:sz w:val="19"/>
                <w:szCs w:val="19"/>
              </w:rPr>
              <w:t xml:space="preserve">Agile (Scrum)</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Onboarding &amp; verification flow</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Ride matching &amp; live GIS map</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Item-delivery flow</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4.4</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Safety toolkit (trip share, SOS, ratings)</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4.5</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Rewards (DiamondMiles) &amp; sponsor redemptions</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4.6</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Driver-side experience &amp; dashboard</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4.7</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Cross-platform packaging &amp; hardening</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5.0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Partnerships &amp; Funding</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sponsorship (e.g., 7 Brew)</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Vendor agreements (maps, payments, ID)</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Grant / seed-funding groundwork</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6.0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Pilot Operations</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 + Agile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 on the corridor</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Public pilot launch &amp; run</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Support, safety monitoring &amp; iteration</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Agile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7.0</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Evaluation &amp; Closure</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7.1</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KPI analysis &amp; pilot evaluation pack</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7.2</w:t>
            </w:r>
          </w:p>
        </w:tc>
        <w:tc>
          <w:tcPr>
            <w:tcW w:type="dxa" w:w="6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Go/no-go recommendation &amp; scale plan</w:t>
            </w:r>
          </w:p>
        </w:tc>
        <w:tc>
          <w:tcPr>
            <w:tcW w:type="dxa" w:w="21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r>
        <w:trPr>
          <w:cantSplit/>
        </w:trPr>
        <w:tc>
          <w:tcPr>
            <w:tcW w:type="dxa" w:w="1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7.3</w:t>
            </w:r>
          </w:p>
        </w:tc>
        <w:tc>
          <w:tcPr>
            <w:tcW w:type="dxa" w:w="6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Retrospective, handover &amp; archive</w:t>
            </w:r>
          </w:p>
        </w:tc>
        <w:tc>
          <w:tcPr>
            <w:tcW w:type="dxa" w:w="21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Predictive</w:t>
            </w:r>
          </w:p>
        </w:tc>
      </w:tr>
    </w:tbl>
    <w:p>
      <w:pPr>
        <w:spacing w:after="200" w:before="70"/>
        <w:jc w:val="left"/>
      </w:pPr>
      <w:r>
        <w:rPr>
          <w:rFonts w:ascii="Calibri" w:cs="Calibri" w:eastAsia="Calibri" w:hAnsi="Calibri"/>
          <w:i/>
          <w:iCs/>
          <w:color w:val="5A6675"/>
          <w:sz w:val="17"/>
          <w:szCs w:val="17"/>
        </w:rPr>
        <w:t xml:space="preserve">Package 3.0 is shaded cardinal because it gates launch: no public operation begins until 3.1 is complete. The cadence column shows the methodology seam at the work-package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Reading the WBS across the plan</w:t>
            </w:r>
          </w:p>
          <w:p>
            <w:pPr>
              <w:spacing w:after="0" w:line="278"/>
              <w:jc w:val="both"/>
            </w:pPr>
            <w:r>
              <w:rPr>
                <w:rFonts w:ascii="Calibri" w:cs="Calibri" w:eastAsia="Calibri" w:hAnsi="Calibri"/>
                <w:color w:val="20303F"/>
                <w:sz w:val="22"/>
                <w:szCs w:val="22"/>
              </w:rPr>
              <w:t xml:space="preserve">Every downstream table keys off these numbers. Durations and dependencies for each package appear in the schedule (§13–§14); costs appear in the budget (§15); the procurement items sit under 5.2; and the existential legal control is 3.1. The blend of methodologies is visible right in the cadence column: the institutional packages (1, 2, 3, 5, 7) run predictively while the build (4) and the live operational loops (6.1, 6.3) run Agile.</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12  WBS Dictionary</w:t>
      </w:r>
    </w:p>
    <w:p>
      <w:pPr>
        <w:spacing w:after="140" w:line="278"/>
        <w:jc w:val="both"/>
      </w:pPr>
      <w:r>
        <w:rPr>
          <w:rFonts w:ascii="Calibri" w:cs="Calibri" w:eastAsia="Calibri" w:hAnsi="Calibri"/>
          <w:color w:val="20303F"/>
          <w:sz w:val="22"/>
          <w:szCs w:val="22"/>
        </w:rPr>
        <w:t xml:space="preserve">The dictionary gives each top-level work package a precise definition: what it produces, what marks it complete, and what it depends on. It is the contract behind the WBS — the reference that prevents two people from interpreting the same package differently, and the basis on which the schedule and budget were estimated.</w:t>
      </w:r>
    </w:p>
    <w:p>
      <w:pPr>
        <w:keepNext/>
        <w:spacing w:after="90" w:before="60"/>
      </w:pPr>
      <w:r>
        <w:rPr>
          <w:rFonts w:ascii="Calibri" w:cs="Calibri" w:eastAsia="Calibri" w:hAnsi="Calibri"/>
          <w:b/>
          <w:bCs/>
          <w:color w:val="9D2235"/>
          <w:sz w:val="19"/>
          <w:szCs w:val="19"/>
        </w:rPr>
        <w:t xml:space="preserve">Table 12-1.  </w:t>
      </w:r>
      <w:r>
        <w:rPr>
          <w:rFonts w:ascii="Calibri" w:cs="Calibri" w:eastAsia="Calibri" w:hAnsi="Calibri"/>
          <w:b/>
          <w:bCs/>
          <w:color w:val="0B1F3A"/>
          <w:sz w:val="19"/>
          <w:szCs w:val="19"/>
        </w:rPr>
        <w:t xml:space="preserve">WBS dictionary (level-1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560"/>
        <w:gridCol w:w="2350"/>
        <w:gridCol w:w="1600"/>
      </w:tblGrid>
      <w:tr>
        <w:trPr>
          <w:tblHeader/>
        </w:trPr>
        <w:tc>
          <w:tcPr>
            <w:tcW w:type="dxa" w:w="18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WBS</w:t>
            </w:r>
          </w:p>
        </w:tc>
        <w:tc>
          <w:tcPr>
            <w:tcW w:type="dxa" w:w="3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Definition &amp; key deliverables</w:t>
            </w:r>
          </w:p>
        </w:tc>
        <w:tc>
          <w:tcPr>
            <w:tcW w:type="dxa" w:w="23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Completion criterion</w:t>
            </w:r>
          </w:p>
        </w:tc>
        <w:tc>
          <w:tcPr>
            <w:tcW w:type="dxa" w:w="1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Depends on</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PM &amp; Governance</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Run the predictive wrapper: baseline plans, gate control, reporting, risk and change control.</w:t>
            </w:r>
          </w:p>
        </w:tc>
        <w:tc>
          <w:tcPr>
            <w:tcW w:type="dxa" w:w="23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Plans baselined; all gates administered; final archive done.</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 Discovery &amp; Feasibility</w:t>
            </w:r>
          </w:p>
        </w:tc>
        <w:tc>
          <w:tcPr>
            <w:tcW w:type="dxa" w:w="3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Validate demand and economics: questionnaire, market and corridor analysis, pricing model.</w:t>
            </w:r>
          </w:p>
        </w:tc>
        <w:tc>
          <w:tcPr>
            <w:tcW w:type="dxa" w:w="23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evidence and pricing band accepted at gate.</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1.1</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3.0 Legal, Safety &amp; Compliance</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Establish the legal and safety foundation, above all the binding cost-sharing opinion; policies and ID approach.</w:t>
            </w:r>
          </w:p>
        </w:tc>
        <w:tc>
          <w:tcPr>
            <w:tcW w:type="dxa" w:w="23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Binding opinion secured; policies approved.</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2.3</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4.0 Product Design &amp; Build</w:t>
            </w:r>
          </w:p>
        </w:tc>
        <w:tc>
          <w:tcPr>
            <w:tcW w:type="dxa" w:w="3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Build the five core flows plus the driver side as a hardened cross-platform app, in sprints.</w:t>
            </w:r>
          </w:p>
        </w:tc>
        <w:tc>
          <w:tcPr>
            <w:tcW w:type="dxa" w:w="23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All five flows live and stable across platforms.</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 3.2</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5.0 Partnerships &amp; Funding</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Secure anchor sponsorship, vendor agreements, and seed/grant groundwork.</w:t>
            </w:r>
          </w:p>
        </w:tc>
        <w:tc>
          <w:tcPr>
            <w:tcW w:type="dxa" w:w="23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 and required vendors under agreement.</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w:t>
            </w:r>
          </w:p>
        </w:tc>
      </w:tr>
      <w:tr>
        <w:trPr>
          <w:cantSplit/>
        </w:trPr>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6.0 Pilot Operations</w:t>
            </w:r>
          </w:p>
        </w:tc>
        <w:tc>
          <w:tcPr>
            <w:tcW w:type="dxa" w:w="3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Operate closed beta then public pilot on the corridor with safety monitoring and iteration.</w:t>
            </w:r>
          </w:p>
        </w:tc>
        <w:tc>
          <w:tcPr>
            <w:tcW w:type="dxa" w:w="23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Pilot run for a full semester on the corridor.</w:t>
            </w:r>
          </w:p>
        </w:tc>
        <w:tc>
          <w:tcPr>
            <w:tcW w:type="dxa" w:w="1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3.1; 4.0; 5.1</w:t>
            </w:r>
          </w:p>
        </w:tc>
      </w:tr>
      <w:tr>
        <w:trPr>
          <w:cantSplit/>
        </w:trPr>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7.0 Evaluation &amp; Closure</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Analyse KPIs, deliver the go/no-go recommendation and scale plan, retrospect and archive.</w:t>
            </w:r>
          </w:p>
        </w:tc>
        <w:tc>
          <w:tcPr>
            <w:tcW w:type="dxa" w:w="23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Evaluation pack and recommendation delivered.</w:t>
            </w:r>
          </w:p>
        </w:tc>
        <w:tc>
          <w:tcPr>
            <w:tcW w:type="dxa" w:w="1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6.0</w:t>
            </w:r>
          </w:p>
        </w:tc>
      </w:tr>
    </w:tbl>
    <w:p>
      <w:pPr>
        <w:spacing w:after="200" w:before="70"/>
        <w:jc w:val="left"/>
      </w:pPr>
      <w:r>
        <w:rPr>
          <w:rFonts w:ascii="Calibri" w:cs="Calibri" w:eastAsia="Calibri" w:hAnsi="Calibri"/>
          <w:i/>
          <w:iCs/>
          <w:color w:val="5A6675"/>
          <w:sz w:val="17"/>
          <w:szCs w:val="17"/>
        </w:rPr>
        <w:t xml:space="preserve">Completion criteria here are the same ones the phase gates (§13, §21) and closure (§26) check against.</w:t>
      </w:r>
    </w:p>
    <w:p>
      <w:pPr>
        <w:pStyle w:val="Heading2"/>
        <w:keepNext/>
        <w:spacing w:after="110" w:before="240"/>
      </w:pPr>
      <w:r>
        <w:rPr>
          <w:rFonts w:ascii="Calibri" w:cs="Calibri" w:eastAsia="Calibri" w:hAnsi="Calibri"/>
          <w:b/>
          <w:bCs/>
          <w:color w:val="1C6FD6"/>
          <w:sz w:val="25"/>
          <w:szCs w:val="25"/>
        </w:rPr>
        <w:t xml:space="preserve">12.1  The launch-gating dependency</w:t>
      </w:r>
    </w:p>
    <w:p>
      <w:pPr>
        <w:spacing w:after="140" w:line="278"/>
        <w:jc w:val="both"/>
      </w:pPr>
      <w:r>
        <w:rPr>
          <w:rFonts w:ascii="Calibri" w:cs="Calibri" w:eastAsia="Calibri" w:hAnsi="Calibri"/>
          <w:color w:val="20303F"/>
          <w:sz w:val="22"/>
          <w:szCs w:val="22"/>
        </w:rPr>
        <w:t xml:space="preserve">One dependency in the dictionary deserves emphasis because it overrides ordinary scheduling: </w:t>
      </w:r>
      <w:r>
        <w:rPr>
          <w:rFonts w:ascii="Calibri" w:cs="Calibri" w:eastAsia="Calibri" w:hAnsi="Calibri"/>
          <w:b/>
          <w:bCs/>
          <w:color w:val="20303F"/>
          <w:sz w:val="22"/>
          <w:szCs w:val="22"/>
        </w:rPr>
        <w:t xml:space="preserve">Pilot Operations (6.0) depends on the binding legal opinion (3.1)</w:t>
      </w:r>
      <w:r>
        <w:rPr>
          <w:rFonts w:ascii="Calibri" w:cs="Calibri" w:eastAsia="Calibri" w:hAnsi="Calibri"/>
          <w:color w:val="20303F"/>
          <w:sz w:val="22"/>
          <w:szCs w:val="22"/>
        </w:rPr>
        <w:t xml:space="preserve">, and that dependency is hard. No closed beta opens to real riders and no public pilot launches until 3.1 is complete, regardless of how ready the product (4.0) or the sponsorship (5.1) may be. This is the scheduling expression of the central finding in §2.3 — the model's viability is a legal question first and a product question second.</w:t>
      </w:r>
    </w:p>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IV</w:t>
      </w:r>
    </w:p>
    <w:p>
      <w:pPr>
        <w:pBdr>
          <w:bottom w:val="single" w:color="0B1F3A" w:sz="18" w:space="6"/>
        </w:pBdr>
        <w:spacing w:after="60" w:before="0"/>
      </w:pPr>
      <w:r>
        <w:rPr>
          <w:rFonts w:ascii="Calibri" w:cs="Calibri" w:eastAsia="Calibri" w:hAnsi="Calibri"/>
          <w:b/>
          <w:bCs/>
          <w:color w:val="0B1F3A"/>
          <w:sz w:val="38"/>
          <w:szCs w:val="38"/>
        </w:rPr>
        <w:t xml:space="preserve">Schedule &amp; Cost Management</w:t>
      </w:r>
    </w:p>
    <w:p>
      <w:pPr>
        <w:spacing w:after="140" w:line="278"/>
        <w:jc w:val="both"/>
      </w:pPr>
      <w:r>
        <w:rPr>
          <w:rFonts w:ascii="Calibri" w:cs="Calibri" w:eastAsia="Calibri" w:hAnsi="Calibri"/>
          <w:color w:val="20303F"/>
          <w:sz w:val="22"/>
          <w:szCs w:val="22"/>
        </w:rPr>
        <w:t xml:space="preserve">Part IV puts the work on a calendar and a budget. It sets the milestones and phase gates that govern the predictive wrapper, lays the work packages out across a pilot-semester timeline that shows the predictive and Agile tracks running in parallel, and prices the whole effort by phase and by work package. Together these answer the two questions every sponsor asks: when will it be done, and what will it cost?</w:t>
      </w:r>
    </w:p>
    <w:p>
      <w:pPr>
        <w:pStyle w:val="Heading1"/>
        <w:pBdr>
          <w:bottom w:val="single" w:color="1C6FD6" w:sz="10" w:space="4"/>
        </w:pBdr>
        <w:spacing w:after="150" w:before="340"/>
      </w:pPr>
      <w:r>
        <w:rPr>
          <w:rFonts w:ascii="Calibri" w:cs="Calibri" w:eastAsia="Calibri" w:hAnsi="Calibri"/>
          <w:b/>
          <w:bCs/>
          <w:color w:val="0B1F3A"/>
          <w:sz w:val="30"/>
          <w:szCs w:val="30"/>
        </w:rPr>
        <w:t xml:space="preserve">13  Schedule &amp; Milestones</w:t>
      </w:r>
    </w:p>
    <w:p>
      <w:pPr>
        <w:spacing w:after="140" w:line="278"/>
        <w:jc w:val="both"/>
      </w:pPr>
      <w:r>
        <w:rPr>
          <w:rFonts w:ascii="Calibri" w:cs="Calibri" w:eastAsia="Calibri" w:hAnsi="Calibri"/>
          <w:color w:val="20303F"/>
          <w:sz w:val="22"/>
          <w:szCs w:val="22"/>
        </w:rPr>
        <w:t xml:space="preserve">The schedule is milestone-driven. Rather than over-specify dates a student pilot cannot hold precisely, it fixes an ordered set of milestones and the phase gates between them, expressed in project-relative time (months from kickoff). The Agile build proceeds in two-week sprints inside this frame; the predictive gates are the fixed points at which the sponsor inspects progress and releases the next phase.</w:t>
      </w:r>
    </w:p>
    <w:p>
      <w:pPr>
        <w:keepNext/>
        <w:spacing w:after="90" w:before="60"/>
      </w:pPr>
      <w:r>
        <w:rPr>
          <w:rFonts w:ascii="Calibri" w:cs="Calibri" w:eastAsia="Calibri" w:hAnsi="Calibri"/>
          <w:b/>
          <w:bCs/>
          <w:color w:val="9D2235"/>
          <w:sz w:val="19"/>
          <w:szCs w:val="19"/>
        </w:rPr>
        <w:t xml:space="preserve">Table 13-1.  </w:t>
      </w:r>
      <w:r>
        <w:rPr>
          <w:rFonts w:ascii="Calibri" w:cs="Calibri" w:eastAsia="Calibri" w:hAnsi="Calibri"/>
          <w:b/>
          <w:bCs/>
          <w:color w:val="0B1F3A"/>
          <w:sz w:val="19"/>
          <w:szCs w:val="19"/>
        </w:rPr>
        <w:t xml:space="preserve">Milestone schedule and phase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00"/>
        <w:gridCol w:w="1200"/>
        <w:gridCol w:w="306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t>
            </w:r>
          </w:p>
        </w:tc>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Milestone</w:t>
            </w:r>
          </w:p>
        </w:tc>
        <w:tc>
          <w:tcPr>
            <w:tcW w:type="dxa" w:w="13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Rel. time</w:t>
            </w:r>
          </w:p>
        </w:tc>
        <w:tc>
          <w:tcPr>
            <w:tcW w:type="dxa" w:w="1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Gate?</w:t>
            </w:r>
          </w:p>
        </w:tc>
        <w:tc>
          <w:tcPr>
            <w:tcW w:type="dxa" w:w="30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What it confirms</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M0</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Project kickoff &amp; charter baseline</w:t>
            </w:r>
          </w:p>
        </w:tc>
        <w:tc>
          <w:tcPr>
            <w:tcW w:type="dxa" w:w="1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0</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Gate 0</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Charter approved; plan baselined</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M1</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Discovery &amp; feasibility complete</w:t>
            </w:r>
          </w:p>
        </w:tc>
        <w:tc>
          <w:tcPr>
            <w:tcW w:type="dxa" w:w="1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1</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Demand evidence; pricing band set</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M2</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Binding legal opinion secured</w:t>
            </w:r>
          </w:p>
        </w:tc>
        <w:tc>
          <w:tcPr>
            <w:tcW w:type="dxa" w:w="1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2</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Gate 1</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Cost-sharing model confirmed — launch unblocked</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M3</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MVP feature-complete (sprints)</w:t>
            </w:r>
          </w:p>
        </w:tc>
        <w:tc>
          <w:tcPr>
            <w:tcW w:type="dxa" w:w="1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3</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Five core flows built</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M4</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 on corridor</w:t>
            </w:r>
          </w:p>
        </w:tc>
        <w:tc>
          <w:tcPr>
            <w:tcW w:type="dxa" w:w="1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4</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Gate 2</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Product stable with real users; safety tooling live</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M5</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Public pilot launch</w:t>
            </w:r>
          </w:p>
        </w:tc>
        <w:tc>
          <w:tcPr>
            <w:tcW w:type="dxa" w:w="1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4–5</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Gate 3</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 vendors, legal, safety all green</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M6</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Mid-pilot review</w:t>
            </w:r>
          </w:p>
        </w:tc>
        <w:tc>
          <w:tcPr>
            <w:tcW w:type="dxa" w:w="1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5</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KPIs trending; iterate backlog</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M7</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Pilot close</w:t>
            </w:r>
          </w:p>
        </w:tc>
        <w:tc>
          <w:tcPr>
            <w:tcW w:type="dxa" w:w="1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6</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Full semester operated</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M8</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Go/no-go &amp; scale decision</w:t>
            </w:r>
          </w:p>
        </w:tc>
        <w:tc>
          <w:tcPr>
            <w:tcW w:type="dxa" w:w="1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Month 6</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Gate 4</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Evidence-backed recommendation delivered</w:t>
            </w:r>
          </w:p>
        </w:tc>
      </w:tr>
    </w:tbl>
    <w:p>
      <w:pPr>
        <w:spacing w:after="200" w:before="70"/>
        <w:jc w:val="left"/>
      </w:pPr>
      <w:r>
        <w:rPr>
          <w:rFonts w:ascii="Calibri" w:cs="Calibri" w:eastAsia="Calibri" w:hAnsi="Calibri"/>
          <w:i/>
          <w:iCs/>
          <w:color w:val="5A6675"/>
          <w:sz w:val="17"/>
          <w:szCs w:val="17"/>
        </w:rPr>
        <w:t xml:space="preserve">Gates 1 and 3 are the hard stops: Gate 1 (legal) unblocks beta, and Gate 3 (launch readiness) authorises public operation. Both are detailed in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Gate 1 is the schedule's center of gravity</w:t>
            </w:r>
          </w:p>
          <w:p>
            <w:pPr>
              <w:spacing w:after="0" w:line="278"/>
              <w:jc w:val="both"/>
            </w:pPr>
            <w:r>
              <w:rPr>
                <w:rFonts w:ascii="Calibri" w:cs="Calibri" w:eastAsia="Calibri" w:hAnsi="Calibri"/>
                <w:color w:val="20303F"/>
                <w:sz w:val="22"/>
                <w:szCs w:val="22"/>
              </w:rPr>
              <w:t xml:space="preserve">Every other date flexes; </w:t>
            </w:r>
            <w:r>
              <w:rPr>
                <w:rFonts w:ascii="Calibri" w:cs="Calibri" w:eastAsia="Calibri" w:hAnsi="Calibri"/>
                <w:b/>
                <w:bCs/>
                <w:color w:val="20303F"/>
                <w:sz w:val="22"/>
                <w:szCs w:val="22"/>
              </w:rPr>
              <w:t xml:space="preserve">Gate 1 does not get bypassed</w:t>
            </w:r>
            <w:r>
              <w:rPr>
                <w:rFonts w:ascii="Calibri" w:cs="Calibri" w:eastAsia="Calibri" w:hAnsi="Calibri"/>
                <w:color w:val="20303F"/>
                <w:sz w:val="22"/>
                <w:szCs w:val="22"/>
              </w:rPr>
              <w:t xml:space="preserve">. If the binding legal opinion slips, the closed beta and public launch slip with it — the schedule will wait on the law rather than launch around it. This is why M2 sits early and is tracked as the project's pacing item.</w:t>
            </w:r>
          </w:p>
        </w:tc>
      </w:tr>
    </w:tbl>
    <w:p>
      <w:pPr>
        <w:pStyle w:val="Heading2"/>
        <w:keepNext/>
        <w:spacing w:after="110" w:before="240"/>
      </w:pPr>
      <w:r>
        <w:rPr>
          <w:rFonts w:ascii="Calibri" w:cs="Calibri" w:eastAsia="Calibri" w:hAnsi="Calibri"/>
          <w:b/>
          <w:bCs/>
          <w:color w:val="1C6FD6"/>
          <w:sz w:val="25"/>
          <w:szCs w:val="25"/>
        </w:rPr>
        <w:t xml:space="preserve">13.1  Critical path</w:t>
      </w:r>
    </w:p>
    <w:p>
      <w:pPr>
        <w:spacing w:after="140" w:line="278"/>
        <w:jc w:val="both"/>
      </w:pPr>
      <w:r>
        <w:rPr>
          <w:rFonts w:ascii="Calibri" w:cs="Calibri" w:eastAsia="Calibri" w:hAnsi="Calibri"/>
          <w:color w:val="20303F"/>
          <w:sz w:val="22"/>
          <w:szCs w:val="22"/>
        </w:rPr>
        <w:t xml:space="preserve">The critical path runs through the legal and product spine, not the peripheral work: </w:t>
      </w:r>
      <w:r>
        <w:rPr>
          <w:rFonts w:ascii="Calibri" w:cs="Calibri" w:eastAsia="Calibri" w:hAnsi="Calibri"/>
          <w:b/>
          <w:bCs/>
          <w:color w:val="20303F"/>
          <w:sz w:val="22"/>
          <w:szCs w:val="22"/>
        </w:rPr>
        <w:t xml:space="preserve">kickoff (M0) → feasibility &amp; pricing (2.0) → binding legal opinion (3.1 / M2) → MVP build (4.0 / M3) → closed beta (6.1 / M4) → public launch (6.2 / M5) → pilot run → evaluation (7.0 / M8)</w:t>
      </w:r>
      <w:r>
        <w:rPr>
          <w:rFonts w:ascii="Calibri" w:cs="Calibri" w:eastAsia="Calibri" w:hAnsi="Calibri"/>
          <w:color w:val="20303F"/>
          <w:sz w:val="22"/>
          <w:szCs w:val="22"/>
        </w:rPr>
        <w:t xml:space="preserve">. Sponsorship and rewards work (5.1) runs in parallel and is not on the critical path unless it slips past launch; the build's internal sprint ordering can resequence freely as long as the MVP is feature-complete by M3.</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14  Phased Timeline (Gantt View)</w:t>
      </w:r>
    </w:p>
    <w:p>
      <w:pPr>
        <w:spacing w:after="140" w:line="278"/>
        <w:jc w:val="both"/>
      </w:pPr>
      <w:r>
        <w:rPr>
          <w:rFonts w:ascii="Calibri" w:cs="Calibri" w:eastAsia="Calibri" w:hAnsi="Calibri"/>
          <w:color w:val="20303F"/>
          <w:sz w:val="22"/>
          <w:szCs w:val="22"/>
        </w:rPr>
        <w:t xml:space="preserve">The timeline below shows the seven work packages across the six-month pilot frame, with each bar coloured by cadence so the methodology blend is visible at a glance. The predictive wrapper (navy) spans the whole project; the legal gate (cardinal) sits early and hard; the Agile build (blue) is concentrated in months 2–4 and then continues as operational iteration; pilot operations (green) run from beta through close.</w:t>
      </w:r>
    </w:p>
    <w:p>
      <w:pPr>
        <w:keepNext/>
        <w:spacing w:after="90" w:before="60"/>
      </w:pPr>
      <w:r>
        <w:rPr>
          <w:rFonts w:ascii="Calibri" w:cs="Calibri" w:eastAsia="Calibri" w:hAnsi="Calibri"/>
          <w:b/>
          <w:bCs/>
          <w:color w:val="9D2235"/>
          <w:sz w:val="19"/>
          <w:szCs w:val="19"/>
        </w:rPr>
        <w:t xml:space="preserve">Table 14-1.  </w:t>
      </w:r>
      <w:r>
        <w:rPr>
          <w:rFonts w:ascii="Calibri" w:cs="Calibri" w:eastAsia="Calibri" w:hAnsi="Calibri"/>
          <w:b/>
          <w:bCs/>
          <w:color w:val="0B1F3A"/>
          <w:sz w:val="19"/>
          <w:szCs w:val="19"/>
        </w:rPr>
        <w:t xml:space="preserve">Phased timeline — work packages across the pilot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940"/>
        <w:gridCol w:w="940"/>
        <w:gridCol w:w="940"/>
        <w:gridCol w:w="940"/>
        <w:gridCol w:w="940"/>
        <w:gridCol w:w="940"/>
        <w:gridCol w:w="960"/>
      </w:tblGrid>
      <w:tr>
        <w:trPr>
          <w:tblHeader/>
        </w:trPr>
        <w:tc>
          <w:tcPr>
            <w:tcW w:type="dxa" w:w="2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WBS / phase</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M0</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M1</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M2</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M3</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M4</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M5</w:t>
            </w:r>
          </w:p>
        </w:tc>
        <w:tc>
          <w:tcPr>
            <w:tcW w:type="dxa" w:w="9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M6</w:t>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PM &amp; Governance</w:t>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 Discovery &amp; Feasibility</w:t>
            </w:r>
          </w:p>
        </w:tc>
        <w:tc>
          <w:tcPr>
            <w:tcW w:type="dxa" w:w="940"/>
            <w:tcBorders>
              <w:top w:val="single" w:color="C9D4E2" w:sz="1"/>
              <w:left w:val="single" w:color="C9D4E2" w:sz="1"/>
              <w:bottom w:val="single" w:color="C9D4E2" w:sz="1"/>
              <w:right w:val="single" w:color="C9D4E2" w:sz="1"/>
            </w:tcBorders>
            <w:shd w:fill="2E86E6"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2E86E6"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3.0 Legal, Safety &amp; Compliance</w:t>
            </w: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9D2235"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9D2235"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4.0 Product Design &amp; Build</w:t>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2E86E6"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2E86E6"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2E86E6"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5.0 Partnerships &amp; Funding</w:t>
            </w: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6.0 Pilot Operations</w:t>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4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c>
          <w:tcPr>
            <w:tcW w:type="dxa" w:w="96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7.0 Evaluation &amp; Closure</w:t>
            </w: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tc>
        <w:tc>
          <w:tcPr>
            <w:tcW w:type="dxa" w:w="9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
            </w: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Gates</w:t>
            </w:r>
          </w:p>
        </w:tc>
        <w:tc>
          <w:tcPr>
            <w:tcW w:type="dxa" w:w="94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G0</w:t>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6E7E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9D2235"/>
                <w:sz w:val="19"/>
                <w:szCs w:val="19"/>
              </w:rPr>
              <w:t xml:space="preserve">G1</w:t>
            </w:r>
          </w:p>
        </w:tc>
        <w:tc>
          <w:tcPr>
            <w:tcW w:type="dxa" w:w="94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tc>
        <w:tc>
          <w:tcPr>
            <w:tcW w:type="dxa" w:w="94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G2</w:t>
            </w:r>
          </w:p>
        </w:tc>
        <w:tc>
          <w:tcPr>
            <w:tcW w:type="dxa" w:w="94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G3</w:t>
            </w:r>
          </w:p>
        </w:tc>
        <w:tc>
          <w:tcPr>
            <w:tcW w:type="dxa" w:w="96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G4</w:t>
            </w:r>
          </w:p>
        </w:tc>
      </w:tr>
    </w:tbl>
    <w:p>
      <w:pPr>
        <w:spacing w:after="200" w:before="70"/>
        <w:jc w:val="left"/>
      </w:pPr>
      <w:r>
        <w:rPr>
          <w:rFonts w:ascii="Calibri" w:cs="Calibri" w:eastAsia="Calibri" w:hAnsi="Calibri"/>
          <w:i/>
          <w:iCs/>
          <w:color w:val="5A6675"/>
          <w:sz w:val="17"/>
          <w:szCs w:val="17"/>
        </w:rPr>
        <w:t xml:space="preserve">Legend — navy: predictive wrapper; blue: discovery &amp; Agile build; cardinal: legal gate; green: pilot operations; gold/red cells: phase gates G0–G4.</w:t>
      </w:r>
    </w:p>
    <w:p>
      <w:pPr>
        <w:pStyle w:val="Heading2"/>
        <w:keepNext/>
        <w:spacing w:after="110" w:before="240"/>
      </w:pPr>
      <w:r>
        <w:rPr>
          <w:rFonts w:ascii="Calibri" w:cs="Calibri" w:eastAsia="Calibri" w:hAnsi="Calibri"/>
          <w:b/>
          <w:bCs/>
          <w:color w:val="1C6FD6"/>
          <w:sz w:val="25"/>
          <w:szCs w:val="25"/>
        </w:rPr>
        <w:t xml:space="preserve">14.1  How the two cadences share the calendar</w:t>
      </w:r>
    </w:p>
    <w:p>
      <w:pPr>
        <w:spacing w:after="140" w:line="278"/>
        <w:jc w:val="both"/>
      </w:pPr>
      <w:r>
        <w:rPr>
          <w:rFonts w:ascii="Calibri" w:cs="Calibri" w:eastAsia="Calibri" w:hAnsi="Calibri"/>
          <w:color w:val="20303F"/>
          <w:sz w:val="22"/>
          <w:szCs w:val="22"/>
        </w:rPr>
        <w:t xml:space="preserve">The timeline makes the seam from §5 concrete. The navy band (1.0) never stops — governance runs the whole way. The cardinal band (3.0) is short, early, and gating. The blue build (4.0) is time-boxed into months 2–4 and overlaps discovery's tail, reflecting that some sprints begin while feasibility finishes. Once the product ships, the Agile energy shifts into the green operations band as in-pilot iteration (6.3). The predictive gates punctuate the whole picture, giving the sponsor fixed inspection points without freezing the build between them.</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15  Cost &amp; Budget</w:t>
      </w:r>
    </w:p>
    <w:p>
      <w:pPr>
        <w:spacing w:after="140" w:line="278"/>
        <w:jc w:val="both"/>
      </w:pPr>
      <w:r>
        <w:rPr>
          <w:rFonts w:ascii="Calibri" w:cs="Calibri" w:eastAsia="Calibri" w:hAnsi="Calibri"/>
          <w:color w:val="20303F"/>
          <w:sz w:val="22"/>
          <w:szCs w:val="22"/>
        </w:rPr>
        <w:t xml:space="preserve">DiamondDrive is cheap to build relative to its reach because its largest asset — the vehicles — belongs to the drivers, not the project. The budget therefore concentrates on software, essential services, the legal opinion, and a modest launch-and-rewards fund. It is presented as a range: a </w:t>
      </w:r>
      <w:r>
        <w:rPr>
          <w:rFonts w:ascii="Calibri" w:cs="Calibri" w:eastAsia="Calibri" w:hAnsi="Calibri"/>
          <w:b/>
          <w:bCs/>
          <w:color w:val="20303F"/>
          <w:sz w:val="22"/>
          <w:szCs w:val="22"/>
        </w:rPr>
        <w:t xml:space="preserve">lean in-house build</w:t>
      </w:r>
      <w:r>
        <w:rPr>
          <w:rFonts w:ascii="Calibri" w:cs="Calibri" w:eastAsia="Calibri" w:hAnsi="Calibri"/>
          <w:color w:val="20303F"/>
          <w:sz w:val="22"/>
          <w:szCs w:val="22"/>
        </w:rPr>
        <w:t xml:space="preserve"> at the low end and a </w:t>
      </w:r>
      <w:r>
        <w:rPr>
          <w:rFonts w:ascii="Calibri" w:cs="Calibri" w:eastAsia="Calibri" w:hAnsi="Calibri"/>
          <w:b/>
          <w:bCs/>
          <w:color w:val="20303F"/>
          <w:sz w:val="22"/>
          <w:szCs w:val="22"/>
        </w:rPr>
        <w:t xml:space="preserve">contracted build</w:t>
      </w:r>
      <w:r>
        <w:rPr>
          <w:rFonts w:ascii="Calibri" w:cs="Calibri" w:eastAsia="Calibri" w:hAnsi="Calibri"/>
          <w:color w:val="20303F"/>
          <w:sz w:val="22"/>
          <w:szCs w:val="22"/>
        </w:rPr>
        <w:t xml:space="preserve"> at the high end, bracketing the </w:t>
      </w:r>
      <w:r>
        <w:rPr>
          <w:rFonts w:ascii="Calibri" w:cs="Calibri" w:eastAsia="Calibri" w:hAnsi="Calibri"/>
          <w:b/>
          <w:bCs/>
          <w:color w:val="20303F"/>
          <w:sz w:val="22"/>
          <w:szCs w:val="22"/>
        </w:rPr>
        <w:t xml:space="preserve">$6,000–$45,000 MVP envelope</w:t>
      </w:r>
      <w:r>
        <w:rPr>
          <w:rFonts w:ascii="Calibri" w:cs="Calibri" w:eastAsia="Calibri" w:hAnsi="Calibri"/>
          <w:color w:val="20303F"/>
          <w:sz w:val="22"/>
          <w:szCs w:val="22"/>
        </w:rPr>
        <w:t xml:space="preserve"> set in the charter.</w:t>
      </w:r>
    </w:p>
    <w:p>
      <w:pPr>
        <w:pStyle w:val="Heading2"/>
        <w:keepNext/>
        <w:spacing w:after="110" w:before="240"/>
      </w:pPr>
      <w:r>
        <w:rPr>
          <w:rFonts w:ascii="Calibri" w:cs="Calibri" w:eastAsia="Calibri" w:hAnsi="Calibri"/>
          <w:b/>
          <w:bCs/>
          <w:color w:val="1C6FD6"/>
          <w:sz w:val="25"/>
          <w:szCs w:val="25"/>
        </w:rPr>
        <w:t xml:space="preserve">15.1  Budget by work package</w:t>
      </w:r>
    </w:p>
    <w:p>
      <w:pPr>
        <w:keepNext/>
        <w:spacing w:after="90" w:before="60"/>
      </w:pPr>
      <w:r>
        <w:rPr>
          <w:rFonts w:ascii="Calibri" w:cs="Calibri" w:eastAsia="Calibri" w:hAnsi="Calibri"/>
          <w:b/>
          <w:bCs/>
          <w:color w:val="9D2235"/>
          <w:sz w:val="19"/>
          <w:szCs w:val="19"/>
        </w:rPr>
        <w:t xml:space="preserve">Table 15-1.  </w:t>
      </w:r>
      <w:r>
        <w:rPr>
          <w:rFonts w:ascii="Calibri" w:cs="Calibri" w:eastAsia="Calibri" w:hAnsi="Calibri"/>
          <w:b/>
          <w:bCs/>
          <w:color w:val="0B1F3A"/>
          <w:sz w:val="19"/>
          <w:szCs w:val="19"/>
        </w:rPr>
        <w:t xml:space="preserve">Indicative budget by WBS package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60"/>
        <w:gridCol w:w="1850"/>
        <w:gridCol w:w="1850"/>
      </w:tblGrid>
      <w:tr>
        <w:trPr>
          <w:tblHeader/>
        </w:trPr>
        <w:tc>
          <w:tcPr>
            <w:tcW w:type="dxa" w:w="23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WBS</w:t>
            </w:r>
          </w:p>
        </w:tc>
        <w:tc>
          <w:tcPr>
            <w:tcW w:type="dxa" w:w="3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Cost driver</w:t>
            </w:r>
          </w:p>
        </w:tc>
        <w:tc>
          <w:tcPr>
            <w:tcW w:type="dxa" w:w="18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Lean</w:t>
            </w:r>
          </w:p>
        </w:tc>
        <w:tc>
          <w:tcPr>
            <w:tcW w:type="dxa" w:w="18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Contracted</w:t>
            </w:r>
          </w:p>
        </w:tc>
      </w:tr>
      <w:tr>
        <w:trPr>
          <w:cantSplit/>
        </w:trPr>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PM &amp; Governance</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Founder-led; tooling only</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$0</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$500</w:t>
            </w:r>
          </w:p>
        </w:tc>
      </w:tr>
      <w:tr>
        <w:trPr>
          <w:cantSplit/>
        </w:trPr>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 Discovery &amp; Feasibility</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Survey tools; incentives</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$100</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$800</w:t>
            </w:r>
          </w:p>
        </w:tc>
      </w:tr>
      <w:tr>
        <w:trPr>
          <w:cantSplit/>
        </w:trPr>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3.0 Legal, Safety &amp; Compliance</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Legal opinion (the key spend)</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$1,500</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$6,000</w:t>
            </w:r>
          </w:p>
        </w:tc>
      </w:tr>
      <w:tr>
        <w:trPr>
          <w:cantSplit/>
        </w:trPr>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4.0 Product Design &amp; Build</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In-house vs. contracted dev</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$2,000</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$28,000</w:t>
            </w:r>
          </w:p>
        </w:tc>
      </w:tr>
      <w:tr>
        <w:trPr>
          <w:cantSplit/>
        </w:trPr>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5.0 Partnerships &amp; Funding</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Outreach; collateral</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$100</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$1,200</w:t>
            </w:r>
          </w:p>
        </w:tc>
      </w:tr>
      <w:tr>
        <w:trPr>
          <w:cantSplit/>
        </w:trPr>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6.0 Pilot Operations</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Rewards fund; support; comms</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$1,500</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$6,000</w:t>
            </w:r>
          </w:p>
        </w:tc>
      </w:tr>
      <w:tr>
        <w:trPr>
          <w:cantSplit/>
        </w:trPr>
        <w:tc>
          <w:tcPr>
            <w:tcW w:type="dxa" w:w="23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7.0 Evaluation &amp; Closure</w:t>
            </w:r>
          </w:p>
        </w:tc>
        <w:tc>
          <w:tcPr>
            <w:tcW w:type="dxa" w:w="3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Analysis; reporting</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$0</w:t>
            </w:r>
          </w:p>
        </w:tc>
        <w:tc>
          <w:tcPr>
            <w:tcW w:type="dxa" w:w="18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$500</w:t>
            </w:r>
          </w:p>
        </w:tc>
      </w:tr>
      <w:tr>
        <w:trPr>
          <w:cantSplit/>
        </w:trPr>
        <w:tc>
          <w:tcPr>
            <w:tcW w:type="dxa" w:w="23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Service &amp; API run-rate (pilot)</w:t>
            </w:r>
          </w:p>
        </w:tc>
        <w:tc>
          <w:tcPr>
            <w:tcW w:type="dxa" w:w="3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Maps (OSS), payments, ID/bg-check, SMS</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$800</w:t>
            </w:r>
          </w:p>
        </w:tc>
        <w:tc>
          <w:tcPr>
            <w:tcW w:type="dxa" w:w="18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$2,000</w:t>
            </w:r>
          </w:p>
        </w:tc>
      </w:tr>
      <w:tr>
        <w:trPr>
          <w:cantSplit/>
        </w:trPr>
        <w:tc>
          <w:tcPr>
            <w:tcW w:type="dxa" w:w="2300"/>
            <w:tcBorders>
              <w:top w:val="single" w:color="C9D4E2" w:sz="1"/>
              <w:left w:val="single" w:color="C9D4E2" w:sz="1"/>
              <w:bottom w:val="single" w:color="C9D4E2" w:sz="1"/>
              <w:right w:val="single" w:color="C9D4E2" w:sz="1"/>
            </w:tcBorders>
            <w:shd w:fill="EAF1FB"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TOTAL (MVP + pilot)</w:t>
            </w:r>
          </w:p>
        </w:tc>
        <w:tc>
          <w:tcPr>
            <w:tcW w:type="dxa" w:w="3360"/>
            <w:tcBorders>
              <w:top w:val="single" w:color="C9D4E2" w:sz="1"/>
              <w:left w:val="single" w:color="C9D4E2" w:sz="1"/>
              <w:bottom w:val="single" w:color="C9D4E2" w:sz="1"/>
              <w:right w:val="single" w:color="C9D4E2" w:sz="1"/>
            </w:tcBorders>
            <w:shd w:fill="EAF1FB"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Range across build strategies</w:t>
            </w:r>
          </w:p>
        </w:tc>
        <w:tc>
          <w:tcPr>
            <w:tcW w:type="dxa" w:w="1850"/>
            <w:tcBorders>
              <w:top w:val="single" w:color="C9D4E2" w:sz="1"/>
              <w:left w:val="single" w:color="C9D4E2" w:sz="1"/>
              <w:bottom w:val="single" w:color="C9D4E2" w:sz="1"/>
              <w:right w:val="single" w:color="C9D4E2" w:sz="1"/>
            </w:tcBorders>
            <w:shd w:fill="EAF1FB"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 $6,100</w:t>
            </w:r>
          </w:p>
        </w:tc>
        <w:tc>
          <w:tcPr>
            <w:tcW w:type="dxa" w:w="1850"/>
            <w:tcBorders>
              <w:top w:val="single" w:color="C9D4E2" w:sz="1"/>
              <w:left w:val="single" w:color="C9D4E2" w:sz="1"/>
              <w:bottom w:val="single" w:color="C9D4E2" w:sz="1"/>
              <w:right w:val="single" w:color="C9D4E2" w:sz="1"/>
            </w:tcBorders>
            <w:shd w:fill="EAF1FB"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 $45,000</w:t>
            </w:r>
          </w:p>
        </w:tc>
      </w:tr>
    </w:tbl>
    <w:p>
      <w:pPr>
        <w:spacing w:after="200" w:before="70"/>
        <w:jc w:val="left"/>
      </w:pPr>
      <w:r>
        <w:rPr>
          <w:rFonts w:ascii="Calibri" w:cs="Calibri" w:eastAsia="Calibri" w:hAnsi="Calibri"/>
          <w:i/>
          <w:iCs/>
          <w:color w:val="5A6675"/>
          <w:sz w:val="17"/>
          <w:szCs w:val="17"/>
        </w:rPr>
        <w:t xml:space="preserve">Totals align to the charter's ~$6k–$45k envelope (constraint C1). Open-source mapping (Leaflet/OpenStreetMap) keeps a recurring cost line near zero; the legal opinion is the single most important discretionary spend.</w:t>
      </w:r>
    </w:p>
    <w:p>
      <w:pPr>
        <w:pStyle w:val="Heading2"/>
        <w:keepNext/>
        <w:spacing w:after="110" w:before="240"/>
      </w:pPr>
      <w:r>
        <w:rPr>
          <w:rFonts w:ascii="Calibri" w:cs="Calibri" w:eastAsia="Calibri" w:hAnsi="Calibri"/>
          <w:b/>
          <w:bCs/>
          <w:color w:val="1C6FD6"/>
          <w:sz w:val="25"/>
          <w:szCs w:val="25"/>
        </w:rPr>
        <w:t xml:space="preserve">15.2  Cost-management approach</w:t>
      </w:r>
    </w:p>
    <w:p>
      <w:pPr>
        <w:spacing w:after="140" w:line="278"/>
        <w:jc w:val="both"/>
      </w:pPr>
      <w:r>
        <w:rPr>
          <w:rFonts w:ascii="Calibri" w:cs="Calibri" w:eastAsia="Calibri" w:hAnsi="Calibri"/>
          <w:color w:val="20303F"/>
          <w:sz w:val="22"/>
          <w:szCs w:val="22"/>
        </w:rPr>
        <w:t xml:space="preserve">Spend is released by phase gate, not all at once. The predictive wrapper authorises each phase's budget only when the prior gate is cleared, which keeps the project from sinking money into a build before the legal opinion (3.1) confirms the model. Within the Agile build, cost is controlled by time-boxing — a fixed sprint cadence with a fixed small team caps the burn rate regardless of scope ambition, and the backlog is prioritised so the most valuable flows are built first.</w:t>
      </w:r>
    </w:p>
    <w:p>
      <w:pPr>
        <w:pStyle w:val="Heading2"/>
        <w:keepNext/>
        <w:spacing w:after="110" w:before="240"/>
      </w:pPr>
      <w:r>
        <w:rPr>
          <w:rFonts w:ascii="Calibri" w:cs="Calibri" w:eastAsia="Calibri" w:hAnsi="Calibri"/>
          <w:b/>
          <w:bCs/>
          <w:color w:val="1C6FD6"/>
          <w:sz w:val="25"/>
          <w:szCs w:val="25"/>
        </w:rPr>
        <w:t xml:space="preserve">15.3  Funding sources</w:t>
      </w:r>
    </w:p>
    <w:p>
      <w:pPr>
        <w:keepNext/>
        <w:spacing w:after="90" w:before="60"/>
      </w:pPr>
      <w:r>
        <w:rPr>
          <w:rFonts w:ascii="Calibri" w:cs="Calibri" w:eastAsia="Calibri" w:hAnsi="Calibri"/>
          <w:b/>
          <w:bCs/>
          <w:color w:val="9D2235"/>
          <w:sz w:val="19"/>
          <w:szCs w:val="19"/>
        </w:rPr>
        <w:t xml:space="preserve">Table 15-2.  </w:t>
      </w:r>
      <w:r>
        <w:rPr>
          <w:rFonts w:ascii="Calibri" w:cs="Calibri" w:eastAsia="Calibri" w:hAnsi="Calibri"/>
          <w:b/>
          <w:bCs/>
          <w:color w:val="0B1F3A"/>
          <w:sz w:val="19"/>
          <w:szCs w:val="19"/>
        </w:rPr>
        <w:t xml:space="preserve">Funding sources against the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Source</w:t>
            </w:r>
          </w:p>
        </w:tc>
        <w:tc>
          <w:tcPr>
            <w:tcW w:type="dxa" w:w="4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Covers</w:t>
            </w:r>
          </w:p>
        </w:tc>
        <w:tc>
          <w:tcPr>
            <w:tcW w:type="dxa" w:w="2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Stage</w:t>
            </w:r>
          </w:p>
        </w:tc>
      </w:tr>
      <w:tr>
        <w:trPr>
          <w:cantSplit/>
        </w:trPr>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Anchor sponsorship (e.g., 7 Brew)</w:t>
            </w:r>
          </w:p>
        </w:tc>
        <w:tc>
          <w:tcPr>
            <w:tcW w:type="dxa" w:w="4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Launch costs and the DiamondMiles rewards fund</w:t>
            </w:r>
          </w:p>
        </w:tc>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Before launch</w:t>
            </w:r>
          </w:p>
        </w:tc>
      </w:tr>
      <w:tr>
        <w:trPr>
          <w:cantSplit/>
        </w:trPr>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 / bootstrap</w:t>
            </w:r>
          </w:p>
        </w:tc>
        <w:tc>
          <w:tcPr>
            <w:tcW w:type="dxa" w:w="4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Core build and essential services</w:t>
            </w:r>
          </w:p>
        </w:tc>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From kickoff</w:t>
            </w:r>
          </w:p>
        </w:tc>
      </w:tr>
      <w:tr>
        <w:trPr>
          <w:cantSplit/>
        </w:trPr>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Small grant / pitch competition</w:t>
            </w:r>
          </w:p>
        </w:tc>
        <w:tc>
          <w:tcPr>
            <w:tcW w:type="dxa" w:w="4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Discovery, legal, and tooling</w:t>
            </w:r>
          </w:p>
        </w:tc>
        <w:tc>
          <w:tcPr>
            <w:tcW w:type="dxa" w:w="2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Early</w:t>
            </w:r>
          </w:p>
        </w:tc>
      </w:tr>
      <w:tr>
        <w:trPr>
          <w:cantSplit/>
        </w:trPr>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Seed capital (post-pilot)</w:t>
            </w:r>
          </w:p>
        </w:tc>
        <w:tc>
          <w:tcPr>
            <w:tcW w:type="dxa" w:w="4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Scale into the NWA venture (Part V)</w:t>
            </w:r>
          </w:p>
        </w:tc>
        <w:tc>
          <w:tcPr>
            <w:tcW w:type="dxa" w:w="2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After Gate 4</w:t>
            </w:r>
          </w:p>
        </w:tc>
      </w:tr>
    </w:tbl>
    <w:p>
      <w:pPr>
        <w:spacing w:after="200" w:before="70"/>
        <w:jc w:val="left"/>
      </w:pPr>
      <w:r>
        <w:rPr>
          <w:rFonts w:ascii="Calibri" w:cs="Calibri" w:eastAsia="Calibri" w:hAnsi="Calibri"/>
          <w:i/>
          <w:iCs/>
          <w:color w:val="5A6675"/>
          <w:sz w:val="17"/>
          <w:szCs w:val="17"/>
        </w:rPr>
        <w:t xml:space="preserve">Sponsorship is matched to the launch and rewards lines specifically, so the venture does not need ride-level profit to fund the pilot — reinforcing the cost-sharing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Why the budget protects the legal posture</w:t>
            </w:r>
          </w:p>
          <w:p>
            <w:pPr>
              <w:spacing w:after="0" w:line="278"/>
              <w:jc w:val="both"/>
            </w:pPr>
            <w:r>
              <w:rPr>
                <w:rFonts w:ascii="Calibri" w:cs="Calibri" w:eastAsia="Calibri" w:hAnsi="Calibri"/>
                <w:color w:val="20303F"/>
                <w:sz w:val="22"/>
                <w:szCs w:val="22"/>
              </w:rPr>
              <w:t xml:space="preserve">Phasing the money is itself a risk control. By releasing build funds only after Gate 1, the budget makes it structurally hard to over-commit to a product before the model is legally confirmed — and by funding rewards through sponsorship rather than ride margin, it keeps the service a genuine cost-sharing carpool rather than a profit-taking one.</w:t>
            </w:r>
          </w:p>
        </w:tc>
      </w:tr>
    </w:tbl>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V</w:t>
      </w:r>
    </w:p>
    <w:p>
      <w:pPr>
        <w:pBdr>
          <w:bottom w:val="single" w:color="0B1F3A" w:sz="18" w:space="6"/>
        </w:pBdr>
        <w:spacing w:after="60" w:before="0"/>
      </w:pPr>
      <w:r>
        <w:rPr>
          <w:rFonts w:ascii="Calibri" w:cs="Calibri" w:eastAsia="Calibri" w:hAnsi="Calibri"/>
          <w:b/>
          <w:bCs/>
          <w:color w:val="0B1F3A"/>
          <w:sz w:val="38"/>
          <w:szCs w:val="38"/>
        </w:rPr>
        <w:t xml:space="preserve">Procurement &amp; the NWA Venture</w:t>
      </w:r>
    </w:p>
    <w:p>
      <w:pPr>
        <w:spacing w:after="140" w:line="278"/>
        <w:jc w:val="both"/>
      </w:pPr>
      <w:r>
        <w:rPr>
          <w:rFonts w:ascii="Calibri" w:cs="Calibri" w:eastAsia="Calibri" w:hAnsi="Calibri"/>
          <w:color w:val="20303F"/>
          <w:sz w:val="22"/>
          <w:szCs w:val="22"/>
        </w:rPr>
        <w:t xml:space="preserve">Part V looks outward. It plans what the project buys rather than builds, registers the specific vendors and APIs the service depends on, confronts the hardest problem any two-sided network faces — getting started from zero — and then lifts the frame from the bounded pilot to the venture the pilot is meant to launch. This is the part a prospective sponsor or investor reads most closely: it is where feasibility becomes a go-to-market and a path to scale.</w:t>
      </w:r>
    </w:p>
    <w:p>
      <w:pPr>
        <w:pStyle w:val="Heading1"/>
        <w:pBdr>
          <w:bottom w:val="single" w:color="1C6FD6" w:sz="10" w:space="4"/>
        </w:pBdr>
        <w:spacing w:after="150" w:before="340"/>
      </w:pPr>
      <w:r>
        <w:rPr>
          <w:rFonts w:ascii="Calibri" w:cs="Calibri" w:eastAsia="Calibri" w:hAnsi="Calibri"/>
          <w:b/>
          <w:bCs/>
          <w:color w:val="0B1F3A"/>
          <w:sz w:val="30"/>
          <w:szCs w:val="30"/>
        </w:rPr>
        <w:t xml:space="preserve">16  Procurement &amp; Make-vs-Buy</w:t>
      </w:r>
    </w:p>
    <w:p>
      <w:pPr>
        <w:spacing w:after="140" w:line="278"/>
        <w:jc w:val="both"/>
      </w:pPr>
      <w:r>
        <w:rPr>
          <w:rFonts w:ascii="Calibri" w:cs="Calibri" w:eastAsia="Calibri" w:hAnsi="Calibri"/>
          <w:color w:val="20303F"/>
          <w:sz w:val="22"/>
          <w:szCs w:val="22"/>
        </w:rPr>
        <w:t xml:space="preserve">DiamondDrive builds its differentiator and buys its commodities. The product experience, the trust model, and the cost-sharing logic are built in-house because they are the venture. Mapping, payments, identity verification, and messaging are bought, because they are solved problems where building would waste the budget and, in the case of identity and payments, take on risk better held by specialists.</w:t>
      </w:r>
    </w:p>
    <w:p>
      <w:pPr>
        <w:pStyle w:val="Heading2"/>
        <w:keepNext/>
        <w:spacing w:after="110" w:before="240"/>
      </w:pPr>
      <w:r>
        <w:rPr>
          <w:rFonts w:ascii="Calibri" w:cs="Calibri" w:eastAsia="Calibri" w:hAnsi="Calibri"/>
          <w:b/>
          <w:bCs/>
          <w:color w:val="1C6FD6"/>
          <w:sz w:val="25"/>
          <w:szCs w:val="25"/>
        </w:rPr>
        <w:t xml:space="preserve">16.1  Make-vs-buy decisions</w:t>
      </w:r>
    </w:p>
    <w:p>
      <w:pPr>
        <w:keepNext/>
        <w:spacing w:after="90" w:before="60"/>
      </w:pPr>
      <w:r>
        <w:rPr>
          <w:rFonts w:ascii="Calibri" w:cs="Calibri" w:eastAsia="Calibri" w:hAnsi="Calibri"/>
          <w:b/>
          <w:bCs/>
          <w:color w:val="9D2235"/>
          <w:sz w:val="19"/>
          <w:szCs w:val="19"/>
        </w:rPr>
        <w:t xml:space="preserve">Table 16-1.  </w:t>
      </w:r>
      <w:r>
        <w:rPr>
          <w:rFonts w:ascii="Calibri" w:cs="Calibri" w:eastAsia="Calibri" w:hAnsi="Calibri"/>
          <w:b/>
          <w:bCs/>
          <w:color w:val="0B1F3A"/>
          <w:sz w:val="19"/>
          <w:szCs w:val="19"/>
        </w:rPr>
        <w:t xml:space="preserve">Make-vs-buy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60"/>
        <w:gridCol w:w="4800"/>
      </w:tblGrid>
      <w:tr>
        <w:trPr>
          <w:tblHeader/>
        </w:trPr>
        <w:tc>
          <w:tcPr>
            <w:tcW w:type="dxa" w:w="27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Capability</w:t>
            </w:r>
          </w:p>
        </w:tc>
        <w:tc>
          <w:tcPr>
            <w:tcW w:type="dxa" w:w="18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Decision</w:t>
            </w:r>
          </w:p>
        </w:tc>
        <w:tc>
          <w:tcPr>
            <w:tcW w:type="dxa" w:w="4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Rationale</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Core app &amp; UX (five flows)</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Make</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This is the product and the differentiator.</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Trust &amp; cost-sharing logic</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Make</w:t>
            </w:r>
          </w:p>
        </w:tc>
        <w:tc>
          <w:tcPr>
            <w:tcW w:type="dxa" w:w="4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Central to the model; cannot be outsourced.</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Mapping &amp; routing</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Buy (OSS)</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Leaflet/OpenStreetMap — free, proven, no lock-in.</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Payments / contributions</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Buy</w:t>
            </w:r>
          </w:p>
        </w:tc>
        <w:tc>
          <w:tcPr>
            <w:tcW w:type="dxa" w:w="4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PCI burden and risk best held by a specialist (e.g., Stripe).</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Identity &amp; background checks</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Buy</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Safety-critical; specialists (e.g., Checkr/Persona) do it better.</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SMS / notifications</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Buy</w:t>
            </w:r>
          </w:p>
        </w:tc>
        <w:tc>
          <w:tcPr>
            <w:tcW w:type="dxa" w:w="4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Commodity; a provider (e.g., Twilio) is cheaper and reliable.</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Legal opinion</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Buy (must)</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Requires licensed counsel; the project's key external dependency.</w:t>
            </w:r>
          </w:p>
        </w:tc>
      </w:tr>
    </w:tbl>
    <w:p>
      <w:pPr>
        <w:spacing w:after="200" w:before="70"/>
        <w:jc w:val="left"/>
      </w:pPr>
      <w:r>
        <w:rPr>
          <w:rFonts w:ascii="Calibri" w:cs="Calibri" w:eastAsia="Calibri" w:hAnsi="Calibri"/>
          <w:i/>
          <w:iCs/>
          <w:color w:val="5A6675"/>
          <w:sz w:val="17"/>
          <w:szCs w:val="17"/>
        </w:rPr>
        <w:t xml:space="preserve">The pattern is deliberate: build the network and the trust; rent the infrastructure. It maximises the budget's reach and concentrates risk where it can be managed.</w:t>
      </w:r>
    </w:p>
    <w:p>
      <w:pPr>
        <w:pStyle w:val="Heading2"/>
        <w:keepNext/>
        <w:spacing w:after="110" w:before="240"/>
      </w:pPr>
      <w:r>
        <w:rPr>
          <w:rFonts w:ascii="Calibri" w:cs="Calibri" w:eastAsia="Calibri" w:hAnsi="Calibri"/>
          <w:b/>
          <w:bCs/>
          <w:color w:val="1C6FD6"/>
          <w:sz w:val="25"/>
          <w:szCs w:val="25"/>
        </w:rPr>
        <w:t xml:space="preserve">16.2  Procurement approach</w:t>
      </w:r>
    </w:p>
    <w:p>
      <w:pPr>
        <w:spacing w:after="140" w:line="278"/>
        <w:jc w:val="both"/>
      </w:pPr>
      <w:r>
        <w:rPr>
          <w:rFonts w:ascii="Calibri" w:cs="Calibri" w:eastAsia="Calibri" w:hAnsi="Calibri"/>
          <w:color w:val="20303F"/>
          <w:sz w:val="22"/>
          <w:szCs w:val="22"/>
        </w:rPr>
        <w:t xml:space="preserve">Procurement is lightweight by design. Most services begin on free or usage-based tiers that suit a single-corridor pilot, so commitments stay small and scale with adoption rather than ahead of it. Contracts are sequenced to the schedule: mapping is needed in the first sprint, payments and identity before the closed beta, and the legal opinion before any of it goes live. The one procurement that is treated as a gating, non-negotiable purchase is the binding legal opinion — it is bought early and is the prerequisite for launch.</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17  Vendor &amp; API Register</w:t>
      </w:r>
    </w:p>
    <w:p>
      <w:pPr>
        <w:spacing w:after="140" w:line="278"/>
        <w:jc w:val="both"/>
      </w:pPr>
      <w:r>
        <w:rPr>
          <w:rFonts w:ascii="Calibri" w:cs="Calibri" w:eastAsia="Calibri" w:hAnsi="Calibri"/>
          <w:color w:val="20303F"/>
          <w:sz w:val="22"/>
          <w:szCs w:val="22"/>
        </w:rPr>
        <w:t xml:space="preserve">This register names the external services the pilot depends on, what each provides, when it is needed, and the cost posture at pilot scale. It is the concrete expression of the buy decisions in §16 and the dependencies in §4.3, and it doubles as the integration checklist for the build.</w:t>
      </w:r>
    </w:p>
    <w:p>
      <w:pPr>
        <w:keepNext/>
        <w:spacing w:after="90" w:before="60"/>
      </w:pPr>
      <w:r>
        <w:rPr>
          <w:rFonts w:ascii="Calibri" w:cs="Calibri" w:eastAsia="Calibri" w:hAnsi="Calibri"/>
          <w:b/>
          <w:bCs/>
          <w:color w:val="9D2235"/>
          <w:sz w:val="19"/>
          <w:szCs w:val="19"/>
        </w:rPr>
        <w:t xml:space="preserve">Table 17-1.  </w:t>
      </w:r>
      <w:r>
        <w:rPr>
          <w:rFonts w:ascii="Calibri" w:cs="Calibri" w:eastAsia="Calibri" w:hAnsi="Calibri"/>
          <w:b/>
          <w:bCs/>
          <w:color w:val="0B1F3A"/>
          <w:sz w:val="19"/>
          <w:szCs w:val="19"/>
        </w:rPr>
        <w:t xml:space="preserve">Vendor &amp; API register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2700"/>
        <w:gridCol w:w="800"/>
        <w:gridCol w:w="1450"/>
        <w:gridCol w:w="1860"/>
      </w:tblGrid>
      <w:tr>
        <w:trPr>
          <w:tblHeader/>
        </w:trPr>
        <w:tc>
          <w:tcPr>
            <w:tcW w:type="dxa" w:w="25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Service</w:t>
            </w:r>
          </w:p>
        </w:tc>
        <w:tc>
          <w:tcPr>
            <w:tcW w:type="dxa" w:w="27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Provides</w:t>
            </w:r>
          </w:p>
        </w:tc>
        <w:tc>
          <w:tcPr>
            <w:tcW w:type="dxa" w:w="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WBS</w:t>
            </w:r>
          </w:p>
        </w:tc>
        <w:tc>
          <w:tcPr>
            <w:tcW w:type="dxa" w:w="145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Needed by</w:t>
            </w:r>
          </w:p>
        </w:tc>
        <w:tc>
          <w:tcPr>
            <w:tcW w:type="dxa" w:w="18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Pilot cost posture</w:t>
            </w:r>
          </w:p>
        </w:tc>
      </w:tr>
      <w:tr>
        <w:trPr>
          <w:cantSplit/>
        </w:trPr>
        <w:tc>
          <w:tcPr>
            <w:tcW w:type="dxa" w:w="25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OpenStreetMap / CARTO + Leaflet</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Map tiles, display, routing polyline</w:t>
            </w:r>
          </w:p>
        </w:tc>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4.2</w:t>
            </w:r>
          </w:p>
        </w:tc>
        <w:tc>
          <w:tcPr>
            <w:tcW w:type="dxa" w:w="14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1</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Free (OSS)</w:t>
            </w:r>
          </w:p>
        </w:tc>
      </w:tr>
      <w:tr>
        <w:trPr>
          <w:cantSplit/>
        </w:trPr>
        <w:tc>
          <w:tcPr>
            <w:tcW w:type="dxa" w:w="25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Payments processor (e.g., Stripe)</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Rider contributions; payouts to cover costs</w:t>
            </w:r>
          </w:p>
        </w:tc>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4.2</w:t>
            </w:r>
          </w:p>
        </w:tc>
        <w:tc>
          <w:tcPr>
            <w:tcW w:type="dxa" w:w="14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Usage-based</w:t>
            </w:r>
          </w:p>
        </w:tc>
      </w:tr>
      <w:tr>
        <w:trPr>
          <w:cantSplit/>
        </w:trPr>
        <w:tc>
          <w:tcPr>
            <w:tcW w:type="dxa" w:w="25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Identity / background (e.g., Checkr, Persona)</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Verification; driver background checks</w:t>
            </w:r>
          </w:p>
        </w:tc>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3.3 / 4.1</w:t>
            </w:r>
          </w:p>
        </w:tc>
        <w:tc>
          <w:tcPr>
            <w:tcW w:type="dxa" w:w="14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Per-check</w:t>
            </w:r>
          </w:p>
        </w:tc>
      </w:tr>
      <w:tr>
        <w:trPr>
          <w:cantSplit/>
        </w:trPr>
        <w:tc>
          <w:tcPr>
            <w:tcW w:type="dxa" w:w="25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Messaging (e.g., Twilio)</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SMS verification; trip &amp; safety alerts</w:t>
            </w:r>
          </w:p>
        </w:tc>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4.1 / 4.4</w:t>
            </w:r>
          </w:p>
        </w:tc>
        <w:tc>
          <w:tcPr>
            <w:tcW w:type="dxa" w:w="14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Usage-based</w:t>
            </w:r>
          </w:p>
        </w:tc>
      </w:tr>
      <w:tr>
        <w:trPr>
          <w:cantSplit/>
        </w:trPr>
        <w:tc>
          <w:tcPr>
            <w:tcW w:type="dxa" w:w="25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Backend / data (e.g., Supabase)</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Auth, database, realtime sync</w:t>
            </w:r>
          </w:p>
        </w:tc>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4.x</w:t>
            </w:r>
          </w:p>
        </w:tc>
        <w:tc>
          <w:tcPr>
            <w:tcW w:type="dxa" w:w="14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1</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Free tier → usage</w:t>
            </w:r>
          </w:p>
        </w:tc>
      </w:tr>
      <w:tr>
        <w:trPr>
          <w:cantSplit/>
        </w:trPr>
        <w:tc>
          <w:tcPr>
            <w:tcW w:type="dxa" w:w="25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Hosting / distribution</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Web/PWA hosting; app packaging</w:t>
            </w:r>
          </w:p>
        </w:tc>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4.7</w:t>
            </w:r>
          </w:p>
        </w:tc>
        <w:tc>
          <w:tcPr>
            <w:tcW w:type="dxa" w:w="14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Beta</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Free tier → usage</w:t>
            </w:r>
          </w:p>
        </w:tc>
      </w:tr>
      <w:tr>
        <w:trPr>
          <w:cantSplit/>
        </w:trPr>
        <w:tc>
          <w:tcPr>
            <w:tcW w:type="dxa" w:w="25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External legal counsel</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Binding cost-sharing opinion; ToS review</w:t>
            </w:r>
          </w:p>
        </w:tc>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3.1 / 3.2</w:t>
            </w:r>
          </w:p>
        </w:tc>
        <w:tc>
          <w:tcPr>
            <w:tcW w:type="dxa" w:w="145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Before launch</w:t>
            </w:r>
          </w:p>
        </w:tc>
        <w:tc>
          <w:tcPr>
            <w:tcW w:type="dxa" w:w="18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Fixed fee (key spend)</w:t>
            </w:r>
          </w:p>
        </w:tc>
      </w:tr>
      <w:tr>
        <w:trPr>
          <w:cantSplit/>
        </w:trPr>
        <w:tc>
          <w:tcPr>
            <w:tcW w:type="dxa" w:w="25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 (e.g., 7 Brew)</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Launch &amp; rewards funding; co-marketing</w:t>
            </w:r>
          </w:p>
        </w:tc>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5.1</w:t>
            </w:r>
          </w:p>
        </w:tc>
        <w:tc>
          <w:tcPr>
            <w:tcW w:type="dxa" w:w="145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Before launch</w:t>
            </w:r>
          </w:p>
        </w:tc>
        <w:tc>
          <w:tcPr>
            <w:tcW w:type="dxa" w:w="18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1E6E3E"/>
                <w:sz w:val="19"/>
                <w:szCs w:val="19"/>
              </w:rPr>
              <w:t xml:space="preserve">Inbound funding</w:t>
            </w:r>
          </w:p>
        </w:tc>
      </w:tr>
    </w:tbl>
    <w:p>
      <w:pPr>
        <w:spacing w:after="200" w:before="70"/>
        <w:jc w:val="left"/>
      </w:pPr>
      <w:r>
        <w:rPr>
          <w:rFonts w:ascii="Calibri" w:cs="Calibri" w:eastAsia="Calibri" w:hAnsi="Calibri"/>
          <w:i/>
          <w:iCs/>
          <w:color w:val="5A6675"/>
          <w:sz w:val="17"/>
          <w:szCs w:val="17"/>
        </w:rPr>
        <w:t xml:space="preserve">Vendor names are indicative of the category, not commitments. The register is the build's integration checklist and the basis for the run-rate line in §15.1.</w:t>
      </w:r>
    </w:p>
    <w:p>
      <w:pPr>
        <w:pStyle w:val="Heading2"/>
        <w:keepNext/>
        <w:spacing w:after="110" w:before="240"/>
      </w:pPr>
      <w:r>
        <w:rPr>
          <w:rFonts w:ascii="Calibri" w:cs="Calibri" w:eastAsia="Calibri" w:hAnsi="Calibri"/>
          <w:b/>
          <w:bCs/>
          <w:color w:val="1C6FD6"/>
          <w:sz w:val="25"/>
          <w:szCs w:val="25"/>
        </w:rPr>
        <w:t xml:space="preserve">17.1  Vendor risk &amp; contingency</w:t>
      </w:r>
    </w:p>
    <w:p>
      <w:pPr>
        <w:spacing w:after="140" w:line="278"/>
        <w:jc w:val="both"/>
      </w:pPr>
      <w:r>
        <w:rPr>
          <w:rFonts w:ascii="Calibri" w:cs="Calibri" w:eastAsia="Calibri" w:hAnsi="Calibri"/>
          <w:color w:val="20303F"/>
          <w:sz w:val="22"/>
          <w:szCs w:val="22"/>
        </w:rPr>
        <w:t xml:space="preserve">Each bought capability has a fallback so no single vendor can strand the pilot. Mapping can move between OpenStreetMap tile providers without code rework; payments and identity have multiple interchangeable providers in their categories; messaging is a commodity. The only irreplaceable external input is </w:t>
      </w:r>
      <w:r>
        <w:rPr>
          <w:rFonts w:ascii="Calibri" w:cs="Calibri" w:eastAsia="Calibri" w:hAnsi="Calibri"/>
          <w:b/>
          <w:bCs/>
          <w:color w:val="9D2235"/>
          <w:sz w:val="22"/>
          <w:szCs w:val="22"/>
        </w:rPr>
        <w:t xml:space="preserve">the legal opinion</w:t>
      </w:r>
      <w:r>
        <w:rPr>
          <w:rFonts w:ascii="Calibri" w:cs="Calibri" w:eastAsia="Calibri" w:hAnsi="Calibri"/>
          <w:color w:val="20303F"/>
          <w:sz w:val="22"/>
          <w:szCs w:val="22"/>
        </w:rPr>
        <w:t xml:space="preserve"> — there is no fallback vendor for the model's legality, which is precisely why §18 builds the entire go-to-market around getting that posture right first.</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18  Cold-Start &amp; Go-to-Market</w:t>
      </w:r>
    </w:p>
    <w:p>
      <w:pPr>
        <w:spacing w:after="140" w:line="278"/>
        <w:jc w:val="both"/>
      </w:pPr>
      <w:r>
        <w:rPr>
          <w:rFonts w:ascii="Calibri" w:cs="Calibri" w:eastAsia="Calibri" w:hAnsi="Calibri"/>
          <w:color w:val="20303F"/>
          <w:sz w:val="22"/>
          <w:szCs w:val="22"/>
        </w:rPr>
        <w:t xml:space="preserve">Every marketplace faces the same opening problem: riders will not come without drivers, and drivers will not come without riders. The large majority of two-sided platforms die in this gap. DiamondDrive's go-to-market is built specifically to cross it, using the two moves the evidence says actually work — extreme geographic concentration and seeding the scarce side first — inside the trust envelope that verified access provides.</w:t>
      </w:r>
    </w:p>
    <w:p>
      <w:pPr>
        <w:pStyle w:val="Heading2"/>
        <w:keepNext/>
        <w:spacing w:after="110" w:before="240"/>
      </w:pPr>
      <w:r>
        <w:rPr>
          <w:rFonts w:ascii="Calibri" w:cs="Calibri" w:eastAsia="Calibri" w:hAnsi="Calibri"/>
          <w:b/>
          <w:bCs/>
          <w:color w:val="1C6FD6"/>
          <w:sz w:val="25"/>
          <w:szCs w:val="25"/>
        </w:rPr>
        <w:t xml:space="preserve">18.1  The two-sided cold-start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Why most networks never start</w:t>
            </w:r>
          </w:p>
          <w:p>
            <w:pPr>
              <w:spacing w:after="0" w:line="278"/>
              <w:jc w:val="both"/>
            </w:pPr>
            <w:r>
              <w:rPr>
                <w:rFonts w:ascii="Calibri" w:cs="Calibri" w:eastAsia="Calibri" w:hAnsi="Calibri"/>
                <w:color w:val="20303F"/>
                <w:sz w:val="22"/>
                <w:szCs w:val="22"/>
              </w:rPr>
              <w:t xml:space="preserve">A network with no users has nothing to offer its first user. The failure is mutual and self-reinforcing: thin supply gives riders a bad first experience, they leave, and the thin demand gives drivers no reason to stay. Crossing this gap — not building the app — is the hardest thing the venture does, and it is where most of its peers fail.</w:t>
            </w:r>
          </w:p>
        </w:tc>
      </w:tr>
    </w:tbl>
    <w:p>
      <w:pPr>
        <w:pStyle w:val="Heading2"/>
        <w:keepNext/>
        <w:spacing w:after="110" w:before="240"/>
      </w:pPr>
      <w:r>
        <w:rPr>
          <w:rFonts w:ascii="Calibri" w:cs="Calibri" w:eastAsia="Calibri" w:hAnsi="Calibri"/>
          <w:b/>
          <w:bCs/>
          <w:color w:val="1C6FD6"/>
          <w:sz w:val="25"/>
          <w:szCs w:val="25"/>
        </w:rPr>
        <w:t xml:space="preserve">18.2  The strategy — concentrate, then seed supply</w:t>
      </w:r>
    </w:p>
    <w:p>
      <w:pPr>
        <w:spacing w:after="140" w:line="278"/>
        <w:jc w:val="both"/>
      </w:pPr>
      <w:r>
        <w:rPr>
          <w:rFonts w:ascii="Calibri" w:cs="Calibri" w:eastAsia="Calibri" w:hAnsi="Calibri"/>
          <w:color w:val="20303F"/>
          <w:sz w:val="22"/>
          <w:szCs w:val="22"/>
        </w:rPr>
        <w:t xml:space="preserve">The plan's answer has a precedent. Campus rideshare succeeded historically by starting inside a single closed, trusted community and saturating it before expanding — the Zimride-to-Lyft lineage began exactly this way, growing to a meaningful share of a single campus within months by concentrating rather than spreading. DiamondDrive copies that playbook:</w:t>
      </w:r>
    </w:p>
    <w:p>
      <w:pPr>
        <w:pStyle w:val="ListParagraph"/>
        <w:numPr>
          <w:ilvl w:val="0"/>
          <w:numId w:val="2"/>
        </w:numPr>
        <w:spacing w:after="70" w:line="268"/>
        <w:jc w:val="left"/>
      </w:pPr>
      <w:r>
        <w:rPr>
          <w:rFonts w:ascii="Calibri" w:cs="Calibri" w:eastAsia="Calibri" w:hAnsi="Calibri"/>
          <w:b/>
          <w:bCs/>
          <w:color w:val="20303F"/>
          <w:sz w:val="22"/>
          <w:szCs w:val="22"/>
        </w:rPr>
        <w:t xml:space="preserve">Concentrate on one corridor. </w:t>
      </w:r>
      <w:r>
        <w:rPr>
          <w:rFonts w:ascii="Calibri" w:cs="Calibri" w:eastAsia="Calibri" w:hAnsi="Calibri"/>
          <w:color w:val="20303F"/>
          <w:sz w:val="22"/>
          <w:szCs w:val="22"/>
        </w:rPr>
        <w:t xml:space="preserve">All early effort goes to the Springdale–campus leg of I-49 — one dense, repeating commuter flow — so that even a small number of users produces visible liquidity instead of being diluted across a region.</w:t>
      </w:r>
    </w:p>
    <w:p>
      <w:pPr>
        <w:pStyle w:val="ListParagraph"/>
        <w:numPr>
          <w:ilvl w:val="0"/>
          <w:numId w:val="2"/>
        </w:numPr>
        <w:spacing w:after="70" w:line="268"/>
        <w:jc w:val="left"/>
      </w:pPr>
      <w:r>
        <w:rPr>
          <w:rFonts w:ascii="Calibri" w:cs="Calibri" w:eastAsia="Calibri" w:hAnsi="Calibri"/>
          <w:b/>
          <w:bCs/>
          <w:color w:val="20303F"/>
          <w:sz w:val="22"/>
          <w:szCs w:val="22"/>
        </w:rPr>
        <w:t xml:space="preserve">Seed the scarce side (drivers) first. </w:t>
      </w:r>
      <w:r>
        <w:rPr>
          <w:rFonts w:ascii="Calibri" w:cs="Calibri" w:eastAsia="Calibri" w:hAnsi="Calibri"/>
          <w:color w:val="20303F"/>
          <w:sz w:val="22"/>
          <w:szCs w:val="22"/>
        </w:rPr>
        <w:t xml:space="preserve">Because supply is harder than demand, drivers already making the trip are recruited and rewarded before a rider push begins, so that early riders meet a populated network.</w:t>
      </w:r>
    </w:p>
    <w:p>
      <w:pPr>
        <w:pStyle w:val="ListParagraph"/>
        <w:numPr>
          <w:ilvl w:val="0"/>
          <w:numId w:val="2"/>
        </w:numPr>
        <w:spacing w:after="70" w:line="268"/>
        <w:jc w:val="left"/>
      </w:pPr>
      <w:r>
        <w:rPr>
          <w:rFonts w:ascii="Calibri" w:cs="Calibri" w:eastAsia="Calibri" w:hAnsi="Calibri"/>
          <w:b/>
          <w:bCs/>
          <w:color w:val="20303F"/>
          <w:sz w:val="22"/>
          <w:szCs w:val="22"/>
        </w:rPr>
        <w:t xml:space="preserve">Lead with trust, not discounts. </w:t>
      </w:r>
      <w:r>
        <w:rPr>
          <w:rFonts w:ascii="Calibri" w:cs="Calibri" w:eastAsia="Calibri" w:hAnsi="Calibri"/>
          <w:color w:val="20303F"/>
          <w:sz w:val="22"/>
          <w:szCs w:val="22"/>
        </w:rPr>
        <w:t xml:space="preserve">Verified-student-only access, visible safety tooling, and ratings are the acquisition pitch — the durable advantage incumbents cannot copy — rather than unsustainable subsidies.</w:t>
      </w:r>
    </w:p>
    <w:p>
      <w:pPr>
        <w:pStyle w:val="ListParagraph"/>
        <w:numPr>
          <w:ilvl w:val="0"/>
          <w:numId w:val="2"/>
        </w:numPr>
        <w:spacing w:after="70" w:line="268"/>
        <w:jc w:val="left"/>
      </w:pPr>
      <w:r>
        <w:rPr>
          <w:rFonts w:ascii="Calibri" w:cs="Calibri" w:eastAsia="Calibri" w:hAnsi="Calibri"/>
          <w:b/>
          <w:bCs/>
          <w:color w:val="20303F"/>
          <w:sz w:val="22"/>
          <w:szCs w:val="22"/>
        </w:rPr>
        <w:t xml:space="preserve">Use the rewards loop to pull demand. </w:t>
      </w:r>
      <w:r>
        <w:rPr>
          <w:rFonts w:ascii="Calibri" w:cs="Calibri" w:eastAsia="Calibri" w:hAnsi="Calibri"/>
          <w:color w:val="20303F"/>
          <w:sz w:val="22"/>
          <w:szCs w:val="22"/>
        </w:rPr>
        <w:t xml:space="preserve">DiamondMiles redeemable at anchor brands (7 Brew, Onyx, Hugo's) gives riders a concrete, locally-resonant reason to take a first and second trip.</w:t>
      </w:r>
    </w:p>
    <w:p>
      <w:pPr>
        <w:pStyle w:val="Heading2"/>
        <w:keepNext/>
        <w:spacing w:after="110" w:before="240"/>
      </w:pPr>
      <w:r>
        <w:rPr>
          <w:rFonts w:ascii="Calibri" w:cs="Calibri" w:eastAsia="Calibri" w:hAnsi="Calibri"/>
          <w:b/>
          <w:bCs/>
          <w:color w:val="1C6FD6"/>
          <w:sz w:val="25"/>
          <w:szCs w:val="25"/>
        </w:rPr>
        <w:t xml:space="preserve">18.3  Sponsorship as a launch lever</w:t>
      </w:r>
    </w:p>
    <w:p>
      <w:pPr>
        <w:spacing w:after="140" w:line="278"/>
        <w:jc w:val="both"/>
      </w:pPr>
      <w:r>
        <w:rPr>
          <w:rFonts w:ascii="Calibri" w:cs="Calibri" w:eastAsia="Calibri" w:hAnsi="Calibri"/>
          <w:color w:val="20303F"/>
          <w:sz w:val="22"/>
          <w:szCs w:val="22"/>
        </w:rPr>
        <w:t xml:space="preserve">Anchor sponsorship does double duty: it funds the rewards that pull demand and it lends the launch a credible local brand. A regional partner such as </w:t>
      </w:r>
      <w:r>
        <w:rPr>
          <w:rFonts w:ascii="Calibri" w:cs="Calibri" w:eastAsia="Calibri" w:hAnsi="Calibri"/>
          <w:b/>
          <w:bCs/>
          <w:color w:val="20303F"/>
          <w:sz w:val="22"/>
          <w:szCs w:val="22"/>
        </w:rPr>
        <w:t xml:space="preserve">7 Brew</w:t>
      </w:r>
      <w:r>
        <w:rPr>
          <w:rFonts w:ascii="Calibri" w:cs="Calibri" w:eastAsia="Calibri" w:hAnsi="Calibri"/>
          <w:color w:val="20303F"/>
          <w:sz w:val="22"/>
          <w:szCs w:val="22"/>
        </w:rPr>
        <w:t xml:space="preserve"> — founded in Rogers and woven into NWA student life — both underwrites the DiamondMiles fund and signals that DiamondDrive belongs to the same community as its users. This is why §15 matches sponsorship specifically to the launch and rewards lines: it is the lever that moves the demand side without resorting to ride-level profit.</w:t>
      </w:r>
    </w:p>
    <w:p>
      <w:pPr>
        <w:pStyle w:val="Heading2"/>
        <w:keepNext/>
        <w:spacing w:after="110" w:before="240"/>
      </w:pPr>
      <w:r>
        <w:rPr>
          <w:rFonts w:ascii="Calibri" w:cs="Calibri" w:eastAsia="Calibri" w:hAnsi="Calibri"/>
          <w:b/>
          <w:bCs/>
          <w:color w:val="1C6FD6"/>
          <w:sz w:val="25"/>
          <w:szCs w:val="25"/>
        </w:rPr>
        <w:t xml:space="preserve">18.4  Launch sequence</w:t>
      </w:r>
    </w:p>
    <w:p>
      <w:pPr>
        <w:keepNext/>
        <w:spacing w:after="90" w:before="60"/>
      </w:pPr>
      <w:r>
        <w:rPr>
          <w:rFonts w:ascii="Calibri" w:cs="Calibri" w:eastAsia="Calibri" w:hAnsi="Calibri"/>
          <w:b/>
          <w:bCs/>
          <w:color w:val="9D2235"/>
          <w:sz w:val="19"/>
          <w:szCs w:val="19"/>
        </w:rPr>
        <w:t xml:space="preserve">Table 18-1.  </w:t>
      </w:r>
      <w:r>
        <w:rPr>
          <w:rFonts w:ascii="Calibri" w:cs="Calibri" w:eastAsia="Calibri" w:hAnsi="Calibri"/>
          <w:b/>
          <w:bCs/>
          <w:color w:val="0B1F3A"/>
          <w:sz w:val="19"/>
          <w:szCs w:val="19"/>
        </w:rPr>
        <w:t xml:space="preserve">Go-to-market sequence on the beachhead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4200"/>
      </w:tblGrid>
      <w:tr>
        <w:trPr>
          <w:tblHeader/>
        </w:trPr>
        <w:tc>
          <w:tcPr>
            <w:tcW w:type="dxa" w:w="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Step</w:t>
            </w:r>
          </w:p>
        </w:tc>
        <w:tc>
          <w:tcPr>
            <w:tcW w:type="dxa" w:w="4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Move</w:t>
            </w:r>
          </w:p>
        </w:tc>
        <w:tc>
          <w:tcPr>
            <w:tcW w:type="dxa" w:w="4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Crosses the gap by…</w:t>
            </w:r>
          </w:p>
        </w:tc>
      </w:tr>
      <w:tr>
        <w:trPr>
          <w:cantSplit/>
        </w:trPr>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w:t>
            </w:r>
          </w:p>
        </w:tc>
        <w:tc>
          <w:tcPr>
            <w:tcW w:type="dxa" w:w="4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Legal opinion secured (Gate 1)</w:t>
            </w:r>
          </w:p>
        </w:tc>
        <w:tc>
          <w:tcPr>
            <w:tcW w:type="dxa" w:w="4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Making it safe to operate at all</w:t>
            </w:r>
          </w:p>
        </w:tc>
      </w:tr>
      <w:tr>
        <w:trPr>
          <w:cantSplit/>
        </w:trPr>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w:t>
            </w:r>
          </w:p>
        </w:tc>
        <w:tc>
          <w:tcPr>
            <w:tcW w:type="dxa" w:w="4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Recruit &amp; reward corridor drivers</w:t>
            </w:r>
          </w:p>
        </w:tc>
        <w:tc>
          <w:tcPr>
            <w:tcW w:type="dxa" w:w="4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Seeding the scarce side first</w:t>
            </w:r>
          </w:p>
        </w:tc>
      </w:tr>
      <w:tr>
        <w:trPr>
          <w:cantSplit/>
        </w:trPr>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w:t>
            </w:r>
          </w:p>
        </w:tc>
        <w:tc>
          <w:tcPr>
            <w:tcW w:type="dxa" w:w="4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Closed beta with seeded supply</w:t>
            </w:r>
          </w:p>
        </w:tc>
        <w:tc>
          <w:tcPr>
            <w:tcW w:type="dxa" w:w="4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Giving first riders a populated network</w:t>
            </w:r>
          </w:p>
        </w:tc>
      </w:tr>
      <w:tr>
        <w:trPr>
          <w:cantSplit/>
        </w:trPr>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w:t>
            </w:r>
          </w:p>
        </w:tc>
        <w:tc>
          <w:tcPr>
            <w:tcW w:type="dxa" w:w="4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Sponsor-funded rewards go live</w:t>
            </w:r>
          </w:p>
        </w:tc>
        <w:tc>
          <w:tcPr>
            <w:tcW w:type="dxa" w:w="4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Pulling demand with local value</w:t>
            </w:r>
          </w:p>
        </w:tc>
      </w:tr>
      <w:tr>
        <w:trPr>
          <w:cantSplit/>
        </w:trPr>
        <w:tc>
          <w:tcPr>
            <w:tcW w:type="dxa" w:w="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w:t>
            </w:r>
          </w:p>
        </w:tc>
        <w:tc>
          <w:tcPr>
            <w:tcW w:type="dxa" w:w="4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Public pilot on the one corridor</w:t>
            </w:r>
          </w:p>
        </w:tc>
        <w:tc>
          <w:tcPr>
            <w:tcW w:type="dxa" w:w="4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Saturating before expanding</w:t>
            </w:r>
          </w:p>
        </w:tc>
      </w:tr>
      <w:tr>
        <w:trPr>
          <w:cantSplit/>
        </w:trPr>
        <w:tc>
          <w:tcPr>
            <w:tcW w:type="dxa" w:w="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w:t>
            </w:r>
          </w:p>
        </w:tc>
        <w:tc>
          <w:tcPr>
            <w:tcW w:type="dxa" w:w="4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Measure liquidity; iterate</w:t>
            </w:r>
          </w:p>
        </w:tc>
        <w:tc>
          <w:tcPr>
            <w:tcW w:type="dxa" w:w="4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Proving repeat usage before scale</w:t>
            </w:r>
          </w:p>
        </w:tc>
      </w:tr>
    </w:tbl>
    <w:p>
      <w:pPr>
        <w:spacing w:after="200" w:before="70"/>
        <w:jc w:val="left"/>
      </w:pPr>
      <w:r>
        <w:rPr>
          <w:rFonts w:ascii="Calibri" w:cs="Calibri" w:eastAsia="Calibri" w:hAnsi="Calibri"/>
          <w:i/>
          <w:iCs/>
          <w:color w:val="5A6675"/>
          <w:sz w:val="17"/>
          <w:szCs w:val="17"/>
        </w:rPr>
        <w:t xml:space="preserve">The sequence is demand-aware but supply-first, and it never begins before the legal gate — the same ordering enforced by the schedule (§13) and the WBS dependency (§12.1).</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19  The NWA Venture &amp; Scale Plan</w:t>
      </w:r>
    </w:p>
    <w:p>
      <w:pPr>
        <w:spacing w:after="140" w:line="278"/>
        <w:jc w:val="both"/>
      </w:pPr>
      <w:r>
        <w:rPr>
          <w:rFonts w:ascii="Calibri" w:cs="Calibri" w:eastAsia="Calibri" w:hAnsi="Calibri"/>
          <w:color w:val="20303F"/>
          <w:sz w:val="22"/>
          <w:szCs w:val="22"/>
        </w:rPr>
        <w:t xml:space="preserve">If the pilot clears its gate, DiamondDrive becomes a venture with a corridor-by-corridor path to scale. This section is the venture framing in full: the model that turns one proven corridor into a regional network, the unit economics that have to hold for that to be worth doing, and the staged plan that the post-pilot seed raise would fund. It is written for the investor reader, and it inherits every constraint the pilot established — above all the cost-sharing posture.</w:t>
      </w:r>
    </w:p>
    <w:p>
      <w:pPr>
        <w:pStyle w:val="Heading2"/>
        <w:keepNext/>
        <w:spacing w:after="110" w:before="240"/>
      </w:pPr>
      <w:r>
        <w:rPr>
          <w:rFonts w:ascii="Calibri" w:cs="Calibri" w:eastAsia="Calibri" w:hAnsi="Calibri"/>
          <w:b/>
          <w:bCs/>
          <w:color w:val="1C6FD6"/>
          <w:sz w:val="25"/>
          <w:szCs w:val="25"/>
        </w:rPr>
        <w:t xml:space="preserve">19.1  From one corridor to a network</w:t>
      </w:r>
    </w:p>
    <w:p>
      <w:pPr>
        <w:spacing w:after="140" w:line="278"/>
        <w:jc w:val="both"/>
      </w:pPr>
      <w:r>
        <w:rPr>
          <w:rFonts w:ascii="Calibri" w:cs="Calibri" w:eastAsia="Calibri" w:hAnsi="Calibri"/>
          <w:color w:val="20303F"/>
          <w:sz w:val="22"/>
          <w:szCs w:val="22"/>
        </w:rPr>
        <w:t xml:space="preserve">Scaling is repetition, not reinvention. Each new leg of the NWA corridor — Rogers–campus, Bentonville–campus, and the inter-city links between Fayetteville, Springdale, Rogers, and Bentonville — is launched with the same concentrate-and-seed-supply playbook proven in the pilot. Liquidity in one corridor also spills into adjacent ones as students travel between them, so each launch is slightly easier than the last. The asset-light model means expansion adds software and outreach cost, not vehicles.</w:t>
      </w:r>
    </w:p>
    <w:p>
      <w:pPr>
        <w:pStyle w:val="Heading2"/>
        <w:keepNext/>
        <w:spacing w:after="110" w:before="240"/>
      </w:pPr>
      <w:r>
        <w:rPr>
          <w:rFonts w:ascii="Calibri" w:cs="Calibri" w:eastAsia="Calibri" w:hAnsi="Calibri"/>
          <w:b/>
          <w:bCs/>
          <w:color w:val="1C6FD6"/>
          <w:sz w:val="25"/>
          <w:szCs w:val="25"/>
        </w:rPr>
        <w:t xml:space="preserve">19.2  Unit economics that must hold</w:t>
      </w:r>
    </w:p>
    <w:p>
      <w:pPr>
        <w:spacing w:after="140" w:line="278"/>
        <w:jc w:val="both"/>
      </w:pPr>
      <w:r>
        <w:rPr>
          <w:rFonts w:ascii="Calibri" w:cs="Calibri" w:eastAsia="Calibri" w:hAnsi="Calibri"/>
          <w:color w:val="20303F"/>
          <w:sz w:val="22"/>
          <w:szCs w:val="22"/>
        </w:rPr>
        <w:t xml:space="preserve">The venture is viable only if a corridor sustains itself. Because rides are cost-shared and carry no margin during the pilot, the venture's revenue model at scale is deliberately left as the open question the pilot exists to inform — whether through a modest verified-membership model, sponsor-funded operations, optional non-ride services, or a regulated evolution of the contribution model under counsel. What the pilot must demonstrate is the precondition for any of these: that a concentrated corridor produces </w:t>
      </w:r>
      <w:r>
        <w:rPr>
          <w:rFonts w:ascii="Calibri" w:cs="Calibri" w:eastAsia="Calibri" w:hAnsi="Calibri"/>
          <w:b/>
          <w:bCs/>
          <w:color w:val="20303F"/>
          <w:sz w:val="22"/>
          <w:szCs w:val="22"/>
        </w:rPr>
        <w:t xml:space="preserve">real repeat usage at a sustainable cost to serve</w:t>
      </w:r>
      <w:r>
        <w:rPr>
          <w:rFonts w:ascii="Calibri" w:cs="Calibri" w:eastAsia="Calibri" w:hAnsi="Calibri"/>
          <w:color w:val="20303F"/>
          <w:sz w:val="22"/>
          <w:szCs w:val="22"/>
        </w:rPr>
        <w:t xml:space="preserve">. Retention and contribution per active corridor — not raw ride counts — are the metrics that decide whether scale is warranted.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BF3DD" w:sz="2"/>
              <w:left w:val="single" w:color="C79A2E" w:sz="28"/>
              <w:bottom w:val="single" w:color="FBF3DD" w:sz="2"/>
              <w:right w:val="single" w:color="FBF3DD" w:sz="2"/>
            </w:tcBorders>
            <w:shd w:fill="FBF3DD" w:val="clear"/>
            <w:tcMar>
              <w:top w:type="dxa" w:w="110"/>
              <w:left w:type="dxa" w:w="200"/>
              <w:bottom w:type="dxa" w:w="110"/>
              <w:right w:type="dxa" w:w="160"/>
            </w:tcMar>
          </w:tcPr>
          <w:p>
            <w:pPr>
              <w:spacing w:after="80" w:line="264"/>
            </w:pPr>
            <w:r>
              <w:rPr>
                <w:rFonts w:ascii="Calibri" w:cs="Calibri" w:eastAsia="Calibri" w:hAnsi="Calibri"/>
                <w:b/>
                <w:bCs/>
                <w:color w:val="8A6D1A"/>
                <w:sz w:val="20"/>
                <w:szCs w:val="20"/>
              </w:rPr>
              <w:t xml:space="preserve">The revenue model is a pilot output, not an assumption</w:t>
            </w:r>
          </w:p>
          <w:p>
            <w:pPr>
              <w:spacing w:after="0" w:line="278"/>
              <w:jc w:val="both"/>
            </w:pPr>
            <w:r>
              <w:rPr>
                <w:rFonts w:ascii="Calibri" w:cs="Calibri" w:eastAsia="Calibri" w:hAnsi="Calibri"/>
                <w:color w:val="20303F"/>
                <w:sz w:val="22"/>
                <w:szCs w:val="22"/>
              </w:rPr>
              <w:t xml:space="preserve">Honesty matters more than a confident projection here. The cost-sharing posture that keeps the pilot legal also means the at-scale revenue model cannot be assumed in advance — it must be designed on the pilot's evidence and confirmed with counsel. The plan treats that as a feature: prove demand and retention first under a clean legal model, then design revenue against real numbers.</w:t>
            </w:r>
          </w:p>
        </w:tc>
      </w:tr>
    </w:tbl>
    <w:p>
      <w:pPr>
        <w:pStyle w:val="Heading2"/>
        <w:keepNext/>
        <w:spacing w:after="110" w:before="240"/>
      </w:pPr>
      <w:r>
        <w:rPr>
          <w:rFonts w:ascii="Calibri" w:cs="Calibri" w:eastAsia="Calibri" w:hAnsi="Calibri"/>
          <w:b/>
          <w:bCs/>
          <w:color w:val="1C6FD6"/>
          <w:sz w:val="25"/>
          <w:szCs w:val="25"/>
        </w:rPr>
        <w:t xml:space="preserve">19.3  Staged scale plan</w:t>
      </w:r>
    </w:p>
    <w:p>
      <w:pPr>
        <w:keepNext/>
        <w:spacing w:after="90" w:before="60"/>
      </w:pPr>
      <w:r>
        <w:rPr>
          <w:rFonts w:ascii="Calibri" w:cs="Calibri" w:eastAsia="Calibri" w:hAnsi="Calibri"/>
          <w:b/>
          <w:bCs/>
          <w:color w:val="9D2235"/>
          <w:sz w:val="19"/>
          <w:szCs w:val="19"/>
        </w:rPr>
        <w:t xml:space="preserve">Table 19-1.  </w:t>
      </w:r>
      <w:r>
        <w:rPr>
          <w:rFonts w:ascii="Calibri" w:cs="Calibri" w:eastAsia="Calibri" w:hAnsi="Calibri"/>
          <w:b/>
          <w:bCs/>
          <w:color w:val="0B1F3A"/>
          <w:sz w:val="19"/>
          <w:szCs w:val="19"/>
        </w:rPr>
        <w:t xml:space="preserve">Venture stages beyond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2700"/>
        <w:gridCol w:w="1900"/>
      </w:tblGrid>
      <w:tr>
        <w:trPr>
          <w:tblHeader/>
        </w:trPr>
        <w:tc>
          <w:tcPr>
            <w:tcW w:type="dxa" w:w="17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Stage</w:t>
            </w:r>
          </w:p>
        </w:tc>
        <w:tc>
          <w:tcPr>
            <w:tcW w:type="dxa" w:w="30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Scope</w:t>
            </w:r>
          </w:p>
        </w:tc>
        <w:tc>
          <w:tcPr>
            <w:tcW w:type="dxa" w:w="27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Gate to advance</w:t>
            </w:r>
          </w:p>
        </w:tc>
        <w:tc>
          <w:tcPr>
            <w:tcW w:type="dxa" w:w="19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Funding</w:t>
            </w:r>
          </w:p>
        </w:tc>
      </w:tr>
      <w:tr>
        <w:trPr>
          <w:cantSplit/>
        </w:trPr>
        <w:tc>
          <w:tcPr>
            <w:tcW w:type="dxa" w:w="1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S0 · Pilot</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One corridor proven</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 decision at Gate 4</w:t>
            </w:r>
          </w:p>
        </w:tc>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 + grant</w:t>
            </w:r>
          </w:p>
        </w:tc>
      </w:tr>
      <w:tr>
        <w:trPr>
          <w:cantSplit/>
        </w:trPr>
        <w:tc>
          <w:tcPr>
            <w:tcW w:type="dxa" w:w="1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S1 · Multi-corridor</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Add Rogers &amp; Bentonville legs</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Retention + unit cost hold</w:t>
            </w:r>
          </w:p>
        </w:tc>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Seed round</w:t>
            </w:r>
          </w:p>
        </w:tc>
      </w:tr>
      <w:tr>
        <w:trPr>
          <w:cantSplit/>
        </w:trPr>
        <w:tc>
          <w:tcPr>
            <w:tcW w:type="dxa" w:w="1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S2 · NWA network</w:t>
            </w:r>
          </w:p>
        </w:tc>
        <w:tc>
          <w:tcPr>
            <w:tcW w:type="dxa" w:w="30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Inter-city links across NWA</w:t>
            </w:r>
          </w:p>
        </w:tc>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Per-corridor scorecard green</w:t>
            </w:r>
          </w:p>
        </w:tc>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Seed → Series A</w:t>
            </w:r>
          </w:p>
        </w:tc>
      </w:tr>
      <w:tr>
        <w:trPr>
          <w:cantSplit/>
        </w:trPr>
        <w:tc>
          <w:tcPr>
            <w:tcW w:type="dxa" w:w="1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S3 · Adjacent campuses</w:t>
            </w:r>
          </w:p>
        </w:tc>
        <w:tc>
          <w:tcPr>
            <w:tcW w:type="dxa" w:w="30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Replicate the playbook elsewhere</w:t>
            </w:r>
          </w:p>
        </w:tc>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Repeatable corridor economics</w:t>
            </w:r>
          </w:p>
        </w:tc>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Growth capital</w:t>
            </w:r>
          </w:p>
        </w:tc>
      </w:tr>
    </w:tbl>
    <w:p>
      <w:pPr>
        <w:spacing w:after="200" w:before="70"/>
        <w:jc w:val="left"/>
      </w:pPr>
      <w:r>
        <w:rPr>
          <w:rFonts w:ascii="Calibri" w:cs="Calibri" w:eastAsia="Calibri" w:hAnsi="Calibri"/>
          <w:i/>
          <w:iCs/>
          <w:color w:val="5A6675"/>
          <w:sz w:val="17"/>
          <w:szCs w:val="17"/>
        </w:rPr>
        <w:t xml:space="preserve">Each stage is gated on the prior stage's economics, mirroring the pilot's go/no-go discipline — the venture scales only on proof, never on enthusiasm.</w:t>
      </w:r>
    </w:p>
    <w:p>
      <w:pPr>
        <w:pStyle w:val="Heading2"/>
        <w:keepNext/>
        <w:spacing w:after="110" w:before="240"/>
      </w:pPr>
      <w:r>
        <w:rPr>
          <w:rFonts w:ascii="Calibri" w:cs="Calibri" w:eastAsia="Calibri" w:hAnsi="Calibri"/>
          <w:b/>
          <w:bCs/>
          <w:color w:val="1C6FD6"/>
          <w:sz w:val="25"/>
          <w:szCs w:val="25"/>
        </w:rPr>
        <w:t xml:space="preserve">19.4  The defensible moat</w:t>
      </w:r>
    </w:p>
    <w:p>
      <w:pPr>
        <w:spacing w:after="140" w:line="278"/>
        <w:jc w:val="both"/>
      </w:pPr>
      <w:r>
        <w:rPr>
          <w:rFonts w:ascii="Calibri" w:cs="Calibri" w:eastAsia="Calibri" w:hAnsi="Calibri"/>
          <w:color w:val="20303F"/>
          <w:sz w:val="22"/>
          <w:szCs w:val="22"/>
        </w:rPr>
        <w:t xml:space="preserve">DiamondDrive's durable advantage is not technology — mapping and matching are commodities — but the </w:t>
      </w:r>
      <w:r>
        <w:rPr>
          <w:rFonts w:ascii="Calibri" w:cs="Calibri" w:eastAsia="Calibri" w:hAnsi="Calibri"/>
          <w:b/>
          <w:bCs/>
          <w:color w:val="20303F"/>
          <w:sz w:val="22"/>
          <w:szCs w:val="22"/>
        </w:rPr>
        <w:t xml:space="preserve">verified, trusted, locally-anchored network</w:t>
      </w:r>
      <w:r>
        <w:rPr>
          <w:rFonts w:ascii="Calibri" w:cs="Calibri" w:eastAsia="Calibri" w:hAnsi="Calibri"/>
          <w:color w:val="20303F"/>
          <w:sz w:val="22"/>
          <w:szCs w:val="22"/>
        </w:rPr>
        <w:t xml:space="preserve"> it accumulates corridor by corridor. A closed community that incumbents cannot enter without rebuilding trust from zero, a rewards loop tied to beloved regional brands, and a cost-sharing model priced below ride-hail are, together, a position the majors are structurally ill-suited to attack. The moat compounds with every corridor saturated, which is exactly why the strategy prizes saturation over sprawl.</w:t>
      </w:r>
    </w:p>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VI</w:t>
      </w:r>
    </w:p>
    <w:p>
      <w:pPr>
        <w:pBdr>
          <w:bottom w:val="single" w:color="0B1F3A" w:sz="18" w:space="6"/>
        </w:pBdr>
        <w:spacing w:after="60" w:before="0"/>
      </w:pPr>
      <w:r>
        <w:rPr>
          <w:rFonts w:ascii="Calibri" w:cs="Calibri" w:eastAsia="Calibri" w:hAnsi="Calibri"/>
          <w:b/>
          <w:bCs/>
          <w:color w:val="0B1F3A"/>
          <w:sz w:val="38"/>
          <w:szCs w:val="38"/>
        </w:rPr>
        <w:t xml:space="preserve">Risk, Quality &amp; Governance</w:t>
      </w:r>
    </w:p>
    <w:p>
      <w:pPr>
        <w:spacing w:after="140" w:line="278"/>
        <w:jc w:val="both"/>
      </w:pPr>
      <w:r>
        <w:rPr>
          <w:rFonts w:ascii="Calibri" w:cs="Calibri" w:eastAsia="Calibri" w:hAnsi="Calibri"/>
          <w:color w:val="20303F"/>
          <w:sz w:val="22"/>
          <w:szCs w:val="22"/>
        </w:rPr>
        <w:t xml:space="preserve">Part VI is the project's control system. It identifies what could go wrong and how each risk will be handled, defines what “good” means and the gates that enforce it, lays out who does what and the rhythm by which the work proceeds, and sets the procedure for changing the plan once it is baselined. The risk register here is the most consequential table in the document, because one risk on it is not merely high — it is existential.</w:t>
      </w:r>
    </w:p>
    <w:p>
      <w:pPr>
        <w:pStyle w:val="Heading1"/>
        <w:pBdr>
          <w:bottom w:val="single" w:color="1C6FD6" w:sz="10" w:space="4"/>
        </w:pBdr>
        <w:spacing w:after="150" w:before="340"/>
      </w:pPr>
      <w:r>
        <w:rPr>
          <w:rFonts w:ascii="Calibri" w:cs="Calibri" w:eastAsia="Calibri" w:hAnsi="Calibri"/>
          <w:b/>
          <w:bCs/>
          <w:color w:val="0B1F3A"/>
          <w:sz w:val="30"/>
          <w:szCs w:val="30"/>
        </w:rPr>
        <w:t xml:space="preserve">20  Risk Management Plan &amp; Register</w:t>
      </w:r>
    </w:p>
    <w:p>
      <w:pPr>
        <w:spacing w:after="140" w:line="278"/>
        <w:jc w:val="both"/>
      </w:pPr>
      <w:r>
        <w:rPr>
          <w:rFonts w:ascii="Calibri" w:cs="Calibri" w:eastAsia="Calibri" w:hAnsi="Calibri"/>
          <w:color w:val="20303F"/>
          <w:sz w:val="22"/>
          <w:szCs w:val="22"/>
        </w:rPr>
        <w:t xml:space="preserve">Risk management is continuous, not a one-time exercise. Risks are identified, scored on likelihood and impact, assigned an owner and a response, and reviewed at every phase gate and sprint review. The register below is carried forward from the companion research paper's analysis and kept live throughout the project. It is sorted so the gravest item sits first.</w:t>
      </w:r>
    </w:p>
    <w:p>
      <w:pPr>
        <w:pStyle w:val="Heading2"/>
        <w:keepNext/>
        <w:spacing w:after="110" w:before="240"/>
      </w:pPr>
      <w:r>
        <w:rPr>
          <w:rFonts w:ascii="Calibri" w:cs="Calibri" w:eastAsia="Calibri" w:hAnsi="Calibri"/>
          <w:b/>
          <w:bCs/>
          <w:color w:val="1C6FD6"/>
          <w:sz w:val="25"/>
          <w:szCs w:val="25"/>
        </w:rPr>
        <w:t xml:space="preserve">20.1  Scoring scale</w:t>
      </w:r>
    </w:p>
    <w:p>
      <w:pPr>
        <w:spacing w:after="140" w:line="278"/>
        <w:jc w:val="both"/>
      </w:pPr>
      <w:r>
        <w:rPr>
          <w:rFonts w:ascii="Calibri" w:cs="Calibri" w:eastAsia="Calibri" w:hAnsi="Calibri"/>
          <w:color w:val="20303F"/>
          <w:sz w:val="22"/>
          <w:szCs w:val="22"/>
        </w:rPr>
        <w:t xml:space="preserve">Each risk is scored on likelihood (L) and impact (I), each Low/Medium/High, combining into an overall severity. Responses follow the standard four options — </w:t>
      </w:r>
      <w:r>
        <w:rPr>
          <w:rFonts w:ascii="Calibri" w:cs="Calibri" w:eastAsia="Calibri" w:hAnsi="Calibri"/>
          <w:b/>
          <w:bCs/>
          <w:color w:val="20303F"/>
          <w:sz w:val="22"/>
          <w:szCs w:val="22"/>
        </w:rPr>
        <w:t xml:space="preserve">avoid, mitigate, transfer, or accept</w:t>
      </w:r>
      <w:r>
        <w:rPr>
          <w:rFonts w:ascii="Calibri" w:cs="Calibri" w:eastAsia="Calibri" w:hAnsi="Calibri"/>
          <w:color w:val="20303F"/>
          <w:sz w:val="22"/>
          <w:szCs w:val="22"/>
        </w:rPr>
        <w:t xml:space="preserve"> — chosen to fit the risk. The plan's bias is to mitigate the controllable and transfer what specialists hold better (e.g., payments and identity risk to vendors; legal risk to a binding opinion).</w:t>
      </w:r>
    </w:p>
    <w:p>
      <w:pPr>
        <w:pStyle w:val="Heading2"/>
        <w:keepNext/>
        <w:spacing w:after="110" w:before="240"/>
      </w:pPr>
      <w:r>
        <w:rPr>
          <w:rFonts w:ascii="Calibri" w:cs="Calibri" w:eastAsia="Calibri" w:hAnsi="Calibri"/>
          <w:b/>
          <w:bCs/>
          <w:color w:val="1C6FD6"/>
          <w:sz w:val="25"/>
          <w:szCs w:val="25"/>
        </w:rPr>
        <w:t xml:space="preserve">20.2  Risk register</w:t>
      </w:r>
    </w:p>
    <w:p>
      <w:pPr>
        <w:keepNext/>
        <w:spacing w:after="90" w:before="60"/>
      </w:pPr>
      <w:r>
        <w:rPr>
          <w:rFonts w:ascii="Calibri" w:cs="Calibri" w:eastAsia="Calibri" w:hAnsi="Calibri"/>
          <w:b/>
          <w:bCs/>
          <w:color w:val="9D2235"/>
          <w:sz w:val="19"/>
          <w:szCs w:val="19"/>
        </w:rPr>
        <w:t xml:space="preserve">Table 20-1.  </w:t>
      </w:r>
      <w:r>
        <w:rPr>
          <w:rFonts w:ascii="Calibri" w:cs="Calibri" w:eastAsia="Calibri" w:hAnsi="Calibri"/>
          <w:b/>
          <w:bCs/>
          <w:color w:val="0B1F3A"/>
          <w:sz w:val="19"/>
          <w:szCs w:val="19"/>
        </w:rPr>
        <w:t xml:space="preserve">Risk register (live; reviewed at every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60"/>
        <w:gridCol w:w="560"/>
        <w:gridCol w:w="560"/>
        <w:gridCol w:w="1320"/>
        <w:gridCol w:w="3160"/>
      </w:tblGrid>
      <w:tr>
        <w:trPr>
          <w:tblHeader/>
        </w:trPr>
        <w:tc>
          <w:tcPr>
            <w:tcW w:type="dxa" w:w="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ID</w:t>
            </w:r>
          </w:p>
        </w:tc>
        <w:tc>
          <w:tcPr>
            <w:tcW w:type="dxa" w:w="32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Risk</w:t>
            </w:r>
          </w:p>
        </w:tc>
        <w:tc>
          <w:tcPr>
            <w:tcW w:type="dxa" w:w="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L</w:t>
            </w:r>
          </w:p>
        </w:tc>
        <w:tc>
          <w:tcPr>
            <w:tcW w:type="dxa" w:w="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w:t>
            </w:r>
          </w:p>
        </w:tc>
        <w:tc>
          <w:tcPr>
            <w:tcW w:type="dxa" w:w="132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Sev.</w:t>
            </w:r>
          </w:p>
        </w:tc>
        <w:tc>
          <w:tcPr>
            <w:tcW w:type="dxa" w:w="31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Response &amp; owner</w:t>
            </w:r>
          </w:p>
        </w:tc>
      </w:tr>
      <w:tr>
        <w:trPr>
          <w:cantSplit/>
        </w:trPr>
        <w:tc>
          <w:tcPr>
            <w:tcW w:type="dxa" w:w="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R1</w:t>
            </w:r>
          </w:p>
        </w:tc>
        <w:tc>
          <w:tcPr>
            <w:tcW w:type="dxa" w:w="3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Insurance / regulatory classification — service deemed a TNC; personal-auto coverage excluded; commercial coverage financially fatal.</w:t>
            </w:r>
          </w:p>
        </w:tc>
        <w:tc>
          <w:tcPr>
            <w:tcW w:type="dxa" w:w="560"/>
            <w:tcBorders>
              <w:top w:val="single" w:color="C9D4E2" w:sz="1"/>
              <w:left w:val="single" w:color="C9D4E2" w:sz="1"/>
              <w:bottom w:val="single" w:color="C9D4E2" w:sz="1"/>
              <w:right w:val="single" w:color="C9D4E2" w:sz="1"/>
            </w:tcBorders>
            <w:shd w:fill="C8334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M</w:t>
            </w:r>
          </w:p>
        </w:tc>
        <w:tc>
          <w:tcPr>
            <w:tcW w:type="dxa" w:w="560"/>
            <w:tcBorders>
              <w:top w:val="single" w:color="C9D4E2" w:sz="1"/>
              <w:left w:val="single" w:color="C9D4E2" w:sz="1"/>
              <w:bottom w:val="single" w:color="C9D4E2" w:sz="1"/>
              <w:right w:val="single" w:color="C9D4E2" w:sz="1"/>
            </w:tcBorders>
            <w:shd w:fill="9D2235"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H</w:t>
            </w:r>
          </w:p>
        </w:tc>
        <w:tc>
          <w:tcPr>
            <w:tcW w:type="dxa" w:w="1320"/>
            <w:tcBorders>
              <w:top w:val="single" w:color="C9D4E2" w:sz="1"/>
              <w:left w:val="single" w:color="C9D4E2" w:sz="1"/>
              <w:bottom w:val="single" w:color="C9D4E2" w:sz="1"/>
              <w:right w:val="single" w:color="C9D4E2" w:sz="1"/>
            </w:tcBorders>
            <w:shd w:fill="9D2235"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EXISTENTIAL</w:t>
            </w:r>
          </w:p>
        </w:tc>
        <w:tc>
          <w:tcPr>
            <w:tcW w:type="dxa" w:w="3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Avoid/transfer: operate as genuine cost-sharing carpool; binding legal opinion before launch (Gate 1). Owner: Project lead + counsel.</w:t>
            </w:r>
          </w:p>
        </w:tc>
      </w:tr>
      <w:tr>
        <w:trPr>
          <w:cantSplit/>
        </w:trPr>
        <w:tc>
          <w:tcPr>
            <w:tcW w:type="dxa" w:w="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R2</w:t>
            </w:r>
          </w:p>
        </w:tc>
        <w:tc>
          <w:tcPr>
            <w:tcW w:type="dxa" w:w="3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Cold-start failure — too few drivers or riders to reach liquidity on the corridor.</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560"/>
            <w:tcBorders>
              <w:top w:val="single" w:color="C9D4E2" w:sz="1"/>
              <w:left w:val="single" w:color="C9D4E2" w:sz="1"/>
              <w:bottom w:val="single" w:color="C9D4E2" w:sz="1"/>
              <w:right w:val="single" w:color="C9D4E2" w:sz="1"/>
            </w:tcBorders>
            <w:shd w:fill="C8334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H</w:t>
            </w:r>
          </w:p>
        </w:tc>
        <w:tc>
          <w:tcPr>
            <w:tcW w:type="dxa" w:w="1320"/>
            <w:tcBorders>
              <w:top w:val="single" w:color="C9D4E2" w:sz="1"/>
              <w:left w:val="single" w:color="C9D4E2" w:sz="1"/>
              <w:bottom w:val="single" w:color="C9D4E2" w:sz="1"/>
              <w:right w:val="single" w:color="C9D4E2" w:sz="1"/>
            </w:tcBorders>
            <w:shd w:fill="C8334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HIGH</w:t>
            </w:r>
          </w:p>
        </w:tc>
        <w:tc>
          <w:tcPr>
            <w:tcW w:type="dxa" w:w="3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concentrate on one corridor; seed drivers first; sponsor-funded rewards (§18). Owner: Project lead.</w:t>
            </w:r>
          </w:p>
        </w:tc>
      </w:tr>
      <w:tr>
        <w:trPr>
          <w:cantSplit/>
        </w:trPr>
        <w:tc>
          <w:tcPr>
            <w:tcW w:type="dxa" w:w="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R3</w:t>
            </w:r>
          </w:p>
        </w:tc>
        <w:tc>
          <w:tcPr>
            <w:tcW w:type="dxa" w:w="3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Serious safety incident during a trip.</w:t>
            </w:r>
          </w:p>
        </w:tc>
        <w:tc>
          <w:tcPr>
            <w:tcW w:type="dxa" w:w="56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L</w:t>
            </w:r>
          </w:p>
        </w:tc>
        <w:tc>
          <w:tcPr>
            <w:tcW w:type="dxa" w:w="560"/>
            <w:tcBorders>
              <w:top w:val="single" w:color="C9D4E2" w:sz="1"/>
              <w:left w:val="single" w:color="C9D4E2" w:sz="1"/>
              <w:bottom w:val="single" w:color="C9D4E2" w:sz="1"/>
              <w:right w:val="single" w:color="C9D4E2" w:sz="1"/>
            </w:tcBorders>
            <w:shd w:fill="9D2235"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H</w:t>
            </w:r>
          </w:p>
        </w:tc>
        <w:tc>
          <w:tcPr>
            <w:tcW w:type="dxa" w:w="1320"/>
            <w:tcBorders>
              <w:top w:val="single" w:color="C9D4E2" w:sz="1"/>
              <w:left w:val="single" w:color="C9D4E2" w:sz="1"/>
              <w:bottom w:val="single" w:color="C9D4E2" w:sz="1"/>
              <w:right w:val="single" w:color="C9D4E2" w:sz="1"/>
            </w:tcBorders>
            <w:shd w:fill="C8334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HIGH</w:t>
            </w:r>
          </w:p>
        </w:tc>
        <w:tc>
          <w:tcPr>
            <w:tcW w:type="dxa" w:w="3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verified access, background checks, trip sharing, SOS, ratings; incident protocol (§3.2). Owner: Project lead.</w:t>
            </w:r>
          </w:p>
        </w:tc>
      </w:tr>
      <w:tr>
        <w:trPr>
          <w:cantSplit/>
        </w:trPr>
        <w:tc>
          <w:tcPr>
            <w:tcW w:type="dxa" w:w="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R4</w:t>
            </w:r>
          </w:p>
        </w:tc>
        <w:tc>
          <w:tcPr>
            <w:tcW w:type="dxa" w:w="3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Institutional objection — university curtails the pilot.</w:t>
            </w:r>
          </w:p>
        </w:tc>
        <w:tc>
          <w:tcPr>
            <w:tcW w:type="dxa" w:w="56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L</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132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MED</w:t>
            </w:r>
          </w:p>
        </w:tc>
        <w:tc>
          <w:tcPr>
            <w:tcW w:type="dxa" w:w="3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proactive, factual updates; clear non-affiliation; coexist with Safe Ride. Owner: Project lead.</w:t>
            </w:r>
          </w:p>
        </w:tc>
      </w:tr>
      <w:tr>
        <w:trPr>
          <w:cantSplit/>
        </w:trPr>
        <w:tc>
          <w:tcPr>
            <w:tcW w:type="dxa" w:w="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R5</w:t>
            </w:r>
          </w:p>
        </w:tc>
        <w:tc>
          <w:tcPr>
            <w:tcW w:type="dxa" w:w="3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creep inflates cost or compromises the legal posture.</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132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MED</w:t>
            </w:r>
          </w:p>
        </w:tc>
        <w:tc>
          <w:tcPr>
            <w:tcW w:type="dxa" w:w="3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strict scope baseline (§10); change control (§23); phased funding. Owner: Project lead.</w:t>
            </w:r>
          </w:p>
        </w:tc>
      </w:tr>
      <w:tr>
        <w:trPr>
          <w:cantSplit/>
        </w:trPr>
        <w:tc>
          <w:tcPr>
            <w:tcW w:type="dxa" w:w="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R6</w:t>
            </w:r>
          </w:p>
        </w:tc>
        <w:tc>
          <w:tcPr>
            <w:tcW w:type="dxa" w:w="3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Sponsorship shortfall — rewards/launch underfunded.</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132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MED</w:t>
            </w:r>
          </w:p>
        </w:tc>
        <w:tc>
          <w:tcPr>
            <w:tcW w:type="dxa" w:w="3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lean fallback budget; multiple sponsor prospects; reduce rewards. Owner: Founder.</w:t>
            </w:r>
          </w:p>
        </w:tc>
      </w:tr>
      <w:tr>
        <w:trPr>
          <w:cantSplit/>
        </w:trPr>
        <w:tc>
          <w:tcPr>
            <w:tcW w:type="dxa" w:w="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R7</w:t>
            </w:r>
          </w:p>
        </w:tc>
        <w:tc>
          <w:tcPr>
            <w:tcW w:type="dxa" w:w="32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Key-person dependency — founder-led team, thin headcount.</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132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MED</w:t>
            </w:r>
          </w:p>
        </w:tc>
        <w:tc>
          <w:tcPr>
            <w:tcW w:type="dxa" w:w="31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Mitigate: documentation; modular build; recruit collaborators. Owner: Founder.</w:t>
            </w:r>
          </w:p>
        </w:tc>
      </w:tr>
      <w:tr>
        <w:trPr>
          <w:cantSplit/>
        </w:trPr>
        <w:tc>
          <w:tcPr>
            <w:tcW w:type="dxa" w:w="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R8</w:t>
            </w:r>
          </w:p>
        </w:tc>
        <w:tc>
          <w:tcPr>
            <w:tcW w:type="dxa" w:w="32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Vendor/API failure or price change disrupts service.</w:t>
            </w:r>
          </w:p>
        </w:tc>
        <w:tc>
          <w:tcPr>
            <w:tcW w:type="dxa" w:w="56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L</w:t>
            </w:r>
          </w:p>
        </w:tc>
        <w:tc>
          <w:tcPr>
            <w:tcW w:type="dxa" w:w="560"/>
            <w:tcBorders>
              <w:top w:val="single" w:color="C9D4E2" w:sz="1"/>
              <w:left w:val="single" w:color="C9D4E2" w:sz="1"/>
              <w:bottom w:val="single" w:color="C9D4E2" w:sz="1"/>
              <w:right w:val="single" w:color="C9D4E2" w:sz="1"/>
            </w:tcBorders>
            <w:shd w:fill="E6A23C"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M</w:t>
            </w:r>
          </w:p>
        </w:tc>
        <w:tc>
          <w:tcPr>
            <w:tcW w:type="dxa" w:w="1320"/>
            <w:tcBorders>
              <w:top w:val="single" w:color="C9D4E2" w:sz="1"/>
              <w:left w:val="single" w:color="C9D4E2" w:sz="1"/>
              <w:bottom w:val="single" w:color="C9D4E2" w:sz="1"/>
              <w:right w:val="single" w:color="C9D4E2" w:sz="1"/>
            </w:tcBorders>
            <w:shd w:fill="2E9E5B"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LOW</w:t>
            </w:r>
          </w:p>
        </w:tc>
        <w:tc>
          <w:tcPr>
            <w:tcW w:type="dxa" w:w="31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Transfer/mitigate: interchangeable providers; OSS mapping; usage tiers (§17.1). Owner: Project lead.</w:t>
            </w:r>
          </w:p>
        </w:tc>
      </w:tr>
    </w:tbl>
    <w:p>
      <w:pPr>
        <w:spacing w:after="200" w:before="70"/>
        <w:jc w:val="left"/>
      </w:pPr>
      <w:r>
        <w:rPr>
          <w:rFonts w:ascii="Calibri" w:cs="Calibri" w:eastAsia="Calibri" w:hAnsi="Calibri"/>
          <w:i/>
          <w:iCs/>
          <w:color w:val="5A6675"/>
          <w:sz w:val="17"/>
          <w:szCs w:val="17"/>
        </w:rPr>
        <w:t xml:space="preserve">R1 is the only existential risk and is the reason the entire schedule and budget are sequenced around Gate 1. Severity colour follows a green→amber→cardinal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One risk governs the plan</w:t>
            </w:r>
          </w:p>
          <w:p>
            <w:pPr>
              <w:spacing w:after="0" w:line="278"/>
              <w:jc w:val="both"/>
            </w:pPr>
            <w:r>
              <w:rPr>
                <w:rFonts w:ascii="Calibri" w:cs="Calibri" w:eastAsia="Calibri" w:hAnsi="Calibri"/>
                <w:color w:val="20303F"/>
                <w:sz w:val="22"/>
                <w:szCs w:val="22"/>
              </w:rPr>
              <w:t xml:space="preserve">If only one thing is taken from this document, it is this: </w:t>
            </w:r>
            <w:r>
              <w:rPr>
                <w:rFonts w:ascii="Calibri" w:cs="Calibri" w:eastAsia="Calibri" w:hAnsi="Calibri"/>
                <w:b/>
                <w:bCs/>
                <w:color w:val="20303F"/>
                <w:sz w:val="22"/>
                <w:szCs w:val="22"/>
              </w:rPr>
              <w:t xml:space="preserve">DiamondDrive's survival depends on resolving R1 before launch</w:t>
            </w:r>
            <w:r>
              <w:rPr>
                <w:rFonts w:ascii="Calibri" w:cs="Calibri" w:eastAsia="Calibri" w:hAnsi="Calibri"/>
                <w:color w:val="20303F"/>
                <w:sz w:val="22"/>
                <w:szCs w:val="22"/>
              </w:rPr>
              <w:t xml:space="preserve">. Every other risk is the ordinary, survivable kind a careful pilot manages. R1 is not — which is why it is mitigated by both a structural choice (be a real cost-sharing carpool) and an external confirmation (a binding legal opinion), and why no public operation begins until it is cleared.</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21  Quality Management &amp; Phase Gates</w:t>
      </w:r>
    </w:p>
    <w:p>
      <w:pPr>
        <w:spacing w:after="140" w:line="278"/>
        <w:jc w:val="both"/>
      </w:pPr>
      <w:r>
        <w:rPr>
          <w:rFonts w:ascii="Calibri" w:cs="Calibri" w:eastAsia="Calibri" w:hAnsi="Calibri"/>
          <w:color w:val="20303F"/>
          <w:sz w:val="22"/>
          <w:szCs w:val="22"/>
        </w:rPr>
        <w:t xml:space="preserve">Quality is defined on two levels that match the two cadences: the predictive wrapper enforces quality at </w:t>
      </w:r>
      <w:r>
        <w:rPr>
          <w:rFonts w:ascii="Calibri" w:cs="Calibri" w:eastAsia="Calibri" w:hAnsi="Calibri"/>
          <w:b/>
          <w:bCs/>
          <w:color w:val="20303F"/>
          <w:sz w:val="22"/>
          <w:szCs w:val="22"/>
        </w:rPr>
        <w:t xml:space="preserve">phase gates</w:t>
      </w:r>
      <w:r>
        <w:rPr>
          <w:rFonts w:ascii="Calibri" w:cs="Calibri" w:eastAsia="Calibri" w:hAnsi="Calibri"/>
          <w:color w:val="20303F"/>
          <w:sz w:val="22"/>
          <w:szCs w:val="22"/>
        </w:rPr>
        <w:t xml:space="preserve">, and the Agile build enforces it every sprint through a </w:t>
      </w:r>
      <w:r>
        <w:rPr>
          <w:rFonts w:ascii="Calibri" w:cs="Calibri" w:eastAsia="Calibri" w:hAnsi="Calibri"/>
          <w:b/>
          <w:bCs/>
          <w:color w:val="20303F"/>
          <w:sz w:val="22"/>
          <w:szCs w:val="22"/>
        </w:rPr>
        <w:t xml:space="preserve">definition of done</w:t>
      </w:r>
      <w:r>
        <w:rPr>
          <w:rFonts w:ascii="Calibri" w:cs="Calibri" w:eastAsia="Calibri" w:hAnsi="Calibri"/>
          <w:color w:val="20303F"/>
          <w:sz w:val="22"/>
          <w:szCs w:val="22"/>
        </w:rPr>
        <w:t xml:space="preserve">. A deliverable is not “done” because it exists; it is done when it meets the explicit criteria below and, at a gate, when the sponsor agrees it is.</w:t>
      </w:r>
    </w:p>
    <w:p>
      <w:pPr>
        <w:pStyle w:val="Heading2"/>
        <w:keepNext/>
        <w:spacing w:after="110" w:before="240"/>
      </w:pPr>
      <w:r>
        <w:rPr>
          <w:rFonts w:ascii="Calibri" w:cs="Calibri" w:eastAsia="Calibri" w:hAnsi="Calibri"/>
          <w:b/>
          <w:bCs/>
          <w:color w:val="1C6FD6"/>
          <w:sz w:val="25"/>
          <w:szCs w:val="25"/>
        </w:rPr>
        <w:t xml:space="preserve">21.1  Phase gates</w:t>
      </w:r>
    </w:p>
    <w:p>
      <w:pPr>
        <w:keepNext/>
        <w:spacing w:after="90" w:before="60"/>
      </w:pPr>
      <w:r>
        <w:rPr>
          <w:rFonts w:ascii="Calibri" w:cs="Calibri" w:eastAsia="Calibri" w:hAnsi="Calibri"/>
          <w:b/>
          <w:bCs/>
          <w:color w:val="9D2235"/>
          <w:sz w:val="19"/>
          <w:szCs w:val="19"/>
        </w:rPr>
        <w:t xml:space="preserve">Table 21-1.  </w:t>
      </w:r>
      <w:r>
        <w:rPr>
          <w:rFonts w:ascii="Calibri" w:cs="Calibri" w:eastAsia="Calibri" w:hAnsi="Calibri"/>
          <w:b/>
          <w:bCs/>
          <w:color w:val="0B1F3A"/>
          <w:sz w:val="19"/>
          <w:szCs w:val="19"/>
        </w:rPr>
        <w:t xml:space="preserve">Phase gates and their pass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760"/>
        <w:gridCol w:w="2500"/>
      </w:tblGrid>
      <w:tr>
        <w:trPr>
          <w:tblHeader/>
        </w:trPr>
        <w:tc>
          <w:tcPr>
            <w:tcW w:type="dxa" w:w="19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Gate</w:t>
            </w:r>
          </w:p>
        </w:tc>
        <w:tc>
          <w:tcPr>
            <w:tcW w:type="dxa" w:w="1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At milestone</w:t>
            </w:r>
          </w:p>
        </w:tc>
        <w:tc>
          <w:tcPr>
            <w:tcW w:type="dxa" w:w="3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Pass criterion</w:t>
            </w:r>
          </w:p>
        </w:tc>
        <w:tc>
          <w:tcPr>
            <w:tcW w:type="dxa" w:w="25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Decision</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G0 · Charter</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M0</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Charter approved; plan baselined; scope agreed</w:t>
            </w:r>
          </w:p>
        </w:tc>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Proceed to discovery</w:t>
            </w:r>
          </w:p>
        </w:tc>
      </w:tr>
      <w:tr>
        <w:trPr>
          <w:cantSplit/>
        </w:trPr>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G1 · Legal</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M2</w:t>
            </w:r>
          </w:p>
        </w:tc>
        <w:tc>
          <w:tcPr>
            <w:tcW w:type="dxa" w:w="3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Binding cost-sharing opinion secured</w:t>
            </w:r>
          </w:p>
        </w:tc>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Unblock build &amp; beta</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G2 · Beta</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M4</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Product stable with real users; safety tooling live</w:t>
            </w:r>
          </w:p>
        </w:tc>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Proceed to launch prep</w:t>
            </w:r>
          </w:p>
        </w:tc>
      </w:tr>
      <w:tr>
        <w:trPr>
          <w:cantSplit/>
        </w:trPr>
        <w:tc>
          <w:tcPr>
            <w:tcW w:type="dxa" w:w="19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G3 · Launch</w:t>
            </w:r>
          </w:p>
        </w:tc>
        <w:tc>
          <w:tcPr>
            <w:tcW w:type="dxa" w:w="1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M5</w:t>
            </w:r>
          </w:p>
        </w:tc>
        <w:tc>
          <w:tcPr>
            <w:tcW w:type="dxa" w:w="3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Legal, safety, sponsor, vendors all green</w:t>
            </w:r>
          </w:p>
        </w:tc>
        <w:tc>
          <w:tcPr>
            <w:tcW w:type="dxa" w:w="25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Authorise public pilot</w:t>
            </w:r>
          </w:p>
        </w:tc>
      </w:tr>
      <w:tr>
        <w:trPr>
          <w:cantSplit/>
        </w:trPr>
        <w:tc>
          <w:tcPr>
            <w:tcW w:type="dxa" w:w="19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G4 · Close</w:t>
            </w:r>
          </w:p>
        </w:tc>
        <w:tc>
          <w:tcPr>
            <w:tcW w:type="dxa" w:w="1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M6</w:t>
            </w:r>
          </w:p>
        </w:tc>
        <w:tc>
          <w:tcPr>
            <w:tcW w:type="dxa" w:w="3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Full semester run; KPIs analysed</w:t>
            </w:r>
          </w:p>
        </w:tc>
        <w:tc>
          <w:tcPr>
            <w:tcW w:type="dxa" w:w="25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Go / refine / no-go</w:t>
            </w:r>
          </w:p>
        </w:tc>
      </w:tr>
    </w:tbl>
    <w:p>
      <w:pPr>
        <w:spacing w:after="200" w:before="70"/>
        <w:jc w:val="left"/>
      </w:pPr>
      <w:r>
        <w:rPr>
          <w:rFonts w:ascii="Calibri" w:cs="Calibri" w:eastAsia="Calibri" w:hAnsi="Calibri"/>
          <w:i/>
          <w:iCs/>
          <w:color w:val="5A6675"/>
          <w:sz w:val="17"/>
          <w:szCs w:val="17"/>
        </w:rPr>
        <w:t xml:space="preserve">Gates are the synchronisation points where the predictive and Agile tracks meet (§5.3). G1 and G3 are hard gates; neither is bypassed.</w:t>
      </w:r>
    </w:p>
    <w:p>
      <w:pPr>
        <w:pStyle w:val="Heading2"/>
        <w:keepNext/>
        <w:spacing w:after="110" w:before="240"/>
      </w:pPr>
      <w:r>
        <w:rPr>
          <w:rFonts w:ascii="Calibri" w:cs="Calibri" w:eastAsia="Calibri" w:hAnsi="Calibri"/>
          <w:b/>
          <w:bCs/>
          <w:color w:val="1C6FD6"/>
          <w:sz w:val="25"/>
          <w:szCs w:val="25"/>
        </w:rPr>
        <w:t xml:space="preserve">21.2  Definition of done (Agile build)</w:t>
      </w:r>
    </w:p>
    <w:p>
      <w:pPr>
        <w:spacing w:after="140" w:line="278"/>
        <w:jc w:val="both"/>
      </w:pPr>
      <w:r>
        <w:rPr>
          <w:rFonts w:ascii="Calibri" w:cs="Calibri" w:eastAsia="Calibri" w:hAnsi="Calibri"/>
          <w:color w:val="20303F"/>
          <w:sz w:val="22"/>
          <w:szCs w:val="22"/>
        </w:rPr>
        <w:t xml:space="preserve">Within the build, a backlog item is done only when all of the following hold — the standard that keeps sprint velocity from hiding fragile work:</w:t>
      </w:r>
    </w:p>
    <w:p>
      <w:pPr>
        <w:pStyle w:val="ListParagraph"/>
        <w:numPr>
          <w:ilvl w:val="0"/>
          <w:numId w:val="3"/>
        </w:numPr>
        <w:spacing w:after="70" w:line="268"/>
        <w:jc w:val="left"/>
      </w:pPr>
      <w:r>
        <w:rPr>
          <w:rFonts w:ascii="Calibri" w:cs="Calibri" w:eastAsia="Calibri" w:hAnsi="Calibri"/>
          <w:b/>
          <w:bCs/>
          <w:color w:val="20303F"/>
          <w:sz w:val="22"/>
          <w:szCs w:val="22"/>
        </w:rPr>
        <w:t xml:space="preserve">Functionally complete </w:t>
      </w:r>
      <w:r>
        <w:rPr>
          <w:rFonts w:ascii="Calibri" w:cs="Calibri" w:eastAsia="Calibri" w:hAnsi="Calibri"/>
          <w:color w:val="20303F"/>
          <w:sz w:val="22"/>
          <w:szCs w:val="22"/>
        </w:rPr>
        <w:t xml:space="preserve">against its acceptance criteria, across web, PWA, and desktop from the one codebase.</w:t>
      </w:r>
    </w:p>
    <w:p>
      <w:pPr>
        <w:pStyle w:val="ListParagraph"/>
        <w:numPr>
          <w:ilvl w:val="0"/>
          <w:numId w:val="3"/>
        </w:numPr>
        <w:spacing w:after="70" w:line="268"/>
        <w:jc w:val="left"/>
      </w:pPr>
      <w:r>
        <w:rPr>
          <w:rFonts w:ascii="Calibri" w:cs="Calibri" w:eastAsia="Calibri" w:hAnsi="Calibri"/>
          <w:b/>
          <w:bCs/>
          <w:color w:val="20303F"/>
          <w:sz w:val="22"/>
          <w:szCs w:val="22"/>
        </w:rPr>
        <w:t xml:space="preserve">Safe and private by default </w:t>
      </w:r>
      <w:r>
        <w:rPr>
          <w:rFonts w:ascii="Calibri" w:cs="Calibri" w:eastAsia="Calibri" w:hAnsi="Calibri"/>
          <w:color w:val="20303F"/>
          <w:sz w:val="22"/>
          <w:szCs w:val="22"/>
        </w:rPr>
        <w:t xml:space="preserve">— no flow weakens verification, trip-sharing, or the safety tooling.</w:t>
      </w:r>
    </w:p>
    <w:p>
      <w:pPr>
        <w:pStyle w:val="ListParagraph"/>
        <w:numPr>
          <w:ilvl w:val="0"/>
          <w:numId w:val="3"/>
        </w:numPr>
        <w:spacing w:after="70" w:line="268"/>
        <w:jc w:val="left"/>
      </w:pPr>
      <w:r>
        <w:rPr>
          <w:rFonts w:ascii="Calibri" w:cs="Calibri" w:eastAsia="Calibri" w:hAnsi="Calibri"/>
          <w:b/>
          <w:bCs/>
          <w:color w:val="20303F"/>
          <w:sz w:val="22"/>
          <w:szCs w:val="22"/>
        </w:rPr>
        <w:t xml:space="preserve">On-model </w:t>
      </w:r>
      <w:r>
        <w:rPr>
          <w:rFonts w:ascii="Calibri" w:cs="Calibri" w:eastAsia="Calibri" w:hAnsi="Calibri"/>
          <w:color w:val="20303F"/>
          <w:sz w:val="22"/>
          <w:szCs w:val="22"/>
        </w:rPr>
        <w:t xml:space="preserve">— nothing introduces surge, a driver wage, or any mechanic that endangers the cost-sharing posture.</w:t>
      </w:r>
    </w:p>
    <w:p>
      <w:pPr>
        <w:pStyle w:val="ListParagraph"/>
        <w:numPr>
          <w:ilvl w:val="0"/>
          <w:numId w:val="3"/>
        </w:numPr>
        <w:spacing w:after="70" w:line="268"/>
        <w:jc w:val="left"/>
      </w:pPr>
      <w:r>
        <w:rPr>
          <w:rFonts w:ascii="Calibri" w:cs="Calibri" w:eastAsia="Calibri" w:hAnsi="Calibri"/>
          <w:b/>
          <w:bCs/>
          <w:color w:val="20303F"/>
          <w:sz w:val="22"/>
          <w:szCs w:val="22"/>
        </w:rPr>
        <w:t xml:space="preserve">Tested and stable </w:t>
      </w:r>
      <w:r>
        <w:rPr>
          <w:rFonts w:ascii="Calibri" w:cs="Calibri" w:eastAsia="Calibri" w:hAnsi="Calibri"/>
          <w:color w:val="20303F"/>
          <w:sz w:val="22"/>
          <w:szCs w:val="22"/>
        </w:rPr>
        <w:t xml:space="preserve">— exercised on real corridor data without console errors or broken states.</w:t>
      </w:r>
    </w:p>
    <w:p>
      <w:pPr>
        <w:pStyle w:val="ListParagraph"/>
        <w:numPr>
          <w:ilvl w:val="0"/>
          <w:numId w:val="3"/>
        </w:numPr>
        <w:spacing w:after="70" w:line="268"/>
        <w:jc w:val="left"/>
      </w:pPr>
      <w:r>
        <w:rPr>
          <w:rFonts w:ascii="Calibri" w:cs="Calibri" w:eastAsia="Calibri" w:hAnsi="Calibri"/>
          <w:b/>
          <w:bCs/>
          <w:color w:val="20303F"/>
          <w:sz w:val="22"/>
          <w:szCs w:val="22"/>
        </w:rPr>
        <w:t xml:space="preserve">On-brand </w:t>
      </w:r>
      <w:r>
        <w:rPr>
          <w:rFonts w:ascii="Calibri" w:cs="Calibri" w:eastAsia="Calibri" w:hAnsi="Calibri"/>
          <w:color w:val="20303F"/>
          <w:sz w:val="22"/>
          <w:szCs w:val="22"/>
        </w:rPr>
        <w:t xml:space="preserve">— consistent with the navy/diamond-blue and Arkansas cardinal visual system and the verified-trust tone.</w:t>
      </w:r>
    </w:p>
    <w:p>
      <w:pPr>
        <w:pStyle w:val="Heading2"/>
        <w:keepNext/>
        <w:spacing w:after="110" w:before="240"/>
      </w:pPr>
      <w:r>
        <w:rPr>
          <w:rFonts w:ascii="Calibri" w:cs="Calibri" w:eastAsia="Calibri" w:hAnsi="Calibri"/>
          <w:b/>
          <w:bCs/>
          <w:color w:val="1C6FD6"/>
          <w:sz w:val="25"/>
          <w:szCs w:val="25"/>
        </w:rPr>
        <w:t xml:space="preserve">21.3  Quality of the model itself</w:t>
      </w:r>
    </w:p>
    <w:p>
      <w:pPr>
        <w:spacing w:after="140" w:line="278"/>
        <w:jc w:val="both"/>
      </w:pPr>
      <w:r>
        <w:rPr>
          <w:rFonts w:ascii="Calibri" w:cs="Calibri" w:eastAsia="Calibri" w:hAnsi="Calibri"/>
          <w:color w:val="20303F"/>
          <w:sz w:val="22"/>
          <w:szCs w:val="22"/>
        </w:rPr>
        <w:t xml:space="preserve">The most important quality control is not a code test; it is the ongoing check that the operating model stays a genuine cost-sharing carpool. Every pricing change, rewards mechanic, and driver-facing feature is reviewed against the question “does this make us look like a TNC?” before it ships. This review is a standing agenda item at sprint review and a mandatory check at G3, because a quality failure here is the one that triggers R1.</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22  Resources, Roles &amp; Agile Cadence</w:t>
      </w:r>
    </w:p>
    <w:p>
      <w:pPr>
        <w:spacing w:after="140" w:line="278"/>
        <w:jc w:val="both"/>
      </w:pPr>
      <w:r>
        <w:rPr>
          <w:rFonts w:ascii="Calibri" w:cs="Calibri" w:eastAsia="Calibri" w:hAnsi="Calibri"/>
          <w:color w:val="20303F"/>
          <w:sz w:val="22"/>
          <w:szCs w:val="22"/>
        </w:rPr>
        <w:t xml:space="preserve">This section names who does the work and the rhythm by which they do it. The team is deliberately small for the pilot, which makes clarity of role more important rather than less, and the cadence is the concrete Scrum rhythm that the build (4.0) and the in-pilot iteration (6.3) follow inside the predictive frame.</w:t>
      </w:r>
    </w:p>
    <w:p>
      <w:pPr>
        <w:pStyle w:val="Heading2"/>
        <w:keepNext/>
        <w:spacing w:after="110" w:before="240"/>
      </w:pPr>
      <w:r>
        <w:rPr>
          <w:rFonts w:ascii="Calibri" w:cs="Calibri" w:eastAsia="Calibri" w:hAnsi="Calibri"/>
          <w:b/>
          <w:bCs/>
          <w:color w:val="1C6FD6"/>
          <w:sz w:val="25"/>
          <w:szCs w:val="25"/>
        </w:rPr>
        <w:t xml:space="preserve">22.1  Team &amp; roles</w:t>
      </w:r>
    </w:p>
    <w:p>
      <w:pPr>
        <w:keepNext/>
        <w:spacing w:after="90" w:before="60"/>
      </w:pPr>
      <w:r>
        <w:rPr>
          <w:rFonts w:ascii="Calibri" w:cs="Calibri" w:eastAsia="Calibri" w:hAnsi="Calibri"/>
          <w:b/>
          <w:bCs/>
          <w:color w:val="9D2235"/>
          <w:sz w:val="19"/>
          <w:szCs w:val="19"/>
        </w:rPr>
        <w:t xml:space="preserve">Table 22-1.  </w:t>
      </w:r>
      <w:r>
        <w:rPr>
          <w:rFonts w:ascii="Calibri" w:cs="Calibri" w:eastAsia="Calibri" w:hAnsi="Calibri"/>
          <w:b/>
          <w:bCs/>
          <w:color w:val="0B1F3A"/>
          <w:sz w:val="19"/>
          <w:szCs w:val="19"/>
        </w:rPr>
        <w:t xml:space="preserve">Project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Role</w:t>
            </w:r>
          </w:p>
        </w:tc>
        <w:tc>
          <w:tcPr>
            <w:tcW w:type="dxa" w:w="2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Held by</w:t>
            </w:r>
          </w:p>
        </w:tc>
        <w:tc>
          <w:tcPr>
            <w:tcW w:type="dxa" w:w="4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Responsibility</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Project Lead / Product Owner</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Maximiliano Garcia</w:t>
            </w:r>
          </w:p>
        </w:tc>
        <w:tc>
          <w:tcPr>
            <w:tcW w:type="dxa" w:w="4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Owns scope, backlog priority, gates, and the cost-sharing posture.</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Sponsor / Evaluator</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Faculty (academic)</w:t>
            </w:r>
          </w:p>
        </w:tc>
        <w:tc>
          <w:tcPr>
            <w:tcW w:type="dxa" w:w="4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Approves gates; assesses the capstone; releases phase funding.</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Developer(s)</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 + collaborators / contracted</w:t>
            </w:r>
          </w:p>
        </w:tc>
        <w:tc>
          <w:tcPr>
            <w:tcW w:type="dxa" w:w="4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Build the five flows in sprints to the definition of done.</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Safety &amp; Compliance lead</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 (advised by counsel)</w:t>
            </w:r>
          </w:p>
        </w:tc>
        <w:tc>
          <w:tcPr>
            <w:tcW w:type="dxa" w:w="4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Owns incident protocol, ToS/privacy, and the model review.</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Partnerships lead</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Founder</w:t>
            </w:r>
          </w:p>
        </w:tc>
        <w:tc>
          <w:tcPr>
            <w:tcW w:type="dxa" w:w="4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Secures sponsorship and vendor agreements.</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External counsel</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Licensed attorney</w:t>
            </w:r>
          </w:p>
        </w:tc>
        <w:tc>
          <w:tcPr>
            <w:tcW w:type="dxa" w:w="4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Delivers the binding legal opinion; reviews ToS.</w:t>
            </w:r>
          </w:p>
        </w:tc>
      </w:tr>
    </w:tbl>
    <w:p>
      <w:pPr>
        <w:spacing w:after="200" w:before="70"/>
        <w:jc w:val="left"/>
      </w:pPr>
      <w:r>
        <w:rPr>
          <w:rFonts w:ascii="Calibri" w:cs="Calibri" w:eastAsia="Calibri" w:hAnsi="Calibri"/>
          <w:i/>
          <w:iCs/>
          <w:color w:val="5A6675"/>
          <w:sz w:val="17"/>
          <w:szCs w:val="17"/>
        </w:rPr>
        <w:t xml:space="preserve">The founder wears several hats during the pilot; the venture track funds dedicated roles as it scales (Part V).</w:t>
      </w:r>
    </w:p>
    <w:p>
      <w:pPr>
        <w:pStyle w:val="Heading2"/>
        <w:keepNext/>
        <w:spacing w:after="110" w:before="240"/>
      </w:pPr>
      <w:r>
        <w:rPr>
          <w:rFonts w:ascii="Calibri" w:cs="Calibri" w:eastAsia="Calibri" w:hAnsi="Calibri"/>
          <w:b/>
          <w:bCs/>
          <w:color w:val="1C6FD6"/>
          <w:sz w:val="25"/>
          <w:szCs w:val="25"/>
        </w:rPr>
        <w:t xml:space="preserve">22.2  RACI for key activities</w:t>
      </w:r>
    </w:p>
    <w:p>
      <w:pPr>
        <w:keepNext/>
        <w:spacing w:after="90" w:before="60"/>
      </w:pPr>
      <w:r>
        <w:rPr>
          <w:rFonts w:ascii="Calibri" w:cs="Calibri" w:eastAsia="Calibri" w:hAnsi="Calibri"/>
          <w:b/>
          <w:bCs/>
          <w:color w:val="9D2235"/>
          <w:sz w:val="19"/>
          <w:szCs w:val="19"/>
        </w:rPr>
        <w:t xml:space="preserve">Table 22-2.  </w:t>
      </w:r>
      <w:r>
        <w:rPr>
          <w:rFonts w:ascii="Calibri" w:cs="Calibri" w:eastAsia="Calibri" w:hAnsi="Calibri"/>
          <w:b/>
          <w:bCs/>
          <w:color w:val="0B1F3A"/>
          <w:sz w:val="19"/>
          <w:szCs w:val="19"/>
        </w:rPr>
        <w:t xml:space="preserve">RACI matrix (R responsible · A accountable · C consulted · I informed)</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760"/>
        <w:gridCol w:w="1080"/>
        <w:gridCol w:w="1180"/>
        <w:gridCol w:w="1020"/>
        <w:gridCol w:w="1320"/>
        <w:gridCol w:w="1360"/>
      </w:tblGrid>
      <w:tr>
        <w:trPr>
          <w:tblHeader/>
        </w:trPr>
        <w:tc>
          <w:tcPr>
            <w:tcW w:type="dxa" w:w="2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Activity</w:t>
            </w:r>
          </w:p>
        </w:tc>
        <w:tc>
          <w:tcPr>
            <w:tcW w:type="dxa" w:w="10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Lead</w:t>
            </w:r>
          </w:p>
        </w:tc>
        <w:tc>
          <w:tcPr>
            <w:tcW w:type="dxa" w:w="118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Sponsor</w:t>
            </w:r>
          </w:p>
        </w:tc>
        <w:tc>
          <w:tcPr>
            <w:tcW w:type="dxa" w:w="102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Dev</w:t>
            </w:r>
          </w:p>
        </w:tc>
        <w:tc>
          <w:tcPr>
            <w:tcW w:type="dxa" w:w="132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Counsel</w:t>
            </w:r>
          </w:p>
        </w:tc>
        <w:tc>
          <w:tcPr>
            <w:tcW w:type="dxa" w:w="1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FFFFFF"/>
                <w:sz w:val="19"/>
                <w:szCs w:val="19"/>
              </w:rPr>
              <w:t xml:space="preserve">Sponsor*</w:t>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Baseline the plan</w:t>
            </w:r>
          </w:p>
        </w:tc>
        <w:tc>
          <w:tcPr>
            <w:tcW w:type="dxa" w:w="10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A/R</w:t>
            </w:r>
          </w:p>
        </w:tc>
        <w:tc>
          <w:tcPr>
            <w:tcW w:type="dxa" w:w="11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0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Secure legal opinion</w:t>
            </w:r>
          </w:p>
        </w:tc>
        <w:tc>
          <w:tcPr>
            <w:tcW w:type="dxa" w:w="10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w:t>
            </w:r>
          </w:p>
        </w:tc>
        <w:tc>
          <w:tcPr>
            <w:tcW w:type="dxa" w:w="11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0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R</w:t>
            </w:r>
          </w:p>
        </w:tc>
        <w:tc>
          <w:tcPr>
            <w:tcW w:type="dxa" w:w="1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Build the five flows</w:t>
            </w:r>
          </w:p>
        </w:tc>
        <w:tc>
          <w:tcPr>
            <w:tcW w:type="dxa" w:w="10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w:t>
            </w:r>
          </w:p>
        </w:tc>
        <w:tc>
          <w:tcPr>
            <w:tcW w:type="dxa" w:w="11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0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R</w:t>
            </w:r>
          </w:p>
        </w:tc>
        <w:tc>
          <w:tcPr>
            <w:tcW w:type="dxa" w:w="13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Safety protocol &amp; review</w:t>
            </w:r>
          </w:p>
        </w:tc>
        <w:tc>
          <w:tcPr>
            <w:tcW w:type="dxa" w:w="10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A/R</w:t>
            </w:r>
          </w:p>
        </w:tc>
        <w:tc>
          <w:tcPr>
            <w:tcW w:type="dxa" w:w="11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0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3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Secure sponsorship</w:t>
            </w:r>
          </w:p>
        </w:tc>
        <w:tc>
          <w:tcPr>
            <w:tcW w:type="dxa" w:w="10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A/R</w:t>
            </w:r>
          </w:p>
        </w:tc>
        <w:tc>
          <w:tcPr>
            <w:tcW w:type="dxa" w:w="11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0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r>
      <w:tr>
        <w:trPr>
          <w:cantSplit/>
        </w:trPr>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Approve a gate</w:t>
            </w:r>
          </w:p>
        </w:tc>
        <w:tc>
          <w:tcPr>
            <w:tcW w:type="dxa" w:w="10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18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A/R</w:t>
            </w:r>
          </w:p>
        </w:tc>
        <w:tc>
          <w:tcPr>
            <w:tcW w:type="dxa" w:w="10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2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r>
      <w:tr>
        <w:trPr>
          <w:cantSplit/>
        </w:trPr>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Go/no-go decision</w:t>
            </w:r>
          </w:p>
        </w:tc>
        <w:tc>
          <w:tcPr>
            <w:tcW w:type="dxa" w:w="10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R</w:t>
            </w:r>
          </w:p>
        </w:tc>
        <w:tc>
          <w:tcPr>
            <w:tcW w:type="dxa" w:w="118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bCs/>
                <w:color w:val="20303F"/>
                <w:sz w:val="19"/>
                <w:szCs w:val="19"/>
              </w:rPr>
              <w:t xml:space="preserve">A</w:t>
            </w:r>
          </w:p>
        </w:tc>
        <w:tc>
          <w:tcPr>
            <w:tcW w:type="dxa" w:w="10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I</w:t>
            </w:r>
          </w:p>
        </w:tc>
        <w:tc>
          <w:tcPr>
            <w:tcW w:type="dxa" w:w="132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c>
          <w:tcPr>
            <w:tcW w:type="dxa" w:w="1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center"/>
            </w:pPr>
            <w:r>
              <w:rPr>
                <w:rFonts w:ascii="Calibri" w:cs="Calibri" w:eastAsia="Calibri" w:hAnsi="Calibri"/>
                <w:b w:val="false"/>
                <w:bCs w:val="false"/>
                <w:color w:val="20303F"/>
                <w:sz w:val="19"/>
                <w:szCs w:val="19"/>
              </w:rPr>
              <w:t xml:space="preserve">C</w:t>
            </w:r>
          </w:p>
        </w:tc>
      </w:tr>
    </w:tbl>
    <w:p>
      <w:pPr>
        <w:spacing w:after="200" w:before="70"/>
        <w:jc w:val="left"/>
      </w:pPr>
      <w:r>
        <w:rPr>
          <w:rFonts w:ascii="Calibri" w:cs="Calibri" w:eastAsia="Calibri" w:hAnsi="Calibri"/>
          <w:i/>
          <w:iCs/>
          <w:color w:val="5A6675"/>
          <w:sz w:val="17"/>
          <w:szCs w:val="17"/>
        </w:rPr>
        <w:t xml:space="preserve">*The second sponsor column denotes the anchor (commercial) sponsor; the first denotes the faculty/academic sponsor.</w:t>
      </w:r>
    </w:p>
    <w:p>
      <w:pPr>
        <w:pStyle w:val="Heading2"/>
        <w:keepNext/>
        <w:spacing w:after="110" w:before="240"/>
      </w:pPr>
      <w:r>
        <w:rPr>
          <w:rFonts w:ascii="Calibri" w:cs="Calibri" w:eastAsia="Calibri" w:hAnsi="Calibri"/>
          <w:b/>
          <w:bCs/>
          <w:color w:val="1C6FD6"/>
          <w:sz w:val="25"/>
          <w:szCs w:val="25"/>
        </w:rPr>
        <w:t xml:space="preserve">22.3  Agile cadence</w:t>
      </w:r>
    </w:p>
    <w:p>
      <w:pPr>
        <w:spacing w:after="140" w:line="278"/>
        <w:jc w:val="both"/>
      </w:pPr>
      <w:r>
        <w:rPr>
          <w:rFonts w:ascii="Calibri" w:cs="Calibri" w:eastAsia="Calibri" w:hAnsi="Calibri"/>
          <w:color w:val="20303F"/>
          <w:sz w:val="22"/>
          <w:szCs w:val="22"/>
        </w:rPr>
        <w:t xml:space="preserve">The build runs a conventional two-week Scrum cadence, time-boxed to control burn rate (§15.2):</w:t>
      </w:r>
    </w:p>
    <w:p>
      <w:pPr>
        <w:keepNext/>
        <w:spacing w:after="90" w:before="60"/>
      </w:pPr>
      <w:r>
        <w:rPr>
          <w:rFonts w:ascii="Calibri" w:cs="Calibri" w:eastAsia="Calibri" w:hAnsi="Calibri"/>
          <w:b/>
          <w:bCs/>
          <w:color w:val="9D2235"/>
          <w:sz w:val="19"/>
          <w:szCs w:val="19"/>
        </w:rPr>
        <w:t xml:space="preserve">Table 22-3.  </w:t>
      </w:r>
      <w:r>
        <w:rPr>
          <w:rFonts w:ascii="Calibri" w:cs="Calibri" w:eastAsia="Calibri" w:hAnsi="Calibri"/>
          <w:b/>
          <w:bCs/>
          <w:color w:val="0B1F3A"/>
          <w:sz w:val="19"/>
          <w:szCs w:val="19"/>
        </w:rPr>
        <w:t xml:space="preserve">Sprint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Ceremony</w:t>
            </w:r>
          </w:p>
        </w:tc>
        <w:tc>
          <w:tcPr>
            <w:tcW w:type="dxa" w:w="2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Cadence</w:t>
            </w:r>
          </w:p>
        </w:tc>
        <w:tc>
          <w:tcPr>
            <w:tcW w:type="dxa" w:w="4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Purpose</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planning</w:t>
            </w:r>
          </w:p>
        </w:tc>
        <w:tc>
          <w:tcPr>
            <w:tcW w:type="dxa" w:w="2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Start of each 2-week sprint</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Commit a sprint goal and backlog items to the definition of done.</w:t>
            </w:r>
          </w:p>
        </w:tc>
      </w:tr>
      <w:tr>
        <w:trPr>
          <w:cantSplit/>
        </w:trPr>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Daily stand-up</w:t>
            </w:r>
          </w:p>
        </w:tc>
        <w:tc>
          <w:tcPr>
            <w:tcW w:type="dxa" w:w="2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Daily</w:t>
            </w:r>
          </w:p>
        </w:tc>
        <w:tc>
          <w:tcPr>
            <w:tcW w:type="dxa" w:w="4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Surface progress and blockers; re-plan the day.</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Backlog grooming</w:t>
            </w:r>
          </w:p>
        </w:tc>
        <w:tc>
          <w:tcPr>
            <w:tcW w:type="dxa" w:w="2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Mid-sprint</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Refine and re-prioritise upcoming items against feedback.</w:t>
            </w:r>
          </w:p>
        </w:tc>
      </w:tr>
      <w:tr>
        <w:trPr>
          <w:cantSplit/>
        </w:trPr>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review</w:t>
            </w:r>
          </w:p>
        </w:tc>
        <w:tc>
          <w:tcPr>
            <w:tcW w:type="dxa" w:w="23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End of sprint</w:t>
            </w:r>
          </w:p>
        </w:tc>
        <w:tc>
          <w:tcPr>
            <w:tcW w:type="dxa" w:w="4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Demo the increment; run the on-model check; gather feedback.</w:t>
            </w:r>
          </w:p>
        </w:tc>
      </w:tr>
      <w:tr>
        <w:trPr>
          <w:cantSplit/>
        </w:trPr>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Retrospective</w:t>
            </w:r>
          </w:p>
        </w:tc>
        <w:tc>
          <w:tcPr>
            <w:tcW w:type="dxa" w:w="23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End of sprint</w:t>
            </w:r>
          </w:p>
        </w:tc>
        <w:tc>
          <w:tcPr>
            <w:tcW w:type="dxa" w:w="4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Improve the process; feed actions into the next sprint.</w:t>
            </w:r>
          </w:p>
        </w:tc>
      </w:tr>
    </w:tbl>
    <w:p>
      <w:pPr>
        <w:spacing w:after="200" w:before="70"/>
        <w:jc w:val="left"/>
      </w:pPr>
      <w:r>
        <w:rPr>
          <w:rFonts w:ascii="Calibri" w:cs="Calibri" w:eastAsia="Calibri" w:hAnsi="Calibri"/>
          <w:i/>
          <w:iCs/>
          <w:color w:val="5A6675"/>
          <w:sz w:val="17"/>
          <w:szCs w:val="17"/>
        </w:rPr>
        <w:t xml:space="preserve">The sprint review's on-model check (does this look like a TNC?) is the recurring quality gate from §21.3. Rider and driver feedback flows from review straight into grooming.</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23  Change Control</w:t>
      </w:r>
    </w:p>
    <w:p>
      <w:pPr>
        <w:spacing w:after="140" w:line="278"/>
        <w:jc w:val="both"/>
      </w:pPr>
      <w:r>
        <w:rPr>
          <w:rFonts w:ascii="Calibri" w:cs="Calibri" w:eastAsia="Calibri" w:hAnsi="Calibri"/>
          <w:color w:val="20303F"/>
          <w:sz w:val="22"/>
          <w:szCs w:val="22"/>
        </w:rPr>
        <w:t xml:space="preserve">Once the plan is baselined at G0, changes to scope, schedule, or budget follow a defined path rather than happening informally. Change control is light enough not to slow a student project and strict enough to protect the two things scope creep most endangers here: the budget envelope and the legal posture.</w:t>
      </w:r>
    </w:p>
    <w:p>
      <w:pPr>
        <w:pStyle w:val="Heading2"/>
        <w:keepNext/>
        <w:spacing w:after="110" w:before="240"/>
      </w:pPr>
      <w:r>
        <w:rPr>
          <w:rFonts w:ascii="Calibri" w:cs="Calibri" w:eastAsia="Calibri" w:hAnsi="Calibri"/>
          <w:b/>
          <w:bCs/>
          <w:color w:val="1C6FD6"/>
          <w:sz w:val="25"/>
          <w:szCs w:val="25"/>
        </w:rPr>
        <w:t xml:space="preserve">23.1  The change process</w:t>
      </w:r>
    </w:p>
    <w:p>
      <w:pPr>
        <w:pStyle w:val="ListParagraph"/>
        <w:numPr>
          <w:ilvl w:val="0"/>
          <w:numId w:val="2"/>
        </w:numPr>
        <w:spacing w:after="70" w:line="268"/>
        <w:jc w:val="left"/>
      </w:pPr>
      <w:r>
        <w:rPr>
          <w:rFonts w:ascii="Calibri" w:cs="Calibri" w:eastAsia="Calibri" w:hAnsi="Calibri"/>
          <w:b/>
          <w:bCs/>
          <w:color w:val="20303F"/>
          <w:sz w:val="22"/>
          <w:szCs w:val="22"/>
        </w:rPr>
        <w:t xml:space="preserve">Raise. </w:t>
      </w:r>
      <w:r>
        <w:rPr>
          <w:rFonts w:ascii="Calibri" w:cs="Calibri" w:eastAsia="Calibri" w:hAnsi="Calibri"/>
          <w:color w:val="20303F"/>
          <w:sz w:val="22"/>
          <w:szCs w:val="22"/>
        </w:rPr>
        <w:t xml:space="preserve">Anyone proposes a change with its rationale and expected effect on scope, schedule, budget, and — explicitly — the cost-sharing posture.</w:t>
      </w:r>
    </w:p>
    <w:p>
      <w:pPr>
        <w:pStyle w:val="ListParagraph"/>
        <w:numPr>
          <w:ilvl w:val="0"/>
          <w:numId w:val="2"/>
        </w:numPr>
        <w:spacing w:after="70" w:line="268"/>
        <w:jc w:val="left"/>
      </w:pPr>
      <w:r>
        <w:rPr>
          <w:rFonts w:ascii="Calibri" w:cs="Calibri" w:eastAsia="Calibri" w:hAnsi="Calibri"/>
          <w:b/>
          <w:bCs/>
          <w:color w:val="20303F"/>
          <w:sz w:val="22"/>
          <w:szCs w:val="22"/>
        </w:rPr>
        <w:t xml:space="preserve">Assess. </w:t>
      </w:r>
      <w:r>
        <w:rPr>
          <w:rFonts w:ascii="Calibri" w:cs="Calibri" w:eastAsia="Calibri" w:hAnsi="Calibri"/>
          <w:color w:val="20303F"/>
          <w:sz w:val="22"/>
          <w:szCs w:val="22"/>
        </w:rPr>
        <w:t xml:space="preserve">The project lead evaluates impact against the baseline and the risk register; counsel is consulted if the model is touched.</w:t>
      </w:r>
    </w:p>
    <w:p>
      <w:pPr>
        <w:pStyle w:val="ListParagraph"/>
        <w:numPr>
          <w:ilvl w:val="0"/>
          <w:numId w:val="2"/>
        </w:numPr>
        <w:spacing w:after="70" w:line="268"/>
        <w:jc w:val="left"/>
      </w:pPr>
      <w:r>
        <w:rPr>
          <w:rFonts w:ascii="Calibri" w:cs="Calibri" w:eastAsia="Calibri" w:hAnsi="Calibri"/>
          <w:b/>
          <w:bCs/>
          <w:color w:val="20303F"/>
          <w:sz w:val="22"/>
          <w:szCs w:val="22"/>
        </w:rPr>
        <w:t xml:space="preserve">Decide. </w:t>
      </w:r>
      <w:r>
        <w:rPr>
          <w:rFonts w:ascii="Calibri" w:cs="Calibri" w:eastAsia="Calibri" w:hAnsi="Calibri"/>
          <w:color w:val="20303F"/>
          <w:sz w:val="22"/>
          <w:szCs w:val="22"/>
        </w:rPr>
        <w:t xml:space="preserve">Minor changes are decided by the project lead within the phase budget; changes to a baseline or gate criterion require sponsor approval.</w:t>
      </w:r>
    </w:p>
    <w:p>
      <w:pPr>
        <w:pStyle w:val="ListParagraph"/>
        <w:numPr>
          <w:ilvl w:val="0"/>
          <w:numId w:val="2"/>
        </w:numPr>
        <w:spacing w:after="70" w:line="268"/>
        <w:jc w:val="left"/>
      </w:pPr>
      <w:r>
        <w:rPr>
          <w:rFonts w:ascii="Calibri" w:cs="Calibri" w:eastAsia="Calibri" w:hAnsi="Calibri"/>
          <w:b/>
          <w:bCs/>
          <w:color w:val="20303F"/>
          <w:sz w:val="22"/>
          <w:szCs w:val="22"/>
        </w:rPr>
        <w:t xml:space="preserve">Record &amp; re-baseline. </w:t>
      </w:r>
      <w:r>
        <w:rPr>
          <w:rFonts w:ascii="Calibri" w:cs="Calibri" w:eastAsia="Calibri" w:hAnsi="Calibri"/>
          <w:color w:val="20303F"/>
          <w:sz w:val="22"/>
          <w:szCs w:val="22"/>
        </w:rPr>
        <w:t xml:space="preserve">Approved changes are logged in the change register and the affected baselines updated; the document's revision history (Table DC-2) reflects the change.</w:t>
      </w:r>
    </w:p>
    <w:p>
      <w:pPr>
        <w:pStyle w:val="Heading2"/>
        <w:keepNext/>
        <w:spacing w:after="110" w:before="240"/>
      </w:pPr>
      <w:r>
        <w:rPr>
          <w:rFonts w:ascii="Calibri" w:cs="Calibri" w:eastAsia="Calibri" w:hAnsi="Calibri"/>
          <w:b/>
          <w:bCs/>
          <w:color w:val="1C6FD6"/>
          <w:sz w:val="25"/>
          <w:szCs w:val="25"/>
        </w:rPr>
        <w:t xml:space="preserve">23.2  Change authority</w:t>
      </w:r>
    </w:p>
    <w:p>
      <w:pPr>
        <w:keepNext/>
        <w:spacing w:after="90" w:before="60"/>
      </w:pPr>
      <w:r>
        <w:rPr>
          <w:rFonts w:ascii="Calibri" w:cs="Calibri" w:eastAsia="Calibri" w:hAnsi="Calibri"/>
          <w:b/>
          <w:bCs/>
          <w:color w:val="9D2235"/>
          <w:sz w:val="19"/>
          <w:szCs w:val="19"/>
        </w:rPr>
        <w:t xml:space="preserve">Table 23-1.  </w:t>
      </w:r>
      <w:r>
        <w:rPr>
          <w:rFonts w:ascii="Calibri" w:cs="Calibri" w:eastAsia="Calibri" w:hAnsi="Calibri"/>
          <w:b/>
          <w:bCs/>
          <w:color w:val="0B1F3A"/>
          <w:sz w:val="19"/>
          <w:szCs w:val="19"/>
        </w:rPr>
        <w:t xml:space="preserve">Change authority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Change type</w:t>
            </w:r>
          </w:p>
        </w:tc>
        <w:tc>
          <w:tcPr>
            <w:tcW w:type="dxa" w:w="2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Authority</w:t>
            </w:r>
          </w:p>
        </w:tc>
        <w:tc>
          <w:tcPr>
            <w:tcW w:type="dxa" w:w="34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Note</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Backlog re-prioritisation</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Project lead</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Routine within Agile; no gate needed.</w:t>
            </w:r>
          </w:p>
        </w:tc>
      </w:tr>
      <w:tr>
        <w:trPr>
          <w:cantSplit/>
        </w:trPr>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within baseline</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3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Logged; must not touch out-of-scope items (§10.3).</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 / schedule / budget baseline</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Sponsor</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Requires gate-level approval.</w:t>
            </w:r>
          </w:p>
        </w:tc>
      </w:tr>
      <w:tr>
        <w:trPr>
          <w:cantSplit/>
        </w:trPr>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Anything affecting the cost-sharing model</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Sponsor + counsel</w:t>
            </w:r>
          </w:p>
        </w:tc>
        <w:tc>
          <w:tcPr>
            <w:tcW w:type="dxa" w:w="3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Never changed informally; re-confirm legality.</w:t>
            </w:r>
          </w:p>
        </w:tc>
      </w:tr>
    </w:tbl>
    <w:p>
      <w:pPr>
        <w:spacing w:after="200" w:before="70"/>
        <w:jc w:val="left"/>
      </w:pPr>
      <w:r>
        <w:rPr>
          <w:rFonts w:ascii="Calibri" w:cs="Calibri" w:eastAsia="Calibri" w:hAnsi="Calibri"/>
          <w:i/>
          <w:iCs/>
          <w:color w:val="5A6675"/>
          <w:sz w:val="17"/>
          <w:szCs w:val="17"/>
        </w:rPr>
        <w:t xml:space="preserve">The last row is the critical control: no change that touches pricing, payouts, or driver incentives proceeds without re-checking the legal posture that R1 turns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Change control exists mostly to protect two things</w:t>
            </w:r>
          </w:p>
          <w:p>
            <w:pPr>
              <w:spacing w:after="0" w:line="278"/>
              <w:jc w:val="both"/>
            </w:pPr>
            <w:r>
              <w:rPr>
                <w:rFonts w:ascii="Calibri" w:cs="Calibri" w:eastAsia="Calibri" w:hAnsi="Calibri"/>
                <w:color w:val="20303F"/>
                <w:sz w:val="22"/>
                <w:szCs w:val="22"/>
              </w:rPr>
              <w:t xml:space="preserve">The process is deliberately lightweight except where it guards the </w:t>
            </w:r>
            <w:r>
              <w:rPr>
                <w:rFonts w:ascii="Calibri" w:cs="Calibri" w:eastAsia="Calibri" w:hAnsi="Calibri"/>
                <w:b/>
                <w:bCs/>
                <w:color w:val="20303F"/>
                <w:sz w:val="22"/>
                <w:szCs w:val="22"/>
              </w:rPr>
              <w:t xml:space="preserve">budget envelope</w:t>
            </w:r>
            <w:r>
              <w:rPr>
                <w:rFonts w:ascii="Calibri" w:cs="Calibri" w:eastAsia="Calibri" w:hAnsi="Calibri"/>
                <w:color w:val="20303F"/>
                <w:sz w:val="22"/>
                <w:szCs w:val="22"/>
              </w:rPr>
              <w:t xml:space="preserve"> and the </w:t>
            </w:r>
            <w:r>
              <w:rPr>
                <w:rFonts w:ascii="Calibri" w:cs="Calibri" w:eastAsia="Calibri" w:hAnsi="Calibri"/>
                <w:b/>
                <w:bCs/>
                <w:color w:val="20303F"/>
                <w:sz w:val="22"/>
                <w:szCs w:val="22"/>
              </w:rPr>
              <w:t xml:space="preserve">cost-sharing posture</w:t>
            </w:r>
            <w:r>
              <w:rPr>
                <w:rFonts w:ascii="Calibri" w:cs="Calibri" w:eastAsia="Calibri" w:hAnsi="Calibri"/>
                <w:color w:val="20303F"/>
                <w:sz w:val="22"/>
                <w:szCs w:val="22"/>
              </w:rPr>
              <w:t xml:space="preserve">. Those two are where uncontrolled change does irreversible damage — one sinks the project financially, the other legally — so they, and only they, always require approval above the project lead.</w:t>
            </w:r>
          </w:p>
        </w:tc>
      </w:tr>
    </w:tbl>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PART VII</w:t>
      </w:r>
    </w:p>
    <w:p>
      <w:pPr>
        <w:pBdr>
          <w:bottom w:val="single" w:color="0B1F3A" w:sz="18" w:space="6"/>
        </w:pBdr>
        <w:spacing w:after="60" w:before="0"/>
      </w:pPr>
      <w:r>
        <w:rPr>
          <w:rFonts w:ascii="Calibri" w:cs="Calibri" w:eastAsia="Calibri" w:hAnsi="Calibri"/>
          <w:b/>
          <w:bCs/>
          <w:color w:val="0B1F3A"/>
          <w:sz w:val="38"/>
          <w:szCs w:val="38"/>
        </w:rPr>
        <w:t xml:space="preserve">Execution Artifacts &amp; Closure</w:t>
      </w:r>
    </w:p>
    <w:p>
      <w:pPr>
        <w:spacing w:after="140" w:line="278"/>
        <w:jc w:val="both"/>
      </w:pPr>
      <w:r>
        <w:rPr>
          <w:rFonts w:ascii="Calibri" w:cs="Calibri" w:eastAsia="Calibri" w:hAnsi="Calibri"/>
          <w:color w:val="20303F"/>
          <w:sz w:val="22"/>
          <w:szCs w:val="22"/>
        </w:rPr>
        <w:t xml:space="preserve">Part VII collects the artifacts the project runs on week to week and the procedure by which it closes. Where the earlier parts planned the work, these are the working templates — meeting agendas and minutes, the status report, and the closeout pack — reproduced with worked samples so an evaluator can see the cadence in operation rather than merely described. The part ends where the project does: at the go/no-go decision that hands the venture its verdict.</w:t>
      </w:r>
    </w:p>
    <w:p>
      <w:pPr>
        <w:pStyle w:val="Heading1"/>
        <w:pBdr>
          <w:bottom w:val="single" w:color="1C6FD6" w:sz="10" w:space="4"/>
        </w:pBdr>
        <w:spacing w:after="150" w:before="340"/>
      </w:pPr>
      <w:r>
        <w:rPr>
          <w:rFonts w:ascii="Calibri" w:cs="Calibri" w:eastAsia="Calibri" w:hAnsi="Calibri"/>
          <w:b/>
          <w:bCs/>
          <w:color w:val="0B1F3A"/>
          <w:sz w:val="30"/>
          <w:szCs w:val="30"/>
        </w:rPr>
        <w:t xml:space="preserve">24  Weekly Meeting Artifacts</w:t>
      </w:r>
    </w:p>
    <w:p>
      <w:pPr>
        <w:spacing w:after="140" w:line="278"/>
        <w:jc w:val="both"/>
      </w:pPr>
      <w:r>
        <w:rPr>
          <w:rFonts w:ascii="Calibri" w:cs="Calibri" w:eastAsia="Calibri" w:hAnsi="Calibri"/>
          <w:color w:val="20303F"/>
          <w:sz w:val="22"/>
          <w:szCs w:val="22"/>
        </w:rPr>
        <w:t xml:space="preserve">The project runs two recurring meetings that mirror the blended methodology: a </w:t>
      </w:r>
      <w:r>
        <w:rPr>
          <w:rFonts w:ascii="Calibri" w:cs="Calibri" w:eastAsia="Calibri" w:hAnsi="Calibri"/>
          <w:b/>
          <w:bCs/>
          <w:color w:val="20303F"/>
          <w:sz w:val="22"/>
          <w:szCs w:val="22"/>
        </w:rPr>
        <w:t xml:space="preserve">biweekly sponsor checkpoint</w:t>
      </w:r>
      <w:r>
        <w:rPr>
          <w:rFonts w:ascii="Calibri" w:cs="Calibri" w:eastAsia="Calibri" w:hAnsi="Calibri"/>
          <w:color w:val="20303F"/>
          <w:sz w:val="22"/>
          <w:szCs w:val="22"/>
        </w:rPr>
        <w:t xml:space="preserve"> on the predictive cadence and a </w:t>
      </w:r>
      <w:r>
        <w:rPr>
          <w:rFonts w:ascii="Calibri" w:cs="Calibri" w:eastAsia="Calibri" w:hAnsi="Calibri"/>
          <w:b/>
          <w:bCs/>
          <w:color w:val="20303F"/>
          <w:sz w:val="22"/>
          <w:szCs w:val="22"/>
        </w:rPr>
        <w:t xml:space="preserve">sprint review</w:t>
      </w:r>
      <w:r>
        <w:rPr>
          <w:rFonts w:ascii="Calibri" w:cs="Calibri" w:eastAsia="Calibri" w:hAnsi="Calibri"/>
          <w:color w:val="20303F"/>
          <w:sz w:val="22"/>
          <w:szCs w:val="22"/>
        </w:rPr>
        <w:t xml:space="preserve"> on the Agile cadence, with daily stand-ups between. The templates below are the actual instruments; each is followed by a filled sample so the format is concrete.</w:t>
      </w:r>
    </w:p>
    <w:p>
      <w:pPr>
        <w:pStyle w:val="Heading2"/>
        <w:keepNext/>
        <w:spacing w:after="110" w:before="240"/>
      </w:pPr>
      <w:r>
        <w:rPr>
          <w:rFonts w:ascii="Calibri" w:cs="Calibri" w:eastAsia="Calibri" w:hAnsi="Calibri"/>
          <w:b/>
          <w:bCs/>
          <w:color w:val="1C6FD6"/>
          <w:sz w:val="25"/>
          <w:szCs w:val="25"/>
        </w:rPr>
        <w:t xml:space="preserve">24.1  Sponsor checkpoint — agenda template</w:t>
      </w:r>
    </w:p>
    <w:p>
      <w:pPr>
        <w:keepNext/>
        <w:spacing w:after="90" w:before="60"/>
      </w:pPr>
      <w:r>
        <w:rPr>
          <w:rFonts w:ascii="Calibri" w:cs="Calibri" w:eastAsia="Calibri" w:hAnsi="Calibri"/>
          <w:b/>
          <w:bCs/>
          <w:color w:val="9D2235"/>
          <w:sz w:val="19"/>
          <w:szCs w:val="19"/>
        </w:rPr>
        <w:t xml:space="preserve">Table 24-1.  </w:t>
      </w:r>
      <w:r>
        <w:rPr>
          <w:rFonts w:ascii="Calibri" w:cs="Calibri" w:eastAsia="Calibri" w:hAnsi="Calibri"/>
          <w:b/>
          <w:bCs/>
          <w:color w:val="0B1F3A"/>
          <w:sz w:val="19"/>
          <w:szCs w:val="19"/>
        </w:rPr>
        <w:t xml:space="preserve">Biweekly sponsor checkpoint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200"/>
        <w:gridCol w:w="18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t>
            </w:r>
          </w:p>
        </w:tc>
        <w:tc>
          <w:tcPr>
            <w:tcW w:type="dxa" w:w="4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Item</w:t>
            </w:r>
          </w:p>
        </w:tc>
        <w:tc>
          <w:tcPr>
            <w:tcW w:type="dxa" w:w="2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Owner</w:t>
            </w:r>
          </w:p>
        </w:tc>
        <w:tc>
          <w:tcPr>
            <w:tcW w:type="dxa" w:w="18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Time</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w:t>
            </w:r>
          </w:p>
        </w:tc>
        <w:tc>
          <w:tcPr>
            <w:tcW w:type="dxa" w:w="4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Phase status vs. plan; gate readiness</w:t>
            </w:r>
          </w:p>
        </w:tc>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1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min</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w:t>
            </w:r>
          </w:p>
        </w:tc>
        <w:tc>
          <w:tcPr>
            <w:tcW w:type="dxa" w:w="4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Risk review — R1 (legal) status first</w:t>
            </w:r>
          </w:p>
        </w:tc>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1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min</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w:t>
            </w:r>
          </w:p>
        </w:tc>
        <w:tc>
          <w:tcPr>
            <w:tcW w:type="dxa" w:w="4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Product increment demo (latest sprint)</w:t>
            </w:r>
          </w:p>
        </w:tc>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Dev</w:t>
            </w:r>
          </w:p>
        </w:tc>
        <w:tc>
          <w:tcPr>
            <w:tcW w:type="dxa" w:w="1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min</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w:t>
            </w:r>
          </w:p>
        </w:tc>
        <w:tc>
          <w:tcPr>
            <w:tcW w:type="dxa" w:w="4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Budget burn vs. phase envelope</w:t>
            </w:r>
          </w:p>
        </w:tc>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1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 min</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w:t>
            </w:r>
          </w:p>
        </w:tc>
        <w:tc>
          <w:tcPr>
            <w:tcW w:type="dxa" w:w="4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Decisions needed / escalations</w:t>
            </w:r>
          </w:p>
        </w:tc>
        <w:tc>
          <w:tcPr>
            <w:tcW w:type="dxa" w:w="2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All</w:t>
            </w:r>
          </w:p>
        </w:tc>
        <w:tc>
          <w:tcPr>
            <w:tcW w:type="dxa" w:w="18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10 min</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6</w:t>
            </w:r>
          </w:p>
        </w:tc>
        <w:tc>
          <w:tcPr>
            <w:tcW w:type="dxa" w:w="4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Actions, owners, due dates</w:t>
            </w:r>
          </w:p>
        </w:tc>
        <w:tc>
          <w:tcPr>
            <w:tcW w:type="dxa" w:w="2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Project lead</w:t>
            </w:r>
          </w:p>
        </w:tc>
        <w:tc>
          <w:tcPr>
            <w:tcW w:type="dxa" w:w="18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 min</w:t>
            </w:r>
          </w:p>
        </w:tc>
      </w:tr>
    </w:tbl>
    <w:p>
      <w:pPr>
        <w:pStyle w:val="Heading3"/>
        <w:keepNext/>
        <w:spacing w:after="90" w:before="180"/>
      </w:pPr>
      <w:r>
        <w:rPr>
          <w:rFonts w:ascii="Calibri" w:cs="Calibri" w:eastAsia="Calibri" w:hAnsi="Calibri"/>
          <w:b/>
          <w:bCs/>
          <w:color w:val="3A4A5E"/>
          <w:sz w:val="22"/>
          <w:szCs w:val="22"/>
        </w:rPr>
        <w:t xml:space="preserve">Worked sample — checkpoint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AF1FB" w:sz="2"/>
              <w:left w:val="single" w:color="1C6FD6" w:sz="28"/>
              <w:bottom w:val="single" w:color="EAF1FB" w:sz="2"/>
              <w:right w:val="single" w:color="EAF1FB" w:sz="2"/>
            </w:tcBorders>
            <w:shd w:fill="EAF1FB" w:val="clear"/>
            <w:tcMar>
              <w:top w:type="dxa" w:w="110"/>
              <w:left w:type="dxa" w:w="200"/>
              <w:bottom w:type="dxa" w:w="110"/>
              <w:right w:type="dxa" w:w="160"/>
            </w:tcMar>
          </w:tcPr>
          <w:p>
            <w:pPr>
              <w:spacing w:after="80" w:line="264"/>
            </w:pPr>
            <w:r>
              <w:rPr>
                <w:rFonts w:ascii="Calibri" w:cs="Calibri" w:eastAsia="Calibri" w:hAnsi="Calibri"/>
                <w:b/>
                <w:bCs/>
                <w:color w:val="0B1F3A"/>
                <w:sz w:val="20"/>
                <w:szCs w:val="20"/>
              </w:rPr>
              <w:t xml:space="preserve">Sponsor checkpoint — minutes (sample, Month 2)</w:t>
            </w:r>
          </w:p>
          <w:p>
            <w:pPr>
              <w:spacing w:after="70" w:line="278"/>
              <w:jc w:val="both"/>
            </w:pPr>
            <w:r>
              <w:rPr>
                <w:rFonts w:ascii="Calibri" w:cs="Calibri" w:eastAsia="Calibri" w:hAnsi="Calibri"/>
                <w:b/>
                <w:bCs/>
                <w:color w:val="20303F"/>
                <w:sz w:val="22"/>
                <w:szCs w:val="22"/>
              </w:rPr>
              <w:t xml:space="preserve">Date: </w:t>
            </w:r>
            <w:r>
              <w:rPr>
                <w:rFonts w:ascii="Calibri" w:cs="Calibri" w:eastAsia="Calibri" w:hAnsi="Calibri"/>
                <w:color w:val="20303F"/>
                <w:sz w:val="22"/>
                <w:szCs w:val="22"/>
              </w:rPr>
              <w:t xml:space="preserve">Month 2, Week 2   </w:t>
            </w:r>
            <w:r>
              <w:rPr>
                <w:rFonts w:ascii="Calibri" w:cs="Calibri" w:eastAsia="Calibri" w:hAnsi="Calibri"/>
                <w:b/>
                <w:bCs/>
                <w:color w:val="20303F"/>
                <w:sz w:val="22"/>
                <w:szCs w:val="22"/>
              </w:rPr>
              <w:t xml:space="preserve">Present: </w:t>
            </w:r>
            <w:r>
              <w:rPr>
                <w:rFonts w:ascii="Calibri" w:cs="Calibri" w:eastAsia="Calibri" w:hAnsi="Calibri"/>
                <w:color w:val="20303F"/>
                <w:sz w:val="22"/>
                <w:szCs w:val="22"/>
              </w:rPr>
              <w:t xml:space="preserve">Project lead, faculty sponsor, developer   </w:t>
            </w:r>
            <w:r>
              <w:rPr>
                <w:rFonts w:ascii="Calibri" w:cs="Calibri" w:eastAsia="Calibri" w:hAnsi="Calibri"/>
                <w:b/>
                <w:bCs/>
                <w:color w:val="20303F"/>
                <w:sz w:val="22"/>
                <w:szCs w:val="22"/>
              </w:rPr>
              <w:t xml:space="preserve">Gate context: </w:t>
            </w:r>
            <w:r>
              <w:rPr>
                <w:rFonts w:ascii="Calibri" w:cs="Calibri" w:eastAsia="Calibri" w:hAnsi="Calibri"/>
                <w:color w:val="20303F"/>
                <w:sz w:val="22"/>
                <w:szCs w:val="22"/>
              </w:rPr>
              <w:t xml:space="preserve">approaching G1 (legal).</w:t>
            </w:r>
          </w:p>
          <w:p>
            <w:pPr>
              <w:spacing w:after="60" w:line="278"/>
              <w:jc w:val="both"/>
            </w:pPr>
            <w:r>
              <w:rPr>
                <w:rFonts w:ascii="Calibri" w:cs="Calibri" w:eastAsia="Calibri" w:hAnsi="Calibri"/>
                <w:b/>
                <w:bCs/>
                <w:color w:val="20303F"/>
                <w:sz w:val="22"/>
                <w:szCs w:val="22"/>
              </w:rPr>
              <w:t xml:space="preserve">1 · Status. </w:t>
            </w:r>
            <w:r>
              <w:rPr>
                <w:rFonts w:ascii="Calibri" w:cs="Calibri" w:eastAsia="Calibri" w:hAnsi="Calibri"/>
                <w:color w:val="20303F"/>
                <w:sz w:val="22"/>
                <w:szCs w:val="22"/>
              </w:rPr>
              <w:t xml:space="preserve">Discovery closed; pricing band set at a sub-ride-hail contribution. MVP build in sprint 3 of 6; onboarding and ride-matching flows demoable.</w:t>
            </w:r>
          </w:p>
          <w:p>
            <w:pPr>
              <w:spacing w:after="60" w:line="278"/>
              <w:jc w:val="both"/>
            </w:pPr>
            <w:r>
              <w:rPr>
                <w:rFonts w:ascii="Calibri" w:cs="Calibri" w:eastAsia="Calibri" w:hAnsi="Calibri"/>
                <w:b/>
                <w:bCs/>
                <w:color w:val="20303F"/>
                <w:sz w:val="22"/>
                <w:szCs w:val="22"/>
              </w:rPr>
              <w:t xml:space="preserve">2 · Risk. </w:t>
            </w:r>
            <w:r>
              <w:rPr>
                <w:rFonts w:ascii="Calibri" w:cs="Calibri" w:eastAsia="Calibri" w:hAnsi="Calibri"/>
                <w:b/>
                <w:bCs/>
                <w:color w:val="9D2235"/>
                <w:sz w:val="22"/>
                <w:szCs w:val="22"/>
              </w:rPr>
              <w:t xml:space="preserve">R1 (legal): </w:t>
            </w:r>
            <w:r>
              <w:rPr>
                <w:rFonts w:ascii="Calibri" w:cs="Calibri" w:eastAsia="Calibri" w:hAnsi="Calibri"/>
                <w:color w:val="20303F"/>
                <w:sz w:val="22"/>
                <w:szCs w:val="22"/>
              </w:rPr>
              <w:t xml:space="preserve">counsel engaged; draft opinion expected within two weeks. This is the gating item for G1 — no beta opens until it lands. R3 (safety): trip-share and SOS in this sprint.</w:t>
            </w:r>
          </w:p>
          <w:p>
            <w:pPr>
              <w:spacing w:after="60" w:line="278"/>
              <w:jc w:val="both"/>
            </w:pPr>
            <w:r>
              <w:rPr>
                <w:rFonts w:ascii="Calibri" w:cs="Calibri" w:eastAsia="Calibri" w:hAnsi="Calibri"/>
                <w:b/>
                <w:bCs/>
                <w:color w:val="20303F"/>
                <w:sz w:val="22"/>
                <w:szCs w:val="22"/>
              </w:rPr>
              <w:t xml:space="preserve">3 · Demo. </w:t>
            </w:r>
            <w:r>
              <w:rPr>
                <w:rFonts w:ascii="Calibri" w:cs="Calibri" w:eastAsia="Calibri" w:hAnsi="Calibri"/>
                <w:color w:val="20303F"/>
                <w:sz w:val="22"/>
                <w:szCs w:val="22"/>
              </w:rPr>
              <w:t xml:space="preserve">Live GIS map with the Springdale–campus route shown; cost-share contribution visible; “gas, not profit” copy reviewed and approved.</w:t>
            </w:r>
          </w:p>
          <w:p>
            <w:pPr>
              <w:spacing w:after="60" w:line="278"/>
              <w:jc w:val="both"/>
            </w:pPr>
            <w:r>
              <w:rPr>
                <w:rFonts w:ascii="Calibri" w:cs="Calibri" w:eastAsia="Calibri" w:hAnsi="Calibri"/>
                <w:b/>
                <w:bCs/>
                <w:color w:val="20303F"/>
                <w:sz w:val="22"/>
                <w:szCs w:val="22"/>
              </w:rPr>
              <w:t xml:space="preserve">4 · Budget. </w:t>
            </w:r>
            <w:r>
              <w:rPr>
                <w:rFonts w:ascii="Calibri" w:cs="Calibri" w:eastAsia="Calibri" w:hAnsi="Calibri"/>
                <w:color w:val="20303F"/>
                <w:sz w:val="22"/>
                <w:szCs w:val="22"/>
              </w:rPr>
              <w:t xml:space="preserve">Spend within the lean envelope; legal fee is the next and largest release, authorised on G1.</w:t>
            </w:r>
          </w:p>
          <w:p>
            <w:pPr>
              <w:spacing w:after="60" w:line="278"/>
              <w:jc w:val="both"/>
            </w:pPr>
            <w:r>
              <w:rPr>
                <w:rFonts w:ascii="Calibri" w:cs="Calibri" w:eastAsia="Calibri" w:hAnsi="Calibri"/>
                <w:b/>
                <w:bCs/>
                <w:color w:val="20303F"/>
                <w:sz w:val="22"/>
                <w:szCs w:val="22"/>
              </w:rPr>
              <w:t xml:space="preserve">5 · Decisions. </w:t>
            </w:r>
            <w:r>
              <w:rPr>
                <w:rFonts w:ascii="Calibri" w:cs="Calibri" w:eastAsia="Calibri" w:hAnsi="Calibri"/>
                <w:color w:val="20303F"/>
                <w:sz w:val="22"/>
                <w:szCs w:val="22"/>
              </w:rPr>
              <w:t xml:space="preserve">Sponsor agrees G1 cannot be bypassed; closed beta is conditional on the opinion.</w:t>
            </w:r>
          </w:p>
          <w:p>
            <w:pPr>
              <w:spacing w:after="0" w:line="278"/>
              <w:jc w:val="both"/>
            </w:pPr>
            <w:r>
              <w:rPr>
                <w:rFonts w:ascii="Calibri" w:cs="Calibri" w:eastAsia="Calibri" w:hAnsi="Calibri"/>
                <w:b/>
                <w:bCs/>
                <w:color w:val="20303F"/>
                <w:sz w:val="22"/>
                <w:szCs w:val="22"/>
              </w:rPr>
              <w:t xml:space="preserve">Actions. </w:t>
            </w:r>
            <w:r>
              <w:rPr>
                <w:rFonts w:ascii="Calibri" w:cs="Calibri" w:eastAsia="Calibri" w:hAnsi="Calibri"/>
                <w:color w:val="20303F"/>
                <w:sz w:val="22"/>
                <w:szCs w:val="22"/>
              </w:rPr>
              <w:t xml:space="preserve">(a) Counsel to deliver opinion [lead, 2 wks]; (b) finish safety toolkit [dev, this sprint]; (c) prep beta driver recruitment on the corridor [lead, 2 wks].</w:t>
            </w:r>
          </w:p>
        </w:tc>
      </w:tr>
    </w:tbl>
    <w:p>
      <w:pPr>
        <w:pStyle w:val="Heading2"/>
        <w:keepNext/>
        <w:spacing w:after="110" w:before="240"/>
      </w:pPr>
      <w:r>
        <w:rPr>
          <w:rFonts w:ascii="Calibri" w:cs="Calibri" w:eastAsia="Calibri" w:hAnsi="Calibri"/>
          <w:b/>
          <w:bCs/>
          <w:color w:val="1C6FD6"/>
          <w:sz w:val="25"/>
          <w:szCs w:val="25"/>
        </w:rPr>
        <w:t xml:space="preserve">24.2  Sprint review — template &amp; sample</w:t>
      </w:r>
    </w:p>
    <w:p>
      <w:pPr>
        <w:keepNext/>
        <w:spacing w:after="90" w:before="60"/>
      </w:pPr>
      <w:r>
        <w:rPr>
          <w:rFonts w:ascii="Calibri" w:cs="Calibri" w:eastAsia="Calibri" w:hAnsi="Calibri"/>
          <w:b/>
          <w:bCs/>
          <w:color w:val="9D2235"/>
          <w:sz w:val="19"/>
          <w:szCs w:val="19"/>
        </w:rPr>
        <w:t xml:space="preserve">Table 24-2.  </w:t>
      </w:r>
      <w:r>
        <w:rPr>
          <w:rFonts w:ascii="Calibri" w:cs="Calibri" w:eastAsia="Calibri" w:hAnsi="Calibri"/>
          <w:b/>
          <w:bCs/>
          <w:color w:val="0B1F3A"/>
          <w:sz w:val="19"/>
          <w:szCs w:val="19"/>
        </w:rPr>
        <w:t xml:space="preserve">Sprint review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w:t>
            </w:r>
          </w:p>
        </w:tc>
        <w:tc>
          <w:tcPr>
            <w:tcW w:type="dxa" w:w="5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Item</w:t>
            </w:r>
          </w:p>
        </w:tc>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Output</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Sprint goal — met or not?</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Yes/No + reason</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w:t>
            </w:r>
          </w:p>
        </w:tc>
        <w:tc>
          <w:tcPr>
            <w:tcW w:type="dxa" w:w="5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Increment demo (to definition of done)</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Accepted / rework</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On-model check — “does this look like a TNC?”</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Pass / fix</w:t>
            </w:r>
          </w:p>
        </w:tc>
      </w:tr>
      <w:tr>
        <w:trPr>
          <w:cantSplit/>
        </w:trPr>
        <w:tc>
          <w:tcPr>
            <w:tcW w:type="dxa" w:w="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4</w:t>
            </w:r>
          </w:p>
        </w:tc>
        <w:tc>
          <w:tcPr>
            <w:tcW w:type="dxa" w:w="5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Rider/driver feedback triaged</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Backlog updates</w:t>
            </w:r>
          </w:p>
        </w:tc>
      </w:tr>
      <w:tr>
        <w:trPr>
          <w:cantSplit/>
        </w:trPr>
        <w:tc>
          <w:tcPr>
            <w:tcW w:type="dxa" w:w="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5</w:t>
            </w:r>
          </w:p>
        </w:tc>
        <w:tc>
          <w:tcPr>
            <w:tcW w:type="dxa" w:w="5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Velocity &amp; next sprint goal</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Commitment</w:t>
            </w:r>
          </w:p>
        </w:tc>
      </w:tr>
    </w:tbl>
    <w:p>
      <w:pPr>
        <w:pStyle w:val="Heading3"/>
        <w:keepNext/>
        <w:spacing w:after="90" w:before="180"/>
      </w:pPr>
      <w:r>
        <w:rPr>
          <w:rFonts w:ascii="Calibri" w:cs="Calibri" w:eastAsia="Calibri" w:hAnsi="Calibri"/>
          <w:b/>
          <w:bCs/>
          <w:color w:val="3A4A5E"/>
          <w:sz w:val="22"/>
          <w:szCs w:val="22"/>
        </w:rPr>
        <w:t xml:space="preserve">Worked sample — sprint review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5F3EA" w:sz="2"/>
              <w:left w:val="single" w:color="2E9E5B" w:sz="28"/>
              <w:bottom w:val="single" w:color="E5F3EA" w:sz="2"/>
              <w:right w:val="single" w:color="E5F3EA" w:sz="2"/>
            </w:tcBorders>
            <w:shd w:fill="E5F3EA" w:val="clear"/>
            <w:tcMar>
              <w:top w:type="dxa" w:w="110"/>
              <w:left w:type="dxa" w:w="200"/>
              <w:bottom w:type="dxa" w:w="110"/>
              <w:right w:type="dxa" w:w="160"/>
            </w:tcMar>
          </w:tcPr>
          <w:p>
            <w:pPr>
              <w:spacing w:after="80" w:line="264"/>
            </w:pPr>
            <w:r>
              <w:rPr>
                <w:rFonts w:ascii="Calibri" w:cs="Calibri" w:eastAsia="Calibri" w:hAnsi="Calibri"/>
                <w:b/>
                <w:bCs/>
                <w:color w:val="1E6E3E"/>
                <w:sz w:val="20"/>
                <w:szCs w:val="20"/>
              </w:rPr>
              <w:t xml:space="preserve">Sprint 4 review — notes (sample)</w:t>
            </w:r>
          </w:p>
          <w:p>
            <w:pPr>
              <w:spacing w:after="60" w:line="278"/>
              <w:jc w:val="both"/>
            </w:pPr>
            <w:r>
              <w:rPr>
                <w:rFonts w:ascii="Calibri" w:cs="Calibri" w:eastAsia="Calibri" w:hAnsi="Calibri"/>
                <w:b/>
                <w:bCs/>
                <w:color w:val="20303F"/>
                <w:sz w:val="22"/>
                <w:szCs w:val="22"/>
              </w:rPr>
              <w:t xml:space="preserve">Goal: </w:t>
            </w:r>
            <w:r>
              <w:rPr>
                <w:rFonts w:ascii="Calibri" w:cs="Calibri" w:eastAsia="Calibri" w:hAnsi="Calibri"/>
                <w:color w:val="20303F"/>
                <w:sz w:val="22"/>
                <w:szCs w:val="22"/>
              </w:rPr>
              <w:t xml:space="preserve">ship the safety toolkit and the rewards loop. </w:t>
            </w:r>
            <w:r>
              <w:rPr>
                <w:rFonts w:ascii="Calibri" w:cs="Calibri" w:eastAsia="Calibri" w:hAnsi="Calibri"/>
                <w:b/>
                <w:bCs/>
                <w:color w:val="20303F"/>
                <w:sz w:val="22"/>
                <w:szCs w:val="22"/>
              </w:rPr>
              <w:t xml:space="preserve">Result: </w:t>
            </w:r>
            <w:r>
              <w:rPr>
                <w:rFonts w:ascii="Calibri" w:cs="Calibri" w:eastAsia="Calibri" w:hAnsi="Calibri"/>
                <w:color w:val="20303F"/>
                <w:sz w:val="22"/>
                <w:szCs w:val="22"/>
              </w:rPr>
              <w:t xml:space="preserve">met.</w:t>
            </w:r>
          </w:p>
          <w:p>
            <w:pPr>
              <w:spacing w:after="60" w:line="278"/>
              <w:jc w:val="both"/>
            </w:pPr>
            <w:r>
              <w:rPr>
                <w:rFonts w:ascii="Calibri" w:cs="Calibri" w:eastAsia="Calibri" w:hAnsi="Calibri"/>
                <w:b/>
                <w:bCs/>
                <w:color w:val="20303F"/>
                <w:sz w:val="22"/>
                <w:szCs w:val="22"/>
              </w:rPr>
              <w:t xml:space="preserve">Demo &amp; DoD. </w:t>
            </w:r>
            <w:r>
              <w:rPr>
                <w:rFonts w:ascii="Calibri" w:cs="Calibri" w:eastAsia="Calibri" w:hAnsi="Calibri"/>
                <w:color w:val="20303F"/>
                <w:sz w:val="22"/>
                <w:szCs w:val="22"/>
              </w:rPr>
              <w:t xml:space="preserve">Trip sharing, SOS, ratings, and DiamondMiles with sponsor redemptions accepted across web, PWA, and desktop. Driver dashboard carried to next sprint.</w:t>
            </w:r>
          </w:p>
          <w:p>
            <w:pPr>
              <w:spacing w:after="60" w:line="278"/>
              <w:jc w:val="both"/>
            </w:pPr>
            <w:r>
              <w:rPr>
                <w:rFonts w:ascii="Calibri" w:cs="Calibri" w:eastAsia="Calibri" w:hAnsi="Calibri"/>
                <w:b/>
                <w:bCs/>
                <w:color w:val="9D2235"/>
                <w:sz w:val="22"/>
                <w:szCs w:val="22"/>
              </w:rPr>
              <w:t xml:space="preserve">On-model check. </w:t>
            </w:r>
            <w:r>
              <w:rPr>
                <w:rFonts w:ascii="Calibri" w:cs="Calibri" w:eastAsia="Calibri" w:hAnsi="Calibri"/>
                <w:color w:val="20303F"/>
                <w:sz w:val="22"/>
                <w:szCs w:val="22"/>
              </w:rPr>
              <w:t xml:space="preserve">Rewards are non-cash and sponsor-funded; no driver wage or surge introduced. </w:t>
            </w:r>
            <w:r>
              <w:rPr>
                <w:rFonts w:ascii="Calibri" w:cs="Calibri" w:eastAsia="Calibri" w:hAnsi="Calibri"/>
                <w:b/>
                <w:bCs/>
                <w:color w:val="20303F"/>
                <w:sz w:val="22"/>
                <w:szCs w:val="22"/>
              </w:rPr>
              <w:t xml:space="preserve">Pass.</w:t>
            </w:r>
            <w:r>
              <w:rPr>
                <w:rFonts w:ascii="Calibri" w:cs="Calibri" w:eastAsia="Calibri" w:hAnsi="Calibri"/>
                <w:color w:val="20303F"/>
                <w:sz w:val="22"/>
                <w:szCs w:val="22"/>
              </w:rPr>
              <w:t xml:space="preserve"> Note logged for the G3 model review.</w:t>
            </w:r>
          </w:p>
          <w:p>
            <w:pPr>
              <w:spacing w:after="60" w:line="278"/>
              <w:jc w:val="both"/>
            </w:pPr>
            <w:r>
              <w:rPr>
                <w:rFonts w:ascii="Calibri" w:cs="Calibri" w:eastAsia="Calibri" w:hAnsi="Calibri"/>
                <w:b/>
                <w:bCs/>
                <w:color w:val="20303F"/>
                <w:sz w:val="22"/>
                <w:szCs w:val="22"/>
              </w:rPr>
              <w:t xml:space="preserve">Feedback. </w:t>
            </w:r>
            <w:r>
              <w:rPr>
                <w:rFonts w:ascii="Calibri" w:cs="Calibri" w:eastAsia="Calibri" w:hAnsi="Calibri"/>
                <w:color w:val="20303F"/>
                <w:sz w:val="22"/>
                <w:szCs w:val="22"/>
              </w:rPr>
              <w:t xml:space="preserve">Beta-driver request for a clearer cost-share breakdown added near the top of the backlog; a low-priority cosmetic issue deferred.</w:t>
            </w:r>
          </w:p>
          <w:p>
            <w:pPr>
              <w:spacing w:after="0" w:line="278"/>
              <w:jc w:val="both"/>
            </w:pPr>
            <w:r>
              <w:rPr>
                <w:rFonts w:ascii="Calibri" w:cs="Calibri" w:eastAsia="Calibri" w:hAnsi="Calibri"/>
                <w:b/>
                <w:bCs/>
                <w:color w:val="20303F"/>
                <w:sz w:val="22"/>
                <w:szCs w:val="22"/>
              </w:rPr>
              <w:t xml:space="preserve">Next goal. </w:t>
            </w:r>
            <w:r>
              <w:rPr>
                <w:rFonts w:ascii="Calibri" w:cs="Calibri" w:eastAsia="Calibri" w:hAnsi="Calibri"/>
                <w:color w:val="20303F"/>
                <w:sz w:val="22"/>
                <w:szCs w:val="22"/>
              </w:rPr>
              <w:t xml:space="preserve">Driver-side experience and cross-platform hardening, ahead of closed beta.</w:t>
            </w:r>
          </w:p>
        </w:tc>
      </w:tr>
    </w:tbl>
    <w:p>
      <w:pPr>
        <w:pStyle w:val="Heading2"/>
        <w:keepNext/>
        <w:spacing w:after="110" w:before="240"/>
      </w:pPr>
      <w:r>
        <w:rPr>
          <w:rFonts w:ascii="Calibri" w:cs="Calibri" w:eastAsia="Calibri" w:hAnsi="Calibri"/>
          <w:b/>
          <w:bCs/>
          <w:color w:val="1C6FD6"/>
          <w:sz w:val="25"/>
          <w:szCs w:val="25"/>
        </w:rPr>
        <w:t xml:space="preserve">24.3  Daily stand-up</w:t>
      </w:r>
    </w:p>
    <w:p>
      <w:pPr>
        <w:spacing w:after="140" w:line="278"/>
        <w:jc w:val="both"/>
      </w:pPr>
      <w:r>
        <w:rPr>
          <w:rFonts w:ascii="Calibri" w:cs="Calibri" w:eastAsia="Calibri" w:hAnsi="Calibri"/>
          <w:color w:val="20303F"/>
          <w:sz w:val="22"/>
          <w:szCs w:val="22"/>
        </w:rPr>
        <w:t xml:space="preserve">The daily stand-up is the lightest artifact: each contributor answers what moved yesterday, what is planned today, and what is blocking. Blockers that cannot be cleared within the sprint escalate to the project lead; anything touching safety, legality, or budget escalates immediately and out of cadence, per the path in §9.1. No minutes are kept beyond the board update — the stand-up exists to unblock, not to document.</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25  Status Reporting</w:t>
      </w:r>
    </w:p>
    <w:p>
      <w:pPr>
        <w:spacing w:after="140" w:line="278"/>
        <w:jc w:val="both"/>
      </w:pPr>
      <w:r>
        <w:rPr>
          <w:rFonts w:ascii="Calibri" w:cs="Calibri" w:eastAsia="Calibri" w:hAnsi="Calibri"/>
          <w:color w:val="20303F"/>
          <w:sz w:val="22"/>
          <w:szCs w:val="22"/>
        </w:rPr>
        <w:t xml:space="preserve">Between checkpoints, status travels in a one-page report built on a simple red/amber/green (RAG) scheme so the sponsor can read health at a glance and drill in only where needed. The report is the predictive wrapper's heartbeat; it is issued biweekly and archived as part of the project record.</w:t>
      </w:r>
    </w:p>
    <w:p>
      <w:pPr>
        <w:pStyle w:val="Heading2"/>
        <w:keepNext/>
        <w:spacing w:after="110" w:before="240"/>
      </w:pPr>
      <w:r>
        <w:rPr>
          <w:rFonts w:ascii="Calibri" w:cs="Calibri" w:eastAsia="Calibri" w:hAnsi="Calibri"/>
          <w:b/>
          <w:bCs/>
          <w:color w:val="1C6FD6"/>
          <w:sz w:val="25"/>
          <w:szCs w:val="25"/>
        </w:rPr>
        <w:t xml:space="preserve">25.1  Status report template</w:t>
      </w:r>
    </w:p>
    <w:p>
      <w:pPr>
        <w:keepNext/>
        <w:spacing w:after="90" w:before="60"/>
      </w:pPr>
      <w:r>
        <w:rPr>
          <w:rFonts w:ascii="Calibri" w:cs="Calibri" w:eastAsia="Calibri" w:hAnsi="Calibri"/>
          <w:b/>
          <w:bCs/>
          <w:color w:val="9D2235"/>
          <w:sz w:val="19"/>
          <w:szCs w:val="19"/>
        </w:rPr>
        <w:t xml:space="preserve">Table 25-1.  </w:t>
      </w:r>
      <w:r>
        <w:rPr>
          <w:rFonts w:ascii="Calibri" w:cs="Calibri" w:eastAsia="Calibri" w:hAnsi="Calibri"/>
          <w:b/>
          <w:bCs/>
          <w:color w:val="0B1F3A"/>
          <w:sz w:val="19"/>
          <w:szCs w:val="19"/>
        </w:rPr>
        <w:t xml:space="preserve">One-page status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60"/>
        <w:gridCol w:w="5000"/>
      </w:tblGrid>
      <w:tr>
        <w:trPr>
          <w:tblHeader/>
        </w:trPr>
        <w:tc>
          <w:tcPr>
            <w:tcW w:type="dxa" w:w="3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Dimension</w:t>
            </w:r>
          </w:p>
        </w:tc>
        <w:tc>
          <w:tcPr>
            <w:tcW w:type="dxa" w:w="13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RAG</w:t>
            </w:r>
          </w:p>
        </w:tc>
        <w:tc>
          <w:tcPr>
            <w:tcW w:type="dxa" w:w="5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Note</w:t>
            </w:r>
          </w:p>
        </w:tc>
      </w:tr>
      <w:tr>
        <w:trPr>
          <w:cantSplit/>
        </w:trPr>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Overall</w:t>
            </w:r>
          </w:p>
        </w:tc>
        <w:tc>
          <w:tcPr>
            <w:tcW w:type="dxa" w:w="1360"/>
            <w:tcBorders>
              <w:top w:val="single" w:color="C9D4E2" w:sz="1"/>
              <w:left w:val="single" w:color="C9D4E2" w:sz="1"/>
              <w:bottom w:val="single" w:color="C9D4E2" w:sz="1"/>
              <w:right w:val="single" w:color="C9D4E2" w:sz="1"/>
            </w:tcBorders>
            <w:shd w:fill="E5F3E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1E6E3E"/>
                <w:sz w:val="19"/>
                <w:szCs w:val="19"/>
              </w:rPr>
              <w:t xml:space="preserve">G</w:t>
            </w:r>
          </w:p>
        </w:tc>
        <w:tc>
          <w:tcPr>
            <w:tcW w:type="dxa" w:w="5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 plan toward the next gate</w:t>
            </w:r>
          </w:p>
        </w:tc>
      </w:tr>
      <w:tr>
        <w:trPr>
          <w:cantSplit/>
        </w:trPr>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Scope</w:t>
            </w:r>
          </w:p>
        </w:tc>
        <w:tc>
          <w:tcPr>
            <w:tcW w:type="dxa" w:w="1360"/>
            <w:tcBorders>
              <w:top w:val="single" w:color="C9D4E2" w:sz="1"/>
              <w:left w:val="single" w:color="C9D4E2" w:sz="1"/>
              <w:bottom w:val="single" w:color="C9D4E2" w:sz="1"/>
              <w:right w:val="single" w:color="C9D4E2" w:sz="1"/>
            </w:tcBorders>
            <w:shd w:fill="E5F3E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1E6E3E"/>
                <w:sz w:val="19"/>
                <w:szCs w:val="19"/>
              </w:rPr>
              <w:t xml:space="preserve">G</w:t>
            </w:r>
          </w:p>
        </w:tc>
        <w:tc>
          <w:tcPr>
            <w:tcW w:type="dxa" w:w="5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Within baseline; no out-of-scope creep</w:t>
            </w:r>
          </w:p>
        </w:tc>
      </w:tr>
      <w:tr>
        <w:trPr>
          <w:cantSplit/>
        </w:trPr>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Schedule</w:t>
            </w:r>
          </w:p>
        </w:tc>
        <w:tc>
          <w:tcPr>
            <w:tcW w:type="dxa" w:w="136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8A6D1A"/>
                <w:sz w:val="19"/>
                <w:szCs w:val="19"/>
              </w:rPr>
              <w:t xml:space="preserve">A</w:t>
            </w:r>
          </w:p>
        </w:tc>
        <w:tc>
          <w:tcPr>
            <w:tcW w:type="dxa" w:w="5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Build on track; gated on legal (R1)</w:t>
            </w:r>
          </w:p>
        </w:tc>
      </w:tr>
      <w:tr>
        <w:trPr>
          <w:cantSplit/>
        </w:trPr>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Budget</w:t>
            </w:r>
          </w:p>
        </w:tc>
        <w:tc>
          <w:tcPr>
            <w:tcW w:type="dxa" w:w="1360"/>
            <w:tcBorders>
              <w:top w:val="single" w:color="C9D4E2" w:sz="1"/>
              <w:left w:val="single" w:color="C9D4E2" w:sz="1"/>
              <w:bottom w:val="single" w:color="C9D4E2" w:sz="1"/>
              <w:right w:val="single" w:color="C9D4E2" w:sz="1"/>
            </w:tcBorders>
            <w:shd w:fill="E5F3E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1E6E3E"/>
                <w:sz w:val="19"/>
                <w:szCs w:val="19"/>
              </w:rPr>
              <w:t xml:space="preserve">G</w:t>
            </w:r>
          </w:p>
        </w:tc>
        <w:tc>
          <w:tcPr>
            <w:tcW w:type="dxa" w:w="5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Within phase envelope</w:t>
            </w:r>
          </w:p>
        </w:tc>
      </w:tr>
      <w:tr>
        <w:trPr>
          <w:cantSplit/>
        </w:trPr>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Risk (R1 legal)</w:t>
            </w:r>
          </w:p>
        </w:tc>
        <w:tc>
          <w:tcPr>
            <w:tcW w:type="dxa" w:w="1360"/>
            <w:tcBorders>
              <w:top w:val="single" w:color="C9D4E2" w:sz="1"/>
              <w:left w:val="single" w:color="C9D4E2" w:sz="1"/>
              <w:bottom w:val="single" w:color="C9D4E2" w:sz="1"/>
              <w:right w:val="single" w:color="C9D4E2" w:sz="1"/>
            </w:tcBorders>
            <w:shd w:fill="FBF3DD" w:val="clear"/>
            <w:tcMar>
              <w:top w:type="dxa" w:w="58"/>
              <w:left w:type="dxa" w:w="110"/>
              <w:bottom w:type="dxa" w:w="58"/>
              <w:right w:type="dxa" w:w="110"/>
            </w:tcMar>
            <w:vAlign w:val="center"/>
          </w:tcPr>
          <w:p>
            <w:pPr>
              <w:spacing w:after="0" w:line="248"/>
              <w:jc w:val="center"/>
            </w:pPr>
            <w:r>
              <w:rPr>
                <w:rFonts w:ascii="Calibri" w:cs="Calibri" w:eastAsia="Calibri" w:hAnsi="Calibri"/>
                <w:b/>
                <w:bCs/>
                <w:color w:val="8A6D1A"/>
                <w:sz w:val="19"/>
                <w:szCs w:val="19"/>
              </w:rPr>
              <w:t xml:space="preserve">A</w:t>
            </w:r>
          </w:p>
        </w:tc>
        <w:tc>
          <w:tcPr>
            <w:tcW w:type="dxa" w:w="5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Opinion pending; gates beta</w:t>
            </w:r>
          </w:p>
        </w:tc>
      </w:tr>
      <w:tr>
        <w:trPr>
          <w:cantSplit/>
        </w:trPr>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Quality / safety</w:t>
            </w:r>
          </w:p>
        </w:tc>
        <w:tc>
          <w:tcPr>
            <w:tcW w:type="dxa" w:w="1360"/>
            <w:tcBorders>
              <w:top w:val="single" w:color="C9D4E2" w:sz="1"/>
              <w:left w:val="single" w:color="C9D4E2" w:sz="1"/>
              <w:bottom w:val="single" w:color="C9D4E2" w:sz="1"/>
              <w:right w:val="single" w:color="C9D4E2" w:sz="1"/>
            </w:tcBorders>
            <w:shd w:fill="E5F3EA" w:val="clear"/>
            <w:tcMar>
              <w:top w:type="dxa" w:w="58"/>
              <w:left w:type="dxa" w:w="110"/>
              <w:bottom w:type="dxa" w:w="58"/>
              <w:right w:type="dxa" w:w="110"/>
            </w:tcMar>
            <w:vAlign w:val="center"/>
          </w:tcPr>
          <w:p>
            <w:pPr>
              <w:spacing w:after="0" w:line="248"/>
              <w:jc w:val="center"/>
            </w:pPr>
            <w:r>
              <w:rPr>
                <w:rFonts w:ascii="Calibri" w:cs="Calibri" w:eastAsia="Calibri" w:hAnsi="Calibri"/>
                <w:b/>
                <w:bCs/>
                <w:color w:val="1E6E3E"/>
                <w:sz w:val="19"/>
                <w:szCs w:val="19"/>
              </w:rPr>
              <w:t xml:space="preserve">G</w:t>
            </w:r>
          </w:p>
        </w:tc>
        <w:tc>
          <w:tcPr>
            <w:tcW w:type="dxa" w:w="5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Toolkit live; zero incidents</w:t>
            </w:r>
          </w:p>
        </w:tc>
      </w:tr>
    </w:tbl>
    <w:p>
      <w:pPr>
        <w:spacing w:after="200" w:before="70"/>
        <w:jc w:val="left"/>
      </w:pPr>
      <w:r>
        <w:rPr>
          <w:rFonts w:ascii="Calibri" w:cs="Calibri" w:eastAsia="Calibri" w:hAnsi="Calibri"/>
          <w:i/>
          <w:iCs/>
          <w:color w:val="5A6675"/>
          <w:sz w:val="17"/>
          <w:szCs w:val="17"/>
        </w:rPr>
        <w:t xml:space="preserve">RAG keys the eye to what needs attention. In a typical pre-launch report the single amber item is R1, which stays amber until the opinion lands and then clears to green at G1.</w:t>
      </w:r>
    </w:p>
    <w:p>
      <w:pPr>
        <w:pStyle w:val="Heading2"/>
        <w:keepNext/>
        <w:spacing w:after="110" w:before="240"/>
      </w:pPr>
      <w:r>
        <w:rPr>
          <w:rFonts w:ascii="Calibri" w:cs="Calibri" w:eastAsia="Calibri" w:hAnsi="Calibri"/>
          <w:b/>
          <w:bCs/>
          <w:color w:val="1C6FD6"/>
          <w:sz w:val="25"/>
          <w:szCs w:val="25"/>
        </w:rPr>
        <w:t xml:space="preserve">25.2  What the report always carries</w:t>
      </w:r>
    </w:p>
    <w:p>
      <w:pPr>
        <w:pStyle w:val="ListParagraph"/>
        <w:numPr>
          <w:ilvl w:val="0"/>
          <w:numId w:val="3"/>
        </w:numPr>
        <w:spacing w:after="70" w:line="268"/>
        <w:jc w:val="left"/>
      </w:pPr>
      <w:r>
        <w:rPr>
          <w:rFonts w:ascii="Calibri" w:cs="Calibri" w:eastAsia="Calibri" w:hAnsi="Calibri"/>
          <w:b/>
          <w:bCs/>
          <w:color w:val="20303F"/>
          <w:sz w:val="22"/>
          <w:szCs w:val="22"/>
        </w:rPr>
        <w:t xml:space="preserve">The gate it is driving toward </w:t>
      </w:r>
      <w:r>
        <w:rPr>
          <w:rFonts w:ascii="Calibri" w:cs="Calibri" w:eastAsia="Calibri" w:hAnsi="Calibri"/>
          <w:color w:val="20303F"/>
          <w:sz w:val="22"/>
          <w:szCs w:val="22"/>
        </w:rPr>
        <w:t xml:space="preserve">and whether that gate is on track.</w:t>
      </w:r>
    </w:p>
    <w:p>
      <w:pPr>
        <w:pStyle w:val="ListParagraph"/>
        <w:numPr>
          <w:ilvl w:val="0"/>
          <w:numId w:val="3"/>
        </w:numPr>
        <w:spacing w:after="70" w:line="268"/>
        <w:jc w:val="left"/>
      </w:pPr>
      <w:r>
        <w:rPr>
          <w:rFonts w:ascii="Calibri" w:cs="Calibri" w:eastAsia="Calibri" w:hAnsi="Calibri"/>
          <w:b/>
          <w:bCs/>
          <w:color w:val="20303F"/>
          <w:sz w:val="22"/>
          <w:szCs w:val="22"/>
        </w:rPr>
        <w:t xml:space="preserve">R1's status, every time </w:t>
      </w:r>
      <w:r>
        <w:rPr>
          <w:rFonts w:ascii="Calibri" w:cs="Calibri" w:eastAsia="Calibri" w:hAnsi="Calibri"/>
          <w:color w:val="20303F"/>
          <w:sz w:val="22"/>
          <w:szCs w:val="22"/>
        </w:rPr>
        <w:t xml:space="preserve">— the legal posture is reported in every status update regardless of other content.</w:t>
      </w:r>
    </w:p>
    <w:p>
      <w:pPr>
        <w:pStyle w:val="ListParagraph"/>
        <w:numPr>
          <w:ilvl w:val="0"/>
          <w:numId w:val="3"/>
        </w:numPr>
        <w:spacing w:after="70" w:line="268"/>
        <w:jc w:val="left"/>
      </w:pPr>
      <w:r>
        <w:rPr>
          <w:rFonts w:ascii="Calibri" w:cs="Calibri" w:eastAsia="Calibri" w:hAnsi="Calibri"/>
          <w:b/>
          <w:bCs/>
          <w:color w:val="20303F"/>
          <w:sz w:val="22"/>
          <w:szCs w:val="22"/>
        </w:rPr>
        <w:t xml:space="preserve">Top three actions </w:t>
      </w:r>
      <w:r>
        <w:rPr>
          <w:rFonts w:ascii="Calibri" w:cs="Calibri" w:eastAsia="Calibri" w:hAnsi="Calibri"/>
          <w:color w:val="20303F"/>
          <w:sz w:val="22"/>
          <w:szCs w:val="22"/>
        </w:rPr>
        <w:t xml:space="preserve">with owners and due dates, carried from the last checkpoint.</w:t>
      </w:r>
    </w:p>
    <w:p>
      <w:pPr>
        <w:pStyle w:val="ListParagraph"/>
        <w:numPr>
          <w:ilvl w:val="0"/>
          <w:numId w:val="3"/>
        </w:numPr>
        <w:spacing w:after="70" w:line="268"/>
        <w:jc w:val="left"/>
      </w:pPr>
      <w:r>
        <w:rPr>
          <w:rFonts w:ascii="Calibri" w:cs="Calibri" w:eastAsia="Calibri" w:hAnsi="Calibri"/>
          <w:b/>
          <w:bCs/>
          <w:color w:val="20303F"/>
          <w:sz w:val="22"/>
          <w:szCs w:val="22"/>
        </w:rPr>
        <w:t xml:space="preserve">Any new fact affecting the model, </w:t>
      </w:r>
      <w:r>
        <w:rPr>
          <w:rFonts w:ascii="Calibri" w:cs="Calibri" w:eastAsia="Calibri" w:hAnsi="Calibri"/>
          <w:color w:val="20303F"/>
          <w:sz w:val="22"/>
          <w:szCs w:val="22"/>
        </w:rPr>
        <w:t xml:space="preserve">flagged immediately rather than held for the next meeting.</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26  Closure, Final Report &amp; Go/No-Go</w:t>
      </w:r>
    </w:p>
    <w:p>
      <w:pPr>
        <w:spacing w:after="140" w:line="278"/>
        <w:jc w:val="both"/>
      </w:pPr>
      <w:r>
        <w:rPr>
          <w:rFonts w:ascii="Calibri" w:cs="Calibri" w:eastAsia="Calibri" w:hAnsi="Calibri"/>
          <w:color w:val="20303F"/>
          <w:sz w:val="22"/>
          <w:szCs w:val="22"/>
        </w:rPr>
        <w:t xml:space="preserve">The project ends with a decision, not a celebration. Closure analyses what the pilot proved against the success criteria set in §3, packages the evidence, and delivers the go/no-go recommendation that is the project's entire reason for being. This section defines the closeout pack, the decision rule, and the handover that follows whichever way the decision goes.</w:t>
      </w:r>
    </w:p>
    <w:p>
      <w:pPr>
        <w:pStyle w:val="Heading2"/>
        <w:keepNext/>
        <w:spacing w:after="110" w:before="240"/>
      </w:pPr>
      <w:r>
        <w:rPr>
          <w:rFonts w:ascii="Calibri" w:cs="Calibri" w:eastAsia="Calibri" w:hAnsi="Calibri"/>
          <w:b/>
          <w:bCs/>
          <w:color w:val="1C6FD6"/>
          <w:sz w:val="25"/>
          <w:szCs w:val="25"/>
        </w:rPr>
        <w:t xml:space="preserve">26.1  Pilot evaluation pack</w:t>
      </w:r>
    </w:p>
    <w:p>
      <w:pPr>
        <w:spacing w:after="140" w:line="278"/>
        <w:jc w:val="both"/>
      </w:pPr>
      <w:r>
        <w:rPr>
          <w:rFonts w:ascii="Calibri" w:cs="Calibri" w:eastAsia="Calibri" w:hAnsi="Calibri"/>
          <w:color w:val="20303F"/>
          <w:sz w:val="22"/>
          <w:szCs w:val="22"/>
        </w:rPr>
        <w:t xml:space="preserve">At pilot close, the evaluation pack assembles the evidence the go/no-go decision reads:</w:t>
      </w:r>
    </w:p>
    <w:p>
      <w:pPr>
        <w:keepNext/>
        <w:spacing w:after="90" w:before="60"/>
      </w:pPr>
      <w:r>
        <w:rPr>
          <w:rFonts w:ascii="Calibri" w:cs="Calibri" w:eastAsia="Calibri" w:hAnsi="Calibri"/>
          <w:b/>
          <w:bCs/>
          <w:color w:val="9D2235"/>
          <w:sz w:val="19"/>
          <w:szCs w:val="19"/>
        </w:rPr>
        <w:t xml:space="preserve">Table 26-1.  </w:t>
      </w:r>
      <w:r>
        <w:rPr>
          <w:rFonts w:ascii="Calibri" w:cs="Calibri" w:eastAsia="Calibri" w:hAnsi="Calibri"/>
          <w:b/>
          <w:bCs/>
          <w:color w:val="0B1F3A"/>
          <w:sz w:val="19"/>
          <w:szCs w:val="19"/>
        </w:rPr>
        <w:t xml:space="preserve">Closeout evaluation pack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60"/>
        <w:gridCol w:w="3000"/>
      </w:tblGrid>
      <w:tr>
        <w:trPr>
          <w:tblHeader/>
        </w:trPr>
        <w:tc>
          <w:tcPr>
            <w:tcW w:type="dxa" w:w="27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Component</w:t>
            </w:r>
          </w:p>
        </w:tc>
        <w:tc>
          <w:tcPr>
            <w:tcW w:type="dxa" w:w="36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Answers</w:t>
            </w:r>
          </w:p>
        </w:tc>
        <w:tc>
          <w:tcPr>
            <w:tcW w:type="dxa" w:w="30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Source</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KPI results vs. targets</w:t>
            </w:r>
          </w:p>
        </w:tc>
        <w:tc>
          <w:tcPr>
            <w:tcW w:type="dxa" w:w="36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Did the pilot hit O1–O7?</w:t>
            </w:r>
          </w:p>
        </w:tc>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§3.1 metrics</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Corridor liquidity analysis</w:t>
            </w:r>
          </w:p>
        </w:tc>
        <w:tc>
          <w:tcPr>
            <w:tcW w:type="dxa" w:w="36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Did the cold-start gap get crossed?</w:t>
            </w:r>
          </w:p>
        </w:tc>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§18 / ops data</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Safety record</w:t>
            </w:r>
          </w:p>
        </w:tc>
        <w:tc>
          <w:tcPr>
            <w:tcW w:type="dxa" w:w="36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Zero serious incidents?</w:t>
            </w:r>
          </w:p>
        </w:tc>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Incident log (§3.2)</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Legal posture confirmation</w:t>
            </w:r>
          </w:p>
        </w:tc>
        <w:tc>
          <w:tcPr>
            <w:tcW w:type="dxa" w:w="36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Model operated under a binding opinion?</w:t>
            </w:r>
          </w:p>
        </w:tc>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§16 / counsel</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Unit-cost analysis</w:t>
            </w:r>
          </w:p>
        </w:tc>
        <w:tc>
          <w:tcPr>
            <w:tcW w:type="dxa" w:w="36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Is the cost to serve sustainable?</w:t>
            </w:r>
          </w:p>
        </w:tc>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§15 / ops data</w:t>
            </w:r>
          </w:p>
        </w:tc>
      </w:tr>
      <w:tr>
        <w:trPr>
          <w:cantSplit/>
        </w:trPr>
        <w:tc>
          <w:tcPr>
            <w:tcW w:type="dxa" w:w="27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Retention &amp; repeat usage</w:t>
            </w:r>
          </w:p>
        </w:tc>
        <w:tc>
          <w:tcPr>
            <w:tcW w:type="dxa" w:w="36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Did riders come back?</w:t>
            </w:r>
          </w:p>
        </w:tc>
        <w:tc>
          <w:tcPr>
            <w:tcW w:type="dxa" w:w="30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Product analytics</w:t>
            </w:r>
          </w:p>
        </w:tc>
      </w:tr>
      <w:tr>
        <w:trPr>
          <w:cantSplit/>
        </w:trPr>
        <w:tc>
          <w:tcPr>
            <w:tcW w:type="dxa" w:w="27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Lessons learned</w:t>
            </w:r>
          </w:p>
        </w:tc>
        <w:tc>
          <w:tcPr>
            <w:tcW w:type="dxa" w:w="36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What would change at scale?</w:t>
            </w:r>
          </w:p>
        </w:tc>
        <w:tc>
          <w:tcPr>
            <w:tcW w:type="dxa" w:w="30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Retrospectives (§22)</w:t>
            </w:r>
          </w:p>
        </w:tc>
      </w:tr>
    </w:tbl>
    <w:p>
      <w:pPr>
        <w:pStyle w:val="Heading2"/>
        <w:keepNext/>
        <w:spacing w:after="110" w:before="240"/>
      </w:pPr>
      <w:r>
        <w:rPr>
          <w:rFonts w:ascii="Calibri" w:cs="Calibri" w:eastAsia="Calibri" w:hAnsi="Calibri"/>
          <w:b/>
          <w:bCs/>
          <w:color w:val="1C6FD6"/>
          <w:sz w:val="25"/>
          <w:szCs w:val="25"/>
        </w:rPr>
        <w:t xml:space="preserve">26.2  The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6E7EA" w:sz="2"/>
              <w:left w:val="single" w:color="9D2235" w:sz="28"/>
              <w:bottom w:val="single" w:color="F6E7EA" w:sz="2"/>
              <w:right w:val="single" w:color="F6E7EA" w:sz="2"/>
            </w:tcBorders>
            <w:shd w:fill="F6E7EA" w:val="clear"/>
            <w:tcMar>
              <w:top w:type="dxa" w:w="110"/>
              <w:left w:type="dxa" w:w="200"/>
              <w:bottom w:type="dxa" w:w="110"/>
              <w:right w:type="dxa" w:w="160"/>
            </w:tcMar>
          </w:tcPr>
          <w:p>
            <w:pPr>
              <w:spacing w:after="80" w:line="264"/>
            </w:pPr>
            <w:r>
              <w:rPr>
                <w:rFonts w:ascii="Calibri" w:cs="Calibri" w:eastAsia="Calibri" w:hAnsi="Calibri"/>
                <w:b/>
                <w:bCs/>
                <w:color w:val="9D2235"/>
                <w:sz w:val="20"/>
                <w:szCs w:val="20"/>
              </w:rPr>
              <w:t xml:space="preserve">Go / refine / no-go</w:t>
            </w:r>
          </w:p>
          <w:p>
            <w:pPr>
              <w:spacing w:after="70" w:line="278"/>
              <w:jc w:val="both"/>
            </w:pPr>
            <w:r>
              <w:rPr>
                <w:rFonts w:ascii="Calibri" w:cs="Calibri" w:eastAsia="Calibri" w:hAnsi="Calibri"/>
                <w:b/>
                <w:bCs/>
                <w:color w:val="20303F"/>
                <w:sz w:val="22"/>
                <w:szCs w:val="22"/>
              </w:rPr>
              <w:t xml:space="preserve">GO </w:t>
            </w:r>
            <w:r>
              <w:rPr>
                <w:rFonts w:ascii="Calibri" w:cs="Calibri" w:eastAsia="Calibri" w:hAnsi="Calibri"/>
                <w:color w:val="20303F"/>
                <w:sz w:val="22"/>
                <w:szCs w:val="22"/>
              </w:rPr>
              <w:t xml:space="preserve">— scale into the NWA venture (Part V) — requires </w:t>
            </w:r>
            <w:r>
              <w:rPr>
                <w:rFonts w:ascii="Calibri" w:cs="Calibri" w:eastAsia="Calibri" w:hAnsi="Calibri"/>
                <w:b/>
                <w:bCs/>
                <w:color w:val="20303F"/>
                <w:sz w:val="22"/>
                <w:szCs w:val="22"/>
              </w:rPr>
              <w:t xml:space="preserve">all five</w:t>
            </w:r>
            <w:r>
              <w:rPr>
                <w:rFonts w:ascii="Calibri" w:cs="Calibri" w:eastAsia="Calibri" w:hAnsi="Calibri"/>
                <w:color w:val="20303F"/>
                <w:sz w:val="22"/>
                <w:szCs w:val="22"/>
              </w:rPr>
              <w:t xml:space="preserve"> of: cold-start cleared on the corridor; real repeat usage; zero serious safety incidents; a confirmed cost-sharing legal posture; and a sustainable unit cost.</w:t>
            </w:r>
          </w:p>
          <w:p>
            <w:pPr>
              <w:spacing w:after="70" w:line="278"/>
              <w:jc w:val="both"/>
            </w:pPr>
            <w:r>
              <w:rPr>
                <w:rFonts w:ascii="Calibri" w:cs="Calibri" w:eastAsia="Calibri" w:hAnsi="Calibri"/>
                <w:b/>
                <w:bCs/>
                <w:color w:val="20303F"/>
                <w:sz w:val="22"/>
                <w:szCs w:val="22"/>
              </w:rPr>
              <w:t xml:space="preserve">REFINE </w:t>
            </w:r>
            <w:r>
              <w:rPr>
                <w:rFonts w:ascii="Calibri" w:cs="Calibri" w:eastAsia="Calibri" w:hAnsi="Calibri"/>
                <w:color w:val="20303F"/>
                <w:sz w:val="22"/>
                <w:szCs w:val="22"/>
              </w:rPr>
              <w:t xml:space="preserve">— run another cycle — applies when demand and safety hold but one economic or product criterion misses with a clear, fundable remediation path.</w:t>
            </w:r>
          </w:p>
          <w:p>
            <w:pPr>
              <w:spacing w:after="0" w:line="278"/>
              <w:jc w:val="both"/>
            </w:pPr>
            <w:r>
              <w:rPr>
                <w:rFonts w:ascii="Calibri" w:cs="Calibri" w:eastAsia="Calibri" w:hAnsi="Calibri"/>
                <w:b/>
                <w:bCs/>
                <w:color w:val="9D2235"/>
                <w:sz w:val="22"/>
                <w:szCs w:val="22"/>
              </w:rPr>
              <w:t xml:space="preserve">NO-GO </w:t>
            </w:r>
            <w:r>
              <w:rPr>
                <w:rFonts w:ascii="Calibri" w:cs="Calibri" w:eastAsia="Calibri" w:hAnsi="Calibri"/>
                <w:color w:val="20303F"/>
                <w:sz w:val="22"/>
                <w:szCs w:val="22"/>
              </w:rPr>
              <w:t xml:space="preserve">— do not scale — is triggered by </w:t>
            </w:r>
            <w:r>
              <w:rPr>
                <w:rFonts w:ascii="Calibri" w:cs="Calibri" w:eastAsia="Calibri" w:hAnsi="Calibri"/>
                <w:b/>
                <w:bCs/>
                <w:color w:val="20303F"/>
                <w:sz w:val="22"/>
                <w:szCs w:val="22"/>
              </w:rPr>
              <w:t xml:space="preserve">any safety or legal failure</w:t>
            </w:r>
            <w:r>
              <w:rPr>
                <w:rFonts w:ascii="Calibri" w:cs="Calibri" w:eastAsia="Calibri" w:hAnsi="Calibri"/>
                <w:color w:val="20303F"/>
                <w:sz w:val="22"/>
                <w:szCs w:val="22"/>
              </w:rPr>
              <w:t xml:space="preserve">, regardless of how strong demand looks. These two are non-negotiable; enthusiasm does not override them.</w:t>
            </w:r>
          </w:p>
        </w:tc>
      </w:tr>
    </w:tbl>
    <w:p>
      <w:pPr>
        <w:pStyle w:val="Heading2"/>
        <w:keepNext/>
        <w:spacing w:after="110" w:before="240"/>
      </w:pPr>
      <w:r>
        <w:rPr>
          <w:rFonts w:ascii="Calibri" w:cs="Calibri" w:eastAsia="Calibri" w:hAnsi="Calibri"/>
          <w:b/>
          <w:bCs/>
          <w:color w:val="1C6FD6"/>
          <w:sz w:val="25"/>
          <w:szCs w:val="25"/>
        </w:rPr>
        <w:t xml:space="preserve">26.3  Handover &amp; archive</w:t>
      </w:r>
    </w:p>
    <w:p>
      <w:pPr>
        <w:spacing w:after="140" w:line="278"/>
        <w:jc w:val="both"/>
      </w:pPr>
      <w:r>
        <w:rPr>
          <w:rFonts w:ascii="Calibri" w:cs="Calibri" w:eastAsia="Calibri" w:hAnsi="Calibri"/>
          <w:color w:val="20303F"/>
          <w:sz w:val="22"/>
          <w:szCs w:val="22"/>
        </w:rPr>
        <w:t xml:space="preserve">Whichever way the decision goes, the project closes cleanly. On a </w:t>
      </w:r>
      <w:r>
        <w:rPr>
          <w:rFonts w:ascii="Calibri" w:cs="Calibri" w:eastAsia="Calibri" w:hAnsi="Calibri"/>
          <w:b/>
          <w:bCs/>
          <w:color w:val="20303F"/>
          <w:sz w:val="22"/>
          <w:szCs w:val="22"/>
        </w:rPr>
        <w:t xml:space="preserve">go</w:t>
      </w:r>
      <w:r>
        <w:rPr>
          <w:rFonts w:ascii="Calibri" w:cs="Calibri" w:eastAsia="Calibri" w:hAnsi="Calibri"/>
          <w:color w:val="20303F"/>
          <w:sz w:val="22"/>
          <w:szCs w:val="22"/>
        </w:rPr>
        <w:t xml:space="preserve">, the artifacts in this document become the venture's operating baseline and the seed-raise data room (§19); the backlog, risk register, and vendor agreements carry forward. On a </w:t>
      </w:r>
      <w:r>
        <w:rPr>
          <w:rFonts w:ascii="Calibri" w:cs="Calibri" w:eastAsia="Calibri" w:hAnsi="Calibri"/>
          <w:b/>
          <w:bCs/>
          <w:color w:val="20303F"/>
          <w:sz w:val="22"/>
          <w:szCs w:val="22"/>
        </w:rPr>
        <w:t xml:space="preserve">refine</w:t>
      </w:r>
      <w:r>
        <w:rPr>
          <w:rFonts w:ascii="Calibri" w:cs="Calibri" w:eastAsia="Calibri" w:hAnsi="Calibri"/>
          <w:color w:val="20303F"/>
          <w:sz w:val="22"/>
          <w:szCs w:val="22"/>
        </w:rPr>
        <w:t xml:space="preserve">, the lessons feed a tightened second cycle. On a </w:t>
      </w:r>
      <w:r>
        <w:rPr>
          <w:rFonts w:ascii="Calibri" w:cs="Calibri" w:eastAsia="Calibri" w:hAnsi="Calibri"/>
          <w:b/>
          <w:bCs/>
          <w:color w:val="20303F"/>
          <w:sz w:val="22"/>
          <w:szCs w:val="22"/>
        </w:rPr>
        <w:t xml:space="preserve">no-go</w:t>
      </w:r>
      <w:r>
        <w:rPr>
          <w:rFonts w:ascii="Calibri" w:cs="Calibri" w:eastAsia="Calibri" w:hAnsi="Calibri"/>
          <w:color w:val="20303F"/>
          <w:sz w:val="22"/>
          <w:szCs w:val="22"/>
        </w:rPr>
        <w:t xml:space="preserve">, the work is documented and archived so the evidence — and the reasons — are preserved. In every case the codebase, the plans, and the pilot data are archived, and a final retrospective records what the project taught.</w:t>
      </w:r>
    </w:p>
    <w:p>
      <w:pPr>
        <w:pStyle w:val="Heading2"/>
        <w:keepNext/>
        <w:spacing w:after="110" w:before="240"/>
      </w:pPr>
      <w:r>
        <w:rPr>
          <w:rFonts w:ascii="Calibri" w:cs="Calibri" w:eastAsia="Calibri" w:hAnsi="Calibri"/>
          <w:b/>
          <w:bCs/>
          <w:color w:val="1C6FD6"/>
          <w:sz w:val="25"/>
          <w:szCs w:val="25"/>
        </w:rPr>
        <w:t xml:space="preserve">26.4  Final word</w:t>
      </w:r>
    </w:p>
    <w:p>
      <w:pPr>
        <w:spacing w:after="140" w:line="278"/>
        <w:jc w:val="both"/>
      </w:pPr>
      <w:r>
        <w:rPr>
          <w:rFonts w:ascii="Calibri" w:cs="Calibri" w:eastAsia="Calibri" w:hAnsi="Calibri"/>
          <w:color w:val="20303F"/>
          <w:sz w:val="22"/>
          <w:szCs w:val="22"/>
        </w:rPr>
        <w:t xml:space="preserve">DiamondDrive is, on the evidence assembled here, </w:t>
      </w:r>
      <w:r>
        <w:rPr>
          <w:rFonts w:ascii="Calibri" w:cs="Calibri" w:eastAsia="Calibri" w:hAnsi="Calibri"/>
          <w:b/>
          <w:bCs/>
          <w:color w:val="20303F"/>
          <w:sz w:val="22"/>
          <w:szCs w:val="22"/>
        </w:rPr>
        <w:t xml:space="preserve">feasible as a bounded capstone pilot and credible as an NWA venture</w:t>
      </w:r>
      <w:r>
        <w:rPr>
          <w:rFonts w:ascii="Calibri" w:cs="Calibri" w:eastAsia="Calibri" w:hAnsi="Calibri"/>
          <w:color w:val="20303F"/>
          <w:sz w:val="22"/>
          <w:szCs w:val="22"/>
        </w:rPr>
        <w:t xml:space="preserve"> — conditioned above all on resolving the insurance and regulatory posture before launch. The enrollment curve, the parking gap, and the proven appetite for managed campus rides describe a real and growing need; the verified-access, cost-sharing model is a defensible way to meet it; and the blended plan in these pages governs both the pilot that tests it and the venture it could become. The plan's discipline is to prove the hard things first — legality, safety, liquidity — and to let a single honest decision, backed by real data, determine whether DiamondDrive scales. </w:t>
      </w:r>
      <w:r>
        <w:rPr>
          <w:rFonts w:ascii="Calibri" w:cs="Calibri" w:eastAsia="Calibri" w:hAnsi="Calibri"/>
          <w:i/>
          <w:iCs/>
          <w:color w:val="20303F"/>
          <w:sz w:val="22"/>
          <w:szCs w:val="22"/>
        </w:rPr>
        <w:t xml:space="preserve">Patience pays.</w:t>
      </w:r>
    </w:p>
    <w:p>
      <w:r>
        <w:br w:type="page"/>
      </w:r>
    </w:p>
    <w:p>
      <w:pPr>
        <w:pageBreakBefore/>
        <w:spacing w:after="0" w:before="80"/>
      </w:pPr>
    </w:p>
    <w:p>
      <w:pPr>
        <w:spacing w:after="30" w:before="60"/>
        <w:jc w:val="left"/>
      </w:pPr>
      <w:r>
        <w:rPr>
          <w:rFonts w:ascii="Calibri" w:cs="Calibri" w:eastAsia="Calibri" w:hAnsi="Calibri"/>
          <w:b/>
          <w:bCs/>
          <w:color w:val="9D2235"/>
          <w:spacing w:val="60"/>
          <w:sz w:val="19"/>
          <w:szCs w:val="19"/>
        </w:rPr>
        <w:t xml:space="preserve">APPENDICES</w:t>
      </w:r>
    </w:p>
    <w:p>
      <w:pPr>
        <w:pBdr>
          <w:bottom w:val="single" w:color="0B1F3A" w:sz="18" w:space="6"/>
        </w:pBdr>
        <w:spacing w:after="60" w:before="0"/>
      </w:pPr>
      <w:r>
        <w:rPr>
          <w:rFonts w:ascii="Calibri" w:cs="Calibri" w:eastAsia="Calibri" w:hAnsi="Calibri"/>
          <w:b/>
          <w:bCs/>
          <w:color w:val="0B1F3A"/>
          <w:sz w:val="38"/>
          <w:szCs w:val="38"/>
        </w:rPr>
        <w:t xml:space="preserve">Reference Material</w:t>
      </w:r>
    </w:p>
    <w:p>
      <w:pPr>
        <w:spacing w:after="140" w:line="278"/>
        <w:jc w:val="both"/>
      </w:pPr>
      <w:r>
        <w:rPr>
          <w:rFonts w:ascii="Calibri" w:cs="Calibri" w:eastAsia="Calibri" w:hAnsi="Calibri"/>
          <w:color w:val="20303F"/>
          <w:sz w:val="22"/>
          <w:szCs w:val="22"/>
        </w:rPr>
        <w:t xml:space="preserve">The appendices collect reference material that supports the plan without interrupting it: a map of how this document relates to the other two DiamondDrive deliverables, the evidence base the feasibility figures draw on, and a glossary of the recurring terms.</w:t>
      </w:r>
    </w:p>
    <w:p>
      <w:pPr>
        <w:pStyle w:val="Heading1"/>
        <w:pBdr>
          <w:bottom w:val="single" w:color="1C6FD6" w:sz="10" w:space="4"/>
        </w:pBdr>
        <w:spacing w:after="150" w:before="340"/>
      </w:pPr>
      <w:r>
        <w:rPr>
          <w:rFonts w:ascii="Calibri" w:cs="Calibri" w:eastAsia="Calibri" w:hAnsi="Calibri"/>
          <w:b/>
          <w:bCs/>
          <w:color w:val="0B1F3A"/>
          <w:sz w:val="30"/>
          <w:szCs w:val="30"/>
        </w:rPr>
        <w:t xml:space="preserve">Appendix A  ·  The Three-Deliverable Set</w:t>
      </w:r>
    </w:p>
    <w:p>
      <w:pPr>
        <w:spacing w:after="140" w:line="278"/>
        <w:jc w:val="both"/>
      </w:pPr>
      <w:r>
        <w:rPr>
          <w:rFonts w:ascii="Calibri" w:cs="Calibri" w:eastAsia="Calibri" w:hAnsi="Calibri"/>
          <w:color w:val="20303F"/>
          <w:sz w:val="22"/>
          <w:szCs w:val="22"/>
        </w:rPr>
        <w:t xml:space="preserve">This Project Management Plan is one of three companion deliverables. Each answers a different question about DiamondDrive, and together they form a complete feasibility-to-execution package.</w:t>
      </w:r>
    </w:p>
    <w:p>
      <w:pPr>
        <w:keepNext/>
        <w:spacing w:after="90" w:before="60"/>
      </w:pPr>
      <w:r>
        <w:rPr>
          <w:rFonts w:ascii="Calibri" w:cs="Calibri" w:eastAsia="Calibri" w:hAnsi="Calibri"/>
          <w:b/>
          <w:bCs/>
          <w:color w:val="9D2235"/>
          <w:sz w:val="19"/>
          <w:szCs w:val="19"/>
        </w:rPr>
        <w:t xml:space="preserve">Table A-1.  </w:t>
      </w:r>
      <w:r>
        <w:rPr>
          <w:rFonts w:ascii="Calibri" w:cs="Calibri" w:eastAsia="Calibri" w:hAnsi="Calibri"/>
          <w:b/>
          <w:bCs/>
          <w:color w:val="0B1F3A"/>
          <w:sz w:val="19"/>
          <w:szCs w:val="19"/>
        </w:rPr>
        <w:t xml:space="preserve">How the three deliverables relate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Deliverable</w:t>
            </w:r>
          </w:p>
        </w:tc>
        <w:tc>
          <w:tcPr>
            <w:tcW w:type="dxa" w:w="35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Question it answers</w:t>
            </w:r>
          </w:p>
        </w:tc>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Relationship to this plan</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1 · Academic Research Paper</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Is the idea sound, given the literature and evidence?</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Supplies the feasibility evidence base (see Appendix B).</w:t>
            </w:r>
          </w:p>
        </w:tc>
      </w:tr>
      <w:tr>
        <w:trPr>
          <w:cantSplit/>
        </w:trPr>
        <w:tc>
          <w:tcPr>
            <w:tcW w:type="dxa" w:w="26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2 · PM Plan (this document)</w:t>
            </w:r>
          </w:p>
        </w:tc>
        <w:tc>
          <w:tcPr>
            <w:tcW w:type="dxa" w:w="35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How is it built, governed, and decided?</w:t>
            </w:r>
          </w:p>
        </w:tc>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execution and governance layer.</w:t>
            </w:r>
          </w:p>
        </w:tc>
      </w:tr>
      <w:tr>
        <w:trPr>
          <w:cantSplit/>
        </w:trPr>
        <w:tc>
          <w:tcPr>
            <w:tcW w:type="dxa" w:w="26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3 · Prototype Application</w:t>
            </w:r>
          </w:p>
        </w:tc>
        <w:tc>
          <w:tcPr>
            <w:tcW w:type="dxa" w:w="35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What does it actually look and feel like?</w:t>
            </w:r>
          </w:p>
        </w:tc>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Demonstrates the five core flows this plan scopes (§10).</w:t>
            </w:r>
          </w:p>
        </w:tc>
      </w:tr>
    </w:tbl>
    <w:p>
      <w:pPr>
        <w:spacing w:after="200" w:before="70"/>
        <w:jc w:val="left"/>
      </w:pPr>
      <w:r>
        <w:rPr>
          <w:rFonts w:ascii="Calibri" w:cs="Calibri" w:eastAsia="Calibri" w:hAnsi="Calibri"/>
          <w:i/>
          <w:iCs/>
          <w:color w:val="5A6675"/>
          <w:sz w:val="17"/>
          <w:szCs w:val="17"/>
        </w:rPr>
        <w:t xml:space="preserve">The prototype's five flows, the paper's evidence, and this plan's governance are deliberately consistent so the three read as one body of work.</w:t>
      </w:r>
    </w:p>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Appendix B  ·  Evidence Base</w:t>
      </w:r>
    </w:p>
    <w:p>
      <w:pPr>
        <w:spacing w:after="140" w:line="278"/>
        <w:jc w:val="both"/>
      </w:pPr>
      <w:r>
        <w:rPr>
          <w:rFonts w:ascii="Calibri" w:cs="Calibri" w:eastAsia="Calibri" w:hAnsi="Calibri"/>
          <w:color w:val="20303F"/>
          <w:sz w:val="22"/>
          <w:szCs w:val="22"/>
        </w:rPr>
        <w:t xml:space="preserve">The quantitative claims in this plan are drawn from the companion research paper and its sourced evidence base. The key figures are collected here for quick reference; full citations live in the research paper.</w:t>
      </w:r>
    </w:p>
    <w:p>
      <w:pPr>
        <w:keepNext/>
        <w:spacing w:after="90" w:before="60"/>
      </w:pPr>
      <w:r>
        <w:rPr>
          <w:rFonts w:ascii="Calibri" w:cs="Calibri" w:eastAsia="Calibri" w:hAnsi="Calibri"/>
          <w:b/>
          <w:bCs/>
          <w:color w:val="9D2235"/>
          <w:sz w:val="19"/>
          <w:szCs w:val="19"/>
        </w:rPr>
        <w:t xml:space="preserve">Table B-1.  </w:t>
      </w:r>
      <w:r>
        <w:rPr>
          <w:rFonts w:ascii="Calibri" w:cs="Calibri" w:eastAsia="Calibri" w:hAnsi="Calibri"/>
          <w:b/>
          <w:bCs/>
          <w:color w:val="0B1F3A"/>
          <w:sz w:val="19"/>
          <w:szCs w:val="19"/>
        </w:rPr>
        <w:t xml:space="preserve">Key feasibility figures used in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Figure</w:t>
            </w:r>
          </w:p>
        </w:tc>
        <w:tc>
          <w:tcPr>
            <w:tcW w:type="dxa" w:w="27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Value</w:t>
            </w:r>
          </w:p>
        </w:tc>
        <w:tc>
          <w:tcPr>
            <w:tcW w:type="dxa" w:w="34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Used in</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UA enrollment, Fall 2025</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34,175</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Exec summary; §2.1</w:t>
            </w:r>
          </w:p>
        </w:tc>
      </w:tr>
      <w:tr>
        <w:trPr>
          <w:cantSplit/>
        </w:trPr>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Enrollment growth since 2020</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~24%</w:t>
            </w:r>
          </w:p>
        </w:tc>
        <w:tc>
          <w:tcPr>
            <w:tcW w:type="dxa" w:w="3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§2.1</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Next structured parking garage</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9D2235"/>
                <w:sz w:val="19"/>
                <w:szCs w:val="19"/>
              </w:rPr>
              <w:t xml:space="preserve">2029</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§2.1; problem case</w:t>
            </w:r>
          </w:p>
        </w:tc>
      </w:tr>
      <w:tr>
        <w:trPr>
          <w:cantSplit/>
        </w:trPr>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Safe Ride passengers (recent yr)</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7,431</w:t>
            </w:r>
          </w:p>
        </w:tc>
        <w:tc>
          <w:tcPr>
            <w:tcW w:type="dxa" w:w="3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§2.1; demand evidence</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MVP build envelope</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$6k–$45k</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Charter; §15</w:t>
            </w:r>
          </w:p>
        </w:tc>
      </w:tr>
      <w:tr>
        <w:trPr>
          <w:cantSplit/>
        </w:trPr>
        <w:tc>
          <w:tcPr>
            <w:tcW w:type="dxa" w:w="32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Beachhead corridor</w:t>
            </w:r>
          </w:p>
        </w:tc>
        <w:tc>
          <w:tcPr>
            <w:tcW w:type="dxa" w:w="27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Springdale–campus (I-49)</w:t>
            </w:r>
          </w:p>
        </w:tc>
        <w:tc>
          <w:tcPr>
            <w:tcW w:type="dxa" w:w="3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§2.2; §18</w:t>
            </w:r>
          </w:p>
        </w:tc>
      </w:tr>
      <w:tr>
        <w:trPr>
          <w:cantSplit/>
        </w:trPr>
        <w:tc>
          <w:tcPr>
            <w:tcW w:type="dxa" w:w="32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Anchor sponsor (origin)</w:t>
            </w:r>
          </w:p>
        </w:tc>
        <w:tc>
          <w:tcPr>
            <w:tcW w:type="dxa" w:w="27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7 Brew — founded Rogers, AR</w:t>
            </w:r>
          </w:p>
        </w:tc>
        <w:tc>
          <w:tcPr>
            <w:tcW w:type="dxa" w:w="3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§15.3; §18.3</w:t>
            </w:r>
          </w:p>
        </w:tc>
      </w:tr>
    </w:tbl>
    <w:p>
      <w:pPr>
        <w:spacing w:after="200" w:before="70"/>
        <w:jc w:val="left"/>
      </w:pPr>
      <w:r>
        <w:rPr>
          <w:rFonts w:ascii="Calibri" w:cs="Calibri" w:eastAsia="Calibri" w:hAnsi="Calibri"/>
          <w:i/>
          <w:iCs/>
          <w:color w:val="5A6675"/>
          <w:sz w:val="17"/>
          <w:szCs w:val="17"/>
        </w:rPr>
        <w:t xml:space="preserve">Figures are reproduced from the research paper's evidence base; consult that document for primary sources and full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F8FD" w:sz="2"/>
              <w:left w:val="single" w:color="3A4A5E" w:sz="28"/>
              <w:bottom w:val="single" w:color="F4F8FD" w:sz="2"/>
              <w:right w:val="single" w:color="F4F8FD" w:sz="2"/>
            </w:tcBorders>
            <w:shd w:fill="F4F8FD" w:val="clear"/>
            <w:tcMar>
              <w:top w:type="dxa" w:w="110"/>
              <w:left w:type="dxa" w:w="200"/>
              <w:bottom w:type="dxa" w:w="110"/>
              <w:right w:type="dxa" w:w="160"/>
            </w:tcMar>
          </w:tcPr>
          <w:p>
            <w:pPr>
              <w:spacing w:after="80" w:line="264"/>
            </w:pPr>
            <w:r>
              <w:rPr>
                <w:rFonts w:ascii="Calibri" w:cs="Calibri" w:eastAsia="Calibri" w:hAnsi="Calibri"/>
                <w:b/>
                <w:bCs/>
                <w:color w:val="3A4A5E"/>
                <w:sz w:val="20"/>
                <w:szCs w:val="20"/>
              </w:rPr>
              <w:t xml:space="preserve">On the integrity of the figures</w:t>
            </w:r>
          </w:p>
          <w:p>
            <w:pPr>
              <w:spacing w:after="0" w:line="278"/>
              <w:jc w:val="both"/>
            </w:pPr>
            <w:r>
              <w:rPr>
                <w:rFonts w:ascii="Calibri" w:cs="Calibri" w:eastAsia="Calibri" w:hAnsi="Calibri"/>
                <w:color w:val="20303F"/>
                <w:sz w:val="22"/>
                <w:szCs w:val="22"/>
              </w:rPr>
              <w:t xml:space="preserve">The numbers in this plan are used as planning inputs, not marketing. Where a figure carries uncertainty — market sizes especially — the research paper presents it as a range, and this plan inherits that caution. The feasibility case is built to survive honest numbers rather than flattering ones.</w:t>
            </w:r>
          </w:p>
        </w:tc>
      </w:tr>
    </w:tbl>
    <w:p>
      <w:pPr>
        <w:pStyle w:val="Heading1"/>
        <w:pageBreakBefore/>
        <w:pBdr>
          <w:bottom w:val="single" w:color="1C6FD6" w:sz="10" w:space="4"/>
        </w:pBdr>
        <w:spacing w:after="150" w:before="340"/>
      </w:pPr>
      <w:r>
        <w:rPr>
          <w:rFonts w:ascii="Calibri" w:cs="Calibri" w:eastAsia="Calibri" w:hAnsi="Calibri"/>
          <w:b/>
          <w:bCs/>
          <w:color w:val="0B1F3A"/>
          <w:sz w:val="30"/>
          <w:szCs w:val="30"/>
        </w:rPr>
        <w:t xml:space="preserve">Appendix C  ·  Glossary</w:t>
      </w:r>
    </w:p>
    <w:p>
      <w:pPr>
        <w:spacing w:after="140" w:line="278"/>
        <w:jc w:val="both"/>
      </w:pPr>
      <w:r>
        <w:rPr>
          <w:rFonts w:ascii="Calibri" w:cs="Calibri" w:eastAsia="Calibri" w:hAnsi="Calibri"/>
          <w:color w:val="20303F"/>
          <w:sz w:val="22"/>
          <w:szCs w:val="22"/>
        </w:rPr>
        <w:t xml:space="preserve">Recurring terms, defined as they are used in this document.</w:t>
      </w:r>
    </w:p>
    <w:p>
      <w:pPr>
        <w:keepNext/>
        <w:spacing w:after="90" w:before="60"/>
      </w:pPr>
      <w:r>
        <w:rPr>
          <w:rFonts w:ascii="Calibri" w:cs="Calibri" w:eastAsia="Calibri" w:hAnsi="Calibri"/>
          <w:b/>
          <w:bCs/>
          <w:color w:val="9D2235"/>
          <w:sz w:val="19"/>
          <w:szCs w:val="19"/>
        </w:rPr>
        <w:t xml:space="preserve">Table C-1.  </w:t>
      </w:r>
      <w:r>
        <w:rPr>
          <w:rFonts w:ascii="Calibri" w:cs="Calibri" w:eastAsia="Calibri" w:hAnsi="Calibri"/>
          <w:b/>
          <w:bCs/>
          <w:color w:val="0B1F3A"/>
          <w:sz w:val="19"/>
          <w:szCs w:val="19"/>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Term</w:t>
            </w:r>
          </w:p>
        </w:tc>
        <w:tc>
          <w:tcPr>
            <w:tcW w:type="dxa" w:w="6960"/>
            <w:tcBorders>
              <w:top w:val="single" w:color="C9D4E2" w:sz="1"/>
              <w:left w:val="single" w:color="C9D4E2" w:sz="1"/>
              <w:bottom w:val="single" w:color="C9D4E2" w:sz="1"/>
              <w:right w:val="single" w:color="C9D4E2" w:sz="1"/>
            </w:tcBorders>
            <w:shd w:fill="0B1F3A" w:val="clear"/>
            <w:tcMar>
              <w:top w:type="dxa" w:w="58"/>
              <w:left w:type="dxa" w:w="110"/>
              <w:bottom w:type="dxa" w:w="58"/>
              <w:right w:type="dxa" w:w="110"/>
            </w:tcMar>
            <w:vAlign w:val="center"/>
          </w:tcPr>
          <w:p>
            <w:pPr>
              <w:spacing w:after="0" w:line="248"/>
              <w:jc w:val="left"/>
            </w:pPr>
            <w:r>
              <w:rPr>
                <w:rFonts w:ascii="Calibri" w:cs="Calibri" w:eastAsia="Calibri" w:hAnsi="Calibri"/>
                <w:b/>
                <w:bCs/>
                <w:color w:val="FFFFFF"/>
                <w:sz w:val="19"/>
                <w:szCs w:val="19"/>
              </w:rPr>
              <w:t xml:space="preserve">Meaning in this document</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Cost-sharing carpool</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An arrangement where riders contribute toward a trip's cost and drivers recover expenses (e.g., gas) rather than earn a wage; no surge, no ride-level profit. The legal posture the whole plan turns on.</w:t>
            </w:r>
          </w:p>
        </w:tc>
      </w:tr>
      <w:tr>
        <w:trPr>
          <w:cantSplit/>
        </w:trPr>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TNC</w:t>
            </w:r>
          </w:p>
        </w:tc>
        <w:tc>
          <w:tcPr>
            <w:tcW w:type="dxa" w:w="6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Transportation Network Company — the regulated classification (e.g., Uber/Lyft) DiamondDrive is structured to avoid, because it would trigger fatal insurance and commercial requirements.</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Cold-start problem</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chicken-and-egg difficulty of a two-sided network having no value to its first users; the hardest problem the go-to-market solves (§18).</w:t>
            </w:r>
          </w:p>
        </w:tc>
      </w:tr>
      <w:tr>
        <w:trPr>
          <w:cantSplit/>
        </w:trPr>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Beachhead corridor</w:t>
            </w:r>
          </w:p>
        </w:tc>
        <w:tc>
          <w:tcPr>
            <w:tcW w:type="dxa" w:w="6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single high-density route (Springdale–campus) the pilot concentrates on first to manufacture liquidity.</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DiamondMiles</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rewards currency earned through activity and redeemed at local sponsors; pulls demand without ride-level profit.</w:t>
            </w:r>
          </w:p>
        </w:tc>
      </w:tr>
      <w:tr>
        <w:trPr>
          <w:cantSplit/>
        </w:trPr>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Five core flows</w:t>
            </w:r>
          </w:p>
        </w:tc>
        <w:tc>
          <w:tcPr>
            <w:tcW w:type="dxa" w:w="6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Onboarding, ride matching, item delivery, safety toolkit, and rewards — the product scope (§10.1).</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Phase gate</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A fixed decision point (G0–G4) where the sponsor inspects progress and authorises the next phase; where the predictive and Agile tracks synchronise.</w:t>
            </w:r>
          </w:p>
        </w:tc>
      </w:tr>
      <w:tr>
        <w:trPr>
          <w:cantSplit/>
        </w:trPr>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Definition of done</w:t>
            </w:r>
          </w:p>
        </w:tc>
        <w:tc>
          <w:tcPr>
            <w:tcW w:type="dxa" w:w="6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Agile build's quality bar a backlog item must meet to count as complete (§21.2).</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Predictive (waterfall)</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Plan-driven governance with a baseline and change control; used for the institutional wrapper.</w:t>
            </w:r>
          </w:p>
        </w:tc>
      </w:tr>
      <w:tr>
        <w:trPr>
          <w:cantSplit/>
        </w:trPr>
        <w:tc>
          <w:tcPr>
            <w:tcW w:type="dxa" w:w="240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bCs/>
                <w:color w:val="20303F"/>
                <w:sz w:val="19"/>
                <w:szCs w:val="19"/>
              </w:rPr>
              <w:t xml:space="preserve">Agile (Scrum)</w:t>
            </w:r>
          </w:p>
        </w:tc>
        <w:tc>
          <w:tcPr>
            <w:tcW w:type="dxa" w:w="6960"/>
            <w:tcBorders>
              <w:top w:val="single" w:color="C9D4E2" w:sz="1"/>
              <w:left w:val="single" w:color="C9D4E2" w:sz="1"/>
              <w:bottom w:val="single" w:color="C9D4E2" w:sz="1"/>
              <w:right w:val="single" w:color="C9D4E2" w:sz="1"/>
            </w:tcBorders>
            <w:shd w:fill="F4F8FD"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Iterative, feedback-driven delivery in two-week sprints; used for the product build.</w:t>
            </w:r>
          </w:p>
        </w:tc>
      </w:tr>
      <w:tr>
        <w:trPr>
          <w:cantSplit/>
        </w:trPr>
        <w:tc>
          <w:tcPr>
            <w:tcW w:type="dxa" w:w="240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Go/no-go</w:t>
            </w:r>
          </w:p>
        </w:tc>
        <w:tc>
          <w:tcPr>
            <w:tcW w:type="dxa" w:w="6960"/>
            <w:tcBorders>
              <w:top w:val="single" w:color="C9D4E2" w:sz="1"/>
              <w:left w:val="single" w:color="C9D4E2" w:sz="1"/>
              <w:bottom w:val="single" w:color="C9D4E2" w:sz="1"/>
              <w:right w:val="single" w:color="C9D4E2" w:sz="1"/>
            </w:tcBorders>
            <w:shd w:fill="FFFFFF" w:val="clear"/>
            <w:tcMar>
              <w:top w:type="dxa" w:w="58"/>
              <w:left w:type="dxa" w:w="110"/>
              <w:bottom w:type="dxa" w:w="58"/>
              <w:right w:type="dxa" w:w="110"/>
            </w:tcMar>
            <w:vAlign w:val="center"/>
          </w:tcPr>
          <w:p>
            <w:pPr>
              <w:spacing w:after="0" w:line="248"/>
              <w:jc w:val="left"/>
            </w:pPr>
            <w:r>
              <w:rPr>
                <w:rFonts w:ascii="Calibri" w:cs="Calibri" w:eastAsia="Calibri" w:hAnsi="Calibri"/>
                <w:b w:val="false"/>
                <w:bCs w:val="false"/>
                <w:color w:val="20303F"/>
                <w:sz w:val="19"/>
                <w:szCs w:val="19"/>
              </w:rPr>
              <w:t xml:space="preserve">The closing decision (§26) on whether to scale the pilot into the NWA venture.</w:t>
            </w:r>
          </w:p>
        </w:tc>
      </w:tr>
    </w:tbl>
    <w:p>
      <w:pPr>
        <w:spacing w:after="140"/>
      </w:pPr>
    </w:p>
    <w:p>
      <w:pPr>
        <w:spacing w:after="20" w:before="200"/>
        <w:jc w:val="center"/>
      </w:pPr>
      <w:r>
        <w:rPr>
          <w:rFonts w:ascii="Calibri" w:cs="Calibri" w:eastAsia="Calibri" w:hAnsi="Calibri"/>
          <w:b/>
          <w:bCs/>
          <w:color w:val="0B1F3A"/>
          <w:sz w:val="30"/>
          <w:szCs w:val="30"/>
        </w:rPr>
        <w:t xml:space="preserve">Diamond</w:t>
      </w:r>
      <w:r>
        <w:rPr>
          <w:rFonts w:ascii="Calibri" w:cs="Calibri" w:eastAsia="Calibri" w:hAnsi="Calibri"/>
          <w:b/>
          <w:bCs/>
          <w:color w:val="1C6FD6"/>
          <w:sz w:val="30"/>
          <w:szCs w:val="30"/>
        </w:rPr>
        <w:t xml:space="preserve">Drive</w:t>
      </w:r>
    </w:p>
    <w:p>
      <w:pPr>
        <w:spacing w:after="6"/>
        <w:jc w:val="center"/>
      </w:pPr>
      <w:r>
        <w:rPr>
          <w:rFonts w:ascii="Calibri" w:cs="Calibri" w:eastAsia="Calibri" w:hAnsi="Calibri"/>
          <w:color w:val="5A6675"/>
          <w:sz w:val="16"/>
          <w:szCs w:val="16"/>
        </w:rPr>
        <w:t xml:space="preserve">Project Management Plan &amp; Feasibility Document  ·  Version 1.0  ·  June 2026</w:t>
      </w:r>
    </w:p>
    <w:p>
      <w:pPr>
        <w:jc w:val="center"/>
      </w:pPr>
      <w:r>
        <w:rPr>
          <w:rFonts w:ascii="Calibri" w:cs="Calibri" w:eastAsia="Calibri" w:hAnsi="Calibri"/>
          <w:i/>
          <w:iCs/>
          <w:color w:val="5A6675"/>
          <w:sz w:val="16"/>
          <w:szCs w:val="16"/>
        </w:rPr>
        <w:t xml:space="preserve">Prepared by Maximiliano Garcia  ·  Sam M. Walton College of Business, University of Arkansas</w:t>
      </w:r>
    </w:p>
    <w:p>
      <w:pPr>
        <w:spacing w:before="16"/>
        <w:jc w:val="center"/>
      </w:pPr>
      <w:r>
        <w:rPr>
          <w:rFonts w:ascii="Calibri" w:cs="Calibri" w:eastAsia="Calibri" w:hAnsi="Calibri"/>
          <w:b/>
          <w:bCs/>
          <w:color w:val="9D2235"/>
          <w:spacing w:val="60"/>
          <w:sz w:val="15"/>
          <w:szCs w:val="15"/>
        </w:rPr>
        <w:t xml:space="preserve">PATIENCE PAYS.</w:t>
      </w:r>
    </w:p>
    <w:sectPr>
      <w:headerReference w:type="default" r:id="rId7"/>
      <w:footerReference w:type="default" r:id="rId8"/>
      <w:pgSz w:w="12240" w:h="15840" w:orient="portrait"/>
      <w:pgMar w:top="1180" w:right="1320" w:bottom="1180" w:left="132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2" w:sz="6" w:space="4"/>
      </w:pBdr>
      <w:spacing w:before="40"/>
      <w:jc w:val="center"/>
    </w:pPr>
    <w:r>
      <w:rPr>
        <w:rFonts w:ascii="Calibri" w:cs="Calibri" w:eastAsia="Calibri" w:hAnsi="Calibri"/>
        <w:color w:val="5A6675"/>
        <w:sz w:val="15"/>
        <w:szCs w:val="15"/>
      </w:rPr>
      <w:t xml:space="preserve">Page </w:t>
    </w:r>
    <w:r>
      <w:rPr>
        <w:rFonts w:ascii="Calibri" w:cs="Calibri" w:eastAsia="Calibri" w:hAnsi="Calibri"/>
        <w:b/>
        <w:bCs/>
        <w:color w:val="0B1F3A"/>
        <w:sz w:val="15"/>
        <w:szCs w:val="15"/>
      </w:rPr>
      <w:fldChar w:fldCharType="begin"/>
      <w:instrText xml:space="preserve">PAGE</w:instrText>
      <w:fldChar w:fldCharType="separate"/>
      <w:fldChar w:fldCharType="end"/>
    </w:r>
    <w:r>
      <w:rPr>
        <w:rFonts w:ascii="Calibri" w:cs="Calibri" w:eastAsia="Calibri" w:hAnsi="Calibri"/>
        <w:color w:val="5A6675"/>
        <w:sz w:val="14"/>
        <w:szCs w:val="14"/>
      </w:rPr>
      <w:t xml:space="preserve">   •   Garcia  •  June 2026   •   Not affiliated with the University of Arkansas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2" w:sz="6" w:space="4"/>
      </w:pBdr>
      <w:spacing w:after="40"/>
      <w:jc w:val="left"/>
    </w:pPr>
    <w:r>
      <w:rPr>
        <w:rFonts w:ascii="Calibri" w:cs="Calibri" w:eastAsia="Calibri" w:hAnsi="Calibri"/>
        <w:b/>
        <w:bCs/>
        <w:color w:val="0B1F3A"/>
        <w:sz w:val="16"/>
        <w:szCs w:val="16"/>
      </w:rPr>
      <w:t xml:space="preserve">Diamond</w:t>
    </w:r>
    <w:r>
      <w:rPr>
        <w:rFonts w:ascii="Calibri" w:cs="Calibri" w:eastAsia="Calibri" w:hAnsi="Calibri"/>
        <w:b/>
        <w:bCs/>
        <w:color w:val="1C6FD6"/>
        <w:sz w:val="16"/>
        <w:szCs w:val="16"/>
      </w:rPr>
      <w:t xml:space="preserve">Drive</w:t>
    </w:r>
    <w:r>
      <w:rPr>
        <w:rFonts w:ascii="Calibri" w:cs="Calibri" w:eastAsia="Calibri" w:hAnsi="Calibri"/>
        <w:color w:val="5A6675"/>
        <w:sz w:val="15"/>
        <w:szCs w:val="15"/>
      </w:rPr>
      <w:t xml:space="preserve">   —   Project Management Plan &amp; Feasibility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C6FD6"/>
        <w:sz w:val="16"/>
        <w:szCs w:val="16"/>
      </w:rPr>
    </w:lvl>
    <w:lvl w:ilvl="1" w15:tentative="1">
      <w:start w:val="1"/>
      <w:numFmt w:val="bullet"/>
      <w:lvlText w:val="–"/>
      <w:lvlJc w:val="left"/>
      <w:pPr>
        <w:ind w:left="720" w:hanging="220"/>
      </w:pPr>
      <w:rPr>
        <w:color w:val="9D2235"/>
      </w:rPr>
    </w:lvl>
  </w:abstractNum>
  <w:abstractNum w:abstractNumId="3" w15:restartNumberingAfterBreak="0">
    <w:multiLevelType w:val="hybridMultilevel"/>
    <w:lvl w:ilvl="0" w15:tentative="1">
      <w:start w:val="1"/>
      <w:numFmt w:val="decimal"/>
      <w:lvlText w:val="%1."/>
      <w:lvlJc w:val="start"/>
      <w:pPr>
        <w:ind w:left="420" w:hanging="280"/>
      </w:pPr>
      <w:rPr>
        <w:b/>
        <w:bCs/>
        <w:color w:val="0B1F3A"/>
      </w:rPr>
    </w:lvl>
  </w:abstractNum>
  <w:abstractNum w:abstractNumId="4" w15:restartNumberingAfterBreak="0">
    <w:multiLevelType w:val="hybridMultilevel"/>
    <w:lvl w:ilvl="0" w15:tentative="1">
      <w:start w:val="1"/>
      <w:numFmt w:val="decimal"/>
      <w:lvlText w:val="Q%1."/>
      <w:lvlJc w:val="start"/>
      <w:pPr>
        <w:ind w:left="470" w:hanging="360"/>
      </w:pPr>
      <w:rPr>
        <w:b/>
        <w:bCs/>
        <w:color w:val="1C6FD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1F3A"/>
      <w:sz w:val="30"/>
      <w:szCs w:val="30"/>
    </w:rPr>
  </w:style>
  <w:style w:type="paragraph" w:styleId="Heading2">
    <w:name w:val="Heading 2"/>
    <w:basedOn w:val="Normal"/>
    <w:next w:val="Normal"/>
    <w:qFormat/>
    <w:rPr>
      <w:rFonts w:ascii="Calibri" w:cs="Calibri" w:eastAsia="Calibri" w:hAnsi="Calibri"/>
      <w:b/>
      <w:bCs/>
      <w:color w:val="1C6FD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f67753142e5a746891a1fcfd611993fbb697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DiamondDrive — Project Management Plan &amp; Feasibility Document</dc:title>
  <dc:creator>Maximiliano Garcia</dc:creator>
  <dc:description>Project management plan and feasibility analysis for DiamondDrive.</dc:description>
  <cp:lastModifiedBy>Un-named</cp:lastModifiedBy>
  <cp:revision>1</cp:revision>
  <dcterms:created xsi:type="dcterms:W3CDTF">2026-06-19T03:17:33.597Z</dcterms:created>
  <dcterms:modified xsi:type="dcterms:W3CDTF">2026-06-19T03:17:33.609Z</dcterms:modified>
</cp:coreProperties>
</file>

<file path=docProps/custom.xml><?xml version="1.0" encoding="utf-8"?>
<Properties xmlns="http://schemas.openxmlformats.org/officeDocument/2006/custom-properties" xmlns:vt="http://schemas.openxmlformats.org/officeDocument/2006/docPropsVTypes"/>
</file>