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18" w:space="6" w:color="5FC8C0"/>
        </w:pBdr>
        <w:spacing w:before="600" w:after="40"/>
        <w:rPr/>
      </w:pPr>
      <w:r>
        <w:rPr/>
      </w:r>
    </w:p>
    <w:p>
      <w:pPr>
        <w:pStyle w:val="Normal"/>
        <w:spacing w:before="200" w:after="60"/>
        <w:jc w:val="center"/>
        <w:rPr/>
      </w:pPr>
      <w:r>
        <w:rPr>
          <w:rFonts w:eastAsia="Arial" w:cs="Arial" w:ascii="Arial" w:hAnsi="Arial"/>
          <w:b/>
          <w:bCs/>
          <w:color w:val="1B6CA8"/>
          <w:sz w:val="18"/>
          <w:szCs w:val="18"/>
        </w:rPr>
        <w:t>WORKING PAPER · FINANCIAL TECHNOLOGY &amp; DISTRIBUTED SYSTEMS</w:t>
      </w:r>
    </w:p>
    <w:p>
      <w:pPr>
        <w:pStyle w:val="Normal"/>
        <w:spacing w:before="240" w:after="0"/>
        <w:jc w:val="center"/>
        <w:rPr/>
      </w:pPr>
      <w:r>
        <w:rPr>
          <w:rFonts w:eastAsia="Arial" w:cs="Arial" w:ascii="Arial" w:hAnsi="Arial"/>
          <w:b/>
          <w:bCs/>
          <w:color w:val="0B3D6B"/>
          <w:sz w:val="48"/>
          <w:szCs w:val="48"/>
        </w:rPr>
        <w:t>The Feasibility of a Blockchain-Powered,</w:t>
      </w:r>
    </w:p>
    <w:p>
      <w:pPr>
        <w:pStyle w:val="Normal"/>
        <w:spacing w:before="0" w:after="0"/>
        <w:jc w:val="center"/>
        <w:rPr/>
      </w:pPr>
      <w:r>
        <w:rPr>
          <w:rFonts w:eastAsia="Arial" w:cs="Arial" w:ascii="Arial" w:hAnsi="Arial"/>
          <w:b/>
          <w:bCs/>
          <w:color w:val="0B3D6B"/>
          <w:sz w:val="48"/>
          <w:szCs w:val="48"/>
        </w:rPr>
        <w:t>Decentralized Multi-Investment Exchange:</w:t>
      </w:r>
    </w:p>
    <w:p>
      <w:pPr>
        <w:pStyle w:val="Normal"/>
        <w:spacing w:before="120" w:after="0"/>
        <w:jc w:val="center"/>
        <w:rPr/>
      </w:pPr>
      <w:r>
        <w:rPr>
          <w:rFonts w:eastAsia="Arial" w:cs="Arial" w:ascii="Arial" w:hAnsi="Arial"/>
          <w:b w:val="false"/>
          <w:bCs w:val="false"/>
          <w:i/>
          <w:iCs/>
          <w:color w:val="1B6CA8"/>
          <w:sz w:val="30"/>
          <w:szCs w:val="30"/>
        </w:rPr>
        <w:t>A Technical, Economic, and Regulatory Assessment of the “Flock” Architecture</w:t>
      </w:r>
    </w:p>
    <w:p>
      <w:pPr>
        <w:pStyle w:val="Normal"/>
        <w:pBdr>
          <w:bottom w:val="single" w:sz="12" w:space="8" w:color="5FC8C0"/>
        </w:pBdr>
        <w:spacing w:before="260" w:after="300"/>
        <w:jc w:val="center"/>
        <w:rPr/>
      </w:pPr>
      <w:r>
        <w:rPr/>
      </w:r>
    </w:p>
    <w:p>
      <w:pPr>
        <w:pStyle w:val="Normal"/>
        <w:spacing w:before="0" w:after="40"/>
        <w:jc w:val="center"/>
        <w:rPr/>
      </w:pPr>
      <w:r>
        <w:rPr>
          <w:rFonts w:eastAsia="Arial" w:cs="Arial" w:ascii="Arial" w:hAnsi="Arial"/>
          <w:b/>
          <w:bCs/>
          <w:color w:val="1A1A1A"/>
          <w:sz w:val="28"/>
          <w:szCs w:val="28"/>
        </w:rPr>
        <w:t>Maximiliano Garcia</w:t>
      </w:r>
    </w:p>
    <w:p>
      <w:pPr>
        <w:pStyle w:val="Normal"/>
        <w:spacing w:before="0" w:after="30"/>
        <w:jc w:val="center"/>
        <w:rPr/>
      </w:pPr>
      <w:r>
        <w:rPr>
          <w:rFonts w:eastAsia="Georgia" w:cs="Georgia"/>
          <w:color w:val="44505A"/>
          <w:sz w:val="22"/>
          <w:szCs w:val="22"/>
        </w:rPr>
        <w:t>Sam M. Walton College of Business · University of Arkansas</w:t>
      </w:r>
    </w:p>
    <w:p>
      <w:pPr>
        <w:pStyle w:val="Normal"/>
        <w:spacing w:before="0" w:after="240"/>
        <w:jc w:val="center"/>
        <w:rPr/>
      </w:pPr>
      <w:r>
        <w:rPr>
          <w:rFonts w:eastAsia="Georgia" w:cs="Georgia"/>
          <w:color w:val="44505A"/>
          <w:sz w:val="22"/>
          <w:szCs w:val="22"/>
        </w:rPr>
        <w:t>Information Systems · Fayetteville, Arkansas, USA</w:t>
      </w:r>
    </w:p>
    <w:p>
      <w:pPr>
        <w:pStyle w:val="Normal"/>
        <w:spacing w:before="200" w:after="30"/>
        <w:jc w:val="center"/>
        <w:rPr/>
      </w:pPr>
      <w:r>
        <w:rPr>
          <w:rFonts w:eastAsia="Georgia" w:cs="Georgia"/>
          <w:i/>
          <w:iCs/>
          <w:color w:val="44505A"/>
          <w:sz w:val="20"/>
          <w:szCs w:val="20"/>
        </w:rPr>
        <w:t>Version 1.0</w:t>
      </w:r>
    </w:p>
    <w:p>
      <w:pPr>
        <w:pStyle w:val="Normal"/>
        <w:spacing w:before="0" w:after="30"/>
        <w:jc w:val="center"/>
        <w:rPr/>
      </w:pPr>
      <w:r>
        <w:rPr>
          <w:rFonts w:eastAsia="Georgia" w:cs="Georgia"/>
          <w:i/>
          <w:iCs/>
          <w:color w:val="44505A"/>
          <w:sz w:val="20"/>
          <w:szCs w:val="20"/>
        </w:rPr>
        <w:t>June 2026</w:t>
      </w:r>
    </w:p>
    <w:p>
      <w:pPr>
        <w:pStyle w:val="Normal"/>
        <w:spacing w:before="520" w:after="0"/>
        <w:jc w:val="center"/>
        <w:rPr/>
      </w:pPr>
      <w:r>
        <w:rPr>
          <w:rFonts w:eastAsia="Georgia" w:cs="Georgia"/>
          <w:i/>
          <w:iCs/>
          <w:color w:val="C9882B"/>
          <w:sz w:val="22"/>
          <w:szCs w:val="22"/>
        </w:rPr>
        <w:t>“</w:t>
      </w:r>
      <w:r>
        <w:rPr>
          <w:rFonts w:eastAsia="Georgia" w:cs="Georgia"/>
          <w:i/>
          <w:iCs/>
          <w:color w:val="C9882B"/>
          <w:sz w:val="22"/>
          <w:szCs w:val="22"/>
        </w:rPr>
        <w:t>Patience pays.”</w:t>
      </w:r>
    </w:p>
    <w:p>
      <w:pPr>
        <w:pStyle w:val="Normal"/>
        <w:rPr/>
      </w:pPr>
      <w:r>
        <w:rPr/>
      </w:r>
      <w:r>
        <w:br w:type="page"/>
      </w:r>
    </w:p>
    <w:p>
      <w:pPr>
        <w:pStyle w:val="Normal"/>
        <w:spacing w:before="0" w:after="160"/>
        <w:rPr/>
      </w:pPr>
      <w:r>
        <w:rPr>
          <w:rFonts w:eastAsia="Arial" w:cs="Arial" w:ascii="Arial" w:hAnsi="Arial"/>
          <w:b/>
          <w:bCs/>
          <w:color w:val="0B3D6B"/>
          <w:sz w:val="32"/>
          <w:szCs w:val="32"/>
        </w:rPr>
        <w:t>Abstract</w:t>
      </w:r>
    </w:p>
    <w:p>
      <w:pPr>
        <w:pStyle w:val="Normal"/>
        <w:spacing w:lineRule="auto" w:line="276" w:before="0" w:after="160"/>
        <w:jc w:val="both"/>
        <w:rPr/>
      </w:pPr>
      <w:r>
        <w:rPr>
          <w:rFonts w:eastAsia="Georgia" w:cs="Georgia"/>
          <w:b w:val="false"/>
          <w:bCs w:val="false"/>
          <w:i w:val="false"/>
          <w:iCs w:val="false"/>
          <w:color w:val="1A1A1A"/>
          <w:sz w:val="22"/>
          <w:szCs w:val="22"/>
        </w:rPr>
        <w:t xml:space="preserve">This paper evaluates the feasibility of </w:t>
      </w:r>
      <w:r>
        <w:rPr>
          <w:rFonts w:eastAsia="Georgia" w:cs="Georgia"/>
          <w:b/>
          <w:bCs/>
          <w:i w:val="false"/>
          <w:iCs w:val="false"/>
          <w:color w:val="1A1A1A"/>
          <w:sz w:val="22"/>
          <w:szCs w:val="22"/>
        </w:rPr>
        <w:t>Flock</w:t>
      </w:r>
      <w:r>
        <w:rPr>
          <w:rFonts w:eastAsia="Georgia" w:cs="Georgia"/>
          <w:b w:val="false"/>
          <w:bCs w:val="false"/>
          <w:i w:val="false"/>
          <w:iCs w:val="false"/>
          <w:color w:val="1A1A1A"/>
          <w:sz w:val="22"/>
          <w:szCs w:val="22"/>
        </w:rPr>
        <w:t xml:space="preserve">, a proposed blockchain-powered, decentralized financial-technology exchange that would unify, on a single rail, the tokenized trading of multiple investment vehicles—equities, fixed income, real estate, commodities, private placements, art, and collectibles—together with automated and algorithmic advising, social and “copy” trading, freelance peer advisory, prediction and other event-contract markets, and metaverse-native virtual assets. Three architectural commitments distinguish Flock from incumbent platforms: (i) </w:t>
      </w:r>
      <w:r>
        <w:rPr>
          <w:rFonts w:eastAsia="Georgia" w:cs="Georgia"/>
          <w:b/>
          <w:bCs/>
          <w:i w:val="false"/>
          <w:iCs w:val="false"/>
          <w:color w:val="1A1A1A"/>
          <w:sz w:val="22"/>
          <w:szCs w:val="22"/>
        </w:rPr>
        <w:t>hybrid physical-digital ownership</w:t>
      </w:r>
      <w:r>
        <w:rPr>
          <w:rFonts w:eastAsia="Georgia" w:cs="Georgia"/>
          <w:b w:val="false"/>
          <w:bCs w:val="false"/>
          <w:i w:val="false"/>
          <w:iCs w:val="false"/>
          <w:color w:val="1A1A1A"/>
          <w:sz w:val="22"/>
          <w:szCs w:val="22"/>
        </w:rPr>
        <w:t xml:space="preserve"> in which a tokenized claim is redeemable for a real-world asset; (ii) </w:t>
      </w:r>
      <w:r>
        <w:rPr>
          <w:rFonts w:eastAsia="Georgia" w:cs="Georgia"/>
          <w:b/>
          <w:bCs/>
          <w:i w:val="false"/>
          <w:iCs w:val="false"/>
          <w:color w:val="1A1A1A"/>
          <w:sz w:val="22"/>
          <w:szCs w:val="22"/>
        </w:rPr>
        <w:t>decentralized peer-to-peer securities lending</w:t>
      </w:r>
      <w:r>
        <w:rPr>
          <w:rFonts w:eastAsia="Georgia" w:cs="Georgia"/>
          <w:b w:val="false"/>
          <w:bCs w:val="false"/>
          <w:i w:val="false"/>
          <w:iCs w:val="false"/>
          <w:color w:val="1A1A1A"/>
          <w:sz w:val="22"/>
          <w:szCs w:val="22"/>
        </w:rPr>
        <w:t xml:space="preserve"> in which the asset owner selects the counterparty directly, rather than lending to a single intermediary; and (iii) </w:t>
      </w:r>
      <w:r>
        <w:rPr>
          <w:rFonts w:eastAsia="Georgia" w:cs="Georgia"/>
          <w:b/>
          <w:bCs/>
          <w:i w:val="false"/>
          <w:iCs w:val="false"/>
          <w:color w:val="1A1A1A"/>
          <w:sz w:val="22"/>
          <w:szCs w:val="22"/>
        </w:rPr>
        <w:t>gamified financial literacy</w:t>
      </w:r>
      <w:r>
        <w:rPr>
          <w:rFonts w:eastAsia="Georgia" w:cs="Georgia"/>
          <w:b w:val="false"/>
          <w:bCs w:val="false"/>
          <w:i w:val="false"/>
          <w:iCs w:val="false"/>
          <w:color w:val="1A1A1A"/>
          <w:sz w:val="22"/>
          <w:szCs w:val="22"/>
        </w:rPr>
        <w:t xml:space="preserve"> as a mechanism for onboarding and risk management. Drawing on more than one hundred peer-reviewed studies, regulatory instruments, central-bank reports, and primary-source disclosures current as of mid-2026, we find Flock </w:t>
      </w:r>
      <w:r>
        <w:rPr>
          <w:rFonts w:eastAsia="Georgia" w:cs="Georgia"/>
          <w:b/>
          <w:bCs/>
          <w:i w:val="false"/>
          <w:iCs w:val="false"/>
          <w:color w:val="1A1A1A"/>
          <w:sz w:val="22"/>
          <w:szCs w:val="22"/>
        </w:rPr>
        <w:t>conditionally feasible</w:t>
      </w:r>
      <w:r>
        <w:rPr>
          <w:rFonts w:eastAsia="Georgia" w:cs="Georgia"/>
          <w:b w:val="false"/>
          <w:bCs w:val="false"/>
          <w:i w:val="false"/>
          <w:iCs w:val="false"/>
          <w:color w:val="1A1A1A"/>
          <w:sz w:val="22"/>
          <w:szCs w:val="22"/>
        </w:rPr>
        <w:t xml:space="preserve">. Each constituent capability is technically demonstrated and at least partially commercialized; the binding constraints are not cryptographic or computational but </w:t>
      </w:r>
      <w:r>
        <w:rPr>
          <w:rFonts w:eastAsia="Georgia" w:cs="Georgia"/>
          <w:b/>
          <w:bCs/>
          <w:i w:val="false"/>
          <w:iCs w:val="false"/>
          <w:color w:val="1A1A1A"/>
          <w:sz w:val="22"/>
          <w:szCs w:val="22"/>
        </w:rPr>
        <w:t>regulatory architecture and liquidity fragmentation</w:t>
      </w:r>
      <w:r>
        <w:rPr>
          <w:rFonts w:eastAsia="Georgia" w:cs="Georgia"/>
          <w:b w:val="false"/>
          <w:bCs w:val="false"/>
          <w:i w:val="false"/>
          <w:iCs w:val="false"/>
          <w:color w:val="1A1A1A"/>
          <w:sz w:val="22"/>
          <w:szCs w:val="22"/>
        </w:rPr>
        <w:t>. We synthesize the supporting evidence—roughly US$18.6 billion of on-chain real-world assets by late 2025, mature automated-market-maker and tokenized-vault infrastructure, and empirically validated prediction-market accuracy—against a substantial body of cautionary evidence: cross-chain bridge losses exceeding US$2.5 billion, the collapse of metaverse land valuations by 85–99 percent, the unsustainability of play-to-earn token economies, the documented concentration of prediction-market and copy-trading profits among a small skilled minority, the near-total failure of on-chain royalty enforcement, and regulatory sanction of gamified brokerage design. We propose a staged, regulated-first construction path and identify the empirical thresholds at which the strategy should be revised.</w:t>
      </w:r>
    </w:p>
    <w:p>
      <w:pPr>
        <w:pStyle w:val="Normal"/>
        <w:spacing w:lineRule="auto" w:line="276" w:before="0" w:after="140"/>
        <w:jc w:val="left"/>
        <w:rPr/>
      </w:pPr>
      <w:r>
        <w:rPr>
          <w:rFonts w:eastAsia="Georgia" w:cs="Georgia"/>
          <w:b/>
          <w:bCs/>
          <w:i/>
          <w:iCs/>
          <w:color w:val="1A1A1A"/>
          <w:sz w:val="22"/>
          <w:szCs w:val="22"/>
        </w:rPr>
        <w:t xml:space="preserve">Keywords: </w:t>
      </w:r>
      <w:r>
        <w:rPr>
          <w:rFonts w:eastAsia="Georgia" w:cs="Georgia"/>
          <w:b w:val="false"/>
          <w:bCs w:val="false"/>
          <w:i/>
          <w:iCs/>
          <w:color w:val="1A1A1A"/>
          <w:sz w:val="22"/>
          <w:szCs w:val="22"/>
        </w:rPr>
        <w:t>asset tokenization; decentralized finance; security tokens; robo-advising; copy trading; prediction markets; real-world assets; financial inclusion; gamification; regulatory technology.</w:t>
      </w:r>
    </w:p>
    <w:p>
      <w:pPr>
        <w:pStyle w:val="Normal"/>
        <w:rPr/>
      </w:pPr>
      <w:r>
        <w:rPr/>
      </w:r>
      <w:r>
        <w:br w:type="page"/>
      </w:r>
    </w:p>
    <w:p>
      <w:pPr>
        <w:pStyle w:val="Normal"/>
        <w:spacing w:before="0" w:after="160"/>
        <w:rPr/>
      </w:pPr>
      <w:r>
        <w:rPr>
          <w:rFonts w:eastAsia="Arial" w:cs="Arial" w:ascii="Arial" w:hAnsi="Arial"/>
          <w:b/>
          <w:bCs/>
          <w:color w:val="0B3D6B"/>
          <w:sz w:val="32"/>
          <w:szCs w:val="32"/>
        </w:rPr>
        <w:t>Executive Summary</w:t>
      </w:r>
    </w:p>
    <w:p>
      <w:pPr>
        <w:pStyle w:val="Normal"/>
        <w:spacing w:lineRule="auto" w:line="276" w:before="0" w:after="140"/>
        <w:jc w:val="both"/>
        <w:rPr/>
      </w:pPr>
      <w:r>
        <w:rPr>
          <w:rFonts w:eastAsia="Georgia" w:cs="Georgia"/>
          <w:b w:val="false"/>
          <w:bCs w:val="false"/>
          <w:i w:val="false"/>
          <w:iCs w:val="false"/>
          <w:color w:val="1A1A1A"/>
          <w:sz w:val="22"/>
          <w:szCs w:val="22"/>
        </w:rPr>
        <w:t>This assessment evaluates whether a single platform—</w:t>
      </w:r>
      <w:r>
        <w:rPr>
          <w:rFonts w:eastAsia="Georgia" w:cs="Georgia"/>
          <w:b/>
          <w:bCs/>
          <w:i w:val="false"/>
          <w:iCs w:val="false"/>
          <w:color w:val="1A1A1A"/>
          <w:sz w:val="22"/>
          <w:szCs w:val="22"/>
        </w:rPr>
        <w:t>Flock</w:t>
      </w:r>
      <w:r>
        <w:rPr>
          <w:rFonts w:eastAsia="Georgia" w:cs="Georgia"/>
          <w:b w:val="false"/>
          <w:bCs w:val="false"/>
          <w:i w:val="false"/>
          <w:iCs w:val="false"/>
          <w:color w:val="1A1A1A"/>
          <w:sz w:val="22"/>
          <w:szCs w:val="22"/>
        </w:rPr>
        <w:t xml:space="preserve">—can unify the tokenized trading of many investment vehicles with algorithmic advising, social and freelance trading, prediction and other markets, and an optional metaverse layer. The conclusion, developed across fifteen sections and grounded in more than one hundred thirty sources, is that Flock is </w:t>
      </w:r>
      <w:r>
        <w:rPr>
          <w:rFonts w:eastAsia="Georgia" w:cs="Georgia"/>
          <w:b/>
          <w:bCs/>
          <w:i w:val="false"/>
          <w:iCs w:val="false"/>
          <w:color w:val="1A1A1A"/>
          <w:sz w:val="22"/>
          <w:szCs w:val="22"/>
        </w:rPr>
        <w:t>conditionally feasible</w:t>
      </w:r>
      <w:r>
        <w:rPr>
          <w:rFonts w:eastAsia="Georgia" w:cs="Georgia"/>
          <w:b w:val="false"/>
          <w:bCs w:val="false"/>
          <w:i w:val="false"/>
          <w:iCs w:val="false"/>
          <w:color w:val="1A1A1A"/>
          <w:sz w:val="22"/>
          <w:szCs w:val="22"/>
        </w:rPr>
        <w:t>: every constituent capability is technically demonstrated and at least partially commercialized as of mid-2026, but the binding constraints are regulatory architecture and liquidity fragmentation rather than technology.</w:t>
      </w:r>
    </w:p>
    <w:p>
      <w:pPr>
        <w:pStyle w:val="Normal"/>
        <w:spacing w:lineRule="auto" w:line="276" w:before="0" w:after="80"/>
        <w:jc w:val="both"/>
        <w:rPr/>
      </w:pPr>
      <w:r>
        <w:rPr>
          <w:rFonts w:eastAsia="Georgia" w:cs="Georgia"/>
          <w:b w:val="false"/>
          <w:bCs w:val="false"/>
          <w:i/>
          <w:iCs/>
          <w:color w:val="1A1A1A"/>
          <w:sz w:val="22"/>
          <w:szCs w:val="22"/>
        </w:rPr>
        <w:t>The principal findings are summarized as follows.</w:t>
      </w:r>
    </w:p>
    <w:p>
      <w:pPr>
        <w:pStyle w:val="ListParagraph"/>
        <w:numPr>
          <w:ilvl w:val="0"/>
          <w:numId w:val="6"/>
        </w:numPr>
        <w:spacing w:lineRule="auto" w:line="264" w:before="0" w:after="80"/>
        <w:jc w:val="both"/>
        <w:rPr/>
      </w:pPr>
      <w:r>
        <w:rPr>
          <w:rFonts w:eastAsia="Georgia" w:cs="Georgia"/>
          <w:b/>
          <w:bCs/>
          <w:i w:val="false"/>
          <w:iCs w:val="false"/>
          <w:color w:val="1A1A1A"/>
          <w:sz w:val="22"/>
          <w:szCs w:val="22"/>
        </w:rPr>
        <w:t xml:space="preserve">Technology is ready; integration is the gap. </w:t>
      </w:r>
      <w:r>
        <w:rPr>
          <w:rFonts w:eastAsia="Georgia" w:cs="Georgia"/>
          <w:b w:val="false"/>
          <w:bCs w:val="false"/>
          <w:i w:val="false"/>
          <w:iCs w:val="false"/>
          <w:color w:val="1A1A1A"/>
          <w:sz w:val="22"/>
          <w:szCs w:val="22"/>
        </w:rPr>
        <w:t>Tokenization, automated market making, tokenized vaults, machine-learning advisory, and on-chain prediction markets all operate in production. No incumbent unifies them, because the integration is hard for regulatory and liquidity reasons, not cryptographic ones.</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Regulation is the gating factor. </w:t>
      </w:r>
      <w:r>
        <w:rPr>
          <w:rFonts w:eastAsia="Georgia" w:cs="Georgia"/>
          <w:b w:val="false"/>
          <w:bCs w:val="false"/>
          <w:i w:val="false"/>
          <w:iCs w:val="false"/>
          <w:color w:val="1A1A1A"/>
          <w:sz w:val="22"/>
          <w:szCs w:val="22"/>
        </w:rPr>
        <w:t>A platform spanning securities, event contracts, lending, payments, and virtual assets must satisfy every relevant regulator at once and in every jurisdiction it serves, forcing a regulated-first, jurisdiction-by-jurisdiction expansion and a compliance layer embedded in the token standard itself.</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Aggregate soundness does not imply individual welfare. </w:t>
      </w:r>
      <w:r>
        <w:rPr>
          <w:rFonts w:eastAsia="Georgia" w:cs="Georgia"/>
          <w:b w:val="false"/>
          <w:bCs w:val="false"/>
          <w:i w:val="false"/>
          <w:iCs w:val="false"/>
          <w:color w:val="1A1A1A"/>
          <w:sz w:val="22"/>
          <w:szCs w:val="22"/>
        </w:rPr>
        <w:t>Prediction markets (where roughly three percent of participants are skilled and about two-thirds lose money), liquidity provision (impermanent loss), copy trading (herding), and virtual-land speculation (latecomers lose) all show that a market can be informative or efficient in the aggregate while harming most of its participants.</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The three differentiators are genuine. </w:t>
      </w:r>
      <w:r>
        <w:rPr>
          <w:rFonts w:eastAsia="Georgia" w:cs="Georgia"/>
          <w:b w:val="false"/>
          <w:bCs w:val="false"/>
          <w:i w:val="false"/>
          <w:iCs w:val="false"/>
          <w:color w:val="1A1A1A"/>
          <w:sz w:val="22"/>
          <w:szCs w:val="22"/>
        </w:rPr>
        <w:t>Hybrid physical-digital ownership, peer-to-peer securities lending with counterparty choice, and gamified financial literacy are real improvements over incumbent designs rather than repackaged hazards—but each is feasible only under a demanding, specific condition.</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A staged path is the only viable one. </w:t>
      </w:r>
      <w:r>
        <w:rPr>
          <w:rFonts w:eastAsia="Georgia" w:cs="Georgia"/>
          <w:b w:val="false"/>
          <w:bCs w:val="false"/>
          <w:i w:val="false"/>
          <w:iCs w:val="false"/>
          <w:color w:val="1A1A1A"/>
          <w:sz w:val="22"/>
          <w:szCs w:val="22"/>
        </w:rPr>
        <w:t>Flock should be built in three stages—a regulated tokenization foundation, then social and event-market layers under risk controls, then the differentiators and selective hybrid ownership—each gated by a falsifiable go/no-go threshold (Section 13).</w:t>
      </w:r>
    </w:p>
    <w:p>
      <w:pPr>
        <w:pStyle w:val="Normal"/>
        <w:spacing w:lineRule="auto" w:line="276" w:before="80" w:after="140"/>
        <w:jc w:val="both"/>
        <w:rPr/>
      </w:pPr>
      <w:r>
        <w:rPr>
          <w:rFonts w:eastAsia="Georgia" w:cs="Georgia"/>
          <w:b w:val="false"/>
          <w:bCs w:val="false"/>
          <w:i w:val="false"/>
          <w:iCs w:val="false"/>
          <w:color w:val="1A1A1A"/>
          <w:sz w:val="22"/>
          <w:szCs w:val="22"/>
        </w:rPr>
        <w:t xml:space="preserve">The recurring theme is that </w:t>
      </w:r>
      <w:r>
        <w:rPr>
          <w:rFonts w:eastAsia="Georgia" w:cs="Georgia"/>
          <w:b/>
          <w:bCs/>
          <w:i w:val="false"/>
          <w:iCs w:val="false"/>
          <w:color w:val="1A1A1A"/>
          <w:sz w:val="22"/>
          <w:szCs w:val="22"/>
        </w:rPr>
        <w:t>disciplined constraint, not maximal decentralization, is the precondition of viability</w:t>
      </w:r>
      <w:r>
        <w:rPr>
          <w:rFonts w:eastAsia="Georgia" w:cs="Georgia"/>
          <w:b w:val="false"/>
          <w:bCs w:val="false"/>
          <w:i w:val="false"/>
          <w:iCs w:val="false"/>
          <w:color w:val="1A1A1A"/>
          <w:sz w:val="22"/>
          <w:szCs w:val="22"/>
        </w:rPr>
        <w:t>. Like a flock, the system is robust only when its members obey simple, disciplined rules; remove the rules and coordination collapses into the documented failures of unconstrained speculation.</w:t>
      </w:r>
    </w:p>
    <w:p>
      <w:pPr>
        <w:pStyle w:val="Normal"/>
        <w:rPr/>
      </w:pPr>
      <w:r>
        <w:rPr/>
      </w:r>
      <w:r>
        <w:br w:type="page"/>
      </w:r>
    </w:p>
    <w:p>
      <w:pPr>
        <w:pStyle w:val="Normal"/>
        <w:spacing w:before="0" w:after="200"/>
        <w:rPr/>
      </w:pPr>
      <w:r>
        <w:rPr>
          <w:rFonts w:eastAsia="Arial" w:cs="Arial" w:ascii="Arial" w:hAnsi="Arial"/>
          <w:b/>
          <w:bCs/>
          <w:color w:val="0B3D6B"/>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351_1329916799">
            <w:r>
              <w:rPr>
                <w:rStyle w:val="IndexLink"/>
              </w:rPr>
              <w:t>1. Introduction</w:t>
              <w:tab/>
              <w:t>6</w:t>
            </w:r>
          </w:hyperlink>
        </w:p>
        <w:p>
          <w:pPr>
            <w:pStyle w:val="TOC2"/>
            <w:tabs>
              <w:tab w:val="clear" w:pos="9077"/>
              <w:tab w:val="right" w:pos="9359" w:leader="dot"/>
            </w:tabs>
            <w:rPr/>
          </w:pPr>
          <w:hyperlink w:anchor="__RefHeading___Toc1353_1329916799">
            <w:r>
              <w:rPr>
                <w:rStyle w:val="IndexLink"/>
              </w:rPr>
              <w:t>1.1 Motivation and Problem Statement</w:t>
              <w:tab/>
              <w:t>6</w:t>
            </w:r>
          </w:hyperlink>
        </w:p>
        <w:p>
          <w:pPr>
            <w:pStyle w:val="TOC2"/>
            <w:tabs>
              <w:tab w:val="clear" w:pos="9077"/>
              <w:tab w:val="right" w:pos="9359" w:leader="dot"/>
            </w:tabs>
            <w:rPr/>
          </w:pPr>
          <w:hyperlink w:anchor="__RefHeading___Toc1355_1329916799">
            <w:r>
              <w:rPr>
                <w:rStyle w:val="IndexLink"/>
              </w:rPr>
              <w:t>1.2 Research Questions</w:t>
              <w:tab/>
              <w:t>6</w:t>
            </w:r>
          </w:hyperlink>
        </w:p>
        <w:p>
          <w:pPr>
            <w:pStyle w:val="TOC2"/>
            <w:tabs>
              <w:tab w:val="clear" w:pos="9077"/>
              <w:tab w:val="right" w:pos="9359" w:leader="dot"/>
            </w:tabs>
            <w:rPr/>
          </w:pPr>
          <w:hyperlink w:anchor="__RefHeading___Toc1357_1329916799">
            <w:r>
              <w:rPr>
                <w:rStyle w:val="IndexLink"/>
              </w:rPr>
              <w:t>1.3 Scope, Method, and Contribution</w:t>
              <w:tab/>
              <w:t>7</w:t>
            </w:r>
          </w:hyperlink>
        </w:p>
        <w:p>
          <w:pPr>
            <w:pStyle w:val="TOC2"/>
            <w:tabs>
              <w:tab w:val="clear" w:pos="9077"/>
              <w:tab w:val="right" w:pos="9359" w:leader="dot"/>
            </w:tabs>
            <w:rPr/>
          </w:pPr>
          <w:hyperlink w:anchor="__RefHeading___Toc1359_1329916799">
            <w:r>
              <w:rPr>
                <w:rStyle w:val="IndexLink"/>
              </w:rPr>
              <w:t>1.4 A Note on the Platform Name and Design Ethos</w:t>
              <w:tab/>
              <w:t>8</w:t>
            </w:r>
          </w:hyperlink>
        </w:p>
        <w:p>
          <w:pPr>
            <w:pStyle w:val="TOC1"/>
            <w:tabs>
              <w:tab w:val="clear" w:pos="9360"/>
              <w:tab w:val="right" w:pos="9359" w:leader="dot"/>
            </w:tabs>
            <w:rPr/>
          </w:pPr>
          <w:hyperlink w:anchor="__RefHeading___Toc1361_1329916799">
            <w:r>
              <w:rPr>
                <w:rStyle w:val="IndexLink"/>
              </w:rPr>
              <w:t>2. The Conceptual Architecture of Flock</w:t>
              <w:tab/>
              <w:t>9</w:t>
            </w:r>
          </w:hyperlink>
        </w:p>
        <w:p>
          <w:pPr>
            <w:pStyle w:val="TOC2"/>
            <w:tabs>
              <w:tab w:val="clear" w:pos="9077"/>
              <w:tab w:val="right" w:pos="9359" w:leader="dot"/>
            </w:tabs>
            <w:rPr/>
          </w:pPr>
          <w:hyperlink w:anchor="__RefHeading___Toc1363_1329916799">
            <w:r>
              <w:rPr>
                <w:rStyle w:val="IndexLink"/>
              </w:rPr>
              <w:t>2.1 The Three-Tier Progression Model</w:t>
              <w:tab/>
              <w:t>9</w:t>
            </w:r>
          </w:hyperlink>
        </w:p>
        <w:p>
          <w:pPr>
            <w:pStyle w:val="TOC2"/>
            <w:tabs>
              <w:tab w:val="clear" w:pos="9077"/>
              <w:tab w:val="right" w:pos="9359" w:leader="dot"/>
            </w:tabs>
            <w:rPr/>
          </w:pPr>
          <w:hyperlink w:anchor="__RefHeading___Toc1365_1329916799">
            <w:r>
              <w:rPr>
                <w:rStyle w:val="IndexLink"/>
              </w:rPr>
              <w:t>2.2 The Protocol Stack</w:t>
              <w:tab/>
              <w:t>9</w:t>
            </w:r>
          </w:hyperlink>
        </w:p>
        <w:p>
          <w:pPr>
            <w:pStyle w:val="TOC2"/>
            <w:tabs>
              <w:tab w:val="clear" w:pos="9077"/>
              <w:tab w:val="right" w:pos="9359" w:leader="dot"/>
            </w:tabs>
            <w:rPr/>
          </w:pPr>
          <w:hyperlink w:anchor="__RefHeading___Toc1367_1329916799">
            <w:r>
              <w:rPr>
                <w:rStyle w:val="IndexLink"/>
              </w:rPr>
              <w:t>2.3 The Three Differentiators in Brief</w:t>
              <w:tab/>
              <w:t>10</w:t>
            </w:r>
          </w:hyperlink>
        </w:p>
        <w:p>
          <w:pPr>
            <w:pStyle w:val="TOC1"/>
            <w:tabs>
              <w:tab w:val="clear" w:pos="9360"/>
              <w:tab w:val="right" w:pos="9359" w:leader="dot"/>
            </w:tabs>
            <w:rPr/>
          </w:pPr>
          <w:hyperlink w:anchor="__RefHeading___Toc1369_1329916799">
            <w:r>
              <w:rPr>
                <w:rStyle w:val="IndexLink"/>
              </w:rPr>
              <w:t>3. Real-World Asset Tokenization: The Foundational Layer</w:t>
              <w:tab/>
              <w:t>11</w:t>
            </w:r>
          </w:hyperlink>
        </w:p>
        <w:p>
          <w:pPr>
            <w:pStyle w:val="TOC2"/>
            <w:tabs>
              <w:tab w:val="clear" w:pos="9077"/>
              <w:tab w:val="right" w:pos="9359" w:leader="dot"/>
            </w:tabs>
            <w:rPr/>
          </w:pPr>
          <w:hyperlink w:anchor="__RefHeading___Toc1371_1329916799">
            <w:r>
              <w:rPr>
                <w:rStyle w:val="IndexLink"/>
              </w:rPr>
              <w:t>3.1 Market State, 2025–2026</w:t>
              <w:tab/>
              <w:t>11</w:t>
            </w:r>
          </w:hyperlink>
        </w:p>
        <w:p>
          <w:pPr>
            <w:pStyle w:val="TOC2"/>
            <w:tabs>
              <w:tab w:val="clear" w:pos="9077"/>
              <w:tab w:val="right" w:pos="9359" w:leader="dot"/>
            </w:tabs>
            <w:rPr/>
          </w:pPr>
          <w:hyperlink w:anchor="__RefHeading___Toc1373_1329916799">
            <w:r>
              <w:rPr>
                <w:rStyle w:val="IndexLink"/>
              </w:rPr>
              <w:t>3.2 Flagship Instruments and the Concentration Problem</w:t>
              <w:tab/>
              <w:t>11</w:t>
            </w:r>
          </w:hyperlink>
        </w:p>
        <w:p>
          <w:pPr>
            <w:pStyle w:val="TOC2"/>
            <w:tabs>
              <w:tab w:val="clear" w:pos="9077"/>
              <w:tab w:val="right" w:pos="9359" w:leader="dot"/>
            </w:tabs>
            <w:rPr/>
          </w:pPr>
          <w:hyperlink w:anchor="__RefHeading___Toc1375_1329916799">
            <w:r>
              <w:rPr>
                <w:rStyle w:val="IndexLink"/>
              </w:rPr>
              <w:t>3.3 Token Standards: The Compliance-Trustlessness Trade-off</w:t>
              <w:tab/>
              <w:t>12</w:t>
            </w:r>
          </w:hyperlink>
        </w:p>
        <w:p>
          <w:pPr>
            <w:pStyle w:val="TOC2"/>
            <w:tabs>
              <w:tab w:val="clear" w:pos="9077"/>
              <w:tab w:val="right" w:pos="9359" w:leader="dot"/>
            </w:tabs>
            <w:rPr/>
          </w:pPr>
          <w:hyperlink w:anchor="__RefHeading___Toc1377_1329916799">
            <w:r>
              <w:rPr>
                <w:rStyle w:val="IndexLink"/>
              </w:rPr>
              <w:t>3.4 The Hybrid Physical-Digital Ownership Problem</w:t>
              <w:tab/>
              <w:t>13</w:t>
            </w:r>
          </w:hyperlink>
        </w:p>
        <w:p>
          <w:pPr>
            <w:pStyle w:val="TOC1"/>
            <w:tabs>
              <w:tab w:val="clear" w:pos="9360"/>
              <w:tab w:val="right" w:pos="9359" w:leader="dot"/>
            </w:tabs>
            <w:rPr/>
          </w:pPr>
          <w:hyperlink w:anchor="__RefHeading___Toc1379_1329916799">
            <w:r>
              <w:rPr>
                <w:rStyle w:val="IndexLink"/>
              </w:rPr>
              <w:t>4. Decentralized Finance Architecture and the Liquidity Problem</w:t>
              <w:tab/>
              <w:t>15</w:t>
            </w:r>
          </w:hyperlink>
        </w:p>
        <w:p>
          <w:pPr>
            <w:pStyle w:val="TOC2"/>
            <w:tabs>
              <w:tab w:val="clear" w:pos="9077"/>
              <w:tab w:val="right" w:pos="9359" w:leader="dot"/>
            </w:tabs>
            <w:rPr/>
          </w:pPr>
          <w:hyperlink w:anchor="__RefHeading___Toc1381_1329916799">
            <w:r>
              <w:rPr>
                <w:rStyle w:val="IndexLink"/>
              </w:rPr>
              <w:t>4.1 Automated Market Makers and the Mechanics of Liquidity</w:t>
              <w:tab/>
              <w:t>15</w:t>
            </w:r>
          </w:hyperlink>
        </w:p>
        <w:p>
          <w:pPr>
            <w:pStyle w:val="TOC2"/>
            <w:tabs>
              <w:tab w:val="clear" w:pos="9077"/>
              <w:tab w:val="right" w:pos="9359" w:leader="dot"/>
            </w:tabs>
            <w:rPr/>
          </w:pPr>
          <w:hyperlink w:anchor="__RefHeading___Toc1383_1329916799">
            <w:r>
              <w:rPr>
                <w:rStyle w:val="IndexLink"/>
              </w:rPr>
              <w:t>4.2 The Economics of Liquidity Provision: Impermanent Loss</w:t>
              <w:tab/>
              <w:t>15</w:t>
            </w:r>
          </w:hyperlink>
        </w:p>
        <w:p>
          <w:pPr>
            <w:pStyle w:val="TOC2"/>
            <w:tabs>
              <w:tab w:val="clear" w:pos="9077"/>
              <w:tab w:val="right" w:pos="9359" w:leader="dot"/>
            </w:tabs>
            <w:rPr/>
          </w:pPr>
          <w:hyperlink w:anchor="__RefHeading___Toc1385_1329916799">
            <w:r>
              <w:rPr>
                <w:rStyle w:val="IndexLink"/>
              </w:rPr>
              <w:t>4.3 Cross-Chain Interoperability: The Dominant Technical Risk</w:t>
              <w:tab/>
              <w:t>16</w:t>
            </w:r>
          </w:hyperlink>
        </w:p>
        <w:p>
          <w:pPr>
            <w:pStyle w:val="TOC2"/>
            <w:tabs>
              <w:tab w:val="clear" w:pos="9077"/>
              <w:tab w:val="right" w:pos="9359" w:leader="dot"/>
            </w:tabs>
            <w:rPr/>
          </w:pPr>
          <w:hyperlink w:anchor="__RefHeading___Toc1387_1329916799">
            <w:r>
              <w:rPr>
                <w:rStyle w:val="IndexLink"/>
              </w:rPr>
              <w:t>4.4 Oracles and the Off-Chain Truth Problem</w:t>
              <w:tab/>
              <w:t>17</w:t>
            </w:r>
          </w:hyperlink>
        </w:p>
        <w:p>
          <w:pPr>
            <w:pStyle w:val="TOC2"/>
            <w:tabs>
              <w:tab w:val="clear" w:pos="9077"/>
              <w:tab w:val="right" w:pos="9359" w:leader="dot"/>
            </w:tabs>
            <w:rPr/>
          </w:pPr>
          <w:hyperlink w:anchor="__RefHeading___Toc1389_1329916799">
            <w:r>
              <w:rPr>
                <w:rStyle w:val="IndexLink"/>
              </w:rPr>
              <w:t>4.5 Yield, Lending, and Composability</w:t>
              <w:tab/>
              <w:t>17</w:t>
            </w:r>
          </w:hyperlink>
        </w:p>
        <w:p>
          <w:pPr>
            <w:pStyle w:val="TOC1"/>
            <w:tabs>
              <w:tab w:val="clear" w:pos="9360"/>
              <w:tab w:val="right" w:pos="9359" w:leader="dot"/>
            </w:tabs>
            <w:rPr/>
          </w:pPr>
          <w:hyperlink w:anchor="__RefHeading___Toc1391_1329916799">
            <w:r>
              <w:rPr>
                <w:rStyle w:val="IndexLink"/>
              </w:rPr>
              <w:t>5. The Regulatory Gating Factor</w:t>
              <w:tab/>
              <w:t>19</w:t>
            </w:r>
          </w:hyperlink>
        </w:p>
        <w:p>
          <w:pPr>
            <w:pStyle w:val="TOC2"/>
            <w:tabs>
              <w:tab w:val="clear" w:pos="9077"/>
              <w:tab w:val="right" w:pos="9359" w:leader="dot"/>
            </w:tabs>
            <w:rPr/>
          </w:pPr>
          <w:hyperlink w:anchor="__RefHeading___Toc1393_1329916799">
            <w:r>
              <w:rPr>
                <w:rStyle w:val="IndexLink"/>
              </w:rPr>
              <w:t>5.1 The United States: The Howey Test and Its 2026 Reframing</w:t>
              <w:tab/>
              <w:t>19</w:t>
            </w:r>
          </w:hyperlink>
        </w:p>
        <w:p>
          <w:pPr>
            <w:pStyle w:val="TOC2"/>
            <w:tabs>
              <w:tab w:val="clear" w:pos="9077"/>
              <w:tab w:val="right" w:pos="9359" w:leader="dot"/>
            </w:tabs>
            <w:rPr/>
          </w:pPr>
          <w:hyperlink w:anchor="__RefHeading___Toc1395_1329916799">
            <w:r>
              <w:rPr>
                <w:rStyle w:val="IndexLink"/>
              </w:rPr>
              <w:t>5.2 The European Union: A Deliberately Dual Framework</w:t>
              <w:tab/>
              <w:t>19</w:t>
            </w:r>
          </w:hyperlink>
        </w:p>
        <w:p>
          <w:pPr>
            <w:pStyle w:val="TOC2"/>
            <w:tabs>
              <w:tab w:val="clear" w:pos="9077"/>
              <w:tab w:val="right" w:pos="9359" w:leader="dot"/>
            </w:tabs>
            <w:rPr/>
          </w:pPr>
          <w:hyperlink w:anchor="__RefHeading___Toc1397_1329916799">
            <w:r>
              <w:rPr>
                <w:rStyle w:val="IndexLink"/>
              </w:rPr>
              <w:t>5.3 Asia-Pacific: The Regulated-Platform Model</w:t>
              <w:tab/>
              <w:t>20</w:t>
            </w:r>
          </w:hyperlink>
        </w:p>
        <w:p>
          <w:pPr>
            <w:pStyle w:val="TOC2"/>
            <w:tabs>
              <w:tab w:val="clear" w:pos="9077"/>
              <w:tab w:val="right" w:pos="9359" w:leader="dot"/>
            </w:tabs>
            <w:rPr/>
          </w:pPr>
          <w:hyperlink w:anchor="__RefHeading___Toc1399_1329916799">
            <w:r>
              <w:rPr>
                <w:rStyle w:val="IndexLink"/>
              </w:rPr>
              <w:t>5.4 The Robinhood Cautionary Template</w:t>
              <w:tab/>
              <w:t>20</w:t>
            </w:r>
          </w:hyperlink>
        </w:p>
        <w:p>
          <w:pPr>
            <w:pStyle w:val="TOC2"/>
            <w:tabs>
              <w:tab w:val="clear" w:pos="9077"/>
              <w:tab w:val="right" w:pos="9359" w:leader="dot"/>
            </w:tabs>
            <w:rPr/>
          </w:pPr>
          <w:hyperlink w:anchor="__RefHeading___Toc1401_1329916799">
            <w:r>
              <w:rPr>
                <w:rStyle w:val="IndexLink"/>
              </w:rPr>
              <w:t>5.5 The Compliance Architecture Feasibility Requires</w:t>
              <w:tab/>
              <w:t>21</w:t>
            </w:r>
          </w:hyperlink>
        </w:p>
        <w:p>
          <w:pPr>
            <w:pStyle w:val="TOC1"/>
            <w:tabs>
              <w:tab w:val="clear" w:pos="9360"/>
              <w:tab w:val="right" w:pos="9359" w:leader="dot"/>
            </w:tabs>
            <w:rPr/>
          </w:pPr>
          <w:hyperlink w:anchor="__RefHeading___Toc1403_1329916799">
            <w:r>
              <w:rPr>
                <w:rStyle w:val="IndexLink"/>
              </w:rPr>
              <w:t>6. Artificial Intelligence and Algorithmic Advising</w:t>
              <w:tab/>
              <w:t>22</w:t>
            </w:r>
          </w:hyperlink>
        </w:p>
        <w:p>
          <w:pPr>
            <w:pStyle w:val="TOC2"/>
            <w:tabs>
              <w:tab w:val="clear" w:pos="9077"/>
              <w:tab w:val="right" w:pos="9359" w:leader="dot"/>
            </w:tabs>
            <w:rPr/>
          </w:pPr>
          <w:hyperlink w:anchor="__RefHeading___Toc1405_1329916799">
            <w:r>
              <w:rPr>
                <w:rStyle w:val="IndexLink"/>
              </w:rPr>
              <w:t>6.1 Foundations: From Markowitz to Risk-Adjusted Performance</w:t>
              <w:tab/>
              <w:t>22</w:t>
            </w:r>
          </w:hyperlink>
        </w:p>
        <w:p>
          <w:pPr>
            <w:pStyle w:val="TOC2"/>
            <w:tabs>
              <w:tab w:val="clear" w:pos="9077"/>
              <w:tab w:val="right" w:pos="9359" w:leader="dot"/>
            </w:tabs>
            <w:rPr/>
          </w:pPr>
          <w:hyperlink w:anchor="__RefHeading___Toc1407_1329916799">
            <w:r>
              <w:rPr>
                <w:rStyle w:val="IndexLink"/>
              </w:rPr>
              <w:t>6.2 Robo-Advising: Empirical Promise</w:t>
              <w:tab/>
              <w:t>22</w:t>
            </w:r>
          </w:hyperlink>
        </w:p>
        <w:p>
          <w:pPr>
            <w:pStyle w:val="TOC2"/>
            <w:tabs>
              <w:tab w:val="clear" w:pos="9077"/>
              <w:tab w:val="right" w:pos="9359" w:leader="dot"/>
            </w:tabs>
            <w:rPr/>
          </w:pPr>
          <w:hyperlink w:anchor="__RefHeading___Toc1409_1329916799">
            <w:r>
              <w:rPr>
                <w:rStyle w:val="IndexLink"/>
              </w:rPr>
              <w:t>6.3 The Risks of an Intelligence Layer</w:t>
              <w:tab/>
              <w:t>23</w:t>
            </w:r>
          </w:hyperlink>
        </w:p>
        <w:p>
          <w:pPr>
            <w:pStyle w:val="TOC1"/>
            <w:tabs>
              <w:tab w:val="clear" w:pos="9360"/>
              <w:tab w:val="right" w:pos="9359" w:leader="dot"/>
            </w:tabs>
            <w:rPr/>
          </w:pPr>
          <w:hyperlink w:anchor="__RefHeading___Toc1411_1329916799">
            <w:r>
              <w:rPr>
                <w:rStyle w:val="IndexLink"/>
              </w:rPr>
              <w:t>7. Social, Copy, and Freelance Advisory Trading</w:t>
              <w:tab/>
              <w:t>24</w:t>
            </w:r>
          </w:hyperlink>
        </w:p>
        <w:p>
          <w:pPr>
            <w:pStyle w:val="TOC2"/>
            <w:tabs>
              <w:tab w:val="clear" w:pos="9077"/>
              <w:tab w:val="right" w:pos="9359" w:leader="dot"/>
            </w:tabs>
            <w:rPr/>
          </w:pPr>
          <w:hyperlink w:anchor="__RefHeading___Toc1413_1329916799">
            <w:r>
              <w:rPr>
                <w:rStyle w:val="IndexLink"/>
              </w:rPr>
              <w:t>7.1 What the Evidence Shows About Copy Trading</w:t>
              <w:tab/>
              <w:t>24</w:t>
            </w:r>
          </w:hyperlink>
        </w:p>
        <w:p>
          <w:pPr>
            <w:pStyle w:val="TOC2"/>
            <w:tabs>
              <w:tab w:val="clear" w:pos="9077"/>
              <w:tab w:val="right" w:pos="9359" w:leader="dot"/>
            </w:tabs>
            <w:rPr/>
          </w:pPr>
          <w:hyperlink w:anchor="__RefHeading___Toc1415_1329916799">
            <w:r>
              <w:rPr>
                <w:rStyle w:val="IndexLink"/>
              </w:rPr>
              <w:t>7.2 Design Implications for Flock</w:t>
              <w:tab/>
              <w:t>24</w:t>
            </w:r>
          </w:hyperlink>
        </w:p>
        <w:p>
          <w:pPr>
            <w:pStyle w:val="TOC2"/>
            <w:tabs>
              <w:tab w:val="clear" w:pos="9077"/>
              <w:tab w:val="right" w:pos="9359" w:leader="dot"/>
            </w:tabs>
            <w:rPr/>
          </w:pPr>
          <w:hyperlink w:anchor="__RefHeading___Toc1417_1329916799">
            <w:r>
              <w:rPr>
                <w:rStyle w:val="IndexLink"/>
              </w:rPr>
              <w:t>7.3 The Peer-to-Peer Lending Antecedent</w:t>
              <w:tab/>
              <w:t>25</w:t>
            </w:r>
          </w:hyperlink>
        </w:p>
        <w:p>
          <w:pPr>
            <w:pStyle w:val="TOC1"/>
            <w:tabs>
              <w:tab w:val="clear" w:pos="9360"/>
              <w:tab w:val="right" w:pos="9359" w:leader="dot"/>
            </w:tabs>
            <w:rPr/>
          </w:pPr>
          <w:hyperlink w:anchor="__RefHeading___Toc1419_1329916799">
            <w:r>
              <w:rPr>
                <w:rStyle w:val="IndexLink"/>
              </w:rPr>
              <w:t>8. Prediction Markets and Other Event-Driven Markets</w:t>
              <w:tab/>
              <w:t>26</w:t>
            </w:r>
          </w:hyperlink>
        </w:p>
        <w:p>
          <w:pPr>
            <w:pStyle w:val="TOC2"/>
            <w:tabs>
              <w:tab w:val="clear" w:pos="9077"/>
              <w:tab w:val="right" w:pos="9359" w:leader="dot"/>
            </w:tabs>
            <w:rPr/>
          </w:pPr>
          <w:hyperlink w:anchor="__RefHeading___Toc1421_1329916799">
            <w:r>
              <w:rPr>
                <w:rStyle w:val="IndexLink"/>
              </w:rPr>
              <w:t>8.1 The Theory and the Accuracy Record</w:t>
              <w:tab/>
              <w:t>26</w:t>
            </w:r>
          </w:hyperlink>
        </w:p>
        <w:p>
          <w:pPr>
            <w:pStyle w:val="TOC2"/>
            <w:tabs>
              <w:tab w:val="clear" w:pos="9077"/>
              <w:tab w:val="right" w:pos="9359" w:leader="dot"/>
            </w:tabs>
            <w:rPr/>
          </w:pPr>
          <w:hyperlink w:anchor="__RefHeading___Toc1423_1329916799">
            <w:r>
              <w:rPr>
                <w:rStyle w:val="IndexLink"/>
              </w:rPr>
              <w:t>8.2 The Informed-Minority Critique</w:t>
              <w:tab/>
              <w:t>26</w:t>
            </w:r>
          </w:hyperlink>
        </w:p>
        <w:p>
          <w:pPr>
            <w:pStyle w:val="TOC2"/>
            <w:tabs>
              <w:tab w:val="clear" w:pos="9077"/>
              <w:tab w:val="right" w:pos="9359" w:leader="dot"/>
            </w:tabs>
            <w:rPr/>
          </w:pPr>
          <w:hyperlink w:anchor="__RefHeading___Toc1425_1329916799">
            <w:r>
              <w:rPr>
                <w:rStyle w:val="IndexLink"/>
              </w:rPr>
              <w:t>8.3 The Regulatory Battleground</w:t>
              <w:tab/>
              <w:t>27</w:t>
            </w:r>
          </w:hyperlink>
        </w:p>
        <w:p>
          <w:pPr>
            <w:pStyle w:val="TOC2"/>
            <w:tabs>
              <w:tab w:val="clear" w:pos="9077"/>
              <w:tab w:val="right" w:pos="9359" w:leader="dot"/>
            </w:tabs>
            <w:rPr/>
          </w:pPr>
          <w:hyperlink w:anchor="__RefHeading___Toc1427_1329916799">
            <w:r>
              <w:rPr>
                <w:rStyle w:val="IndexLink"/>
              </w:rPr>
              <w:t>8.4 Derivatives, Perpetuals, and Decentralized Insurance</w:t>
              <w:tab/>
              <w:t>27</w:t>
            </w:r>
          </w:hyperlink>
        </w:p>
        <w:p>
          <w:pPr>
            <w:pStyle w:val="TOC1"/>
            <w:tabs>
              <w:tab w:val="clear" w:pos="9360"/>
              <w:tab w:val="right" w:pos="9359" w:leader="dot"/>
            </w:tabs>
            <w:rPr/>
          </w:pPr>
          <w:hyperlink w:anchor="__RefHeading___Toc1429_1329916799">
            <w:r>
              <w:rPr>
                <w:rStyle w:val="IndexLink"/>
              </w:rPr>
              <w:t>9. Metaverse and Virtual Assets: The Cautionary Domain</w:t>
              <w:tab/>
              <w:t>29</w:t>
            </w:r>
          </w:hyperlink>
        </w:p>
        <w:p>
          <w:pPr>
            <w:pStyle w:val="TOC2"/>
            <w:tabs>
              <w:tab w:val="clear" w:pos="9077"/>
              <w:tab w:val="right" w:pos="9359" w:leader="dot"/>
            </w:tabs>
            <w:rPr/>
          </w:pPr>
          <w:hyperlink w:anchor="__RefHeading___Toc1431_1329916799">
            <w:r>
              <w:rPr>
                <w:rStyle w:val="IndexLink"/>
              </w:rPr>
              <w:t>9.1 Anatomy of a Virtual-Land Bubble</w:t>
              <w:tab/>
              <w:t>29</w:t>
            </w:r>
          </w:hyperlink>
        </w:p>
        <w:p>
          <w:pPr>
            <w:pStyle w:val="TOC2"/>
            <w:tabs>
              <w:tab w:val="clear" w:pos="9077"/>
              <w:tab w:val="right" w:pos="9359" w:leader="dot"/>
            </w:tabs>
            <w:rPr/>
          </w:pPr>
          <w:hyperlink w:anchor="__RefHeading___Toc1433_1329916799">
            <w:r>
              <w:rPr>
                <w:rStyle w:val="IndexLink"/>
              </w:rPr>
              <w:t>9.2 The Unsustainability of Play-to-Earn</w:t>
              <w:tab/>
              <w:t>29</w:t>
            </w:r>
          </w:hyperlink>
        </w:p>
        <w:p>
          <w:pPr>
            <w:pStyle w:val="TOC2"/>
            <w:tabs>
              <w:tab w:val="clear" w:pos="9077"/>
              <w:tab w:val="right" w:pos="9359" w:leader="dot"/>
            </w:tabs>
            <w:rPr/>
          </w:pPr>
          <w:hyperlink w:anchor="__RefHeading___Toc1435_1329916799">
            <w:r>
              <w:rPr>
                <w:rStyle w:val="IndexLink"/>
              </w:rPr>
              <w:t>9.3 The Durable Alternative and Flock’s Posture</w:t>
              <w:tab/>
              <w:t>30</w:t>
            </w:r>
          </w:hyperlink>
        </w:p>
        <w:p>
          <w:pPr>
            <w:pStyle w:val="TOC1"/>
            <w:tabs>
              <w:tab w:val="clear" w:pos="9360"/>
              <w:tab w:val="right" w:pos="9359" w:leader="dot"/>
            </w:tabs>
            <w:rPr/>
          </w:pPr>
          <w:hyperlink w:anchor="__RefHeading___Toc1437_1329916799">
            <w:r>
              <w:rPr>
                <w:rStyle w:val="IndexLink"/>
              </w:rPr>
              <w:t>10. Gamification, Financial Inclusion, and Peer-to-Peer Lending</w:t>
              <w:tab/>
              <w:t>32</w:t>
            </w:r>
          </w:hyperlink>
        </w:p>
        <w:p>
          <w:pPr>
            <w:pStyle w:val="TOC2"/>
            <w:tabs>
              <w:tab w:val="clear" w:pos="9077"/>
              <w:tab w:val="right" w:pos="9359" w:leader="dot"/>
            </w:tabs>
            <w:rPr/>
          </w:pPr>
          <w:hyperlink w:anchor="__RefHeading___Toc1439_1329916799">
            <w:r>
              <w:rPr>
                <w:rStyle w:val="IndexLink"/>
              </w:rPr>
              <w:t>10.1 Gamification: Engagement Versus Exploitation</w:t>
              <w:tab/>
              <w:t>32</w:t>
            </w:r>
          </w:hyperlink>
        </w:p>
        <w:p>
          <w:pPr>
            <w:pStyle w:val="TOC2"/>
            <w:tabs>
              <w:tab w:val="clear" w:pos="9077"/>
              <w:tab w:val="right" w:pos="9359" w:leader="dot"/>
            </w:tabs>
            <w:rPr/>
          </w:pPr>
          <w:hyperlink w:anchor="__RefHeading___Toc1441_1329916799">
            <w:r>
              <w:rPr>
                <w:rStyle w:val="IndexLink"/>
              </w:rPr>
              <w:t>10.2 The Contested Promise of Financial Inclusion</w:t>
              <w:tab/>
              <w:t>32</w:t>
            </w:r>
          </w:hyperlink>
        </w:p>
        <w:p>
          <w:pPr>
            <w:pStyle w:val="TOC2"/>
            <w:tabs>
              <w:tab w:val="clear" w:pos="9077"/>
              <w:tab w:val="right" w:pos="9359" w:leader="dot"/>
            </w:tabs>
            <w:rPr/>
          </w:pPr>
          <w:hyperlink w:anchor="__RefHeading___Toc1443_1329916799">
            <w:r>
              <w:rPr>
                <w:rStyle w:val="IndexLink"/>
              </w:rPr>
              <w:t>10.3 The Institutional Trajectory: Toward a Tokenized Unified Ledger</w:t>
              <w:tab/>
              <w:t>33</w:t>
            </w:r>
          </w:hyperlink>
        </w:p>
        <w:p>
          <w:pPr>
            <w:pStyle w:val="TOC2"/>
            <w:tabs>
              <w:tab w:val="clear" w:pos="9077"/>
              <w:tab w:val="right" w:pos="9359" w:leader="dot"/>
            </w:tabs>
            <w:rPr/>
          </w:pPr>
          <w:hyperlink w:anchor="__RefHeading___Toc1445_1329916799">
            <w:r>
              <w:rPr>
                <w:rStyle w:val="IndexLink"/>
              </w:rPr>
              <w:t>10.4 Peer-to-Peer Securities Lending: Evaluating the Second Differentiator</w:t>
              <w:tab/>
              <w:t>33</w:t>
            </w:r>
          </w:hyperlink>
        </w:p>
        <w:p>
          <w:pPr>
            <w:pStyle w:val="TOC1"/>
            <w:tabs>
              <w:tab w:val="clear" w:pos="9360"/>
              <w:tab w:val="right" w:pos="9359" w:leader="dot"/>
            </w:tabs>
            <w:rPr/>
          </w:pPr>
          <w:hyperlink w:anchor="__RefHeading___Toc1447_1329916799">
            <w:r>
              <w:rPr>
                <w:rStyle w:val="IndexLink"/>
              </w:rPr>
              <w:t>11. The Creator Economy and the Limits of On-Chain Enforcement</w:t>
              <w:tab/>
              <w:t>35</w:t>
            </w:r>
          </w:hyperlink>
        </w:p>
        <w:p>
          <w:pPr>
            <w:pStyle w:val="TOC1"/>
            <w:tabs>
              <w:tab w:val="clear" w:pos="9360"/>
              <w:tab w:val="right" w:pos="9359" w:leader="dot"/>
            </w:tabs>
            <w:rPr/>
          </w:pPr>
          <w:hyperlink w:anchor="__RefHeading___Toc1449_1329916799">
            <w:r>
              <w:rPr>
                <w:rStyle w:val="IndexLink"/>
              </w:rPr>
              <w:t>12. Synthesis: The Differentiators and the Competitive Landscape</w:t>
              <w:tab/>
              <w:t>36</w:t>
            </w:r>
          </w:hyperlink>
        </w:p>
        <w:p>
          <w:pPr>
            <w:pStyle w:val="TOC2"/>
            <w:tabs>
              <w:tab w:val="clear" w:pos="9077"/>
              <w:tab w:val="right" w:pos="9359" w:leader="dot"/>
            </w:tabs>
            <w:rPr/>
          </w:pPr>
          <w:hyperlink w:anchor="__RefHeading___Toc1451_1329916799">
            <w:r>
              <w:rPr>
                <w:rStyle w:val="IndexLink"/>
              </w:rPr>
              <w:t>12.1 The Three Differentiators, Adjudicated</w:t>
              <w:tab/>
              <w:t>36</w:t>
            </w:r>
          </w:hyperlink>
        </w:p>
        <w:p>
          <w:pPr>
            <w:pStyle w:val="TOC2"/>
            <w:tabs>
              <w:tab w:val="clear" w:pos="9077"/>
              <w:tab w:val="right" w:pos="9359" w:leader="dot"/>
            </w:tabs>
            <w:rPr/>
          </w:pPr>
          <w:hyperlink w:anchor="__RefHeading___Toc1453_1329916799">
            <w:r>
              <w:rPr>
                <w:rStyle w:val="IndexLink"/>
              </w:rPr>
              <w:t>12.2 The Integrated System Versus the Incumbents</w:t>
              <w:tab/>
              <w:t>36</w:t>
            </w:r>
          </w:hyperlink>
        </w:p>
        <w:p>
          <w:pPr>
            <w:pStyle w:val="TOC2"/>
            <w:tabs>
              <w:tab w:val="clear" w:pos="9077"/>
              <w:tab w:val="right" w:pos="9359" w:leader="dot"/>
            </w:tabs>
            <w:rPr/>
          </w:pPr>
          <w:hyperlink w:anchor="__RefHeading___Toc1455_1329916799">
            <w:r>
              <w:rPr>
                <w:rStyle w:val="IndexLink"/>
              </w:rPr>
              <w:t>12.3 The Two Cross-Cutting Constraints</w:t>
              <w:tab/>
              <w:t>37</w:t>
            </w:r>
          </w:hyperlink>
        </w:p>
        <w:p>
          <w:pPr>
            <w:pStyle w:val="TOC1"/>
            <w:tabs>
              <w:tab w:val="clear" w:pos="9360"/>
              <w:tab w:val="right" w:pos="9359" w:leader="dot"/>
            </w:tabs>
            <w:rPr/>
          </w:pPr>
          <w:hyperlink w:anchor="__RefHeading___Toc1457_1329916799">
            <w:r>
              <w:rPr>
                <w:rStyle w:val="IndexLink"/>
              </w:rPr>
              <w:t>13. A Staged, Feasible Construction Path</w:t>
              <w:tab/>
              <w:t>38</w:t>
            </w:r>
          </w:hyperlink>
        </w:p>
        <w:p>
          <w:pPr>
            <w:pStyle w:val="TOC2"/>
            <w:tabs>
              <w:tab w:val="clear" w:pos="9077"/>
              <w:tab w:val="right" w:pos="9359" w:leader="dot"/>
            </w:tabs>
            <w:rPr/>
          </w:pPr>
          <w:hyperlink w:anchor="__RefHeading___Toc1459_1329916799">
            <w:r>
              <w:rPr>
                <w:rStyle w:val="IndexLink"/>
              </w:rPr>
              <w:t>13.1 Stage One (Months 0–18): The Regulated Foundation</w:t>
              <w:tab/>
              <w:t>38</w:t>
            </w:r>
          </w:hyperlink>
        </w:p>
        <w:p>
          <w:pPr>
            <w:pStyle w:val="TOC2"/>
            <w:tabs>
              <w:tab w:val="clear" w:pos="9077"/>
              <w:tab w:val="right" w:pos="9359" w:leader="dot"/>
            </w:tabs>
            <w:rPr/>
          </w:pPr>
          <w:hyperlink w:anchor="__RefHeading___Toc1461_1329916799">
            <w:r>
              <w:rPr>
                <w:rStyle w:val="IndexLink"/>
              </w:rPr>
              <w:t>13.2 Stage Two (Months 18–36): Social, Advisory, and Event Markets</w:t>
              <w:tab/>
              <w:t>38</w:t>
            </w:r>
          </w:hyperlink>
        </w:p>
        <w:p>
          <w:pPr>
            <w:pStyle w:val="TOC2"/>
            <w:tabs>
              <w:tab w:val="clear" w:pos="9077"/>
              <w:tab w:val="right" w:pos="9359" w:leader="dot"/>
            </w:tabs>
            <w:rPr/>
          </w:pPr>
          <w:hyperlink w:anchor="__RefHeading___Toc1463_1329916799">
            <w:r>
              <w:rPr>
                <w:rStyle w:val="IndexLink"/>
              </w:rPr>
              <w:t>13.3 Stage Three (Months 36+): Differentiators and Hybrid Assets</w:t>
              <w:tab/>
              <w:t>39</w:t>
            </w:r>
          </w:hyperlink>
        </w:p>
        <w:p>
          <w:pPr>
            <w:pStyle w:val="TOC2"/>
            <w:tabs>
              <w:tab w:val="clear" w:pos="9077"/>
              <w:tab w:val="right" w:pos="9359" w:leader="dot"/>
            </w:tabs>
            <w:rPr/>
          </w:pPr>
          <w:hyperlink w:anchor="__RefHeading___Toc1465_1329916799">
            <w:r>
              <w:rPr>
                <w:rStyle w:val="IndexLink"/>
              </w:rPr>
              <w:t>13.4 Summary of the Construction Logic</w:t>
              <w:tab/>
              <w:t>39</w:t>
            </w:r>
          </w:hyperlink>
        </w:p>
        <w:p>
          <w:pPr>
            <w:pStyle w:val="TOC1"/>
            <w:tabs>
              <w:tab w:val="clear" w:pos="9360"/>
              <w:tab w:val="right" w:pos="9359" w:leader="dot"/>
            </w:tabs>
            <w:rPr/>
          </w:pPr>
          <w:hyperlink w:anchor="__RefHeading___Toc1467_1329916799">
            <w:r>
              <w:rPr>
                <w:rStyle w:val="IndexLink"/>
              </w:rPr>
              <w:t>14. Limitations and Threats to Validity</w:t>
              <w:tab/>
              <w:t>40</w:t>
            </w:r>
          </w:hyperlink>
        </w:p>
        <w:p>
          <w:pPr>
            <w:pStyle w:val="TOC1"/>
            <w:tabs>
              <w:tab w:val="clear" w:pos="9360"/>
              <w:tab w:val="right" w:pos="9359" w:leader="dot"/>
            </w:tabs>
            <w:rPr/>
          </w:pPr>
          <w:hyperlink w:anchor="__RefHeading___Toc1469_1329916799">
            <w:r>
              <w:rPr>
                <w:rStyle w:val="IndexLink"/>
              </w:rPr>
              <w:t>15. Conclusion</w:t>
              <w:tab/>
              <w:t>41</w:t>
            </w:r>
          </w:hyperlink>
        </w:p>
        <w:p>
          <w:pPr>
            <w:pStyle w:val="TOC1"/>
            <w:tabs>
              <w:tab w:val="clear" w:pos="9360"/>
              <w:tab w:val="right" w:pos="9359" w:leader="dot"/>
            </w:tabs>
            <w:rPr/>
          </w:pPr>
          <w:hyperlink w:anchor="__RefHeading___Toc1471_1329916799">
            <w:r>
              <w:rPr>
                <w:rStyle w:val="IndexLink"/>
              </w:rPr>
              <w:t>References</w:t>
              <w:tab/>
              <w:t>42</w:t>
            </w:r>
          </w:hyperlink>
          <w:r>
            <w:rPr>
              <w:rStyle w:val="IndexLink"/>
            </w:rPr>
            <w:fldChar w:fldCharType="end"/>
          </w:r>
        </w:p>
      </w:sdtContent>
    </w:sdt>
    <w:p>
      <w:pPr>
        <w:pStyle w:val="Normal"/>
        <w:rPr/>
      </w:pPr>
      <w:r>
        <w:rPr/>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rPr/>
      </w:pPr>
      <w:bookmarkStart w:id="0" w:name="__RefHeading___Toc1351_1329916799"/>
      <w:bookmarkEnd w:id="0"/>
      <w:r>
        <w:rPr/>
        <w:t>1. Introduction</w:t>
      </w:r>
    </w:p>
    <w:p>
      <w:pPr>
        <w:pStyle w:val="Heading2"/>
        <w:rPr/>
      </w:pPr>
      <w:bookmarkStart w:id="1" w:name="__RefHeading___Toc1353_1329916799"/>
      <w:bookmarkEnd w:id="1"/>
      <w:r>
        <w:rPr/>
        <w:t>1.1 Motivation and Problem Statement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architecture of retail investment access remains, in 2026, a patchwork. A typical individual investor maintains separate relationships for public equities and exchange-traded funds (a discount brokerage), for cryptocurrency (a centralized exchange), for retirement savings (a custodian), and—if they qualify—for alternative assets such as private equity, venture capital, hedge funds, farmland, fine art, or non-traded real estate (a mosaic of specialized platforms gated by accredited-investor thresholds). No single institution, not even the largest universal banks, presents a unified, consumer-facing interface that spans the entire spectrum of legal entity structures and investment vehicles. This segmentation is not accidental: it reflects the divergent regulatory regimes, liquidity profiles, custody requirements, and operational competencies that each asset class demands </w:t>
      </w:r>
      <w:r>
        <w:rPr>
          <w:rFonts w:eastAsia="Georgia" w:cs="Georgia"/>
          <w:sz w:val="22"/>
          <w:szCs w:val="22"/>
        </w:rPr>
        <w:t>[133]</w:t>
      </w:r>
      <w:r>
        <w:rPr>
          <w:rFonts w:eastAsia="Georgia" w:cs="Georgia"/>
          <w:b w:val="false"/>
          <w:bCs w:val="false"/>
          <w:i w:val="false"/>
          <w:iCs w:val="false"/>
          <w:color w:val="1A1A1A"/>
          <w:sz w:val="22"/>
          <w:szCs w:val="22"/>
        </w:rPr>
        <w:t>. The consequence, however, is a market in which the breadth of an investor’s opportunity set is determined less by their judgment than by the gatekeeping structure of incumbent finance.</w:t>
      </w:r>
    </w:p>
    <w:p>
      <w:pPr>
        <w:pStyle w:val="Normal"/>
        <w:spacing w:lineRule="auto" w:line="276" w:before="0" w:after="140"/>
        <w:jc w:val="both"/>
        <w:rPr/>
      </w:pPr>
      <w:r>
        <w:rPr>
          <w:rFonts w:eastAsia="Georgia" w:cs="Georgia"/>
          <w:b w:val="false"/>
          <w:bCs w:val="false"/>
          <w:i w:val="false"/>
          <w:iCs w:val="false"/>
          <w:color w:val="1A1A1A"/>
          <w:sz w:val="22"/>
          <w:szCs w:val="22"/>
        </w:rPr>
        <w:t xml:space="preserve">This paper asks whether emerging distributed-ledger, smart-contract, and machine-learning technologies make it feasible to collapse that fragmentation into a single platform—provisionally named </w:t>
      </w:r>
      <w:r>
        <w:rPr>
          <w:rFonts w:eastAsia="Georgia" w:cs="Georgia"/>
          <w:b/>
          <w:bCs/>
          <w:i w:val="false"/>
          <w:iCs w:val="false"/>
          <w:color w:val="1A1A1A"/>
          <w:sz w:val="22"/>
          <w:szCs w:val="22"/>
        </w:rPr>
        <w:t>Flock</w:t>
      </w:r>
      <w:r>
        <w:rPr>
          <w:rFonts w:eastAsia="Georgia" w:cs="Georgia"/>
          <w:b w:val="false"/>
          <w:bCs w:val="false"/>
          <w:i w:val="false"/>
          <w:iCs w:val="false"/>
          <w:color w:val="1A1A1A"/>
          <w:sz w:val="22"/>
          <w:szCs w:val="22"/>
        </w:rPr>
        <w:t xml:space="preserve">—and, critically, under what conditions. Flock is conceived as a blockchain-powered, decentralized exchange for tokenized multi-investment vehicles, augmented by artificial-intelligence advisory services, social and copy-trading mechanisms, a freelance advisory marketplace, prediction and other event-driven markets, and an optional metaverse layer in which holdings are represented as interactive objects. The platform’s long-run thesis is that </w:t>
      </w:r>
      <w:r>
        <w:rPr>
          <w:rFonts w:eastAsia="Georgia" w:cs="Georgia"/>
          <w:b/>
          <w:bCs/>
          <w:i w:val="false"/>
          <w:iCs w:val="false"/>
          <w:color w:val="1A1A1A"/>
          <w:sz w:val="22"/>
          <w:szCs w:val="22"/>
        </w:rPr>
        <w:t>any asset can be rendered liquid, ownable, and exchangeable</w:t>
      </w:r>
      <w:r>
        <w:rPr>
          <w:rFonts w:eastAsia="Georgia" w:cs="Georgia"/>
          <w:b w:val="false"/>
          <w:bCs w:val="false"/>
          <w:i w:val="false"/>
          <w:iCs w:val="false"/>
          <w:color w:val="1A1A1A"/>
          <w:sz w:val="22"/>
          <w:szCs w:val="22"/>
        </w:rPr>
        <w:t>, and that a gamified, progression-based interface can responsibly broaden participation rather than merely accelerate speculation.</w:t>
      </w:r>
    </w:p>
    <w:p>
      <w:pPr>
        <w:pStyle w:val="Normal"/>
        <w:spacing w:lineRule="auto" w:line="276" w:before="0" w:after="140"/>
        <w:jc w:val="both"/>
        <w:rPr/>
      </w:pPr>
      <w:r>
        <w:rPr>
          <w:rFonts w:eastAsia="Georgia" w:cs="Georgia"/>
          <w:b w:val="false"/>
          <w:bCs w:val="false"/>
          <w:i w:val="false"/>
          <w:iCs w:val="false"/>
          <w:color w:val="1A1A1A"/>
          <w:sz w:val="22"/>
          <w:szCs w:val="22"/>
        </w:rPr>
        <w:t xml:space="preserve">Such a thesis is easy to assert and difficult to execute. The history of financial innovation is littered with technically elegant systems that failed on regulatory, economic, or behavioral grounds. The purpose of this paper is therefore not advocacy but </w:t>
      </w:r>
      <w:r>
        <w:rPr>
          <w:rFonts w:eastAsia="Georgia" w:cs="Georgia"/>
          <w:b/>
          <w:bCs/>
          <w:i w:val="false"/>
          <w:iCs w:val="false"/>
          <w:color w:val="1A1A1A"/>
          <w:sz w:val="22"/>
          <w:szCs w:val="22"/>
        </w:rPr>
        <w:t>assessment</w:t>
      </w:r>
      <w:r>
        <w:rPr>
          <w:rFonts w:eastAsia="Georgia" w:cs="Georgia"/>
          <w:b w:val="false"/>
          <w:bCs w:val="false"/>
          <w:i w:val="false"/>
          <w:iCs w:val="false"/>
          <w:color w:val="1A1A1A"/>
          <w:sz w:val="22"/>
          <w:szCs w:val="22"/>
        </w:rPr>
        <w:t>: to weigh the supporting and cautionary evidence with equal seriousness, and to specify the empirical conditions under which the Flock architecture is—and is not—viable.</w:t>
      </w:r>
    </w:p>
    <w:p>
      <w:pPr>
        <w:pStyle w:val="Heading2"/>
        <w:rPr/>
      </w:pPr>
      <w:bookmarkStart w:id="2" w:name="__RefHeading___Toc1355_1329916799"/>
      <w:bookmarkEnd w:id="2"/>
      <w:r>
        <w:rPr/>
        <w:t>1.2 Research Questions</w:t>
      </w:r>
    </w:p>
    <w:p>
      <w:pPr>
        <w:pStyle w:val="Normal"/>
        <w:spacing w:lineRule="auto" w:line="276" w:before="0" w:after="140"/>
        <w:jc w:val="both"/>
        <w:rPr/>
      </w:pPr>
      <w:r>
        <w:rPr>
          <w:rFonts w:eastAsia="Georgia" w:cs="Georgia"/>
          <w:b w:val="false"/>
          <w:bCs w:val="false"/>
          <w:i w:val="false"/>
          <w:iCs w:val="false"/>
          <w:color w:val="1A1A1A"/>
          <w:sz w:val="22"/>
          <w:szCs w:val="22"/>
        </w:rPr>
        <w:t>This study is organized around four research questions:</w:t>
      </w:r>
    </w:p>
    <w:p>
      <w:pPr>
        <w:pStyle w:val="ListParagraph"/>
        <w:numPr>
          <w:ilvl w:val="0"/>
          <w:numId w:val="7"/>
        </w:numPr>
        <w:spacing w:lineRule="auto" w:line="264" w:before="0" w:after="80"/>
        <w:jc w:val="both"/>
        <w:rPr/>
      </w:pPr>
      <w:r>
        <w:rPr>
          <w:rFonts w:eastAsia="Georgia" w:cs="Georgia"/>
          <w:b/>
          <w:bCs/>
          <w:i w:val="false"/>
          <w:iCs w:val="false"/>
          <w:color w:val="1A1A1A"/>
          <w:sz w:val="22"/>
          <w:szCs w:val="22"/>
        </w:rPr>
        <w:t xml:space="preserve">RQ1 (Technical). </w:t>
      </w:r>
      <w:r>
        <w:rPr>
          <w:rFonts w:eastAsia="Georgia" w:cs="Georgia"/>
          <w:b w:val="false"/>
          <w:bCs w:val="false"/>
          <w:i w:val="false"/>
          <w:iCs w:val="false"/>
          <w:color w:val="1A1A1A"/>
          <w:sz w:val="22"/>
          <w:szCs w:val="22"/>
        </w:rPr>
        <w:t>Are the cryptographic, smart-contract, oracle, and interoperability primitives required to tokenize, custody, trade, and redeem heterogeneous assets across a single platform sufficiently mature and secure for production deployment?</w:t>
      </w:r>
    </w:p>
    <w:p>
      <w:pPr>
        <w:pStyle w:val="ListParagraph"/>
        <w:numPr>
          <w:ilvl w:val="0"/>
          <w:numId w:val="2"/>
        </w:numPr>
        <w:spacing w:lineRule="auto" w:line="264" w:before="0" w:after="80"/>
        <w:jc w:val="both"/>
        <w:rPr/>
      </w:pPr>
      <w:r>
        <w:rPr>
          <w:rFonts w:eastAsia="Georgia" w:cs="Georgia"/>
          <w:b/>
          <w:bCs/>
          <w:i w:val="false"/>
          <w:iCs w:val="false"/>
          <w:color w:val="1A1A1A"/>
          <w:sz w:val="22"/>
          <w:szCs w:val="22"/>
        </w:rPr>
        <w:t xml:space="preserve">RQ2 (Economic). </w:t>
      </w:r>
      <w:r>
        <w:rPr>
          <w:rFonts w:eastAsia="Georgia" w:cs="Georgia"/>
          <w:b w:val="false"/>
          <w:bCs w:val="false"/>
          <w:i w:val="false"/>
          <w:iCs w:val="false"/>
          <w:color w:val="1A1A1A"/>
          <w:sz w:val="22"/>
          <w:szCs w:val="22"/>
        </w:rPr>
        <w:t>Do the constituent markets—tokenized real-world assets, decentralized liquidity provision, prediction markets, social trading, and virtual assets—exhibit economic dynamics that sustain value for ordinary participants, or do they concentrate gains among a minority and impose systematic losses on the majority?</w:t>
      </w:r>
    </w:p>
    <w:p>
      <w:pPr>
        <w:pStyle w:val="ListParagraph"/>
        <w:numPr>
          <w:ilvl w:val="0"/>
          <w:numId w:val="2"/>
        </w:numPr>
        <w:spacing w:lineRule="auto" w:line="264" w:before="0" w:after="80"/>
        <w:jc w:val="both"/>
        <w:rPr/>
      </w:pPr>
      <w:r>
        <w:rPr>
          <w:rFonts w:eastAsia="Georgia" w:cs="Georgia"/>
          <w:b/>
          <w:bCs/>
          <w:i w:val="false"/>
          <w:iCs w:val="false"/>
          <w:color w:val="1A1A1A"/>
          <w:sz w:val="22"/>
          <w:szCs w:val="22"/>
        </w:rPr>
        <w:t xml:space="preserve">RQ3 (Regulatory). </w:t>
      </w:r>
      <w:r>
        <w:rPr>
          <w:rFonts w:eastAsia="Georgia" w:cs="Georgia"/>
          <w:b w:val="false"/>
          <w:bCs w:val="false"/>
          <w:i w:val="false"/>
          <w:iCs w:val="false"/>
          <w:color w:val="1A1A1A"/>
          <w:sz w:val="22"/>
          <w:szCs w:val="22"/>
        </w:rPr>
        <w:t>Can a single platform simultaneously satisfy the securities, commodities, money-transmission, and consumer-protection regimes of at least one major jurisdiction, and what compliance architecture would that require?</w:t>
      </w:r>
    </w:p>
    <w:p>
      <w:pPr>
        <w:pStyle w:val="ListParagraph"/>
        <w:numPr>
          <w:ilvl w:val="0"/>
          <w:numId w:val="2"/>
        </w:numPr>
        <w:spacing w:lineRule="auto" w:line="264" w:before="0" w:after="80"/>
        <w:jc w:val="both"/>
        <w:rPr/>
      </w:pPr>
      <w:r>
        <w:rPr>
          <w:rFonts w:eastAsia="Georgia" w:cs="Georgia"/>
          <w:b/>
          <w:bCs/>
          <w:i w:val="false"/>
          <w:iCs w:val="false"/>
          <w:color w:val="1A1A1A"/>
          <w:sz w:val="22"/>
          <w:szCs w:val="22"/>
        </w:rPr>
        <w:t xml:space="preserve">RQ4 (Differentiation). </w:t>
      </w:r>
      <w:r>
        <w:rPr>
          <w:rFonts w:eastAsia="Georgia" w:cs="Georgia"/>
          <w:b w:val="false"/>
          <w:bCs w:val="false"/>
          <w:i w:val="false"/>
          <w:iCs w:val="false"/>
          <w:color w:val="1A1A1A"/>
          <w:sz w:val="22"/>
          <w:szCs w:val="22"/>
        </w:rPr>
        <w:t>Are Flock’s three signature features—hybrid physical-digital ownership, peer-selected securities lending, and gamified financial literacy—genuinely defensible improvements over incumbent designs, or do they reproduce known failure modes?</w:t>
      </w:r>
    </w:p>
    <w:p>
      <w:pPr>
        <w:pStyle w:val="Heading2"/>
        <w:rPr/>
      </w:pPr>
      <w:bookmarkStart w:id="3" w:name="__RefHeading___Toc1357_1329916799"/>
      <w:bookmarkEnd w:id="3"/>
      <w:r>
        <w:rPr/>
        <w:t>1.3 Scope, Method, and Contribution</w:t>
      </w:r>
    </w:p>
    <w:p>
      <w:pPr>
        <w:pStyle w:val="Normal"/>
        <w:spacing w:lineRule="auto" w:line="276" w:before="0" w:after="140"/>
        <w:jc w:val="both"/>
        <w:rPr/>
      </w:pPr>
      <w:r>
        <w:rPr>
          <w:rFonts w:eastAsia="Georgia" w:cs="Georgia"/>
          <w:b w:val="false"/>
          <w:bCs w:val="false"/>
          <w:i w:val="false"/>
          <w:iCs w:val="false"/>
          <w:color w:val="1A1A1A"/>
          <w:sz w:val="22"/>
          <w:szCs w:val="22"/>
        </w:rPr>
        <w:t>The method is a structured evidence synthesis across ten research domains (Sections 3–12), each surveyed for foundational theory, recent 2023–2026 developments, empirical findings, and critical or skeptical perspectives. Sources are stratified by quality: peer-reviewed articles, working papers from established repositories (arXiv, SSRN, NBER), regulatory instruments and enforcement actions, and central-bank and multilateral reports anchor all load-bearing claims, while industry analyses and market-data aggregators are cited as such, with their promotional or forward-looking character flagged. The synthesis is deliberately balanced: for every capability that the literature supports, we present the corresponding evidence of risk or failure.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contribution is threefold. First, we provide what is, to our knowledge, the first integrated feasibility assessment treating tokenized multi-asset exchange, AI advising, social trading, prediction markets, and virtual assets as a </w:t>
      </w:r>
      <w:r>
        <w:rPr>
          <w:rFonts w:eastAsia="Georgia" w:cs="Georgia"/>
          <w:b/>
          <w:bCs/>
          <w:i w:val="false"/>
          <w:iCs w:val="false"/>
          <w:color w:val="1A1A1A"/>
          <w:sz w:val="22"/>
          <w:szCs w:val="22"/>
        </w:rPr>
        <w:t>single system</w:t>
      </w:r>
      <w:r>
        <w:rPr>
          <w:rFonts w:eastAsia="Georgia" w:cs="Georgia"/>
          <w:b w:val="false"/>
          <w:bCs w:val="false"/>
          <w:i w:val="false"/>
          <w:iCs w:val="false"/>
          <w:color w:val="1A1A1A"/>
          <w:sz w:val="22"/>
          <w:szCs w:val="22"/>
        </w:rPr>
        <w:t xml:space="preserve"> rather than as isolated phenomena. Second, we translate that assessment into a concrete, staged construction path with explicit go/no-go thresholds (Section 13). Third, we evaluate three specific architectural innovations against the empirical record, distinguishing genuine improvements from repackaged failure modes.</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Central Finding</w:t>
            </w:r>
          </w:p>
          <w:p>
            <w:pPr>
              <w:pStyle w:val="Normal"/>
              <w:spacing w:lineRule="auto" w:line="264" w:before="0" w:after="0"/>
              <w:jc w:val="left"/>
              <w:rPr/>
            </w:pPr>
            <w:r>
              <w:rPr>
                <w:rFonts w:eastAsia="Georgia" w:cs="Georgia"/>
                <w:i/>
                <w:iCs/>
                <w:color w:val="1A1A1A"/>
                <w:sz w:val="21"/>
                <w:szCs w:val="21"/>
              </w:rPr>
              <w:t>Every individual building block of Flock is technically demonstrated and at least partially commercialized as of 2026, but no platform has unified them. The binding feasibility constraint is regulatory and legal architecture together with liquidity fragmentation—not core technology. A unified multi-asset, multi-market platform is buildable, but it will live or die on its compliance design and its ability to bootstrap liquidity across many simultaneously thin markets.</w:t>
            </w:r>
          </w:p>
        </w:tc>
      </w:tr>
    </w:tbl>
    <w:p>
      <w:pPr>
        <w:pStyle w:val="Heading2"/>
        <w:rPr/>
      </w:pPr>
      <w:bookmarkStart w:id="4" w:name="__RefHeading___Toc1359_1329916799"/>
      <w:bookmarkEnd w:id="4"/>
      <w:r>
        <w:rPr/>
        <w:t>1.4 A Note on the Platform Name and Design Ethos</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name </w:t>
      </w:r>
      <w:r>
        <w:rPr>
          <w:rFonts w:eastAsia="Georgia" w:cs="Georgia"/>
          <w:b/>
          <w:bCs/>
          <w:i w:val="false"/>
          <w:iCs w:val="false"/>
          <w:color w:val="1A1A1A"/>
          <w:sz w:val="22"/>
          <w:szCs w:val="22"/>
        </w:rPr>
        <w:t>Flock</w:t>
      </w:r>
      <w:r>
        <w:rPr>
          <w:rFonts w:eastAsia="Georgia" w:cs="Georgia"/>
          <w:b w:val="false"/>
          <w:bCs w:val="false"/>
          <w:i w:val="false"/>
          <w:iCs w:val="false"/>
          <w:color w:val="1A1A1A"/>
          <w:sz w:val="22"/>
          <w:szCs w:val="22"/>
        </w:rPr>
        <w:t xml:space="preserve"> evokes collective movement, mutual protection, and emergent coordination—the behavior of many independent agents producing order without a central conductor. The metaphor is apt for a system whose central claim is that distributed participants can perform functions historically reserved for intermediaries: price discovery, liquidity provision, lending, and advisory. It is also a deliberate counterpoint to the paper’s sober conclusions. Flocking is robust precisely because it is rule-governed; birds do not collide because each obeys simple local constraints. The recurring argument of this paper is that Flock’s viability likewise depends on disciplined constraints—compliance gates, collateral rules, risk circuit-breakers—without which decentralization degrades into the documented failures of unconstrained speculation.</w:t>
      </w:r>
    </w:p>
    <w:p>
      <w:pPr>
        <w:pStyle w:val="Normal"/>
        <w:rPr/>
      </w:pPr>
      <w:r>
        <w:rPr/>
      </w:r>
      <w:r>
        <w:br w:type="page"/>
      </w:r>
    </w:p>
    <w:p>
      <w:pPr>
        <w:pStyle w:val="Heading1"/>
        <w:spacing w:before="0" w:after="200"/>
        <w:rPr/>
      </w:pPr>
      <w:bookmarkStart w:id="5" w:name="__RefHeading___Toc1361_1329916799"/>
      <w:bookmarkEnd w:id="5"/>
      <w:r>
        <w:rPr/>
        <w:t>2. The Conceptual Architecture of Flock</w:t>
      </w:r>
    </w:p>
    <w:p>
      <w:pPr>
        <w:pStyle w:val="Normal"/>
        <w:spacing w:lineRule="auto" w:line="276" w:before="0" w:after="140"/>
        <w:jc w:val="both"/>
        <w:rPr/>
      </w:pPr>
      <w:r>
        <w:rPr>
          <w:rFonts w:eastAsia="Georgia" w:cs="Georgia"/>
          <w:b w:val="false"/>
          <w:bCs w:val="false"/>
          <w:i w:val="false"/>
          <w:iCs w:val="false"/>
          <w:color w:val="1A1A1A"/>
          <w:sz w:val="22"/>
          <w:szCs w:val="22"/>
        </w:rPr>
        <w:t xml:space="preserve">Before assessing feasibility domain by domain, it is useful to fix the system under examination. Flock is best understood not as a single application but as a </w:t>
      </w:r>
      <w:r>
        <w:rPr>
          <w:rFonts w:eastAsia="Georgia" w:cs="Georgia"/>
          <w:b/>
          <w:bCs/>
          <w:i w:val="false"/>
          <w:iCs w:val="false"/>
          <w:color w:val="1A1A1A"/>
          <w:sz w:val="22"/>
          <w:szCs w:val="22"/>
        </w:rPr>
        <w:t>layered protocol stack</w:t>
      </w:r>
      <w:r>
        <w:rPr>
          <w:rFonts w:eastAsia="Georgia" w:cs="Georgia"/>
          <w:b w:val="false"/>
          <w:bCs w:val="false"/>
          <w:i w:val="false"/>
          <w:iCs w:val="false"/>
          <w:color w:val="1A1A1A"/>
          <w:sz w:val="22"/>
          <w:szCs w:val="22"/>
        </w:rPr>
        <w:t xml:space="preserve"> with a progressive, tiered user experience. We describe the conceptual architecture here so that subsequent sections can be read as feasibility tests of specific layers.</w:t>
      </w:r>
    </w:p>
    <w:p>
      <w:pPr>
        <w:pStyle w:val="Heading2"/>
        <w:rPr/>
      </w:pPr>
      <w:bookmarkStart w:id="6" w:name="__RefHeading___Toc1363_1329916799"/>
      <w:bookmarkEnd w:id="6"/>
      <w:r>
        <w:rPr/>
        <w:t>2.1 The Three-Tier Progression Model</w:t>
      </w:r>
    </w:p>
    <w:p>
      <w:pPr>
        <w:pStyle w:val="Normal"/>
        <w:spacing w:lineRule="auto" w:line="276" w:before="0" w:after="140"/>
        <w:jc w:val="both"/>
        <w:rPr/>
      </w:pPr>
      <w:r>
        <w:rPr>
          <w:rFonts w:eastAsia="Georgia" w:cs="Georgia"/>
          <w:b w:val="false"/>
          <w:bCs w:val="false"/>
          <w:i w:val="false"/>
          <w:iCs w:val="false"/>
          <w:color w:val="1A1A1A"/>
          <w:sz w:val="22"/>
          <w:szCs w:val="22"/>
        </w:rPr>
        <w:t>Flock’s user-facing design borrows the progression logic of mastery-based learning software—most explicitly the staged unlocking found in language-learning applications—and maps it onto increasing financial complexity and risk. Users advance through three tiers as they demonstrate competence, with each tier gating access to progressively more sophisticated (and more dangerous) instruments.</w:t>
      </w:r>
    </w:p>
    <w:tbl>
      <w:tblPr>
        <w:tblW w:w="9360" w:type="dxa"/>
        <w:jc w:val="left"/>
        <w:tblInd w:w="0" w:type="dxa"/>
        <w:tblLayout w:type="fixed"/>
        <w:tblCellMar>
          <w:top w:w="70" w:type="dxa"/>
          <w:left w:w="110" w:type="dxa"/>
          <w:bottom w:w="70" w:type="dxa"/>
          <w:right w:w="110" w:type="dxa"/>
        </w:tblCellMar>
      </w:tblPr>
      <w:tblGrid>
        <w:gridCol w:w="1099"/>
        <w:gridCol w:w="1700"/>
        <w:gridCol w:w="4660"/>
        <w:gridCol w:w="1900"/>
      </w:tblGrid>
      <w:tr>
        <w:trPr>
          <w:tblHeader w:val="true"/>
        </w:trPr>
        <w:tc>
          <w:tcPr>
            <w:tcW w:w="10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8"/>
                <w:szCs w:val="18"/>
              </w:rPr>
              <w:t>Tier</w:t>
            </w:r>
          </w:p>
        </w:tc>
        <w:tc>
          <w:tcPr>
            <w:tcW w:w="17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8"/>
                <w:szCs w:val="18"/>
              </w:rPr>
              <w:t>Designation</w:t>
            </w:r>
          </w:p>
        </w:tc>
        <w:tc>
          <w:tcPr>
            <w:tcW w:w="46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8"/>
                <w:szCs w:val="18"/>
              </w:rPr>
              <w:t>Representative Capabilities</w:t>
            </w:r>
          </w:p>
        </w:tc>
        <w:tc>
          <w:tcPr>
            <w:tcW w:w="1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8"/>
                <w:szCs w:val="18"/>
              </w:rPr>
              <w:t>Risk Profile</w:t>
            </w:r>
          </w:p>
        </w:tc>
      </w:tr>
      <w:tr>
        <w:trPr/>
        <w:tc>
          <w:tcPr>
            <w:tcW w:w="10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Tier 1</w:t>
            </w:r>
          </w:p>
        </w:tc>
        <w:tc>
          <w:tcPr>
            <w:tcW w:w="17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Foundation</w:t>
            </w:r>
          </w:p>
        </w:tc>
        <w:tc>
          <w:tcPr>
            <w:tcW w:w="466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Entity formation; mainstream equities, ETFs, and crypto; basic photo-to-token minting; unified portfolio dashboard; literacy quests</w:t>
            </w:r>
          </w:p>
        </w:tc>
        <w:tc>
          <w:tcPr>
            <w:tcW w:w="1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Lower; liquid, regulated, familiar instruments</w:t>
            </w:r>
          </w:p>
        </w:tc>
      </w:tr>
      <w:tr>
        <w:trPr/>
        <w:tc>
          <w:tcPr>
            <w:tcW w:w="10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8"/>
                <w:szCs w:val="18"/>
              </w:rPr>
              <w:t>Tier 2</w:t>
            </w:r>
          </w:p>
        </w:tc>
        <w:tc>
          <w:tcPr>
            <w:tcW w:w="17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8"/>
                <w:szCs w:val="18"/>
              </w:rPr>
              <w:t>Marketplace</w:t>
            </w:r>
          </w:p>
        </w:tc>
        <w:tc>
          <w:tcPr>
            <w:tcW w:w="466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8"/>
                <w:szCs w:val="18"/>
              </w:rPr>
              <w:t>Peer-to-peer lending with counterparty choice; local and startup SPVs; embedded wallet and card; AI-versus-human advisory duels</w:t>
            </w:r>
          </w:p>
        </w:tc>
        <w:tc>
          <w:tcPr>
            <w:tcW w:w="19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8"/>
                <w:szCs w:val="18"/>
              </w:rPr>
              <w:t>Moderate; introduces counterparty and liquidity risk</w:t>
            </w:r>
          </w:p>
        </w:tc>
      </w:tr>
      <w:tr>
        <w:trPr/>
        <w:tc>
          <w:tcPr>
            <w:tcW w:w="10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Tier 3</w:t>
            </w:r>
          </w:p>
        </w:tc>
        <w:tc>
          <w:tcPr>
            <w:tcW w:w="17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Alternatives</w:t>
            </w:r>
          </w:p>
        </w:tc>
        <w:tc>
          <w:tcPr>
            <w:tcW w:w="466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Tokenized real estate, art, commodities, private equity; hybrid physical-digital redemption; cross-chain settlement; prediction and event markets</w:t>
            </w:r>
          </w:p>
        </w:tc>
        <w:tc>
          <w:tcPr>
            <w:tcW w:w="1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8"/>
                <w:szCs w:val="18"/>
              </w:rPr>
              <w:t>Higher; illiquid, complex, sometimes speculative</w:t>
            </w:r>
          </w:p>
        </w:tc>
      </w:tr>
    </w:tbl>
    <w:p>
      <w:pPr>
        <w:pStyle w:val="Normal"/>
        <w:spacing w:before="80" w:after="200"/>
        <w:jc w:val="left"/>
        <w:rPr/>
      </w:pPr>
      <w:r>
        <w:rPr>
          <w:rFonts w:eastAsia="Arial" w:cs="Arial" w:ascii="Arial" w:hAnsi="Arial"/>
          <w:i/>
          <w:iCs/>
          <w:color w:val="44505A"/>
          <w:sz w:val="18"/>
          <w:szCs w:val="18"/>
        </w:rPr>
        <w:t>Table 2.1 — Flock’s three-tier progression. Access to higher tiers is gated by demonstrated competence rather than wealth alone, inverting the accredited-investor model in which access is purchased.</w:t>
      </w:r>
    </w:p>
    <w:p>
      <w:pPr>
        <w:pStyle w:val="Normal"/>
        <w:spacing w:lineRule="auto" w:line="276" w:before="0" w:after="140"/>
        <w:jc w:val="both"/>
        <w:rPr/>
      </w:pPr>
      <w:r>
        <w:rPr>
          <w:rFonts w:eastAsia="Georgia" w:cs="Georgia"/>
          <w:b w:val="false"/>
          <w:bCs w:val="false"/>
          <w:i w:val="false"/>
          <w:iCs w:val="false"/>
          <w:color w:val="1A1A1A"/>
          <w:sz w:val="22"/>
          <w:szCs w:val="22"/>
        </w:rPr>
        <w:t>The progression model is itself a feasibility claim: that gating complexity behind demonstrated competence produces better participant outcomes than the prevailing alternatives, which gate access behind wealth (the accredited-investor regime) or not at all (unrestricted retail crypto). Section 9 examines the empirical basis—and the regulatory peril—of this claim.</w:t>
      </w:r>
    </w:p>
    <w:p>
      <w:pPr>
        <w:pStyle w:val="Heading2"/>
        <w:rPr/>
      </w:pPr>
      <w:bookmarkStart w:id="7" w:name="__RefHeading___Toc1365_1329916799"/>
      <w:bookmarkEnd w:id="7"/>
      <w:r>
        <w:rPr/>
        <w:t>2.2 The Protocol Stack</w:t>
      </w:r>
    </w:p>
    <w:p>
      <w:pPr>
        <w:pStyle w:val="Normal"/>
        <w:spacing w:lineRule="auto" w:line="276" w:before="0" w:after="140"/>
        <w:jc w:val="both"/>
        <w:rPr/>
      </w:pPr>
      <w:r>
        <w:rPr>
          <w:rFonts w:eastAsia="Georgia" w:cs="Georgia"/>
          <w:b w:val="false"/>
          <w:bCs w:val="false"/>
          <w:i w:val="false"/>
          <w:iCs w:val="false"/>
          <w:color w:val="1A1A1A"/>
          <w:sz w:val="22"/>
          <w:szCs w:val="22"/>
        </w:rPr>
        <w:t>Beneath the tiered interface sits a stack of functional layers, each corresponding to one or more of the research domains examined later:</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Tokenization and custody layer. </w:t>
      </w:r>
      <w:r>
        <w:rPr>
          <w:rFonts w:eastAsia="Georgia" w:cs="Georgia"/>
          <w:b w:val="false"/>
          <w:bCs w:val="false"/>
          <w:i w:val="false"/>
          <w:iCs w:val="false"/>
          <w:color w:val="1A1A1A"/>
          <w:sz w:val="22"/>
          <w:szCs w:val="22"/>
        </w:rPr>
        <w:t>Smart contracts that mint, hold, and transfer tokenized claims on assets, backed where necessary by special-purpose vehicles, qualified custodians, and proof-of-reserve attestations (Sections 3, 12).</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Liquidity and settlement layer. </w:t>
      </w:r>
      <w:r>
        <w:rPr>
          <w:rFonts w:eastAsia="Georgia" w:cs="Georgia"/>
          <w:b w:val="false"/>
          <w:bCs w:val="false"/>
          <w:i w:val="false"/>
          <w:iCs w:val="false"/>
          <w:color w:val="1A1A1A"/>
          <w:sz w:val="22"/>
          <w:szCs w:val="22"/>
        </w:rPr>
        <w:t>Automated market makers, order books, and tokenized vaults that provide price discovery and exit liquidity; cross-chain messaging for multi-network settlement (Section 4).</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Compliance layer. </w:t>
      </w:r>
      <w:r>
        <w:rPr>
          <w:rFonts w:eastAsia="Georgia" w:cs="Georgia"/>
          <w:b w:val="false"/>
          <w:bCs w:val="false"/>
          <w:i w:val="false"/>
          <w:iCs w:val="false"/>
          <w:color w:val="1A1A1A"/>
          <w:sz w:val="22"/>
          <w:szCs w:val="22"/>
        </w:rPr>
        <w:t>On-chain identity, know-your-customer and anti-money-laundering screening, jurisdiction-aware permissioning, and accredited-investor verification embedded at the token-standard level (Section 5).</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Intelligence layer. </w:t>
      </w:r>
      <w:r>
        <w:rPr>
          <w:rFonts w:eastAsia="Georgia" w:cs="Georgia"/>
          <w:b w:val="false"/>
          <w:bCs w:val="false"/>
          <w:i w:val="false"/>
          <w:iCs w:val="false"/>
          <w:color w:val="1A1A1A"/>
          <w:sz w:val="22"/>
          <w:szCs w:val="22"/>
        </w:rPr>
        <w:t>Machine-learning models for portfolio construction, risk assessment, market-sentiment analysis, and conversational advisory (Section 6).</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Social and market layer. </w:t>
      </w:r>
      <w:r>
        <w:rPr>
          <w:rFonts w:eastAsia="Georgia" w:cs="Georgia"/>
          <w:b w:val="false"/>
          <w:bCs w:val="false"/>
          <w:i w:val="false"/>
          <w:iCs w:val="false"/>
          <w:color w:val="1A1A1A"/>
          <w:sz w:val="22"/>
          <w:szCs w:val="22"/>
        </w:rPr>
        <w:t>Copy-trading, reputation systems, a freelance-advisory marketplace, and prediction and other event-contract markets (Sections 7, 8).</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Experience layer. </w:t>
      </w:r>
      <w:r>
        <w:rPr>
          <w:rFonts w:eastAsia="Georgia" w:cs="Georgia"/>
          <w:b w:val="false"/>
          <w:bCs w:val="false"/>
          <w:i w:val="false"/>
          <w:iCs w:val="false"/>
          <w:color w:val="1A1A1A"/>
          <w:sz w:val="22"/>
          <w:szCs w:val="22"/>
        </w:rPr>
        <w:t>The gamified, progression-based interface and the optional metaverse representation of holdings (Sections 9, 10).</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architectural premise is </w:t>
      </w:r>
      <w:r>
        <w:rPr>
          <w:rFonts w:eastAsia="Georgia" w:cs="Georgia"/>
          <w:b/>
          <w:bCs/>
          <w:i w:val="false"/>
          <w:iCs w:val="false"/>
          <w:color w:val="1A1A1A"/>
          <w:sz w:val="22"/>
          <w:szCs w:val="22"/>
        </w:rPr>
        <w:t>modularity</w:t>
      </w:r>
      <w:r>
        <w:rPr>
          <w:rFonts w:eastAsia="Georgia" w:cs="Georgia"/>
          <w:b w:val="false"/>
          <w:bCs w:val="false"/>
          <w:i w:val="false"/>
          <w:iCs w:val="false"/>
          <w:color w:val="1A1A1A"/>
          <w:sz w:val="22"/>
          <w:szCs w:val="22"/>
        </w:rPr>
        <w:t>: each layer exposes well-defined interfaces so that additional asset classes, machine-learning agents, or external integrations can be added without rewriting the core. Modularity is also a risk-containment strategy—a failure in, say, the metaverse layer should not compromise the tokenization layer. Whether this separation can be maintained in practice, particularly across the trust boundary of cross-chain bridges, is a central technical question (Section 4.3).</w:t>
      </w:r>
    </w:p>
    <w:p>
      <w:pPr>
        <w:pStyle w:val="Heading2"/>
        <w:rPr/>
      </w:pPr>
      <w:bookmarkStart w:id="8" w:name="__RefHeading___Toc1367_1329916799"/>
      <w:bookmarkEnd w:id="8"/>
      <w:r>
        <w:rPr/>
        <w:t>2.3 The Three Differentiators in Brief</w:t>
      </w:r>
    </w:p>
    <w:p>
      <w:pPr>
        <w:pStyle w:val="Normal"/>
        <w:spacing w:lineRule="auto" w:line="276" w:before="0" w:after="140"/>
        <w:jc w:val="both"/>
        <w:rPr/>
      </w:pPr>
      <w:r>
        <w:rPr>
          <w:rFonts w:eastAsia="Georgia" w:cs="Georgia"/>
          <w:b w:val="false"/>
          <w:bCs w:val="false"/>
          <w:i w:val="false"/>
          <w:iCs w:val="false"/>
          <w:color w:val="1A1A1A"/>
          <w:sz w:val="22"/>
          <w:szCs w:val="22"/>
        </w:rPr>
        <w:t>Flock’s claim to novelty rests on three features that recur throughout the analysis. We state them precisely here and evaluate each against the literature in its respective section and in the synthesis (Section 12):</w:t>
      </w:r>
    </w:p>
    <w:p>
      <w:pPr>
        <w:pStyle w:val="ListParagraph"/>
        <w:numPr>
          <w:ilvl w:val="0"/>
          <w:numId w:val="8"/>
        </w:numPr>
        <w:spacing w:lineRule="auto" w:line="264" w:before="0" w:after="80"/>
        <w:jc w:val="both"/>
        <w:rPr/>
      </w:pPr>
      <w:r>
        <w:rPr>
          <w:rFonts w:eastAsia="Georgia" w:cs="Georgia"/>
          <w:b/>
          <w:bCs/>
          <w:i w:val="false"/>
          <w:iCs w:val="false"/>
          <w:color w:val="1A1A1A"/>
          <w:sz w:val="22"/>
          <w:szCs w:val="22"/>
        </w:rPr>
        <w:t xml:space="preserve">Hybrid physical-digital ownership and redemption. </w:t>
      </w:r>
      <w:r>
        <w:rPr>
          <w:rFonts w:eastAsia="Georgia" w:cs="Georgia"/>
          <w:b w:val="false"/>
          <w:bCs w:val="false"/>
          <w:i w:val="false"/>
          <w:iCs w:val="false"/>
          <w:color w:val="1A1A1A"/>
          <w:sz w:val="22"/>
          <w:szCs w:val="22"/>
        </w:rPr>
        <w:t>A token represents genuine beneficial ownership of a real-world asset and is redeemable for that asset (or its physical counterpart), as opposed to a synthetic instrument that merely tracks a price. This is the feature most likely to attract regulatory scrutiny and the one most dependent on sound legal and oracle design (Sections 3.4, 5.5, 12).</w:t>
      </w:r>
    </w:p>
    <w:p>
      <w:pPr>
        <w:pStyle w:val="ListParagraph"/>
        <w:numPr>
          <w:ilvl w:val="0"/>
          <w:numId w:val="3"/>
        </w:numPr>
        <w:spacing w:lineRule="auto" w:line="264" w:before="0" w:after="80"/>
        <w:jc w:val="both"/>
        <w:rPr/>
      </w:pPr>
      <w:r>
        <w:rPr>
          <w:rFonts w:eastAsia="Georgia" w:cs="Georgia"/>
          <w:b/>
          <w:bCs/>
          <w:i w:val="false"/>
          <w:iCs w:val="false"/>
          <w:color w:val="1A1A1A"/>
          <w:sz w:val="22"/>
          <w:szCs w:val="22"/>
        </w:rPr>
        <w:t xml:space="preserve">Decentralized peer-to-peer securities lending with counterparty choice. </w:t>
      </w:r>
      <w:r>
        <w:rPr>
          <w:rFonts w:eastAsia="Georgia" w:cs="Georgia"/>
          <w:b w:val="false"/>
          <w:bCs w:val="false"/>
          <w:i w:val="false"/>
          <w:iCs w:val="false"/>
          <w:color w:val="1A1A1A"/>
          <w:sz w:val="22"/>
          <w:szCs w:val="22"/>
        </w:rPr>
        <w:t>Asset owners lend directly to selected borrowers on transparent terms, rather than lending to a single intermediary that captures the spread and obscures the counterparty—an explicit improvement over centralized stock-yield-enhancement programs (Sections 10.4, 12).</w:t>
      </w:r>
    </w:p>
    <w:p>
      <w:pPr>
        <w:pStyle w:val="ListParagraph"/>
        <w:numPr>
          <w:ilvl w:val="0"/>
          <w:numId w:val="3"/>
        </w:numPr>
        <w:spacing w:lineRule="auto" w:line="264" w:before="0" w:after="80"/>
        <w:jc w:val="both"/>
        <w:rPr/>
      </w:pPr>
      <w:r>
        <w:rPr>
          <w:rFonts w:eastAsia="Georgia" w:cs="Georgia"/>
          <w:b/>
          <w:bCs/>
          <w:i w:val="false"/>
          <w:iCs w:val="false"/>
          <w:color w:val="1A1A1A"/>
          <w:sz w:val="22"/>
          <w:szCs w:val="22"/>
        </w:rPr>
        <w:t xml:space="preserve">Gamified financial literacy. </w:t>
      </w:r>
      <w:r>
        <w:rPr>
          <w:rFonts w:eastAsia="Georgia" w:cs="Georgia"/>
          <w:b w:val="false"/>
          <w:bCs w:val="false"/>
          <w:i w:val="false"/>
          <w:iCs w:val="false"/>
          <w:color w:val="1A1A1A"/>
          <w:sz w:val="22"/>
          <w:szCs w:val="22"/>
        </w:rPr>
        <w:t>Engagement mechanics are tied to demonstrated learning and risk calibration rather than to trading volume, distinguishing the design from gamified brokerages that have drawn enforcement action for encouraging overtrading (Section 9).</w:t>
      </w:r>
    </w:p>
    <w:p>
      <w:pPr>
        <w:pStyle w:val="Normal"/>
        <w:rPr/>
      </w:pPr>
      <w:r>
        <w:rPr/>
      </w:r>
      <w:r>
        <w:br w:type="page"/>
      </w:r>
    </w:p>
    <w:p>
      <w:pPr>
        <w:pStyle w:val="Heading1"/>
        <w:spacing w:before="0" w:after="200"/>
        <w:rPr/>
      </w:pPr>
      <w:bookmarkStart w:id="9" w:name="__RefHeading___Toc1369_1329916799"/>
      <w:bookmarkEnd w:id="9"/>
      <w:r>
        <w:rPr/>
        <w:t>3. Real-World Asset Tokenization: The Foundational Layer</w:t>
      </w:r>
    </w:p>
    <w:p>
      <w:pPr>
        <w:pStyle w:val="Normal"/>
        <w:spacing w:lineRule="auto" w:line="276" w:before="0" w:after="140"/>
        <w:jc w:val="both"/>
        <w:rPr/>
      </w:pPr>
      <w:r>
        <w:rPr>
          <w:rFonts w:eastAsia="Georgia" w:cs="Georgia"/>
          <w:b w:val="false"/>
          <w:bCs w:val="false"/>
          <w:i w:val="false"/>
          <w:iCs w:val="false"/>
          <w:color w:val="1A1A1A"/>
          <w:sz w:val="22"/>
          <w:szCs w:val="22"/>
        </w:rPr>
        <w:t>Tokenization—the representation of an asset or a claim on an asset as a transferable record on a distributed ledger—is the foundation on which Flock’s multi-asset thesis rests. If heterogeneous assets cannot be reliably tokenized, custodied, and redeemed, the rest of the architecture is moot. This section assesses the maturity of real-world asset (RWA) tokenization, the state of the supporting token standards, and the specific challenge posed by Flock’s hybrid-ownership differentiator.</w:t>
      </w:r>
    </w:p>
    <w:p>
      <w:pPr>
        <w:pStyle w:val="Heading2"/>
        <w:rPr/>
      </w:pPr>
      <w:bookmarkStart w:id="10" w:name="__RefHeading___Toc1371_1329916799"/>
      <w:bookmarkEnd w:id="10"/>
      <w:r>
        <w:rPr/>
        <w:t>3.1 Market State, 2025–2026</w:t>
      </w:r>
    </w:p>
    <w:p>
      <w:pPr>
        <w:pStyle w:val="Normal"/>
        <w:spacing w:lineRule="auto" w:line="276" w:before="0" w:after="140"/>
        <w:jc w:val="both"/>
        <w:rPr/>
      </w:pPr>
      <w:r>
        <w:rPr>
          <w:rFonts w:eastAsia="Georgia" w:cs="Georgia"/>
          <w:b w:val="false"/>
          <w:bCs w:val="false"/>
          <w:i w:val="false"/>
          <w:iCs w:val="false"/>
          <w:color w:val="1A1A1A"/>
          <w:sz w:val="22"/>
          <w:szCs w:val="22"/>
        </w:rPr>
        <w:t xml:space="preserve">By the close of 2025, the on-chain RWA market—excluding fiat-backed stablecoins, which are a distinct category—had grown from roughly US$5.5 billion in early 2025 to approximately </w:t>
      </w:r>
      <w:r>
        <w:rPr>
          <w:rFonts w:eastAsia="Georgia" w:cs="Georgia"/>
          <w:b/>
          <w:bCs/>
          <w:i w:val="false"/>
          <w:iCs w:val="false"/>
          <w:color w:val="1A1A1A"/>
          <w:sz w:val="22"/>
          <w:szCs w:val="22"/>
        </w:rPr>
        <w:t>US$18.6 billion</w:t>
      </w:r>
      <w:r>
        <w:rPr>
          <w:rFonts w:eastAsia="Georgia" w:cs="Georgia"/>
          <w:b w:val="false"/>
          <w:bCs w:val="false"/>
          <w:i w:val="false"/>
          <w:iCs w:val="false"/>
          <w:color w:val="1A1A1A"/>
          <w:sz w:val="22"/>
          <w:szCs w:val="22"/>
        </w:rPr>
        <w:t xml:space="preserve">, a near-tripling within a single year </w:t>
      </w:r>
      <w:r>
        <w:rPr>
          <w:rFonts w:eastAsia="Georgia" w:cs="Georgia"/>
          <w:sz w:val="22"/>
          <w:szCs w:val="22"/>
        </w:rPr>
        <w:t>[3, 4]</w:t>
      </w:r>
      <w:r>
        <w:rPr>
          <w:rFonts w:eastAsia="Georgia" w:cs="Georgia"/>
          <w:b w:val="false"/>
          <w:bCs w:val="false"/>
          <w:i w:val="false"/>
          <w:iCs w:val="false"/>
          <w:color w:val="1A1A1A"/>
          <w:sz w:val="22"/>
          <w:szCs w:val="22"/>
        </w:rPr>
        <w:t>. This growth is concentrated in the most regulated and liquid asset classes: tokenized U.S. Treasuries and money-market instruments, private credit, and a smaller component of tokenized equities and real estate. The trajectory lends empirical support to Flock’s premise that tokenized assets are moving from proof-of-concept to institutional adoption.</w:t>
      </w:r>
    </w:p>
    <w:p>
      <w:pPr>
        <w:pStyle w:val="Normal"/>
        <w:spacing w:lineRule="auto" w:line="276" w:before="0" w:after="140"/>
        <w:jc w:val="both"/>
        <w:rPr/>
      </w:pPr>
      <w:r>
        <w:rPr>
          <w:rFonts w:eastAsia="Georgia" w:cs="Georgia"/>
          <w:b w:val="false"/>
          <w:bCs w:val="false"/>
          <w:i w:val="false"/>
          <w:iCs w:val="false"/>
          <w:color w:val="1A1A1A"/>
          <w:sz w:val="22"/>
          <w:szCs w:val="22"/>
        </w:rPr>
        <w:t xml:space="preserve">Forward projections, however, must be read with care. McKinsey &amp; Company’s widely cited 2024 analysis projects total tokenized market capitalization of approximately </w:t>
      </w:r>
      <w:r>
        <w:rPr>
          <w:rFonts w:eastAsia="Georgia" w:cs="Georgia"/>
          <w:b/>
          <w:bCs/>
          <w:i w:val="false"/>
          <w:iCs w:val="false"/>
          <w:color w:val="1A1A1A"/>
          <w:sz w:val="22"/>
          <w:szCs w:val="22"/>
        </w:rPr>
        <w:t>US$2 trillion by 2030</w:t>
      </w:r>
      <w:r>
        <w:rPr>
          <w:rFonts w:eastAsia="Georgia" w:cs="Georgia"/>
          <w:b w:val="false"/>
          <w:bCs w:val="false"/>
          <w:i w:val="false"/>
          <w:iCs w:val="false"/>
          <w:color w:val="1A1A1A"/>
          <w:sz w:val="22"/>
          <w:szCs w:val="22"/>
        </w:rPr>
        <w:t xml:space="preserve"> in its base case, with a range spanning roughly US$1 trillion to US$4 trillion—and the authors explicitly position this </w:t>
      </w:r>
      <w:r>
        <w:rPr>
          <w:rFonts w:eastAsia="Georgia" w:cs="Georgia"/>
          <w:b w:val="false"/>
          <w:bCs w:val="false"/>
          <w:i/>
          <w:iCs/>
          <w:color w:val="1A1A1A"/>
          <w:sz w:val="22"/>
          <w:szCs w:val="22"/>
        </w:rPr>
        <w:t>below</w:t>
      </w:r>
      <w:r>
        <w:rPr>
          <w:rFonts w:eastAsia="Georgia" w:cs="Georgia"/>
          <w:b w:val="false"/>
          <w:bCs w:val="false"/>
          <w:i w:val="false"/>
          <w:iCs w:val="false"/>
          <w:color w:val="1A1A1A"/>
          <w:sz w:val="22"/>
          <w:szCs w:val="22"/>
        </w:rPr>
        <w:t xml:space="preserve"> several more exuberant industry estimates </w:t>
      </w:r>
      <w:r>
        <w:rPr>
          <w:rFonts w:eastAsia="Georgia" w:cs="Georgia"/>
          <w:sz w:val="22"/>
          <w:szCs w:val="22"/>
        </w:rPr>
        <w:t>[1]</w:t>
      </w:r>
      <w:r>
        <w:rPr>
          <w:rFonts w:eastAsia="Georgia" w:cs="Georgia"/>
          <w:b w:val="false"/>
          <w:bCs w:val="false"/>
          <w:i w:val="false"/>
          <w:iCs w:val="false"/>
          <w:color w:val="1A1A1A"/>
          <w:sz w:val="22"/>
          <w:szCs w:val="22"/>
        </w:rPr>
        <w:t xml:space="preserve">. The frequently quoted figure of US$16 trillion in tokenized illiquid assets by 2030 originates in a Boston Consulting Group and ADDX report and represents the optimistic end of the industry range, not a consensus forecast </w:t>
      </w:r>
      <w:r>
        <w:rPr>
          <w:rFonts w:eastAsia="Georgia" w:cs="Georgia"/>
          <w:sz w:val="22"/>
          <w:szCs w:val="22"/>
        </w:rPr>
        <w:t>[2]</w:t>
      </w:r>
      <w:r>
        <w:rPr>
          <w:rFonts w:eastAsia="Georgia" w:cs="Georgia"/>
          <w:b w:val="false"/>
          <w:bCs w:val="false"/>
          <w:i w:val="false"/>
          <w:iCs w:val="false"/>
          <w:color w:val="1A1A1A"/>
          <w:sz w:val="22"/>
          <w:szCs w:val="22"/>
        </w:rPr>
        <w:t>. A feasibility assessment should anchor on demonstrated current adoption (the US$18.6 billion figure) and treat the trillion-dollar projections as scenario bounds rather than expectations.</w:t>
      </w:r>
    </w:p>
    <w:p>
      <w:pPr>
        <w:pStyle w:val="Heading2"/>
        <w:rPr/>
      </w:pPr>
      <w:bookmarkStart w:id="11" w:name="__RefHeading___Toc1373_1329916799"/>
      <w:bookmarkEnd w:id="11"/>
      <w:r>
        <w:rPr/>
        <w:t>3.2 Flagship Instruments and the Concentration Problem</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clearest evidence that tokenization works at institutional scale comes from a handful of flagship instruments. BlackRock’s USD Institutional Digital Liquidity Fund (BUIDL), launched in March 2024 on Ethereum with Securitize as tokenization and transfer agent and BNY Mellon as custodian, grew from US$40 million at inception to surpass </w:t>
      </w:r>
      <w:r>
        <w:rPr>
          <w:rFonts w:eastAsia="Georgia" w:cs="Georgia"/>
          <w:b/>
          <w:bCs/>
          <w:i w:val="false"/>
          <w:iCs w:val="false"/>
          <w:color w:val="1A1A1A"/>
          <w:sz w:val="22"/>
          <w:szCs w:val="22"/>
        </w:rPr>
        <w:t>US$2 billion in assets and US$100 million in cumulative dividends by December 30, 2025</w:t>
      </w:r>
      <w:r>
        <w:rPr>
          <w:rFonts w:eastAsia="Georgia" w:cs="Georgia"/>
          <w:sz w:val="22"/>
          <w:szCs w:val="22"/>
        </w:rPr>
        <w:t>[7, 6]</w:t>
      </w:r>
      <w:r>
        <w:rPr>
          <w:rFonts w:eastAsia="Georgia" w:cs="Georgia"/>
          <w:b w:val="false"/>
          <w:bCs w:val="false"/>
          <w:i w:val="false"/>
          <w:iCs w:val="false"/>
          <w:color w:val="1A1A1A"/>
          <w:sz w:val="22"/>
          <w:szCs w:val="22"/>
        </w:rPr>
        <w:t xml:space="preserve">. Franklin Templeton’s BENJI (the tokenized share class of FOBXX, the first U.S. SEC-registered money-market fund to use a public blockchain, on Stellar) and Ondo Finance’s OUSG and USDY round out a maturing field </w:t>
      </w:r>
      <w:r>
        <w:rPr>
          <w:rFonts w:eastAsia="Georgia" w:cs="Georgia"/>
          <w:sz w:val="22"/>
          <w:szCs w:val="22"/>
        </w:rPr>
        <w:t>[19, 18]</w:t>
      </w:r>
      <w:r>
        <w:rPr>
          <w:rFonts w:eastAsia="Georgia" w:cs="Georgia"/>
          <w:b w:val="false"/>
          <w:bCs w:val="false"/>
          <w:i w:val="false"/>
          <w:iCs w:val="false"/>
          <w:color w:val="1A1A1A"/>
          <w:sz w:val="22"/>
          <w:szCs w:val="22"/>
        </w:rPr>
        <w:t xml:space="preserve">. Tokenized U.S. Treasuries alone reached roughly US$7.5 billion by mid-2025 </w:t>
      </w:r>
      <w:r>
        <w:rPr>
          <w:rFonts w:eastAsia="Georgia" w:cs="Georgia"/>
          <w:sz w:val="22"/>
          <w:szCs w:val="22"/>
        </w:rPr>
        <w:t>[5]</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This success carries an embedded risk directly relevant to Flock: </w:t>
      </w:r>
      <w:r>
        <w:rPr>
          <w:rFonts w:eastAsia="Georgia" w:cs="Georgia"/>
          <w:b/>
          <w:bCs/>
          <w:i w:val="false"/>
          <w:iCs w:val="false"/>
          <w:color w:val="1A1A1A"/>
          <w:sz w:val="22"/>
          <w:szCs w:val="22"/>
        </w:rPr>
        <w:t>concentration</w:t>
      </w:r>
      <w:r>
        <w:rPr>
          <w:rFonts w:eastAsia="Georgia" w:cs="Georgia"/>
          <w:b w:val="false"/>
          <w:bCs w:val="false"/>
          <w:i w:val="false"/>
          <w:iCs w:val="false"/>
          <w:color w:val="1A1A1A"/>
          <w:sz w:val="22"/>
          <w:szCs w:val="22"/>
        </w:rPr>
        <w:t xml:space="preserve">. The tokenized-Treasury category is dominated by a small number of funds—industry data indicate that roughly six issuers control the large majority of the category </w:t>
      </w:r>
      <w:r>
        <w:rPr>
          <w:rFonts w:eastAsia="Georgia" w:cs="Georgia"/>
          <w:sz w:val="22"/>
          <w:szCs w:val="22"/>
        </w:rPr>
        <w:t>[5]</w:t>
      </w:r>
      <w:r>
        <w:rPr>
          <w:rFonts w:eastAsia="Georgia" w:cs="Georgia"/>
          <w:b w:val="false"/>
          <w:bCs w:val="false"/>
          <w:i w:val="false"/>
          <w:iCs w:val="false"/>
          <w:color w:val="1A1A1A"/>
          <w:sz w:val="22"/>
          <w:szCs w:val="22"/>
        </w:rPr>
        <w:t xml:space="preserve">. More starkly, in the tokenized-equity segment, research by Animoca Brands indicates that Backed Finance and Ondo’s Global Markets together account for approximately 95 percent of tokenized-stock market value, with Backed’s xStocks capturing the overwhelming majority of tokenized-equity volume on Solana </w:t>
      </w:r>
      <w:r>
        <w:rPr>
          <w:rFonts w:eastAsia="Georgia" w:cs="Georgia"/>
          <w:sz w:val="22"/>
          <w:szCs w:val="22"/>
        </w:rPr>
        <w:t>[8]</w:t>
      </w:r>
      <w:r>
        <w:rPr>
          <w:rFonts w:eastAsia="Georgia" w:cs="Georgia"/>
          <w:b w:val="false"/>
          <w:bCs w:val="false"/>
          <w:i w:val="false"/>
          <w:iCs w:val="false"/>
          <w:color w:val="1A1A1A"/>
          <w:sz w:val="22"/>
          <w:szCs w:val="22"/>
        </w:rPr>
        <w:t>. A platform that depends on tokenized RWAs as collateral or as tradable inventory inherits this concentration; the failure or delisting of a single dominant issuer could impair liquidity across the entire platform. Flock’s liquidity design (Section 4) must therefore account for issuer concentration as a first-order risk, not an edge case.</w:t>
      </w:r>
    </w:p>
    <w:p>
      <w:pPr>
        <w:pStyle w:val="Heading2"/>
        <w:rPr/>
      </w:pPr>
      <w:bookmarkStart w:id="12" w:name="__RefHeading___Toc1375_1329916799"/>
      <w:bookmarkEnd w:id="12"/>
      <w:r>
        <w:rPr/>
        <w:t>3.3 Token Standards: The Compliance-Trustlessness Trade-off</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technical substrate of tokenization is the token standard—the smart-contract interface defining how a token is minted, held, and transferred. The choice of standard is, for a regulated multi-asset platform, simultaneously a technical and a legal decision, and it embodies a fundamental tension between </w:t>
      </w:r>
      <w:r>
        <w:rPr>
          <w:rFonts w:eastAsia="Georgia" w:cs="Georgia"/>
          <w:b/>
          <w:bCs/>
          <w:i w:val="false"/>
          <w:iCs w:val="false"/>
          <w:color w:val="1A1A1A"/>
          <w:sz w:val="22"/>
          <w:szCs w:val="22"/>
        </w:rPr>
        <w:t>compliance</w:t>
      </w:r>
      <w:r>
        <w:rPr>
          <w:rFonts w:eastAsia="Georgia" w:cs="Georgia"/>
          <w:b w:val="false"/>
          <w:bCs w:val="false"/>
          <w:i w:val="false"/>
          <w:iCs w:val="false"/>
          <w:color w:val="1A1A1A"/>
          <w:sz w:val="22"/>
          <w:szCs w:val="22"/>
        </w:rPr>
        <w:t xml:space="preserve"> and </w:t>
      </w:r>
      <w:r>
        <w:rPr>
          <w:rFonts w:eastAsia="Georgia" w:cs="Georgia"/>
          <w:b/>
          <w:bCs/>
          <w:i w:val="false"/>
          <w:iCs w:val="false"/>
          <w:color w:val="1A1A1A"/>
          <w:sz w:val="22"/>
          <w:szCs w:val="22"/>
        </w:rPr>
        <w:t>trustlessness</w:t>
      </w:r>
      <w:r>
        <w:rPr>
          <w:rFonts w:eastAsia="Georgia" w:cs="Georgia"/>
          <w:b w:val="false"/>
          <w:bCs w:val="false"/>
          <w:i w:val="false"/>
          <w:iCs w:val="false"/>
          <w:color w:val="1A1A1A"/>
          <w:sz w:val="22"/>
          <w:szCs w:val="22"/>
        </w:rPr>
        <w:t>.</w:t>
      </w:r>
    </w:p>
    <w:tbl>
      <w:tblPr>
        <w:tblW w:w="9360" w:type="dxa"/>
        <w:jc w:val="left"/>
        <w:tblInd w:w="0" w:type="dxa"/>
        <w:tblLayout w:type="fixed"/>
        <w:tblCellMar>
          <w:top w:w="70" w:type="dxa"/>
          <w:left w:w="110" w:type="dxa"/>
          <w:bottom w:w="70" w:type="dxa"/>
          <w:right w:w="110" w:type="dxa"/>
        </w:tblCellMar>
      </w:tblPr>
      <w:tblGrid>
        <w:gridCol w:w="1500"/>
        <w:gridCol w:w="1899"/>
        <w:gridCol w:w="2160"/>
        <w:gridCol w:w="3800"/>
      </w:tblGrid>
      <w:tr>
        <w:trPr>
          <w:tblHeader w:val="true"/>
        </w:trPr>
        <w:tc>
          <w:tcPr>
            <w:tcW w:w="15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Standard</w:t>
            </w:r>
          </w:p>
        </w:tc>
        <w:tc>
          <w:tcPr>
            <w:tcW w:w="18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Primary Use</w:t>
            </w:r>
          </w:p>
        </w:tc>
        <w:tc>
          <w:tcPr>
            <w:tcW w:w="216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Compliance Model</w:t>
            </w:r>
          </w:p>
        </w:tc>
        <w:tc>
          <w:tcPr>
            <w:tcW w:w="38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Key Trade-off</w:t>
            </w:r>
          </w:p>
        </w:tc>
      </w:tr>
      <w:tr>
        <w:trPr/>
        <w:tc>
          <w:tcPr>
            <w:tcW w:w="15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ERC-20</w:t>
            </w:r>
          </w:p>
        </w:tc>
        <w:tc>
          <w:tcPr>
            <w:tcW w:w="18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Fungible tokens, stablecoins</w:t>
            </w:r>
          </w:p>
        </w:tc>
        <w:tc>
          <w:tcPr>
            <w:tcW w:w="216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None (permissionless)</w:t>
            </w:r>
          </w:p>
        </w:tc>
        <w:tc>
          <w:tcPr>
            <w:tcW w:w="38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Maximal interoperability; cannot enforce securities restrictions</w:t>
            </w:r>
          </w:p>
        </w:tc>
      </w:tr>
      <w:tr>
        <w:trPr/>
        <w:tc>
          <w:tcPr>
            <w:tcW w:w="15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ERC-721</w:t>
            </w:r>
          </w:p>
        </w:tc>
        <w:tc>
          <w:tcPr>
            <w:tcW w:w="18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Unique/non-fungible assets</w:t>
            </w:r>
          </w:p>
        </w:tc>
        <w:tc>
          <w:tcPr>
            <w:tcW w:w="216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None natively</w:t>
            </w:r>
          </w:p>
        </w:tc>
        <w:tc>
          <w:tcPr>
            <w:tcW w:w="38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Ideal for unique deeds and art; royalty enforcement is weak (Section 11)</w:t>
            </w:r>
          </w:p>
        </w:tc>
      </w:tr>
      <w:tr>
        <w:trPr/>
        <w:tc>
          <w:tcPr>
            <w:tcW w:w="15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ERC-1155</w:t>
            </w:r>
          </w:p>
        </w:tc>
        <w:tc>
          <w:tcPr>
            <w:tcW w:w="18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Semi-fungible, multi-asset</w:t>
            </w:r>
          </w:p>
        </w:tc>
        <w:tc>
          <w:tcPr>
            <w:tcW w:w="216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None natively</w:t>
            </w:r>
          </w:p>
        </w:tc>
        <w:tc>
          <w:tcPr>
            <w:tcW w:w="38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Efficient for batches and editions; same enforcement limits</w:t>
            </w:r>
          </w:p>
        </w:tc>
      </w:tr>
      <w:tr>
        <w:trPr/>
        <w:tc>
          <w:tcPr>
            <w:tcW w:w="15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ERC-1400</w:t>
            </w:r>
          </w:p>
        </w:tc>
        <w:tc>
          <w:tcPr>
            <w:tcW w:w="18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Security tokens</w:t>
            </w:r>
          </w:p>
        </w:tc>
        <w:tc>
          <w:tcPr>
            <w:tcW w:w="216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Modular, often off-chain</w:t>
            </w:r>
          </w:p>
        </w:tc>
        <w:tc>
          <w:tcPr>
            <w:tcW w:w="38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Better user experience; weaker on-chain auditability</w:t>
            </w:r>
          </w:p>
        </w:tc>
      </w:tr>
      <w:tr>
        <w:trPr/>
        <w:tc>
          <w:tcPr>
            <w:tcW w:w="15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ERC-3643 (T-REX)</w:t>
            </w:r>
          </w:p>
        </w:tc>
        <w:tc>
          <w:tcPr>
            <w:tcW w:w="18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Permissioned securities</w:t>
            </w:r>
          </w:p>
        </w:tc>
        <w:tc>
          <w:tcPr>
            <w:tcW w:w="216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On-chain identity (ONCHAINID)</w:t>
            </w:r>
          </w:p>
        </w:tc>
        <w:tc>
          <w:tcPr>
            <w:tcW w:w="38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Strong, auditable compliance; higher gas, issuer dependency, forced transfers</w:t>
            </w:r>
          </w:p>
        </w:tc>
      </w:tr>
      <w:tr>
        <w:trPr/>
        <w:tc>
          <w:tcPr>
            <w:tcW w:w="15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ERC-4626</w:t>
            </w:r>
          </w:p>
        </w:tc>
        <w:tc>
          <w:tcPr>
            <w:tcW w:w="18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Tokenized yield vaults</w:t>
            </w:r>
          </w:p>
        </w:tc>
        <w:tc>
          <w:tcPr>
            <w:tcW w:w="216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Inherits underlying</w:t>
            </w:r>
          </w:p>
        </w:tc>
        <w:tc>
          <w:tcPr>
            <w:tcW w:w="38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Standardizes yield strategies; not itself a compliance layer</w:t>
            </w:r>
          </w:p>
        </w:tc>
      </w:tr>
    </w:tbl>
    <w:p>
      <w:pPr>
        <w:pStyle w:val="Normal"/>
        <w:spacing w:before="80" w:after="200"/>
        <w:jc w:val="left"/>
        <w:rPr/>
      </w:pPr>
      <w:r>
        <w:rPr>
          <w:rFonts w:eastAsia="Arial" w:cs="Arial" w:ascii="Arial" w:hAnsi="Arial"/>
          <w:i/>
          <w:iCs/>
          <w:color w:val="44505A"/>
          <w:sz w:val="18"/>
          <w:szCs w:val="18"/>
        </w:rPr>
        <w:t>Table 3.1 — Principal Ethereum token standards relevant to a regulated multi-asset platform. Compliance capability and trustlessness trade off against one another.</w:t>
      </w:r>
    </w:p>
    <w:p>
      <w:pPr>
        <w:pStyle w:val="Normal"/>
        <w:spacing w:lineRule="auto" w:line="276" w:before="0" w:after="140"/>
        <w:jc w:val="both"/>
        <w:rPr/>
      </w:pPr>
      <w:r>
        <w:rPr>
          <w:rFonts w:eastAsia="Georgia" w:cs="Georgia"/>
          <w:b w:val="false"/>
          <w:bCs w:val="false"/>
          <w:i w:val="false"/>
          <w:iCs w:val="false"/>
          <w:color w:val="1A1A1A"/>
          <w:sz w:val="22"/>
          <w:szCs w:val="22"/>
        </w:rPr>
        <w:t xml:space="preserve">For regulated securities, the permissionless ERC-20 model is unworkable: securities law requires that transfers be restricted to verified, eligible holders, that issuers retain the ability to freeze or recover tokens under court order, and that the holder registry be auditable. The ERC-3643 standard—also called T-REX, for “Token for Regulated EXchanges”—addresses these requirements by binding each token to an on-chain identity (ONCHAINID) and embedding transfer-eligibility checks directly in the contract </w:t>
      </w:r>
      <w:r>
        <w:rPr>
          <w:rFonts w:eastAsia="Georgia" w:cs="Georgia"/>
          <w:sz w:val="22"/>
          <w:szCs w:val="22"/>
        </w:rPr>
        <w:t>[14, 11]</w:t>
      </w:r>
      <w:r>
        <w:rPr>
          <w:rFonts w:eastAsia="Georgia" w:cs="Georgia"/>
          <w:b w:val="false"/>
          <w:bCs w:val="false"/>
          <w:i w:val="false"/>
          <w:iCs w:val="false"/>
          <w:color w:val="1A1A1A"/>
          <w:sz w:val="22"/>
          <w:szCs w:val="22"/>
        </w:rPr>
        <w:t xml:space="preserve">. It is the first permissioned standard merged into Ethereum’s canonical standards repository and has reportedly been used to tokenize tens of billions of dollars of assets. Its trade-offs are equally real: higher gas costs, a dependency on trusted claim issuers for identity attestation, and—most philosophically significant—built-in forced-transfer and recovery functions that are necessary for securities compliance but that explicitly break the “trustless” property celebrated in permissionless DeFi </w:t>
      </w:r>
      <w:r>
        <w:rPr>
          <w:rFonts w:eastAsia="Georgia" w:cs="Georgia"/>
          <w:sz w:val="22"/>
          <w:szCs w:val="22"/>
        </w:rPr>
        <w:t>[12]</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ERC-1400 family offers an alternative in which compliance logic resides partly off-chain, improving user experience and flexibility at the cost of weaker on-chain auditability </w:t>
      </w:r>
      <w:r>
        <w:rPr>
          <w:rFonts w:eastAsia="Georgia" w:cs="Georgia"/>
          <w:sz w:val="22"/>
          <w:szCs w:val="22"/>
        </w:rPr>
        <w:t>[13]</w:t>
      </w:r>
      <w:r>
        <w:rPr>
          <w:rFonts w:eastAsia="Georgia" w:cs="Georgia"/>
          <w:b w:val="false"/>
          <w:bCs w:val="false"/>
          <w:i w:val="false"/>
          <w:iCs w:val="false"/>
          <w:color w:val="1A1A1A"/>
          <w:sz w:val="22"/>
          <w:szCs w:val="22"/>
        </w:rPr>
        <w:t xml:space="preserve">. The neutral technical comparison by the Capital Markets and Technology Association and Taurus situates these standards against the CMTAT framework and is the authoritative reference for the design choice </w:t>
      </w:r>
      <w:r>
        <w:rPr>
          <w:rFonts w:eastAsia="Georgia" w:cs="Georgia"/>
          <w:sz w:val="22"/>
          <w:szCs w:val="22"/>
        </w:rPr>
        <w:t>[12]</w:t>
      </w:r>
      <w:r>
        <w:rPr>
          <w:rFonts w:eastAsia="Georgia" w:cs="Georgia"/>
          <w:b w:val="false"/>
          <w:bCs w:val="false"/>
          <w:i w:val="false"/>
          <w:iCs w:val="false"/>
          <w:color w:val="1A1A1A"/>
          <w:sz w:val="22"/>
          <w:szCs w:val="22"/>
        </w:rPr>
        <w:t xml:space="preserve">. For Flock, the implication is unambiguous: a platform intending to trade regulated securities must build on a permissioned, compliance-aware standard (ERC-3643 or ERC-1400) and accept the attendant reduction in trustlessness. This is the first concrete instance of the paper’s recurring theme that </w:t>
      </w:r>
      <w:r>
        <w:rPr>
          <w:rFonts w:eastAsia="Georgia" w:cs="Georgia"/>
          <w:b/>
          <w:bCs/>
          <w:i w:val="false"/>
          <w:iCs w:val="false"/>
          <w:color w:val="1A1A1A"/>
          <w:sz w:val="22"/>
          <w:szCs w:val="22"/>
        </w:rPr>
        <w:t>disciplined constraint, not maximal decentralization, is the precondition of viability</w:t>
      </w:r>
      <w:r>
        <w:rPr>
          <w:rFonts w:eastAsia="Georgia" w:cs="Georgia"/>
          <w:b w:val="false"/>
          <w:bCs w:val="false"/>
          <w:i w:val="false"/>
          <w:iCs w:val="false"/>
          <w:color w:val="1A1A1A"/>
          <w:sz w:val="22"/>
          <w:szCs w:val="22"/>
        </w:rPr>
        <w:t>.</w:t>
      </w:r>
    </w:p>
    <w:p>
      <w:pPr>
        <w:pStyle w:val="Heading2"/>
        <w:rPr/>
      </w:pPr>
      <w:bookmarkStart w:id="13" w:name="__RefHeading___Toc1377_1329916799"/>
      <w:bookmarkEnd w:id="13"/>
      <w:r>
        <w:rPr/>
        <w:t>3.4 The Hybrid Physical-Digital Ownership Problem</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first differentiator—hybrid physical-digital ownership, in which a token confers genuine, redeemable ownership of a real-world asset—is also its first hard technical and legal problem. Two pioneering instruments frame the design space. The World Bank’s “bond-i” (blockchain operated new debt instrument) was the first bond created, allocated, transferred, and managed end-to-end on a distributed ledger: a A$110 million two-year issuance at a 2.20 percent coupon, arranged by the Commonwealth Bank of Australia and priced on 23 August 2018, with a second A$50 million tranche in August 2019 </w:t>
      </w:r>
      <w:r>
        <w:rPr>
          <w:rFonts w:eastAsia="Georgia" w:cs="Georgia"/>
          <w:sz w:val="22"/>
          <w:szCs w:val="22"/>
        </w:rPr>
        <w:t>[9, 10]</w:t>
      </w:r>
      <w:r>
        <w:rPr>
          <w:rFonts w:eastAsia="Georgia" w:cs="Georgia"/>
          <w:b w:val="false"/>
          <w:bCs w:val="false"/>
          <w:i w:val="false"/>
          <w:iCs w:val="false"/>
          <w:color w:val="1A1A1A"/>
          <w:sz w:val="22"/>
          <w:szCs w:val="22"/>
        </w:rPr>
        <w:t>. The bond-i demonstrated that a genuine legal claim can be natively represented on-chain when a sovereign-grade issuer and arranger stand behind it.</w:t>
      </w:r>
    </w:p>
    <w:p>
      <w:pPr>
        <w:pStyle w:val="Normal"/>
        <w:spacing w:lineRule="auto" w:line="276" w:before="0" w:after="140"/>
        <w:jc w:val="both"/>
        <w:rPr/>
      </w:pPr>
      <w:r>
        <w:rPr>
          <w:rFonts w:eastAsia="Georgia" w:cs="Georgia"/>
          <w:b w:val="false"/>
          <w:bCs w:val="false"/>
          <w:i w:val="false"/>
          <w:iCs w:val="false"/>
          <w:color w:val="1A1A1A"/>
          <w:sz w:val="22"/>
          <w:szCs w:val="22"/>
        </w:rPr>
        <w:t xml:space="preserve">At the opposite pole sits the cautionary case examined in detail in Section 5.4: most tokenized “stocks” available to retail users in 2025 were </w:t>
      </w:r>
      <w:r>
        <w:rPr>
          <w:rFonts w:eastAsia="Georgia" w:cs="Georgia"/>
          <w:b/>
          <w:bCs/>
          <w:i w:val="false"/>
          <w:iCs w:val="false"/>
          <w:color w:val="1A1A1A"/>
          <w:sz w:val="22"/>
          <w:szCs w:val="22"/>
        </w:rPr>
        <w:t>synthetic</w:t>
      </w:r>
      <w:r>
        <w:rPr>
          <w:rFonts w:eastAsia="Georgia" w:cs="Georgia"/>
          <w:b w:val="false"/>
          <w:bCs w:val="false"/>
          <w:i w:val="false"/>
          <w:iCs w:val="false"/>
          <w:color w:val="1A1A1A"/>
          <w:sz w:val="22"/>
          <w:szCs w:val="22"/>
        </w:rPr>
        <w:t xml:space="preserve">—price-tracking derivatives conferring no voting rights, no dividends, and no claim on the underlying security </w:t>
      </w:r>
      <w:r>
        <w:rPr>
          <w:rFonts w:eastAsia="Georgia" w:cs="Georgia"/>
          <w:sz w:val="22"/>
          <w:szCs w:val="22"/>
        </w:rPr>
        <w:t>[8]</w:t>
      </w:r>
      <w:r>
        <w:rPr>
          <w:rFonts w:eastAsia="Georgia" w:cs="Georgia"/>
          <w:b w:val="false"/>
          <w:bCs w:val="false"/>
          <w:i w:val="false"/>
          <w:iCs w:val="false"/>
          <w:color w:val="1A1A1A"/>
          <w:sz w:val="22"/>
          <w:szCs w:val="22"/>
        </w:rPr>
        <w:t>. The distinction is decisive for Flock. A synthetic price-tracker is comparatively easy to build but delivers none of the ownership the platform promises and invites the regulatory and reputational difficulties that befell Robinhood’s EU “stock tokens” (Section 5.4). Genuine hybrid ownership, by contrast, requires three components working in concert:</w:t>
      </w:r>
    </w:p>
    <w:p>
      <w:pPr>
        <w:pStyle w:val="ListParagraph"/>
        <w:numPr>
          <w:ilvl w:val="0"/>
          <w:numId w:val="9"/>
        </w:numPr>
        <w:spacing w:lineRule="auto" w:line="264" w:before="0" w:after="80"/>
        <w:jc w:val="both"/>
        <w:rPr/>
      </w:pPr>
      <w:r>
        <w:rPr>
          <w:rFonts w:eastAsia="Georgia" w:cs="Georgia"/>
          <w:b/>
          <w:bCs/>
          <w:i w:val="false"/>
          <w:iCs w:val="false"/>
          <w:color w:val="1A1A1A"/>
          <w:sz w:val="22"/>
          <w:szCs w:val="22"/>
        </w:rPr>
        <w:t xml:space="preserve">A legal wrapper. </w:t>
      </w:r>
      <w:r>
        <w:rPr>
          <w:rFonts w:eastAsia="Georgia" w:cs="Georgia"/>
          <w:b w:val="false"/>
          <w:bCs w:val="false"/>
          <w:i w:val="false"/>
          <w:iCs w:val="false"/>
          <w:color w:val="1A1A1A"/>
          <w:sz w:val="22"/>
          <w:szCs w:val="22"/>
        </w:rPr>
        <w:t>A special-purpose vehicle or trust that holds legal title to the real-world asset and to which the token confers a beneficial interest enforceable in a court of competent jurisdiction.</w:t>
      </w:r>
    </w:p>
    <w:p>
      <w:pPr>
        <w:pStyle w:val="ListParagraph"/>
        <w:numPr>
          <w:ilvl w:val="0"/>
          <w:numId w:val="4"/>
        </w:numPr>
        <w:spacing w:lineRule="auto" w:line="264" w:before="0" w:after="80"/>
        <w:jc w:val="both"/>
        <w:rPr/>
      </w:pPr>
      <w:r>
        <w:rPr>
          <w:rFonts w:eastAsia="Georgia" w:cs="Georgia"/>
          <w:b/>
          <w:bCs/>
          <w:i w:val="false"/>
          <w:iCs w:val="false"/>
          <w:color w:val="1A1A1A"/>
          <w:sz w:val="22"/>
          <w:szCs w:val="22"/>
        </w:rPr>
        <w:t xml:space="preserve">A custody arrangement. </w:t>
      </w:r>
      <w:r>
        <w:rPr>
          <w:rFonts w:eastAsia="Georgia" w:cs="Georgia"/>
          <w:b w:val="false"/>
          <w:bCs w:val="false"/>
          <w:i w:val="false"/>
          <w:iCs w:val="false"/>
          <w:color w:val="1A1A1A"/>
          <w:sz w:val="22"/>
          <w:szCs w:val="22"/>
        </w:rPr>
        <w:t>A qualified custodian (for securities) or a bonded warehouse, vault, or registry (for physical goods and real estate) that holds the asset and honors redemption.</w:t>
      </w:r>
    </w:p>
    <w:p>
      <w:pPr>
        <w:pStyle w:val="ListParagraph"/>
        <w:numPr>
          <w:ilvl w:val="0"/>
          <w:numId w:val="4"/>
        </w:numPr>
        <w:spacing w:lineRule="auto" w:line="264" w:before="0" w:after="80"/>
        <w:jc w:val="both"/>
        <w:rPr/>
      </w:pPr>
      <w:r>
        <w:rPr>
          <w:rFonts w:eastAsia="Georgia" w:cs="Georgia"/>
          <w:b/>
          <w:bCs/>
          <w:i w:val="false"/>
          <w:iCs w:val="false"/>
          <w:color w:val="1A1A1A"/>
          <w:sz w:val="22"/>
          <w:szCs w:val="22"/>
        </w:rPr>
        <w:t xml:space="preserve">A proof-of-reserve oracle. </w:t>
      </w:r>
      <w:r>
        <w:rPr>
          <w:rFonts w:eastAsia="Georgia" w:cs="Georgia"/>
          <w:b w:val="false"/>
          <w:bCs w:val="false"/>
          <w:i w:val="false"/>
          <w:iCs w:val="false"/>
          <w:color w:val="1A1A1A"/>
          <w:sz w:val="22"/>
          <w:szCs w:val="22"/>
        </w:rPr>
        <w:t>A mechanism—ideally attested by an independent third party and recorded on-chain—that continuously evidences the existence and condition of the backing asset, so that token holders can verify that each token remains fully backed (Section 4.4).</w:t>
      </w:r>
    </w:p>
    <w:p>
      <w:pPr>
        <w:pStyle w:val="Normal"/>
        <w:spacing w:lineRule="auto" w:line="276" w:before="0" w:after="140"/>
        <w:jc w:val="both"/>
        <w:rPr/>
      </w:pPr>
      <w:r>
        <w:rPr>
          <w:rFonts w:eastAsia="Georgia" w:cs="Georgia"/>
          <w:b w:val="false"/>
          <w:bCs w:val="false"/>
          <w:i w:val="false"/>
          <w:iCs w:val="false"/>
          <w:color w:val="1A1A1A"/>
          <w:sz w:val="22"/>
          <w:szCs w:val="22"/>
        </w:rPr>
        <w:t>None of these components is novel in isolation; the difficulty is integration and the corresponding cost. Each redeemable asset class requires its own custody and registry relationship and its own oracle design. This is why no platform has achieved broad hybrid ownership across many asset classes: the legal and operational overhead scales with the number of asset types, not with the number of users. Section 12 returns to this as the principal constraint on Flock’s most ambitious feature. The realistic implication is that hybrid ownership should be introduced selectively, beginning with asset classes whose custody and registry infrastructure is already mature (regulated funds, then real estate with established title registries), rather than attempted comprehensively at launch.</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Tokenization Layer</w:t>
            </w:r>
          </w:p>
          <w:p>
            <w:pPr>
              <w:pStyle w:val="Normal"/>
              <w:spacing w:lineRule="auto" w:line="264" w:before="0" w:after="0"/>
              <w:jc w:val="left"/>
              <w:rPr/>
            </w:pPr>
            <w:r>
              <w:rPr>
                <w:rFonts w:eastAsia="Georgia" w:cs="Georgia"/>
                <w:i/>
                <w:iCs/>
                <w:color w:val="1A1A1A"/>
                <w:sz w:val="21"/>
                <w:szCs w:val="21"/>
              </w:rPr>
              <w:t>Tokenization is technically mature and institutionally validated for regulated funds and fixed income. The binding constraints are issuer concentration (a liquidity risk Flock inherits) and the legal-operational overhead of genuine, redeemable hybrid ownership (which scales with the number of asset classes). Verdict: feasible for the foundational layer; hybrid ownership feasible only when introduced selectively atop mature custody infrastructure.</w:t>
            </w:r>
          </w:p>
        </w:tc>
      </w:tr>
    </w:tbl>
    <w:p>
      <w:pPr>
        <w:pStyle w:val="Normal"/>
        <w:rPr/>
      </w:pPr>
      <w:r>
        <w:rPr/>
      </w:r>
      <w:r>
        <w:br w:type="page"/>
      </w:r>
    </w:p>
    <w:p>
      <w:pPr>
        <w:pStyle w:val="Heading1"/>
        <w:spacing w:before="0" w:after="200"/>
        <w:rPr/>
      </w:pPr>
      <w:bookmarkStart w:id="14" w:name="__RefHeading___Toc1379_1329916799"/>
      <w:bookmarkEnd w:id="14"/>
      <w:r>
        <w:rPr/>
        <w:t>4. Decentralized Finance Architecture and the Liquidity Problem</w:t>
      </w:r>
    </w:p>
    <w:p>
      <w:pPr>
        <w:pStyle w:val="Normal"/>
        <w:spacing w:lineRule="auto" w:line="276" w:before="0" w:after="140"/>
        <w:jc w:val="both"/>
        <w:rPr/>
      </w:pPr>
      <w:r>
        <w:rPr>
          <w:rFonts w:eastAsia="Georgia" w:cs="Georgia"/>
          <w:b w:val="false"/>
          <w:bCs w:val="false"/>
          <w:i w:val="false"/>
          <w:iCs w:val="false"/>
          <w:color w:val="1A1A1A"/>
          <w:sz w:val="22"/>
          <w:szCs w:val="22"/>
        </w:rPr>
        <w:t>A tokenized asset is worthless without a market in which it can be priced and exchanged. The decentralized-finance (DeFi) infrastructure that has matured since 2020—automated market makers, liquidity pools, tokenized vaults, and lending protocols—supplies the machinery Flock would use for price discovery, exit liquidity, and yield. This section assesses that machinery, the economics of liquidity provision, and the single most serious technical risk in the entire architecture: cross-chain interoperability.</w:t>
      </w:r>
    </w:p>
    <w:p>
      <w:pPr>
        <w:pStyle w:val="Heading2"/>
        <w:rPr/>
      </w:pPr>
      <w:bookmarkStart w:id="15" w:name="__RefHeading___Toc1381_1329916799"/>
      <w:bookmarkEnd w:id="15"/>
      <w:r>
        <w:rPr/>
        <w:t>4.1 Automated Market Makers and the Mechanics of Liquidity</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automated market maker (AMM) replaced the traditional order book with a deterministic pricing function over a pool of assets contributed by liquidity providers. The constant-product formula popularized by Uniswap v2 (the invariant that the product of pooled reserves remains constant) and the stablecoin-optimized formulation of Curve </w:t>
      </w:r>
      <w:r>
        <w:rPr>
          <w:rFonts w:eastAsia="Georgia" w:cs="Georgia"/>
          <w:sz w:val="22"/>
          <w:szCs w:val="22"/>
        </w:rPr>
        <w:t>[27]</w:t>
      </w:r>
      <w:r>
        <w:rPr>
          <w:rFonts w:eastAsia="Georgia" w:cs="Georgia"/>
          <w:b w:val="false"/>
          <w:bCs w:val="false"/>
          <w:i w:val="false"/>
          <w:iCs w:val="false"/>
          <w:color w:val="1A1A1A"/>
          <w:sz w:val="22"/>
          <w:szCs w:val="22"/>
        </w:rPr>
        <w:t xml:space="preserve"> established that on-chain markets can provide continuous liquidity without a centralized intermediary. Uniswap v3’s introduction of </w:t>
      </w:r>
      <w:r>
        <w:rPr>
          <w:rFonts w:eastAsia="Georgia" w:cs="Georgia"/>
          <w:b/>
          <w:bCs/>
          <w:i w:val="false"/>
          <w:iCs w:val="false"/>
          <w:color w:val="1A1A1A"/>
          <w:sz w:val="22"/>
          <w:szCs w:val="22"/>
        </w:rPr>
        <w:t>concentrated liquidity</w:t>
      </w:r>
      <w:r>
        <w:rPr>
          <w:rFonts w:eastAsia="Georgia" w:cs="Georgia"/>
          <w:b w:val="false"/>
          <w:bCs w:val="false"/>
          <w:i w:val="false"/>
          <w:iCs w:val="false"/>
          <w:color w:val="1A1A1A"/>
          <w:sz w:val="22"/>
          <w:szCs w:val="22"/>
        </w:rPr>
        <w:t xml:space="preserve"> in March 2021 allowed providers to allocate capital within chosen price ranges, dramatically improving capital efficiency </w:t>
      </w:r>
      <w:r>
        <w:rPr>
          <w:rFonts w:eastAsia="Georgia" w:cs="Georgia"/>
          <w:sz w:val="22"/>
          <w:szCs w:val="22"/>
        </w:rPr>
        <w:t>[26, 21]</w:t>
      </w:r>
      <w:r>
        <w:rPr>
          <w:rFonts w:eastAsia="Georgia" w:cs="Georgia"/>
          <w:b w:val="false"/>
          <w:bCs w:val="false"/>
          <w:i w:val="false"/>
          <w:iCs w:val="false"/>
          <w:color w:val="1A1A1A"/>
          <w:sz w:val="22"/>
          <w:szCs w:val="22"/>
        </w:rPr>
        <w:t>. For Flock, AMMs offer a path to bootstrap markets in tokenized assets that would otherwise lack the order flow to sustain a conventional order book—precisely the situation of a long-tail alternative asset.</w:t>
      </w:r>
    </w:p>
    <w:p>
      <w:pPr>
        <w:pStyle w:val="Heading2"/>
        <w:rPr/>
      </w:pPr>
      <w:bookmarkStart w:id="16" w:name="__RefHeading___Toc1383_1329916799"/>
      <w:bookmarkEnd w:id="16"/>
      <w:r>
        <w:rPr/>
        <w:t>4.2 The Economics of Liquidity Provision: Impermanent Loss</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promise of passive yield from liquidity provision is tempered by a substantial and well-documented body of research on </w:t>
      </w:r>
      <w:r>
        <w:rPr>
          <w:rFonts w:eastAsia="Georgia" w:cs="Georgia"/>
          <w:b/>
          <w:bCs/>
          <w:i w:val="false"/>
          <w:iCs w:val="false"/>
          <w:color w:val="1A1A1A"/>
          <w:sz w:val="22"/>
          <w:szCs w:val="22"/>
        </w:rPr>
        <w:t>impermanent loss</w:t>
      </w:r>
      <w:r>
        <w:rPr>
          <w:rFonts w:eastAsia="Georgia" w:cs="Georgia"/>
          <w:b w:val="false"/>
          <w:bCs w:val="false"/>
          <w:i w:val="false"/>
          <w:iCs w:val="false"/>
          <w:color w:val="1A1A1A"/>
          <w:sz w:val="22"/>
          <w:szCs w:val="22"/>
        </w:rPr>
        <w:t xml:space="preserve"> (IL)—the opportunity cost a liquidity provider incurs when the relative price of pooled assets diverges from their ratio at deposit. The empirical findings are sobering for any platform that would encourage ordinary users to provide liquidity. Loesch and colleagues, analyzing Uniswap v3, found that both retail and professional liquidity providers broadly struggle to earn net profits once impermanent loss is accounted for, with the notable exception of sophisticated “just-in-time” providers who supply liquidity for a single block </w:t>
      </w:r>
      <w:r>
        <w:rPr>
          <w:rFonts w:eastAsia="Georgia" w:cs="Georgia"/>
          <w:sz w:val="22"/>
          <w:szCs w:val="22"/>
        </w:rPr>
        <w:t>[20]</w:t>
      </w:r>
      <w:r>
        <w:rPr>
          <w:rFonts w:eastAsia="Georgia" w:cs="Georgia"/>
          <w:b w:val="false"/>
          <w:bCs w:val="false"/>
          <w:i w:val="false"/>
          <w:iCs w:val="false"/>
          <w:color w:val="1A1A1A"/>
          <w:sz w:val="22"/>
          <w:szCs w:val="22"/>
        </w:rPr>
        <w:t xml:space="preserve">. A subsequent 700-day empirical analysis of Uniswap v3 confirmed the difficulty and explored more profitable active strategies </w:t>
      </w:r>
      <w:r>
        <w:rPr>
          <w:rFonts w:eastAsia="Georgia" w:cs="Georgia"/>
          <w:sz w:val="22"/>
          <w:szCs w:val="22"/>
        </w:rPr>
        <w:t>[23]</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theoretical literature has clarified the nature of the loss. Impermanent loss has an option-like payoff profile and can in principle be hedged with European options, a result formalized in the static-replication and delta-hedging literature </w:t>
      </w:r>
      <w:r>
        <w:rPr>
          <w:rFonts w:eastAsia="Georgia" w:cs="Georgia"/>
          <w:sz w:val="22"/>
          <w:szCs w:val="22"/>
        </w:rPr>
        <w:t>[22, 24]</w:t>
      </w:r>
      <w:r>
        <w:rPr>
          <w:rFonts w:eastAsia="Georgia" w:cs="Georgia"/>
          <w:b w:val="false"/>
          <w:bCs w:val="false"/>
          <w:i w:val="false"/>
          <w:iCs w:val="false"/>
          <w:color w:val="1A1A1A"/>
          <w:sz w:val="22"/>
          <w:szCs w:val="22"/>
        </w:rPr>
        <w:t xml:space="preserve">. The related concept of </w:t>
      </w:r>
      <w:r>
        <w:rPr>
          <w:rFonts w:eastAsia="Georgia" w:cs="Georgia"/>
          <w:b/>
          <w:bCs/>
          <w:i w:val="false"/>
          <w:iCs w:val="false"/>
          <w:color w:val="1A1A1A"/>
          <w:sz w:val="22"/>
          <w:szCs w:val="22"/>
        </w:rPr>
        <w:t>loss-versus-rebalancing</w:t>
      </w:r>
      <w:r>
        <w:rPr>
          <w:rFonts w:eastAsia="Georgia" w:cs="Georgia"/>
          <w:b w:val="false"/>
          <w:bCs w:val="false"/>
          <w:i w:val="false"/>
          <w:iCs w:val="false"/>
          <w:color w:val="1A1A1A"/>
          <w:sz w:val="22"/>
          <w:szCs w:val="22"/>
        </w:rPr>
        <w:t xml:space="preserve"> (LVR) isolates the component of provider losses attributable to arbitrageurs trading against stale pool prices, providing a cleaner measure of the adverse selection that liquidity providers face </w:t>
      </w:r>
      <w:r>
        <w:rPr>
          <w:rFonts w:eastAsia="Georgia" w:cs="Georgia"/>
          <w:sz w:val="22"/>
          <w:szCs w:val="22"/>
        </w:rPr>
        <w:t>[28]</w:t>
      </w:r>
      <w:r>
        <w:rPr>
          <w:rFonts w:eastAsia="Georgia" w:cs="Georgia"/>
          <w:b w:val="false"/>
          <w:bCs w:val="false"/>
          <w:i w:val="false"/>
          <w:iCs w:val="false"/>
          <w:color w:val="1A1A1A"/>
          <w:sz w:val="22"/>
          <w:szCs w:val="22"/>
        </w:rPr>
        <w:t>. The practical implication for Flock is twofold. First, the platform should not present liquidity provision to unsophisticated Tier 1 users as “passive income” without prominent disclosure of impermanent-loss risk—a presentation failure would invite precisely the consumer-protection criticism examined in Section 9. Second, the platform could differentiate by integrating IL-hedging tooling or by routing ordinary users toward managed, IL-aware vault strategies rather than direct pool participation.</w:t>
      </w:r>
    </w:p>
    <w:p>
      <w:pPr>
        <w:pStyle w:val="Heading2"/>
        <w:rPr/>
      </w:pPr>
      <w:bookmarkStart w:id="17" w:name="__RefHeading___Toc1385_1329916799"/>
      <w:bookmarkEnd w:id="17"/>
      <w:r>
        <w:rPr/>
        <w:t>4.3 Cross-Chain Interoperability: The Dominant Technical Risk</w:t>
      </w:r>
    </w:p>
    <w:p>
      <w:pPr>
        <w:pStyle w:val="Normal"/>
        <w:spacing w:lineRule="auto" w:line="276" w:before="0" w:after="140"/>
        <w:jc w:val="both"/>
        <w:rPr/>
      </w:pPr>
      <w:r>
        <w:rPr>
          <w:rFonts w:eastAsia="Georgia" w:cs="Georgia"/>
          <w:b w:val="false"/>
          <w:bCs w:val="false"/>
          <w:i w:val="false"/>
          <w:iCs w:val="false"/>
          <w:color w:val="1A1A1A"/>
          <w:sz w:val="22"/>
          <w:szCs w:val="22"/>
        </w:rPr>
        <w:t xml:space="preserve">If Flock operates across multiple blockchains—as its multi-asset, multi-chain ambitions imply—then it must move value between them. Cross-chain bridges, which lock an asset on one chain and mint a representation on another, are </w:t>
      </w:r>
      <w:r>
        <w:rPr>
          <w:rFonts w:eastAsia="Georgia" w:cs="Georgia"/>
          <w:b/>
          <w:bCs/>
          <w:i w:val="false"/>
          <w:iCs w:val="false"/>
          <w:color w:val="1A1A1A"/>
          <w:sz w:val="22"/>
          <w:szCs w:val="22"/>
        </w:rPr>
        <w:t>the single largest source of catastrophic loss in the history of DeFi</w:t>
      </w:r>
      <w:r>
        <w:rPr>
          <w:rFonts w:eastAsia="Georgia" w:cs="Georgia"/>
          <w:b w:val="false"/>
          <w:bCs w:val="false"/>
          <w:i w:val="false"/>
          <w:iCs w:val="false"/>
          <w:color w:val="1A1A1A"/>
          <w:sz w:val="22"/>
          <w:szCs w:val="22"/>
        </w:rPr>
        <w:t>, and they constitute the most serious technical threat to the Flock architecture. The record is stark:</w:t>
      </w:r>
    </w:p>
    <w:tbl>
      <w:tblPr>
        <w:tblW w:w="9360" w:type="dxa"/>
        <w:jc w:val="left"/>
        <w:tblInd w:w="0" w:type="dxa"/>
        <w:tblLayout w:type="fixed"/>
        <w:tblCellMar>
          <w:top w:w="70" w:type="dxa"/>
          <w:left w:w="110" w:type="dxa"/>
          <w:bottom w:w="70" w:type="dxa"/>
          <w:right w:w="110" w:type="dxa"/>
        </w:tblCellMar>
      </w:tblPr>
      <w:tblGrid>
        <w:gridCol w:w="2199"/>
        <w:gridCol w:w="1101"/>
        <w:gridCol w:w="1900"/>
        <w:gridCol w:w="4159"/>
      </w:tblGrid>
      <w:tr>
        <w:trPr>
          <w:tblHeader w:val="true"/>
        </w:trPr>
        <w:tc>
          <w:tcPr>
            <w:tcW w:w="21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Bridge / Incident</w:t>
            </w:r>
          </w:p>
        </w:tc>
        <w:tc>
          <w:tcPr>
            <w:tcW w:w="110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Date</w:t>
            </w:r>
          </w:p>
        </w:tc>
        <w:tc>
          <w:tcPr>
            <w:tcW w:w="1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Approx. Loss (USD)</w:t>
            </w:r>
          </w:p>
        </w:tc>
        <w:tc>
          <w:tcPr>
            <w:tcW w:w="41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Root Cause</w:t>
            </w:r>
          </w:p>
        </w:tc>
      </w:tr>
      <w:tr>
        <w:trPr/>
        <w:tc>
          <w:tcPr>
            <w:tcW w:w="21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Ronin Bridge</w:t>
            </w:r>
          </w:p>
        </w:tc>
        <w:tc>
          <w:tcPr>
            <w:tcW w:w="1101"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Mar. 2022</w:t>
            </w:r>
          </w:p>
        </w:tc>
        <w:tc>
          <w:tcPr>
            <w:tcW w:w="1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~$625 million</w:t>
            </w:r>
          </w:p>
        </w:tc>
        <w:tc>
          <w:tcPr>
            <w:tcW w:w="415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Five of nine validator keys compromised via social engineering; detected after six days</w:t>
            </w:r>
          </w:p>
        </w:tc>
      </w:tr>
      <w:tr>
        <w:trPr/>
        <w:tc>
          <w:tcPr>
            <w:tcW w:w="21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Poly Network</w:t>
            </w:r>
          </w:p>
        </w:tc>
        <w:tc>
          <w:tcPr>
            <w:tcW w:w="1101"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Aug. 2021</w:t>
            </w:r>
          </w:p>
        </w:tc>
        <w:tc>
          <w:tcPr>
            <w:tcW w:w="19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~$600 million</w:t>
            </w:r>
          </w:p>
        </w:tc>
        <w:tc>
          <w:tcPr>
            <w:tcW w:w="415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Smart-contract function exploited to reassign keeper role (largely recovered)</w:t>
            </w:r>
          </w:p>
        </w:tc>
      </w:tr>
      <w:tr>
        <w:trPr/>
        <w:tc>
          <w:tcPr>
            <w:tcW w:w="21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Wormhole</w:t>
            </w:r>
          </w:p>
        </w:tc>
        <w:tc>
          <w:tcPr>
            <w:tcW w:w="1101"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Feb. 2022</w:t>
            </w:r>
          </w:p>
        </w:tc>
        <w:tc>
          <w:tcPr>
            <w:tcW w:w="1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~$325 million</w:t>
            </w:r>
          </w:p>
        </w:tc>
        <w:tc>
          <w:tcPr>
            <w:tcW w:w="415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Signature-verification flaw allowed fraudulent minting of 120,000 wETH</w:t>
            </w:r>
          </w:p>
        </w:tc>
      </w:tr>
      <w:tr>
        <w:trPr/>
        <w:tc>
          <w:tcPr>
            <w:tcW w:w="21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Nomad Bridge</w:t>
            </w:r>
          </w:p>
        </w:tc>
        <w:tc>
          <w:tcPr>
            <w:tcW w:w="1101"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Aug. 2022</w:t>
            </w:r>
          </w:p>
        </w:tc>
        <w:tc>
          <w:tcPr>
            <w:tcW w:w="19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~$190 million</w:t>
            </w:r>
          </w:p>
        </w:tc>
        <w:tc>
          <w:tcPr>
            <w:tcW w:w="415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Faulty initialization made fraudulent messages valid; chaotic open looting</w:t>
            </w:r>
          </w:p>
        </w:tc>
      </w:tr>
      <w:tr>
        <w:trPr/>
        <w:tc>
          <w:tcPr>
            <w:tcW w:w="21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Harmony Horizon</w:t>
            </w:r>
          </w:p>
        </w:tc>
        <w:tc>
          <w:tcPr>
            <w:tcW w:w="1101"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Jun. 2022</w:t>
            </w:r>
          </w:p>
        </w:tc>
        <w:tc>
          <w:tcPr>
            <w:tcW w:w="1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~$100 million</w:t>
            </w:r>
          </w:p>
        </w:tc>
        <w:tc>
          <w:tcPr>
            <w:tcW w:w="415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Compromise of a small multisignature quorum</w:t>
            </w:r>
          </w:p>
        </w:tc>
      </w:tr>
    </w:tbl>
    <w:p>
      <w:pPr>
        <w:pStyle w:val="Normal"/>
        <w:spacing w:before="80" w:after="200"/>
        <w:jc w:val="left"/>
        <w:rPr/>
      </w:pPr>
      <w:r>
        <w:rPr>
          <w:rFonts w:eastAsia="Arial" w:cs="Arial" w:ascii="Arial" w:hAnsi="Arial"/>
          <w:i/>
          <w:iCs/>
          <w:color w:val="44505A"/>
          <w:sz w:val="18"/>
          <w:szCs w:val="18"/>
        </w:rPr>
        <w:t>Table 4.1 — Major cross-chain bridge exploits. Aggregate losses across documented bridge incidents exceed US$2.5 billion. Sources: academic systematization-of-knowledge studies and security-firm post-mortems [33–39].</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Ronin exploit—approximately US$625 million in Ether and USD Coin, executed by compromising five of nine validator keys through a spear-phishing campaign attributed to a state-linked actor, and not detected for six days—remains the canonical illustration </w:t>
      </w:r>
      <w:r>
        <w:rPr>
          <w:rFonts w:eastAsia="Georgia" w:cs="Georgia"/>
          <w:sz w:val="22"/>
          <w:szCs w:val="22"/>
        </w:rPr>
        <w:t>[34, 35]</w:t>
      </w:r>
      <w:r>
        <w:rPr>
          <w:rFonts w:eastAsia="Georgia" w:cs="Georgia"/>
          <w:b w:val="false"/>
          <w:bCs w:val="false"/>
          <w:i w:val="false"/>
          <w:iCs w:val="false"/>
          <w:color w:val="1A1A1A"/>
          <w:sz w:val="22"/>
          <w:szCs w:val="22"/>
        </w:rPr>
        <w:t xml:space="preserve">. The Wormhole incident exploited a signature-verification flaw to mint 120,000 wrapped Ether with no backing </w:t>
      </w:r>
      <w:r>
        <w:rPr>
          <w:rFonts w:eastAsia="Georgia" w:cs="Georgia"/>
          <w:sz w:val="22"/>
          <w:szCs w:val="22"/>
        </w:rPr>
        <w:t>[37]</w:t>
      </w:r>
      <w:r>
        <w:rPr>
          <w:rFonts w:eastAsia="Georgia" w:cs="Georgia"/>
          <w:b w:val="false"/>
          <w:bCs w:val="false"/>
          <w:i w:val="false"/>
          <w:iCs w:val="false"/>
          <w:color w:val="1A1A1A"/>
          <w:sz w:val="22"/>
          <w:szCs w:val="22"/>
        </w:rPr>
        <w:t xml:space="preserve">. Academic systematizations of bridge security catalogue these and other incidents and identify recurring failure classes: compromised validators, flawed signature verification, faulty initialization, and inadequate multisignature thresholds </w:t>
      </w:r>
      <w:r>
        <w:rPr>
          <w:rFonts w:eastAsia="Georgia" w:cs="Georgia"/>
          <w:sz w:val="22"/>
          <w:szCs w:val="22"/>
        </w:rPr>
        <w:t>[32, 33, 36]</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Mitigations exist but do not eliminate the risk. Chainlink’s Cross-Chain Interoperability Protocol pairs message-passing with an independent Risk Management Network intended to detect anomalous activity </w:t>
      </w:r>
      <w:r>
        <w:rPr>
          <w:rFonts w:eastAsia="Georgia" w:cs="Georgia"/>
          <w:sz w:val="22"/>
          <w:szCs w:val="22"/>
        </w:rPr>
        <w:t>[38]</w:t>
      </w:r>
      <w:r>
        <w:rPr>
          <w:rFonts w:eastAsia="Georgia" w:cs="Georgia"/>
          <w:b w:val="false"/>
          <w:bCs w:val="false"/>
          <w:i w:val="false"/>
          <w:iCs w:val="false"/>
          <w:color w:val="1A1A1A"/>
          <w:sz w:val="22"/>
          <w:szCs w:val="22"/>
        </w:rPr>
        <w:t xml:space="preserve">. More fundamentally, the architect of Ethereum has argued that cross-chain bridges face an irreducible security ceiling: a security failure on one connected chain can propagate to assets bridged from another, so the security of the system degrades to that of its weakest connected chain </w:t>
      </w:r>
      <w:r>
        <w:rPr>
          <w:rFonts w:eastAsia="Georgia" w:cs="Georgia"/>
          <w:sz w:val="22"/>
          <w:szCs w:val="22"/>
        </w:rPr>
        <w:t>[39]</w:t>
      </w:r>
      <w:r>
        <w:rPr>
          <w:rFonts w:eastAsia="Georgia" w:cs="Georgia"/>
          <w:b w:val="false"/>
          <w:bCs w:val="false"/>
          <w:i w:val="false"/>
          <w:iCs w:val="false"/>
          <w:color w:val="1A1A1A"/>
          <w:sz w:val="22"/>
          <w:szCs w:val="22"/>
        </w:rPr>
        <w:t xml:space="preserve">. For Flock, the prudent design conclusions are direct. The platform should </w:t>
      </w:r>
      <w:r>
        <w:rPr>
          <w:rFonts w:eastAsia="Georgia" w:cs="Georgia"/>
          <w:b/>
          <w:bCs/>
          <w:i w:val="false"/>
          <w:iCs w:val="false"/>
          <w:color w:val="1A1A1A"/>
          <w:sz w:val="22"/>
          <w:szCs w:val="22"/>
        </w:rPr>
        <w:t>minimize cross-chain dependency</w:t>
      </w:r>
      <w:r>
        <w:rPr>
          <w:rFonts w:eastAsia="Georgia" w:cs="Georgia"/>
          <w:b w:val="false"/>
          <w:bCs w:val="false"/>
          <w:i w:val="false"/>
          <w:iCs w:val="false"/>
          <w:color w:val="1A1A1A"/>
          <w:sz w:val="22"/>
          <w:szCs w:val="22"/>
        </w:rPr>
        <w:t>, preferring to concentrate activity on a single high-throughput settlement chain where feasible; where cross-chain movement is unavoidable, it should rely on the most rigorously secured message-passing infrastructure available and treat bridge risk as a board-level, not an engineering-level, concern. A multi-chain strategy adopted casually would expose the entire platform to the dominant loss vector in the sector.</w:t>
      </w:r>
    </w:p>
    <w:p>
      <w:pPr>
        <w:pStyle w:val="Heading2"/>
        <w:rPr/>
      </w:pPr>
      <w:bookmarkStart w:id="18" w:name="__RefHeading___Toc1387_1329916799"/>
      <w:bookmarkEnd w:id="18"/>
      <w:r>
        <w:rPr/>
        <w:t>4.4 Oracles and the Off-Chain Truth Problem</w:t>
      </w:r>
    </w:p>
    <w:p>
      <w:pPr>
        <w:pStyle w:val="Normal"/>
        <w:spacing w:lineRule="auto" w:line="276" w:before="0" w:after="140"/>
        <w:jc w:val="both"/>
        <w:rPr/>
      </w:pPr>
      <w:r>
        <w:rPr>
          <w:rFonts w:eastAsia="Georgia" w:cs="Georgia"/>
          <w:b w:val="false"/>
          <w:bCs w:val="false"/>
          <w:i w:val="false"/>
          <w:iCs w:val="false"/>
          <w:color w:val="1A1A1A"/>
          <w:sz w:val="22"/>
          <w:szCs w:val="22"/>
        </w:rPr>
        <w:t xml:space="preserve">Smart contracts are deterministic and isolated; they cannot, by themselves, learn the price of an equity, the occurrence of an event, or the existence of a warehouse of gold. </w:t>
      </w:r>
      <w:r>
        <w:rPr>
          <w:rFonts w:eastAsia="Georgia" w:cs="Georgia"/>
          <w:b/>
          <w:bCs/>
          <w:i w:val="false"/>
          <w:iCs w:val="false"/>
          <w:color w:val="1A1A1A"/>
          <w:sz w:val="22"/>
          <w:szCs w:val="22"/>
        </w:rPr>
        <w:t>Oracles</w:t>
      </w:r>
      <w:r>
        <w:rPr>
          <w:rFonts w:eastAsia="Georgia" w:cs="Georgia"/>
          <w:b w:val="false"/>
          <w:bCs w:val="false"/>
          <w:i w:val="false"/>
          <w:iCs w:val="false"/>
          <w:color w:val="1A1A1A"/>
          <w:sz w:val="22"/>
          <w:szCs w:val="22"/>
        </w:rPr>
        <w:t xml:space="preserve"> bridge this gap by delivering external data on-chain, and they are foundational to three of Flock’s layers: pricing tokenized RWAs, settling prediction markets (Section 8), and—most critically—attesting the reserves that back hybrid physical-digital assets (Section 3.4). The theoretical literature establishes that AMMs can themselves serve as price oracles under appropriate conditions, but also that naive on-chain price feeds are manipulable </w:t>
      </w:r>
      <w:r>
        <w:rPr>
          <w:rFonts w:eastAsia="Georgia" w:cs="Georgia"/>
          <w:sz w:val="22"/>
          <w:szCs w:val="22"/>
        </w:rPr>
        <w:t>[25]</w:t>
      </w:r>
      <w:r>
        <w:rPr>
          <w:rFonts w:eastAsia="Georgia" w:cs="Georgia"/>
          <w:b w:val="false"/>
          <w:bCs w:val="false"/>
          <w:i w:val="false"/>
          <w:iCs w:val="false"/>
          <w:color w:val="1A1A1A"/>
          <w:sz w:val="22"/>
          <w:szCs w:val="22"/>
        </w:rPr>
        <w:t>. The “oracle problem”—ensuring that on-chain data faithfully and tamper-resistantly reflects off-chain truth—is unsolved in full generality and is the technical crux of Flock’s redemption guarantee. A proof-of-reserve oracle that can be gamed, or a price oracle that can be manipulated through a flash-loan attack on a thin pool, would undermine exactly the ownership guarantee that distinguishes Flock from synthetic tokenizers. Robust oracle design—redundant independent data sources, decentralized attestation, and circuit-breakers on anomalous values—is therefore a non-negotiable component rather than an enhancement.</w:t>
      </w:r>
    </w:p>
    <w:p>
      <w:pPr>
        <w:pStyle w:val="Heading2"/>
        <w:rPr/>
      </w:pPr>
      <w:bookmarkStart w:id="19" w:name="__RefHeading___Toc1389_1329916799"/>
      <w:bookmarkEnd w:id="19"/>
      <w:r>
        <w:rPr/>
        <w:t>4.5 Yield, Lending, and Composability</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mature DeFi lending and yield protocols—Aave and Compound for money markets, Yearn and comparable aggregators for strategy automation, and Lido for liquid staking </w:t>
      </w:r>
      <w:r>
        <w:rPr>
          <w:rFonts w:eastAsia="Georgia" w:cs="Georgia"/>
          <w:sz w:val="22"/>
          <w:szCs w:val="22"/>
        </w:rPr>
        <w:t>[29, 30, 31]</w:t>
      </w:r>
      <w:r>
        <w:rPr>
          <w:rFonts w:eastAsia="Georgia" w:cs="Georgia"/>
          <w:b w:val="false"/>
          <w:bCs w:val="false"/>
          <w:i w:val="false"/>
          <w:iCs w:val="false"/>
          <w:color w:val="1A1A1A"/>
          <w:sz w:val="22"/>
          <w:szCs w:val="22"/>
        </w:rPr>
        <w:t xml:space="preserve">—supply the building blocks for Flock’s yield and lending features, including the peer-to-peer securities lending differentiator (Section 10.4). The defining property of this infrastructure is </w:t>
      </w:r>
      <w:r>
        <w:rPr>
          <w:rFonts w:eastAsia="Georgia" w:cs="Georgia"/>
          <w:b/>
          <w:bCs/>
          <w:i w:val="false"/>
          <w:iCs w:val="false"/>
          <w:color w:val="1A1A1A"/>
          <w:sz w:val="22"/>
          <w:szCs w:val="22"/>
        </w:rPr>
        <w:t>composability</w:t>
      </w:r>
      <w:r>
        <w:rPr>
          <w:rFonts w:eastAsia="Georgia" w:cs="Georgia"/>
          <w:b w:val="false"/>
          <w:bCs w:val="false"/>
          <w:i w:val="false"/>
          <w:iCs w:val="false"/>
          <w:color w:val="1A1A1A"/>
          <w:sz w:val="22"/>
          <w:szCs w:val="22"/>
        </w:rPr>
        <w:t>: tokenized assets can be supplied as collateral, deposited into vaults, and combined into structured products, so that a tokenized Treasury fund can simultaneously serve as a stable store of value and as collateral for a loan. Composability is the source of DeFi’s capital efficiency and, equally, of its contagion risk—the same property that lets value flow frictionlessly between protocols lets a failure in one propagate to others. Flock’s modular design (Section 2.2) is in part a response to this: containing composability within audited, permissioned boundaries rather than exposing every asset to the full, unvetted DeFi ecosystem.</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Liquidity and Settlement Layer</w:t>
            </w:r>
          </w:p>
          <w:p>
            <w:pPr>
              <w:pStyle w:val="Normal"/>
              <w:spacing w:lineRule="auto" w:line="264" w:before="0" w:after="0"/>
              <w:jc w:val="left"/>
              <w:rPr/>
            </w:pPr>
            <w:r>
              <w:rPr>
                <w:rFonts w:eastAsia="Georgia" w:cs="Georgia"/>
                <w:i/>
                <w:iCs/>
                <w:color w:val="1A1A1A"/>
                <w:sz w:val="21"/>
                <w:szCs w:val="21"/>
              </w:rPr>
              <w:t>AMMs, vaults, and lending protocols are production-grade and well-studied; they can bootstrap markets in long-tail tokenized assets. The two binding constraints are (i) the documented difficulty ordinary liquidity providers face from impermanent loss—mandating disclosure and managed-vault routing rather than “passive income” framing—and (ii) cross-chain bridge risk, the sector’s dominant loss vector, which counsels minimizing multi-chain dependency. Verdict: feasible, conditional on conservative cross-chain architecture and honest risk presentation.</w:t>
            </w:r>
          </w:p>
        </w:tc>
      </w:tr>
    </w:tbl>
    <w:p>
      <w:pPr>
        <w:pStyle w:val="Normal"/>
        <w:rPr/>
      </w:pPr>
      <w:r>
        <w:rPr/>
      </w:r>
      <w:r>
        <w:br w:type="page"/>
      </w:r>
    </w:p>
    <w:p>
      <w:pPr>
        <w:pStyle w:val="Heading1"/>
        <w:spacing w:before="0" w:after="200"/>
        <w:rPr/>
      </w:pPr>
      <w:bookmarkStart w:id="20" w:name="__RefHeading___Toc1391_1329916799"/>
      <w:bookmarkEnd w:id="20"/>
      <w:r>
        <w:rPr/>
        <w:t>5. The Regulatory Gating Factor</w:t>
      </w:r>
    </w:p>
    <w:p>
      <w:pPr>
        <w:pStyle w:val="Normal"/>
        <w:spacing w:lineRule="auto" w:line="276" w:before="0" w:after="140"/>
        <w:jc w:val="both"/>
        <w:rPr/>
      </w:pPr>
      <w:r>
        <w:rPr>
          <w:rFonts w:eastAsia="Georgia" w:cs="Georgia"/>
          <w:b w:val="false"/>
          <w:bCs w:val="false"/>
          <w:i w:val="false"/>
          <w:iCs w:val="false"/>
          <w:color w:val="1A1A1A"/>
          <w:sz w:val="22"/>
          <w:szCs w:val="22"/>
        </w:rPr>
        <w:t>If technology is not the binding constraint on Flock, regulation is. A platform that simultaneously offers securities, derivatives and event contracts, lending, payments, and virtual assets must satisfy, in any single jurisdiction, the overlapping mandates of multiple regulators whose rules were not designed to coexist on one rail. This section maps the principal regimes, examines the defining enforcement actions, and extracts the compliance architecture that feasibility requires.</w:t>
      </w:r>
    </w:p>
    <w:p>
      <w:pPr>
        <w:pStyle w:val="Heading2"/>
        <w:rPr/>
      </w:pPr>
      <w:bookmarkStart w:id="21" w:name="__RefHeading___Toc1393_1329916799"/>
      <w:bookmarkEnd w:id="21"/>
      <w:r>
        <w:rPr/>
        <w:t>5.1 The United States: The Howey Test and Its 2026 Reframing</w:t>
      </w:r>
    </w:p>
    <w:p>
      <w:pPr>
        <w:pStyle w:val="Normal"/>
        <w:spacing w:lineRule="auto" w:line="276" w:before="0" w:after="140"/>
        <w:jc w:val="both"/>
        <w:rPr/>
      </w:pPr>
      <w:r>
        <w:rPr>
          <w:rFonts w:eastAsia="Georgia" w:cs="Georgia"/>
          <w:b w:val="false"/>
          <w:bCs w:val="false"/>
          <w:i w:val="false"/>
          <w:iCs w:val="false"/>
          <w:color w:val="1A1A1A"/>
          <w:sz w:val="22"/>
          <w:szCs w:val="22"/>
        </w:rPr>
        <w:t xml:space="preserve">In U.S. law, whether an instrument is a security—and therefore subject to the registration and disclosure regime administered by the Securities and Exchange Commission—turns on the </w:t>
      </w:r>
      <w:r>
        <w:rPr>
          <w:rFonts w:eastAsia="Georgia" w:cs="Georgia"/>
          <w:b/>
          <w:bCs/>
          <w:i w:val="false"/>
          <w:iCs w:val="false"/>
          <w:color w:val="1A1A1A"/>
          <w:sz w:val="22"/>
          <w:szCs w:val="22"/>
        </w:rPr>
        <w:t>Howey test</w:t>
      </w:r>
      <w:r>
        <w:rPr>
          <w:rFonts w:eastAsia="Georgia" w:cs="Georgia"/>
          <w:b w:val="false"/>
          <w:bCs w:val="false"/>
          <w:i w:val="false"/>
          <w:iCs w:val="false"/>
          <w:color w:val="1A1A1A"/>
          <w:sz w:val="22"/>
          <w:szCs w:val="22"/>
        </w:rPr>
        <w:t xml:space="preserve">, which asks whether there is an investment of money in a common enterprise with an expectation of profit derived from the efforts of others </w:t>
      </w:r>
      <w:r>
        <w:rPr>
          <w:rFonts w:eastAsia="Georgia" w:cs="Georgia"/>
          <w:sz w:val="22"/>
          <w:szCs w:val="22"/>
        </w:rPr>
        <w:t>[40]</w:t>
      </w:r>
      <w:r>
        <w:rPr>
          <w:rFonts w:eastAsia="Georgia" w:cs="Georgia"/>
          <w:b w:val="false"/>
          <w:bCs w:val="false"/>
          <w:i w:val="false"/>
          <w:iCs w:val="false"/>
          <w:color w:val="1A1A1A"/>
          <w:sz w:val="22"/>
          <w:szCs w:val="22"/>
        </w:rPr>
        <w:t xml:space="preserve">. The Commission’s 2019 framework applied this test to digital assets but was subsequently withdrawn </w:t>
      </w:r>
      <w:r>
        <w:rPr>
          <w:rFonts w:eastAsia="Georgia" w:cs="Georgia"/>
          <w:sz w:val="22"/>
          <w:szCs w:val="22"/>
        </w:rPr>
        <w:t>[41]</w:t>
      </w:r>
      <w:r>
        <w:rPr>
          <w:rFonts w:eastAsia="Georgia" w:cs="Georgia"/>
          <w:b w:val="false"/>
          <w:bCs w:val="false"/>
          <w:i w:val="false"/>
          <w:iCs w:val="false"/>
          <w:color w:val="1A1A1A"/>
          <w:sz w:val="22"/>
          <w:szCs w:val="22"/>
        </w:rPr>
        <w:t xml:space="preserve">. The regulatory posture shifted materially in 2025–2026: a joint interpretive effort by the SEC and the Commodity Futures Trading Commission, analyzed by securities counsel in early 2026, established a more transaction-focused taxonomy </w:t>
      </w:r>
      <w:r>
        <w:rPr>
          <w:rFonts w:eastAsia="Georgia" w:cs="Georgia"/>
          <w:sz w:val="22"/>
          <w:szCs w:val="22"/>
        </w:rPr>
        <w:t>[42, 44]</w:t>
      </w:r>
      <w:r>
        <w:rPr>
          <w:rFonts w:eastAsia="Georgia" w:cs="Georgia"/>
          <w:b w:val="false"/>
          <w:bCs w:val="false"/>
          <w:i w:val="false"/>
          <w:iCs w:val="false"/>
          <w:color w:val="1A1A1A"/>
          <w:sz w:val="22"/>
          <w:szCs w:val="22"/>
        </w:rPr>
        <w:t xml:space="preserve">, while the SEC’s “Project Crypto” initiative affirmed that </w:t>
      </w:r>
      <w:r>
        <w:rPr>
          <w:rFonts w:eastAsia="Georgia" w:cs="Georgia"/>
          <w:b/>
          <w:bCs/>
          <w:i w:val="false"/>
          <w:iCs w:val="false"/>
          <w:color w:val="1A1A1A"/>
          <w:sz w:val="22"/>
          <w:szCs w:val="22"/>
        </w:rPr>
        <w:t>tokenized securities remain securities</w:t>
      </w:r>
      <w:r>
        <w:rPr>
          <w:rFonts w:eastAsia="Georgia" w:cs="Georgia"/>
          <w:b w:val="false"/>
          <w:bCs w:val="false"/>
          <w:i w:val="false"/>
          <w:iCs w:val="false"/>
          <w:color w:val="1A1A1A"/>
          <w:sz w:val="22"/>
          <w:szCs w:val="22"/>
        </w:rPr>
        <w:t xml:space="preserve">—the digital wrapper does not change the legal character of the underlying instrument </w:t>
      </w:r>
      <w:r>
        <w:rPr>
          <w:rFonts w:eastAsia="Georgia" w:cs="Georgia"/>
          <w:sz w:val="22"/>
          <w:szCs w:val="22"/>
        </w:rPr>
        <w:t>[43]</w:t>
      </w:r>
      <w:r>
        <w:rPr>
          <w:rFonts w:eastAsia="Georgia" w:cs="Georgia"/>
          <w:b w:val="false"/>
          <w:bCs w:val="false"/>
          <w:i w:val="false"/>
          <w:iCs w:val="false"/>
          <w:color w:val="1A1A1A"/>
          <w:sz w:val="22"/>
          <w:szCs w:val="22"/>
        </w:rPr>
        <w:t>. For Flock this is the cardinal rule: tokenizing an equity or a bond does not exempt it from securities law.</w:t>
      </w:r>
    </w:p>
    <w:p>
      <w:pPr>
        <w:pStyle w:val="Normal"/>
        <w:spacing w:lineRule="auto" w:line="276" w:before="0" w:after="140"/>
        <w:jc w:val="both"/>
        <w:rPr/>
      </w:pPr>
      <w:r>
        <w:rPr>
          <w:rFonts w:eastAsia="Georgia" w:cs="Georgia"/>
          <w:b w:val="false"/>
          <w:bCs w:val="false"/>
          <w:i w:val="false"/>
          <w:iCs w:val="false"/>
          <w:color w:val="1A1A1A"/>
          <w:sz w:val="22"/>
          <w:szCs w:val="22"/>
        </w:rPr>
        <w:t xml:space="preserve">Securities can nonetheless be offered without full public registration through established exemptions. Regulation D, Rules 506(b) and 506(c), permits offerings to accredited investors—the latter allowing general solicitation provided accreditation is verified; Regulation A (Tiers 1 and 2) permits limited public offerings with reduced disclosure; and Section 4(a)(2) provides the statutory private-placement exemption </w:t>
      </w:r>
      <w:r>
        <w:rPr>
          <w:rFonts w:eastAsia="Georgia" w:cs="Georgia"/>
          <w:sz w:val="22"/>
          <w:szCs w:val="22"/>
        </w:rPr>
        <w:t>[45, 46]</w:t>
      </w:r>
      <w:r>
        <w:rPr>
          <w:rFonts w:eastAsia="Georgia" w:cs="Georgia"/>
          <w:b w:val="false"/>
          <w:bCs w:val="false"/>
          <w:i w:val="false"/>
          <w:iCs w:val="false"/>
          <w:color w:val="1A1A1A"/>
          <w:sz w:val="22"/>
          <w:szCs w:val="22"/>
        </w:rPr>
        <w:t xml:space="preserve">. Secondary trading of tokenized securities requires registration as, or operation through, an </w:t>
      </w:r>
      <w:r>
        <w:rPr>
          <w:rFonts w:eastAsia="Georgia" w:cs="Georgia"/>
          <w:b/>
          <w:bCs/>
          <w:i w:val="false"/>
          <w:iCs w:val="false"/>
          <w:color w:val="1A1A1A"/>
          <w:sz w:val="22"/>
          <w:szCs w:val="22"/>
        </w:rPr>
        <w:t>alternative trading system</w:t>
      </w:r>
      <w:r>
        <w:rPr>
          <w:rFonts w:eastAsia="Georgia" w:cs="Georgia"/>
          <w:b w:val="false"/>
          <w:bCs w:val="false"/>
          <w:i w:val="false"/>
          <w:iCs w:val="false"/>
          <w:color w:val="1A1A1A"/>
          <w:sz w:val="22"/>
          <w:szCs w:val="22"/>
        </w:rPr>
        <w:t xml:space="preserve"> (ATS); regulated venues such as Securitize Markets and tZERO demonstrate the model </w:t>
      </w:r>
      <w:r>
        <w:rPr>
          <w:rFonts w:eastAsia="Georgia" w:cs="Georgia"/>
          <w:sz w:val="22"/>
          <w:szCs w:val="22"/>
        </w:rPr>
        <w:t>[57, 56]</w:t>
      </w:r>
      <w:r>
        <w:rPr>
          <w:rFonts w:eastAsia="Georgia" w:cs="Georgia"/>
          <w:b w:val="false"/>
          <w:bCs w:val="false"/>
          <w:i w:val="false"/>
          <w:iCs w:val="false"/>
          <w:color w:val="1A1A1A"/>
          <w:sz w:val="22"/>
          <w:szCs w:val="22"/>
        </w:rPr>
        <w:t xml:space="preserve">. Layered atop these securities obligations are anti-money-laundering duties: registration with the Financial Crimes Enforcement Network as a money-services business and, for any platform touching payments or transmission, money-transmitter licensing in each of the U.S. states in which it operates </w:t>
      </w:r>
      <w:r>
        <w:rPr>
          <w:rFonts w:eastAsia="Georgia" w:cs="Georgia"/>
          <w:sz w:val="22"/>
          <w:szCs w:val="22"/>
        </w:rPr>
        <w:t>[53]</w:t>
      </w:r>
      <w:r>
        <w:rPr>
          <w:rFonts w:eastAsia="Georgia" w:cs="Georgia"/>
          <w:b w:val="false"/>
          <w:bCs w:val="false"/>
          <w:i w:val="false"/>
          <w:iCs w:val="false"/>
          <w:color w:val="1A1A1A"/>
          <w:sz w:val="22"/>
          <w:szCs w:val="22"/>
        </w:rPr>
        <w:t>. This last requirement—a fifty-jurisdiction licensing burden—is among the most underestimated cost drivers for any U.S. retail financial platform.</w:t>
      </w:r>
    </w:p>
    <w:p>
      <w:pPr>
        <w:pStyle w:val="Heading2"/>
        <w:rPr/>
      </w:pPr>
      <w:bookmarkStart w:id="22" w:name="__RefHeading___Toc1395_1329916799"/>
      <w:bookmarkEnd w:id="22"/>
      <w:r>
        <w:rPr/>
        <w:t>5.2 The European Union: A Deliberately Dual Framework</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European Union has constructed what is, as of 2026, the world’s most developed framework for digital assets, and it is instructive precisely because it is </w:t>
      </w:r>
      <w:r>
        <w:rPr>
          <w:rFonts w:eastAsia="Georgia" w:cs="Georgia"/>
          <w:b/>
          <w:bCs/>
          <w:i w:val="false"/>
          <w:iCs w:val="false"/>
          <w:color w:val="1A1A1A"/>
          <w:sz w:val="22"/>
          <w:szCs w:val="22"/>
        </w:rPr>
        <w:t>dual</w:t>
      </w:r>
      <w:r>
        <w:rPr>
          <w:rFonts w:eastAsia="Georgia" w:cs="Georgia"/>
          <w:b w:val="false"/>
          <w:bCs w:val="false"/>
          <w:i w:val="false"/>
          <w:iCs w:val="false"/>
          <w:color w:val="1A1A1A"/>
          <w:sz w:val="22"/>
          <w:szCs w:val="22"/>
        </w:rPr>
        <w:t xml:space="preserve">. The Markets in Crypto-Assets Regulation (MiCA), in force from June 2023 with full application phasing through mid-2026, governs crypto-assets that are not financial instruments and establishes a passportable licensing regime for crypto-asset service providers </w:t>
      </w:r>
      <w:r>
        <w:rPr>
          <w:rFonts w:eastAsia="Georgia" w:cs="Georgia"/>
          <w:sz w:val="22"/>
          <w:szCs w:val="22"/>
        </w:rPr>
        <w:t>[47]</w:t>
      </w:r>
      <w:r>
        <w:rPr>
          <w:rFonts w:eastAsia="Georgia" w:cs="Georgia"/>
          <w:b w:val="false"/>
          <w:bCs w:val="false"/>
          <w:i w:val="false"/>
          <w:iCs w:val="false"/>
          <w:color w:val="1A1A1A"/>
          <w:sz w:val="22"/>
          <w:szCs w:val="22"/>
        </w:rPr>
        <w:t xml:space="preserve">. Crucially, MiCA </w:t>
      </w:r>
      <w:r>
        <w:rPr>
          <w:rFonts w:eastAsia="Georgia" w:cs="Georgia"/>
          <w:b w:val="false"/>
          <w:bCs w:val="false"/>
          <w:i/>
          <w:iCs/>
          <w:color w:val="1A1A1A"/>
          <w:sz w:val="22"/>
          <w:szCs w:val="22"/>
        </w:rPr>
        <w:t>explicitly excludes</w:t>
      </w:r>
      <w:r>
        <w:rPr>
          <w:rFonts w:eastAsia="Georgia" w:cs="Georgia"/>
          <w:b w:val="false"/>
          <w:bCs w:val="false"/>
          <w:i w:val="false"/>
          <w:iCs w:val="false"/>
          <w:color w:val="1A1A1A"/>
          <w:sz w:val="22"/>
          <w:szCs w:val="22"/>
        </w:rPr>
        <w:t xml:space="preserve"> tokenized financial instruments, which remain governed by the pre-existing Markets in Financial Instruments Directive (MiFID II). The European Securities and Markets Authority’s December 2024 guidelines on when a crypto-asset qualifies as a financial instrument bridge the two regimes </w:t>
      </w:r>
      <w:r>
        <w:rPr>
          <w:rFonts w:eastAsia="Georgia" w:cs="Georgia"/>
          <w:sz w:val="22"/>
          <w:szCs w:val="22"/>
        </w:rPr>
        <w:t>[50]</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For tokenized securities specifically, the EU created the </w:t>
      </w:r>
      <w:r>
        <w:rPr>
          <w:rFonts w:eastAsia="Georgia" w:cs="Georgia"/>
          <w:b/>
          <w:bCs/>
          <w:i w:val="false"/>
          <w:iCs w:val="false"/>
          <w:color w:val="1A1A1A"/>
          <w:sz w:val="22"/>
          <w:szCs w:val="22"/>
        </w:rPr>
        <w:t>DLT Pilot Regime</w:t>
      </w:r>
      <w:r>
        <w:rPr>
          <w:rFonts w:eastAsia="Georgia" w:cs="Georgia"/>
          <w:b w:val="false"/>
          <w:bCs w:val="false"/>
          <w:i w:val="false"/>
          <w:iCs w:val="false"/>
          <w:color w:val="1A1A1A"/>
          <w:sz w:val="22"/>
          <w:szCs w:val="22"/>
        </w:rPr>
        <w:t xml:space="preserve">, in effect since March 2023, which provides a regulatory sandbox in which market infrastructures may trade and settle tokenized securities under temporary exemptions from certain legacy requirements </w:t>
      </w:r>
      <w:r>
        <w:rPr>
          <w:rFonts w:eastAsia="Georgia" w:cs="Georgia"/>
          <w:sz w:val="22"/>
          <w:szCs w:val="22"/>
        </w:rPr>
        <w:t>[48]</w:t>
      </w:r>
      <w:r>
        <w:rPr>
          <w:rFonts w:eastAsia="Georgia" w:cs="Georgia"/>
          <w:b w:val="false"/>
          <w:bCs w:val="false"/>
          <w:i w:val="false"/>
          <w:iCs w:val="false"/>
          <w:color w:val="1A1A1A"/>
          <w:sz w:val="22"/>
          <w:szCs w:val="22"/>
        </w:rPr>
        <w:t xml:space="preserve">. The Authority’s June 2025 review under Article 14 is essential reading for a feasibility assessment: it reports that early operators were authorized but that uptake was limited and, tellingly, that </w:t>
      </w:r>
      <w:r>
        <w:rPr>
          <w:rFonts w:eastAsia="Georgia" w:cs="Georgia"/>
          <w:b/>
          <w:bCs/>
          <w:i w:val="false"/>
          <w:iCs w:val="false"/>
          <w:color w:val="1A1A1A"/>
          <w:sz w:val="22"/>
          <w:szCs w:val="22"/>
        </w:rPr>
        <w:t>interoperability with legacy settlement infrastructure remained largely absent</w:t>
      </w:r>
      <w:r>
        <w:rPr>
          <w:rFonts w:eastAsia="Georgia" w:cs="Georgia"/>
          <w:b w:val="false"/>
          <w:bCs w:val="false"/>
          <w:i w:val="false"/>
          <w:iCs w:val="false"/>
          <w:color w:val="1A1A1A"/>
          <w:sz w:val="22"/>
          <w:szCs w:val="22"/>
        </w:rPr>
        <w:t xml:space="preserve">—no live links to the established central securities depositories and settlement systems </w:t>
      </w:r>
      <w:r>
        <w:rPr>
          <w:rFonts w:eastAsia="Georgia" w:cs="Georgia"/>
          <w:sz w:val="22"/>
          <w:szCs w:val="22"/>
        </w:rPr>
        <w:t>[49]</w:t>
      </w:r>
      <w:r>
        <w:rPr>
          <w:rFonts w:eastAsia="Georgia" w:cs="Georgia"/>
          <w:b w:val="false"/>
          <w:bCs w:val="false"/>
          <w:i w:val="false"/>
          <w:iCs w:val="false"/>
          <w:color w:val="1A1A1A"/>
          <w:sz w:val="22"/>
          <w:szCs w:val="22"/>
        </w:rPr>
        <w:t>. The lesson is that even a purpose-built, regulator-blessed sandbox has not yet bridged tokenized and conventional market plumbing. Flock should regard EU operation under the DLT Pilot Regime as the most plausible regulated on-ramp for tokenized securities, while recognizing that the connectivity to traditional finance it would inherit is, for now, incomplete.</w:t>
      </w:r>
    </w:p>
    <w:p>
      <w:pPr>
        <w:pStyle w:val="Heading2"/>
        <w:rPr/>
      </w:pPr>
      <w:bookmarkStart w:id="23" w:name="__RefHeading___Toc1397_1329916799"/>
      <w:bookmarkEnd w:id="23"/>
      <w:r>
        <w:rPr/>
        <w:t>5.3 Asia-Pacific: The Regulated-Platform Model</w:t>
      </w:r>
    </w:p>
    <w:p>
      <w:pPr>
        <w:pStyle w:val="Normal"/>
        <w:spacing w:lineRule="auto" w:line="276" w:before="0" w:after="140"/>
        <w:jc w:val="both"/>
        <w:rPr/>
      </w:pPr>
      <w:r>
        <w:rPr>
          <w:rFonts w:eastAsia="Georgia" w:cs="Georgia"/>
          <w:b w:val="false"/>
          <w:bCs w:val="false"/>
          <w:i w:val="false"/>
          <w:iCs w:val="false"/>
          <w:color w:val="1A1A1A"/>
          <w:sz w:val="22"/>
          <w:szCs w:val="22"/>
        </w:rPr>
        <w:t xml:space="preserve">Singapore offers the clearest model of a regulated tokenization platform operating at commercial scale. Under the Monetary Authority of Singapore’s Project Guardian, industry participants have piloted asset tokenization within a supervised framework </w:t>
      </w:r>
      <w:r>
        <w:rPr>
          <w:rFonts w:eastAsia="Georgia" w:cs="Georgia"/>
          <w:sz w:val="22"/>
          <w:szCs w:val="22"/>
        </w:rPr>
        <w:t>[51]</w:t>
      </w:r>
      <w:r>
        <w:rPr>
          <w:rFonts w:eastAsia="Georgia" w:cs="Georgia"/>
          <w:b w:val="false"/>
          <w:bCs w:val="false"/>
          <w:i w:val="false"/>
          <w:iCs w:val="false"/>
          <w:color w:val="1A1A1A"/>
          <w:sz w:val="22"/>
          <w:szCs w:val="22"/>
        </w:rPr>
        <w:t xml:space="preserve">, and the licensed platform ADDX has facilitated tokenized private-market offerings—including what it describes as the world’s first tokenized private-credit fund—under a Capital Markets Services license with institutional custody </w:t>
      </w:r>
      <w:r>
        <w:rPr>
          <w:rFonts w:eastAsia="Georgia" w:cs="Georgia"/>
          <w:sz w:val="22"/>
          <w:szCs w:val="22"/>
        </w:rPr>
        <w:t>[52]</w:t>
      </w:r>
      <w:r>
        <w:rPr>
          <w:rFonts w:eastAsia="Georgia" w:cs="Georgia"/>
          <w:b w:val="false"/>
          <w:bCs w:val="false"/>
          <w:i w:val="false"/>
          <w:iCs w:val="false"/>
          <w:color w:val="1A1A1A"/>
          <w:sz w:val="22"/>
          <w:szCs w:val="22"/>
        </w:rPr>
        <w:t>. For Flock’s alternative-assets tier (Tier 3), the ADDX model—regulated, custodied, and focused on private markets—is the most directly applicable precedent.</w:t>
      </w:r>
    </w:p>
    <w:p>
      <w:pPr>
        <w:pStyle w:val="Heading2"/>
        <w:rPr/>
      </w:pPr>
      <w:bookmarkStart w:id="24" w:name="__RefHeading___Toc1399_1329916799"/>
      <w:bookmarkEnd w:id="24"/>
      <w:r>
        <w:rPr/>
        <w:t>5.4 The Robinhood Cautionary Template</w:t>
      </w:r>
    </w:p>
    <w:p>
      <w:pPr>
        <w:pStyle w:val="Normal"/>
        <w:spacing w:lineRule="auto" w:line="276" w:before="0" w:after="140"/>
        <w:jc w:val="both"/>
        <w:rPr/>
      </w:pPr>
      <w:r>
        <w:rPr>
          <w:rFonts w:eastAsia="Georgia" w:cs="Georgia"/>
          <w:b w:val="false"/>
          <w:bCs w:val="false"/>
          <w:i w:val="false"/>
          <w:iCs w:val="false"/>
          <w:color w:val="1A1A1A"/>
          <w:sz w:val="22"/>
          <w:szCs w:val="22"/>
        </w:rPr>
        <w:t xml:space="preserve">No episode better illustrates the regulatory peril of synthetic tokenization than Robinhood’s 2025 launch of “stock tokens” for private companies. On 30 June 2025, the platform began offering EU users blockchain-recorded instruments providing </w:t>
      </w:r>
      <w:r>
        <w:rPr>
          <w:rFonts w:eastAsia="Georgia" w:cs="Georgia"/>
          <w:b w:val="false"/>
          <w:bCs w:val="false"/>
          <w:i/>
          <w:iCs/>
          <w:color w:val="1A1A1A"/>
          <w:sz w:val="22"/>
          <w:szCs w:val="22"/>
        </w:rPr>
        <w:t>indirect exposure</w:t>
      </w:r>
      <w:r>
        <w:rPr>
          <w:rFonts w:eastAsia="Georgia" w:cs="Georgia"/>
          <w:b w:val="false"/>
          <w:bCs w:val="false"/>
          <w:i w:val="false"/>
          <w:iCs w:val="false"/>
          <w:color w:val="1A1A1A"/>
          <w:sz w:val="22"/>
          <w:szCs w:val="22"/>
        </w:rPr>
        <w:t xml:space="preserve"> to private firms—including OpenAI and SpaceX—structured as derivatives referencing a special-purpose vehicle in which Robinhood held a stake, rather than as direct equity </w:t>
      </w:r>
      <w:r>
        <w:rPr>
          <w:rFonts w:eastAsia="Georgia" w:cs="Georgia"/>
          <w:sz w:val="22"/>
          <w:szCs w:val="22"/>
        </w:rPr>
        <w:t>[54]</w:t>
      </w:r>
      <w:r>
        <w:rPr>
          <w:rFonts w:eastAsia="Georgia" w:cs="Georgia"/>
          <w:b w:val="false"/>
          <w:bCs w:val="false"/>
          <w:i w:val="false"/>
          <w:iCs w:val="false"/>
          <w:color w:val="1A1A1A"/>
          <w:sz w:val="22"/>
          <w:szCs w:val="22"/>
        </w:rPr>
        <w:t xml:space="preserve">. OpenAI publicly disavowed the instruments, stating that the “OpenAI tokens” were not OpenAI equity and that no transfer had been approved </w:t>
      </w:r>
      <w:r>
        <w:rPr>
          <w:rFonts w:eastAsia="Georgia" w:cs="Georgia"/>
          <w:sz w:val="22"/>
          <w:szCs w:val="22"/>
        </w:rPr>
        <w:t>[55]</w:t>
      </w:r>
      <w:r>
        <w:rPr>
          <w:rFonts w:eastAsia="Georgia" w:cs="Georgia"/>
          <w:b w:val="false"/>
          <w:bCs w:val="false"/>
          <w:i w:val="false"/>
          <w:iCs w:val="false"/>
          <w:color w:val="1A1A1A"/>
          <w:sz w:val="22"/>
          <w:szCs w:val="22"/>
        </w:rPr>
        <w:t xml:space="preserve">. The Bank of Lithuania, Robinhood’s lead EU regulator, sought clarification on their legality and compliance </w:t>
      </w:r>
      <w:r>
        <w:rPr>
          <w:rFonts w:eastAsia="Georgia" w:cs="Georgia"/>
          <w:sz w:val="22"/>
          <w:szCs w:val="22"/>
        </w:rPr>
        <w:t>[54]</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The episode crystallizes the trap that Flock’s hybrid-ownership differentiator is specifically designed to avoid. A synthetic SPV-derivative wrapper is comparatively easy to issue but (i) confers none of the ownership the marketing implies, (ii) invites securities-law scrutiny because it is, in substance, a derivative on a security, and (iii) carries reputational risk when the named underlying company disclaims any involvement. Flock’s answer—genuine, redeemable beneficial ownership backed by an SPV with issuer cooperation and proof-of-reserve attestation (Sections 3.4, 4.4)—is harder to build but is the only structure consistent with the platform’s stated promise. The Robinhood case is thus simultaneously a warning and a validation of Flock’s design choice.</w:t>
      </w:r>
    </w:p>
    <w:p>
      <w:pPr>
        <w:pStyle w:val="Heading2"/>
        <w:rPr/>
      </w:pPr>
      <w:bookmarkStart w:id="25" w:name="__RefHeading___Toc1401_1329916799"/>
      <w:bookmarkEnd w:id="25"/>
      <w:r>
        <w:rPr/>
        <w:t>5.5 The Compliance Architecture Feasibility Requires</w:t>
      </w:r>
    </w:p>
    <w:p>
      <w:pPr>
        <w:pStyle w:val="Normal"/>
        <w:spacing w:lineRule="auto" w:line="276" w:before="0" w:after="140"/>
        <w:jc w:val="both"/>
        <w:rPr/>
      </w:pPr>
      <w:r>
        <w:rPr>
          <w:rFonts w:eastAsia="Georgia" w:cs="Georgia"/>
          <w:b w:val="false"/>
          <w:bCs w:val="false"/>
          <w:i w:val="false"/>
          <w:iCs w:val="false"/>
          <w:color w:val="1A1A1A"/>
          <w:sz w:val="22"/>
          <w:szCs w:val="22"/>
        </w:rPr>
        <w:t>Synthesizing the foregoing, a feasible Flock requires a compliance layer with at least the following properties, embedded at the protocol level rather than bolted on:</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On-chain identity and permissioning. </w:t>
      </w:r>
      <w:r>
        <w:rPr>
          <w:rFonts w:eastAsia="Georgia" w:cs="Georgia"/>
          <w:b w:val="false"/>
          <w:bCs w:val="false"/>
          <w:i w:val="false"/>
          <w:iCs w:val="false"/>
          <w:color w:val="1A1A1A"/>
          <w:sz w:val="22"/>
          <w:szCs w:val="22"/>
        </w:rPr>
        <w:t>Every holder of a regulated token is a verified, eligible identity (per ERC-3643 or equivalent), with transfers restricted accordingly (Section 3.3).</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Jurisdiction-aware gating. </w:t>
      </w:r>
      <w:r>
        <w:rPr>
          <w:rFonts w:eastAsia="Georgia" w:cs="Georgia"/>
          <w:b w:val="false"/>
          <w:bCs w:val="false"/>
          <w:i w:val="false"/>
          <w:iCs w:val="false"/>
          <w:color w:val="1A1A1A"/>
          <w:sz w:val="22"/>
          <w:szCs w:val="22"/>
        </w:rPr>
        <w:t>The instruments and markets a user can access are determined by their verified jurisdiction and accreditation status, so that, for example, an event contract lawful in one country is not offered where it is prohibited.</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Integrated KYC/AML and travel-rule compliance. </w:t>
      </w:r>
      <w:r>
        <w:rPr>
          <w:rFonts w:eastAsia="Georgia" w:cs="Georgia"/>
          <w:b w:val="false"/>
          <w:bCs w:val="false"/>
          <w:i w:val="false"/>
          <w:iCs w:val="false"/>
          <w:color w:val="1A1A1A"/>
          <w:sz w:val="22"/>
          <w:szCs w:val="22"/>
        </w:rPr>
        <w:t>Identity verification, sanctions screening, and transaction monitoring operate continuously, satisfying FinCEN and equivalent obligations.</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Licensed venue structure. </w:t>
      </w:r>
      <w:r>
        <w:rPr>
          <w:rFonts w:eastAsia="Georgia" w:cs="Georgia"/>
          <w:b w:val="false"/>
          <w:bCs w:val="false"/>
          <w:i w:val="false"/>
          <w:iCs w:val="false"/>
          <w:color w:val="1A1A1A"/>
          <w:sz w:val="22"/>
          <w:szCs w:val="22"/>
        </w:rPr>
        <w:t>Secondary trading of securities occurs through an ATS (U.S.) or under the DLT Pilot Regime (EU), and event contracts through a designated contract market (Section 8.3).</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Modular jurisdiction expansion. </w:t>
      </w:r>
      <w:r>
        <w:rPr>
          <w:rFonts w:eastAsia="Georgia" w:cs="Georgia"/>
          <w:b w:val="false"/>
          <w:bCs w:val="false"/>
          <w:i w:val="false"/>
          <w:iCs w:val="false"/>
          <w:color w:val="1A1A1A"/>
          <w:sz w:val="22"/>
          <w:szCs w:val="22"/>
        </w:rPr>
        <w:t>Because money-transmitter and equivalent licenses are jurisdiction-specific, the platform must expand market by market rather than launching globally—a sequencing constraint, not merely a cost.</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Regulatory Layer</w:t>
            </w:r>
          </w:p>
          <w:p>
            <w:pPr>
              <w:pStyle w:val="Normal"/>
              <w:spacing w:lineRule="auto" w:line="264" w:before="0" w:after="0"/>
              <w:jc w:val="left"/>
              <w:rPr/>
            </w:pPr>
            <w:r>
              <w:rPr>
                <w:rFonts w:eastAsia="Georgia" w:cs="Georgia"/>
                <w:i/>
                <w:iCs/>
                <w:color w:val="1A1A1A"/>
                <w:sz w:val="21"/>
                <w:szCs w:val="21"/>
              </w:rPr>
              <w:t>Regulation, not technology, is the gating constraint. Each regime is navigable individually, and regulated precedents exist (Securitize, tZERO, ADDX, the EU DLT Pilot Regime). But a single platform spanning securities, event contracts, lending, payments, and virtual assets must satisfy all of them at once, which forces a regulated-first, jurisdiction-by-jurisdiction expansion and a compliance layer built into the token standard itself. Verdict: feasible only as a staged, compliance-first build; infeasible as a launch-everything-everywhere platform.</w:t>
            </w:r>
          </w:p>
        </w:tc>
      </w:tr>
    </w:tbl>
    <w:p>
      <w:pPr>
        <w:pStyle w:val="Normal"/>
        <w:rPr/>
      </w:pPr>
      <w:r>
        <w:rPr/>
      </w:r>
      <w:r>
        <w:br w:type="page"/>
      </w:r>
    </w:p>
    <w:p>
      <w:pPr>
        <w:pStyle w:val="Heading1"/>
        <w:spacing w:before="0" w:after="200"/>
        <w:rPr/>
      </w:pPr>
      <w:bookmarkStart w:id="26" w:name="__RefHeading___Toc1403_1329916799"/>
      <w:bookmarkEnd w:id="26"/>
      <w:r>
        <w:rPr/>
        <w:t>6. Artificial Intelligence and Algorithmic Advising</w:t>
      </w:r>
    </w:p>
    <w:p>
      <w:pPr>
        <w:pStyle w:val="Normal"/>
        <w:spacing w:lineRule="auto" w:line="276" w:before="0" w:after="140"/>
        <w:jc w:val="both"/>
        <w:rPr/>
      </w:pPr>
      <w:r>
        <w:rPr>
          <w:rFonts w:eastAsia="Georgia" w:cs="Georgia"/>
          <w:b w:val="false"/>
          <w:bCs w:val="false"/>
          <w:i w:val="false"/>
          <w:iCs w:val="false"/>
          <w:color w:val="1A1A1A"/>
          <w:sz w:val="22"/>
          <w:szCs w:val="22"/>
        </w:rPr>
        <w:t>Flock proposes to embed machine intelligence throughout the platform: in portfolio construction, risk assessment, market-sentiment analysis, conversational advisory, and the “AI-versus-human” advisory contests of Tier 2. This section assesses the maturity and the limits of that intelligence layer, grounding it in both the classical theory of portfolio choice and the recent machine-learning literature.</w:t>
      </w:r>
    </w:p>
    <w:p>
      <w:pPr>
        <w:pStyle w:val="Heading2"/>
        <w:rPr/>
      </w:pPr>
      <w:bookmarkStart w:id="27" w:name="__RefHeading___Toc1405_1329916799"/>
      <w:bookmarkEnd w:id="27"/>
      <w:r>
        <w:rPr/>
        <w:t>6.1 Foundations: From Markowitz to Risk-Adjusted Performance</w:t>
      </w:r>
    </w:p>
    <w:p>
      <w:pPr>
        <w:pStyle w:val="Normal"/>
        <w:spacing w:lineRule="auto" w:line="276" w:before="0" w:after="140"/>
        <w:jc w:val="both"/>
        <w:rPr/>
      </w:pPr>
      <w:r>
        <w:rPr>
          <w:rFonts w:eastAsia="Georgia" w:cs="Georgia"/>
          <w:b w:val="false"/>
          <w:bCs w:val="false"/>
          <w:i w:val="false"/>
          <w:iCs w:val="false"/>
          <w:color w:val="1A1A1A"/>
          <w:sz w:val="22"/>
          <w:szCs w:val="22"/>
        </w:rPr>
        <w:t xml:space="preserve">Any automated advisory system rests on the modern theory of portfolio selection, which formalized the insight that an asset should be evaluated not in isolation but by its contribution to the risk and return of a diversified portfolio </w:t>
      </w:r>
      <w:r>
        <w:rPr>
          <w:rFonts w:eastAsia="Georgia" w:cs="Georgia"/>
          <w:sz w:val="22"/>
          <w:szCs w:val="22"/>
        </w:rPr>
        <w:t>[64]</w:t>
      </w:r>
      <w:r>
        <w:rPr>
          <w:rFonts w:eastAsia="Georgia" w:cs="Georgia"/>
          <w:b w:val="false"/>
          <w:bCs w:val="false"/>
          <w:i w:val="false"/>
          <w:iCs w:val="false"/>
          <w:color w:val="1A1A1A"/>
          <w:sz w:val="22"/>
          <w:szCs w:val="22"/>
        </w:rPr>
        <w:t xml:space="preserve">. The efficient frontier—the set of portfolios offering maximal expected return for each level of risk—remains the conceptual backbone of robo-advising, supplemented by the Black-Litterman approach to incorporating investor views </w:t>
      </w:r>
      <w:r>
        <w:rPr>
          <w:rFonts w:eastAsia="Georgia" w:cs="Georgia"/>
          <w:sz w:val="22"/>
          <w:szCs w:val="22"/>
        </w:rPr>
        <w:t>[68]</w:t>
      </w:r>
      <w:r>
        <w:rPr>
          <w:rFonts w:eastAsia="Georgia" w:cs="Georgia"/>
          <w:b w:val="false"/>
          <w:bCs w:val="false"/>
          <w:i w:val="false"/>
          <w:iCs w:val="false"/>
          <w:color w:val="1A1A1A"/>
          <w:sz w:val="22"/>
          <w:szCs w:val="22"/>
        </w:rPr>
        <w:t xml:space="preserve"> and by risk-adjusted performance metrics: the Sharpe ratio (excess return per unit of total volatility) </w:t>
      </w:r>
      <w:r>
        <w:rPr>
          <w:rFonts w:eastAsia="Georgia" w:cs="Georgia"/>
          <w:sz w:val="22"/>
          <w:szCs w:val="22"/>
        </w:rPr>
        <w:t>[65]</w:t>
      </w:r>
      <w:r>
        <w:rPr>
          <w:rFonts w:eastAsia="Georgia" w:cs="Georgia"/>
          <w:b w:val="false"/>
          <w:bCs w:val="false"/>
          <w:i w:val="false"/>
          <w:iCs w:val="false"/>
          <w:color w:val="1A1A1A"/>
          <w:sz w:val="22"/>
          <w:szCs w:val="22"/>
        </w:rPr>
        <w:t xml:space="preserve">, the Sortino ratio (penalizing only downside deviation) </w:t>
      </w:r>
      <w:r>
        <w:rPr>
          <w:rFonts w:eastAsia="Georgia" w:cs="Georgia"/>
          <w:sz w:val="22"/>
          <w:szCs w:val="22"/>
        </w:rPr>
        <w:t>[66]</w:t>
      </w:r>
      <w:r>
        <w:rPr>
          <w:rFonts w:eastAsia="Georgia" w:cs="Georgia"/>
          <w:b w:val="false"/>
          <w:bCs w:val="false"/>
          <w:i w:val="false"/>
          <w:iCs w:val="false"/>
          <w:color w:val="1A1A1A"/>
          <w:sz w:val="22"/>
          <w:szCs w:val="22"/>
        </w:rPr>
        <w:t xml:space="preserve">, and the Treynor ratio (return per unit of systematic risk) </w:t>
      </w:r>
      <w:r>
        <w:rPr>
          <w:rFonts w:eastAsia="Georgia" w:cs="Georgia"/>
          <w:sz w:val="22"/>
          <w:szCs w:val="22"/>
        </w:rPr>
        <w:t>[67]</w:t>
      </w:r>
      <w:r>
        <w:rPr>
          <w:rFonts w:eastAsia="Georgia" w:cs="Georgia"/>
          <w:b w:val="false"/>
          <w:bCs w:val="false"/>
          <w:i w:val="false"/>
          <w:iCs w:val="false"/>
          <w:color w:val="1A1A1A"/>
          <w:sz w:val="22"/>
          <w:szCs w:val="22"/>
        </w:rPr>
        <w:t xml:space="preserve">. These measures would furnish the objective functions and reporting standards for Flock’s advisory layer. A note of theoretical caution is warranted: the assumptions underlying mean-variance optimization can, under certain parameterizations, yield “impossible frontiers,” and naive optimization is notoriously sensitive to estimation error </w:t>
      </w:r>
      <w:r>
        <w:rPr>
          <w:rFonts w:eastAsia="Georgia" w:cs="Georgia"/>
          <w:sz w:val="22"/>
          <w:szCs w:val="22"/>
        </w:rPr>
        <w:t>[69]</w:t>
      </w:r>
      <w:r>
        <w:rPr>
          <w:rFonts w:eastAsia="Georgia" w:cs="Georgia"/>
          <w:b w:val="false"/>
          <w:bCs w:val="false"/>
          <w:i w:val="false"/>
          <w:iCs w:val="false"/>
          <w:color w:val="1A1A1A"/>
          <w:sz w:val="22"/>
          <w:szCs w:val="22"/>
        </w:rPr>
        <w:t>—a reminder that algorithmic sophistication does not eliminate model risk.</w:t>
      </w:r>
    </w:p>
    <w:p>
      <w:pPr>
        <w:pStyle w:val="Heading2"/>
        <w:rPr/>
      </w:pPr>
      <w:bookmarkStart w:id="28" w:name="__RefHeading___Toc1407_1329916799"/>
      <w:bookmarkEnd w:id="28"/>
      <w:r>
        <w:rPr/>
        <w:t>6.2 Robo-Advising: Empirical Promise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machine-learning literature provides genuine support for automated advisory. Wang and Yu demonstrated a two-agent system combining inverse optimization (to infer investor preferences) with deep reinforcement learning (to construct portfolios) that outperformed a broad market benchmark over a multi-year evaluation </w:t>
      </w:r>
      <w:r>
        <w:rPr>
          <w:rFonts w:eastAsia="Georgia" w:cs="Georgia"/>
          <w:sz w:val="22"/>
          <w:szCs w:val="22"/>
        </w:rPr>
        <w:t>[58]</w:t>
      </w:r>
      <w:r>
        <w:rPr>
          <w:rFonts w:eastAsia="Georgia" w:cs="Georgia"/>
          <w:b w:val="false"/>
          <w:bCs w:val="false"/>
          <w:i w:val="false"/>
          <w:iCs w:val="false"/>
          <w:color w:val="1A1A1A"/>
          <w:sz w:val="22"/>
          <w:szCs w:val="22"/>
        </w:rPr>
        <w:t xml:space="preserve">. Alsabah and colleagues showed that a robo-advisor can learn investor risk preferences from observed portfolio choices through reinforcement learning </w:t>
      </w:r>
      <w:r>
        <w:rPr>
          <w:rFonts w:eastAsia="Georgia" w:cs="Georgia"/>
          <w:sz w:val="22"/>
          <w:szCs w:val="22"/>
        </w:rPr>
        <w:t>[59]</w:t>
      </w:r>
      <w:r>
        <w:rPr>
          <w:rFonts w:eastAsia="Georgia" w:cs="Georgia"/>
          <w:b w:val="false"/>
          <w:bCs w:val="false"/>
          <w:i w:val="false"/>
          <w:iCs w:val="false"/>
          <w:color w:val="1A1A1A"/>
          <w:sz w:val="22"/>
          <w:szCs w:val="22"/>
        </w:rPr>
        <w:t xml:space="preserve">, and a broader survey documents the rapid maturation of reinforcement-learning methods across quantitative finance </w:t>
      </w:r>
      <w:r>
        <w:rPr>
          <w:rFonts w:eastAsia="Georgia" w:cs="Georgia"/>
          <w:sz w:val="22"/>
          <w:szCs w:val="22"/>
        </w:rPr>
        <w:t>[61, 62]</w:t>
      </w:r>
      <w:r>
        <w:rPr>
          <w:rFonts w:eastAsia="Georgia" w:cs="Georgia"/>
          <w:b w:val="false"/>
          <w:bCs w:val="false"/>
          <w:i w:val="false"/>
          <w:iCs w:val="false"/>
          <w:color w:val="1A1A1A"/>
          <w:sz w:val="22"/>
          <w:szCs w:val="22"/>
        </w:rPr>
        <w:t xml:space="preserve">. Most important for Flock’s consumer-protection posture, the foundational empirical study of robo-advising by D’Acunto, Prabhala, and Rossi found that adoption </w:t>
      </w:r>
      <w:r>
        <w:rPr>
          <w:rFonts w:eastAsia="Georgia" w:cs="Georgia"/>
          <w:b/>
          <w:bCs/>
          <w:i w:val="false"/>
          <w:iCs w:val="false"/>
          <w:color w:val="1A1A1A"/>
          <w:sz w:val="22"/>
          <w:szCs w:val="22"/>
        </w:rPr>
        <w:t>improved diversification and reduced well-documented behavioral biases</w:t>
      </w:r>
      <w:r>
        <w:rPr>
          <w:rFonts w:eastAsia="Georgia" w:cs="Georgia"/>
          <w:b w:val="false"/>
          <w:bCs w:val="false"/>
          <w:i w:val="false"/>
          <w:iCs w:val="false"/>
          <w:color w:val="1A1A1A"/>
          <w:sz w:val="22"/>
          <w:szCs w:val="22"/>
        </w:rPr>
        <w:t xml:space="preserve">—the disposition effect, trend-chasing, and the rank effect—among the investors who used it </w:t>
      </w:r>
      <w:r>
        <w:rPr>
          <w:rFonts w:eastAsia="Georgia" w:cs="Georgia"/>
          <w:sz w:val="22"/>
          <w:szCs w:val="22"/>
        </w:rPr>
        <w:t>[60]</w:t>
      </w:r>
      <w:r>
        <w:rPr>
          <w:rFonts w:eastAsia="Georgia" w:cs="Georgia"/>
          <w:b w:val="false"/>
          <w:bCs w:val="false"/>
          <w:i w:val="false"/>
          <w:iCs w:val="false"/>
          <w:color w:val="1A1A1A"/>
          <w:sz w:val="22"/>
          <w:szCs w:val="22"/>
        </w:rPr>
        <w:t>. This is direct evidence that algorithmic advising can serve, rather than merely exploit, retail investors—consistent with Flock’s stated ethos.</w:t>
      </w:r>
    </w:p>
    <w:p>
      <w:pPr>
        <w:pStyle w:val="Heading2"/>
        <w:rPr/>
      </w:pPr>
      <w:bookmarkStart w:id="29" w:name="__RefHeading___Toc1409_1329916799"/>
      <w:bookmarkEnd w:id="29"/>
      <w:r>
        <w:rPr/>
        <w:t>6.3 The Risks of an Intelligence Layer</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same literature counsels caution. A 2025 analysis of AI-mediated investment platforms identifies risks that are especially acute for a system like Flock that fuses advising with social trading: </w:t>
      </w:r>
      <w:r>
        <w:rPr>
          <w:rFonts w:eastAsia="Georgia" w:cs="Georgia"/>
          <w:b/>
          <w:bCs/>
          <w:i w:val="false"/>
          <w:iCs w:val="false"/>
          <w:color w:val="1A1A1A"/>
          <w:sz w:val="22"/>
          <w:szCs w:val="22"/>
        </w:rPr>
        <w:t>opacity in ranking and recommendation</w:t>
      </w:r>
      <w:r>
        <w:rPr>
          <w:rFonts w:eastAsia="Georgia" w:cs="Georgia"/>
          <w:b w:val="false"/>
          <w:bCs w:val="false"/>
          <w:i w:val="false"/>
          <w:iCs w:val="false"/>
          <w:color w:val="1A1A1A"/>
          <w:sz w:val="22"/>
          <w:szCs w:val="22"/>
        </w:rPr>
        <w:t xml:space="preserve"> (users cannot see why an asset or a lead trader is surfaced), </w:t>
      </w:r>
      <w:r>
        <w:rPr>
          <w:rFonts w:eastAsia="Georgia" w:cs="Georgia"/>
          <w:b/>
          <w:bCs/>
          <w:i w:val="false"/>
          <w:iCs w:val="false"/>
          <w:color w:val="1A1A1A"/>
          <w:sz w:val="22"/>
          <w:szCs w:val="22"/>
        </w:rPr>
        <w:t>opacity in risk communication</w:t>
      </w:r>
      <w:r>
        <w:rPr>
          <w:rFonts w:eastAsia="Georgia" w:cs="Georgia"/>
          <w:b w:val="false"/>
          <w:bCs w:val="false"/>
          <w:i w:val="false"/>
          <w:iCs w:val="false"/>
          <w:color w:val="1A1A1A"/>
          <w:sz w:val="22"/>
          <w:szCs w:val="22"/>
        </w:rPr>
        <w:t xml:space="preserve">, and </w:t>
      </w:r>
      <w:r>
        <w:rPr>
          <w:rFonts w:eastAsia="Georgia" w:cs="Georgia"/>
          <w:b/>
          <w:bCs/>
          <w:i w:val="false"/>
          <w:iCs w:val="false"/>
          <w:color w:val="1A1A1A"/>
          <w:sz w:val="22"/>
          <w:szCs w:val="22"/>
        </w:rPr>
        <w:t>feedback loops</w:t>
      </w:r>
      <w:r>
        <w:rPr>
          <w:rFonts w:eastAsia="Georgia" w:cs="Georgia"/>
          <w:b w:val="false"/>
          <w:bCs w:val="false"/>
          <w:i w:val="false"/>
          <w:iCs w:val="false"/>
          <w:color w:val="1A1A1A"/>
          <w:sz w:val="22"/>
          <w:szCs w:val="22"/>
        </w:rPr>
        <w:t xml:space="preserve"> in which algorithmic surfacing concentrates capital into crowded positions </w:t>
      </w:r>
      <w:r>
        <w:rPr>
          <w:rFonts w:eastAsia="Georgia" w:cs="Georgia"/>
          <w:sz w:val="22"/>
          <w:szCs w:val="22"/>
        </w:rPr>
        <w:t>[63]</w:t>
      </w:r>
      <w:r>
        <w:rPr>
          <w:rFonts w:eastAsia="Georgia" w:cs="Georgia"/>
          <w:b w:val="false"/>
          <w:bCs w:val="false"/>
          <w:i w:val="false"/>
          <w:iCs w:val="false"/>
          <w:color w:val="1A1A1A"/>
          <w:sz w:val="22"/>
          <w:szCs w:val="22"/>
        </w:rPr>
        <w:t xml:space="preserve">. The same study uses a leading social-trading platform as a case in point—directly relevant given Flock’s copy-trading layer (Section 7). Predictive analytics in private markets, exemplified by large private-equity firms’ use of proprietary deal-sourcing platforms, show the upside of machine intelligence in finance </w:t>
      </w:r>
      <w:r>
        <w:rPr>
          <w:rFonts w:eastAsia="Georgia" w:cs="Georgia"/>
          <w:sz w:val="22"/>
          <w:szCs w:val="22"/>
        </w:rPr>
        <w:t>[70]</w:t>
      </w:r>
      <w:r>
        <w:rPr>
          <w:rFonts w:eastAsia="Georgia" w:cs="Georgia"/>
          <w:b w:val="false"/>
          <w:bCs w:val="false"/>
          <w:i w:val="false"/>
          <w:iCs w:val="false"/>
          <w:color w:val="1A1A1A"/>
          <w:sz w:val="22"/>
          <w:szCs w:val="22"/>
        </w:rPr>
        <w:t>, but the consumer-facing deployment Flock envisions carries distinct obligations. The design implications are concrete: recommendations must be explainable, risk must be communicated in standardized and prominent terms, and the platform must actively monitor for and dampen the herding feedback loops that algorithmic surfacing can create. An intelligence layer that is opaque or that amplifies crowding would convert a differentiator into a liability.</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Intelligence Layer</w:t>
            </w:r>
          </w:p>
          <w:p>
            <w:pPr>
              <w:pStyle w:val="Normal"/>
              <w:spacing w:lineRule="auto" w:line="264" w:before="0" w:after="0"/>
              <w:jc w:val="left"/>
              <w:rPr/>
            </w:pPr>
            <w:r>
              <w:rPr>
                <w:rFonts w:eastAsia="Georgia" w:cs="Georgia"/>
                <w:i/>
                <w:iCs/>
                <w:color w:val="1A1A1A"/>
                <w:sz w:val="21"/>
                <w:szCs w:val="21"/>
              </w:rPr>
              <w:t>Automated advising is technically mature and, on the best empirical evidence, can improve diversification and reduce behavioral biases for ordinary investors. The binding constraints are explainability, standardized risk communication, and active suppression of algorithmic herding. Verdict: feasible and genuinely beneficial if built transparently; harmful if it amplifies crowding or obscures risk.</w:t>
            </w:r>
          </w:p>
        </w:tc>
      </w:tr>
    </w:tbl>
    <w:p>
      <w:pPr>
        <w:pStyle w:val="Normal"/>
        <w:rPr/>
      </w:pPr>
      <w:r>
        <w:rPr/>
      </w:r>
      <w:r>
        <w:br w:type="page"/>
      </w:r>
    </w:p>
    <w:p>
      <w:pPr>
        <w:pStyle w:val="Heading1"/>
        <w:spacing w:before="0" w:after="200"/>
        <w:rPr/>
      </w:pPr>
      <w:bookmarkStart w:id="30" w:name="__RefHeading___Toc1411_1329916799"/>
      <w:bookmarkEnd w:id="30"/>
      <w:r>
        <w:rPr/>
        <w:t>7. Social, Copy, and Freelance Advisory Trading</w:t>
      </w:r>
    </w:p>
    <w:p>
      <w:pPr>
        <w:pStyle w:val="Normal"/>
        <w:spacing w:lineRule="auto" w:line="276" w:before="0" w:after="140"/>
        <w:jc w:val="both"/>
        <w:rPr/>
      </w:pPr>
      <w:r>
        <w:rPr>
          <w:rFonts w:eastAsia="Georgia" w:cs="Georgia"/>
          <w:b w:val="false"/>
          <w:bCs w:val="false"/>
          <w:i w:val="false"/>
          <w:iCs w:val="false"/>
          <w:color w:val="1A1A1A"/>
          <w:sz w:val="22"/>
          <w:szCs w:val="22"/>
        </w:rPr>
        <w:t>Flock’s social layer—copy trading, reputation systems, and a freelance-advisory marketplace in which qualified users advise others for compensation—draws on a substantial empirical literature, most of it centered on the dominant social-trading platform, eToro. That literature is double-edged: it confirms that social mechanisms drive engagement and can transmit useful information, but it documents systematic behavioral hazards that Flock’s design must confront directly.</w:t>
      </w:r>
    </w:p>
    <w:p>
      <w:pPr>
        <w:pStyle w:val="Heading2"/>
        <w:rPr/>
      </w:pPr>
      <w:bookmarkStart w:id="31" w:name="__RefHeading___Toc1413_1329916799"/>
      <w:bookmarkEnd w:id="31"/>
      <w:r>
        <w:rPr/>
        <w:t>7.1 What the Evidence Shows About Copy Trading</w:t>
      </w:r>
    </w:p>
    <w:p>
      <w:pPr>
        <w:pStyle w:val="Normal"/>
        <w:spacing w:lineRule="auto" w:line="276" w:before="0" w:after="140"/>
        <w:jc w:val="both"/>
        <w:rPr/>
      </w:pPr>
      <w:r>
        <w:rPr>
          <w:rFonts w:eastAsia="Georgia" w:cs="Georgia"/>
          <w:b w:val="false"/>
          <w:bCs w:val="false"/>
          <w:i w:val="false"/>
          <w:iCs w:val="false"/>
          <w:color w:val="1A1A1A"/>
          <w:sz w:val="22"/>
          <w:szCs w:val="22"/>
        </w:rPr>
        <w:t xml:space="preserve">Research using platform data establishes several robust findings. First, social-trading features measurably alter behavior: the visibility of others’ positions and one-click copying </w:t>
      </w:r>
      <w:r>
        <w:rPr>
          <w:rFonts w:eastAsia="Georgia" w:cs="Georgia"/>
          <w:b/>
          <w:bCs/>
          <w:i w:val="false"/>
          <w:iCs w:val="false"/>
          <w:color w:val="1A1A1A"/>
          <w:sz w:val="22"/>
          <w:szCs w:val="22"/>
        </w:rPr>
        <w:t>increase risk appetite and imitation</w:t>
      </w:r>
      <w:r>
        <w:rPr>
          <w:rFonts w:eastAsia="Georgia" w:cs="Georgia"/>
          <w:b w:val="false"/>
          <w:bCs w:val="false"/>
          <w:i w:val="false"/>
          <w:iCs w:val="false"/>
          <w:color w:val="1A1A1A"/>
          <w:sz w:val="22"/>
          <w:szCs w:val="22"/>
        </w:rPr>
        <w:t xml:space="preserve">, and produce stronger co-movement—herding—among participants, an effect found to be more pronounced in cryptocurrency than in equities </w:t>
      </w:r>
      <w:r>
        <w:rPr>
          <w:rFonts w:eastAsia="Georgia" w:cs="Georgia"/>
          <w:sz w:val="22"/>
          <w:szCs w:val="22"/>
        </w:rPr>
        <w:t>[71]</w:t>
      </w:r>
      <w:r>
        <w:rPr>
          <w:rFonts w:eastAsia="Georgia" w:cs="Georgia"/>
          <w:b w:val="false"/>
          <w:bCs w:val="false"/>
          <w:i w:val="false"/>
          <w:iCs w:val="false"/>
          <w:color w:val="1A1A1A"/>
          <w:sz w:val="22"/>
          <w:szCs w:val="22"/>
        </w:rPr>
        <w:t xml:space="preserve">. Second, the social context interacts with well-known biases: the fear of reputational loss among those being copied affects their realization of gains and losses, modulating the disposition effect </w:t>
      </w:r>
      <w:r>
        <w:rPr>
          <w:rFonts w:eastAsia="Georgia" w:cs="Georgia"/>
          <w:sz w:val="22"/>
          <w:szCs w:val="22"/>
        </w:rPr>
        <w:t>[72, 73]</w:t>
      </w:r>
      <w:r>
        <w:rPr>
          <w:rFonts w:eastAsia="Georgia" w:cs="Georgia"/>
          <w:b w:val="false"/>
          <w:bCs w:val="false"/>
          <w:i w:val="false"/>
          <w:iCs w:val="false"/>
          <w:color w:val="1A1A1A"/>
          <w:sz w:val="22"/>
          <w:szCs w:val="22"/>
        </w:rPr>
        <w:t xml:space="preserve">. Third, and most consequential for platform design, trust and the decision to imitate are driven more by a lead trader’s </w:t>
      </w:r>
      <w:r>
        <w:rPr>
          <w:rFonts w:eastAsia="Georgia" w:cs="Georgia"/>
          <w:b/>
          <w:bCs/>
          <w:i w:val="false"/>
          <w:iCs w:val="false"/>
          <w:color w:val="1A1A1A"/>
          <w:sz w:val="22"/>
          <w:szCs w:val="22"/>
        </w:rPr>
        <w:t>displayed credentials and narrative</w:t>
      </w:r>
      <w:r>
        <w:rPr>
          <w:rFonts w:eastAsia="Georgia" w:cs="Georgia"/>
          <w:b w:val="false"/>
          <w:bCs w:val="false"/>
          <w:i w:val="false"/>
          <w:iCs w:val="false"/>
          <w:color w:val="1A1A1A"/>
          <w:sz w:val="22"/>
          <w:szCs w:val="22"/>
        </w:rPr>
        <w:t xml:space="preserve"> than by rigorous risk-adjusted performance, and imitation combined with low displayed risk explains much of the observed copying behavior </w:t>
      </w:r>
      <w:r>
        <w:rPr>
          <w:rFonts w:eastAsia="Georgia" w:cs="Georgia"/>
          <w:sz w:val="22"/>
          <w:szCs w:val="22"/>
        </w:rPr>
        <w:t>[75, 76, 74]</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systemic dimension is the most serious. A 2025 critical analysis of eToro’s CopyTrader mechanism, examined in the context of the 2021 “meme-stock” episode, argues that indiscriminate replication can </w:t>
      </w:r>
      <w:r>
        <w:rPr>
          <w:rFonts w:eastAsia="Georgia" w:cs="Georgia"/>
          <w:b/>
          <w:bCs/>
          <w:i w:val="false"/>
          <w:iCs w:val="false"/>
          <w:color w:val="1A1A1A"/>
          <w:sz w:val="22"/>
          <w:szCs w:val="22"/>
        </w:rPr>
        <w:t>amplify systemic risk through herd mentality</w:t>
      </w:r>
      <w:r>
        <w:rPr>
          <w:rFonts w:eastAsia="Georgia" w:cs="Georgia"/>
          <w:b w:val="false"/>
          <w:bCs w:val="false"/>
          <w:i w:val="false"/>
          <w:iCs w:val="false"/>
          <w:color w:val="1A1A1A"/>
          <w:sz w:val="22"/>
          <w:szCs w:val="22"/>
        </w:rPr>
        <w:t xml:space="preserve">—many followers automatically mirroring a few leaders can magnify crowded trades and accelerate both inflows and unwinds </w:t>
      </w:r>
      <w:r>
        <w:rPr>
          <w:rFonts w:eastAsia="Georgia" w:cs="Georgia"/>
          <w:sz w:val="22"/>
          <w:szCs w:val="22"/>
        </w:rPr>
        <w:t>[77]</w:t>
      </w:r>
      <w:r>
        <w:rPr>
          <w:rFonts w:eastAsia="Georgia" w:cs="Georgia"/>
          <w:b w:val="false"/>
          <w:bCs w:val="false"/>
          <w:i w:val="false"/>
          <w:iCs w:val="false"/>
          <w:color w:val="1A1A1A"/>
          <w:sz w:val="22"/>
          <w:szCs w:val="22"/>
        </w:rPr>
        <w:t>. This connects directly to the algorithmic-herding feedback loops identified in Section 6.3: a platform that both algorithmically surfaces lead traders and lets users auto-copy them risks compounding the effect.</w:t>
      </w:r>
    </w:p>
    <w:p>
      <w:pPr>
        <w:pStyle w:val="Heading2"/>
        <w:rPr/>
      </w:pPr>
      <w:bookmarkStart w:id="32" w:name="__RefHeading___Toc1415_1329916799"/>
      <w:bookmarkEnd w:id="32"/>
      <w:r>
        <w:rPr/>
        <w:t>7.2 Design Implications for Flock</w:t>
      </w:r>
    </w:p>
    <w:p>
      <w:pPr>
        <w:pStyle w:val="Normal"/>
        <w:spacing w:lineRule="auto" w:line="276" w:before="0" w:after="140"/>
        <w:jc w:val="both"/>
        <w:rPr/>
      </w:pPr>
      <w:r>
        <w:rPr>
          <w:rFonts w:eastAsia="Georgia" w:cs="Georgia"/>
          <w:b w:val="false"/>
          <w:bCs w:val="false"/>
          <w:i w:val="false"/>
          <w:iCs w:val="false"/>
          <w:color w:val="1A1A1A"/>
          <w:sz w:val="22"/>
          <w:szCs w:val="22"/>
        </w:rPr>
        <w:t>The evidence does not condemn social trading; it prescribes the controls under which it can be offered responsibly. For Flock, the implications are specific:</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Surface risk-adjusted performance, not raw returns or narrative. </w:t>
      </w:r>
      <w:r>
        <w:rPr>
          <w:rFonts w:eastAsia="Georgia" w:cs="Georgia"/>
          <w:b w:val="false"/>
          <w:bCs w:val="false"/>
          <w:i w:val="false"/>
          <w:iCs w:val="false"/>
          <w:color w:val="1A1A1A"/>
          <w:sz w:val="22"/>
          <w:szCs w:val="22"/>
        </w:rPr>
        <w:t>Because users over-weight credentials and headline returns, the platform should foreground standardized risk-adjusted metrics (Section 6.1) and the maximum drawdown of any copyable strategy, counteracting the documented tendency to trust narrative over substance.</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Impose herding circuit-breakers. </w:t>
      </w:r>
      <w:r>
        <w:rPr>
          <w:rFonts w:eastAsia="Georgia" w:cs="Georgia"/>
          <w:b w:val="false"/>
          <w:bCs w:val="false"/>
          <w:i w:val="false"/>
          <w:iCs w:val="false"/>
          <w:color w:val="1A1A1A"/>
          <w:sz w:val="22"/>
          <w:szCs w:val="22"/>
        </w:rPr>
        <w:t>Concentration limits on how much aggregate capital can copy a single leader, and dampers on positions that have become crowded, directly target the systemic-amplification risk.</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Cap per-strategy risk for lower tiers. </w:t>
      </w:r>
      <w:r>
        <w:rPr>
          <w:rFonts w:eastAsia="Georgia" w:cs="Georgia"/>
          <w:b w:val="false"/>
          <w:bCs w:val="false"/>
          <w:i w:val="false"/>
          <w:iCs w:val="false"/>
          <w:color w:val="1A1A1A"/>
          <w:sz w:val="22"/>
          <w:szCs w:val="22"/>
        </w:rPr>
        <w:t>Consistent with the progression model (Section 2.1), the riskiness of strategies a Tier 1 user may copy should be bounded, with higher-risk strategies gated behind demonstrated competence.</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Govern the freelance-advisory marketplace with reputation and disclosure. </w:t>
      </w:r>
      <w:r>
        <w:rPr>
          <w:rFonts w:eastAsia="Georgia" w:cs="Georgia"/>
          <w:b w:val="false"/>
          <w:bCs w:val="false"/>
          <w:i w:val="false"/>
          <w:iCs w:val="false"/>
          <w:color w:val="1A1A1A"/>
          <w:sz w:val="22"/>
          <w:szCs w:val="22"/>
        </w:rPr>
        <w:t>Compensated advice raises the question of advisory regulation; the marketplace must verify advisor competence, disclose conflicts and track records honestly, and operate within the bounds of investment-adviser rules in each jurisdiction.</w:t>
      </w:r>
    </w:p>
    <w:p>
      <w:pPr>
        <w:pStyle w:val="Heading2"/>
        <w:rPr/>
      </w:pPr>
      <w:bookmarkStart w:id="33" w:name="__RefHeading___Toc1417_1329916799"/>
      <w:bookmarkEnd w:id="33"/>
      <w:r>
        <w:rPr/>
        <w:t>7.3 The Peer-to-Peer Lending Antecedent</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freelance and peer mechanisms have an instructive antecedent in peer-to-peer lending, whose history tempers optimism about disintermediated retail finance. The foundational empirical study of LendingClub data established that, in P2P lending, </w:t>
      </w:r>
      <w:r>
        <w:rPr>
          <w:rFonts w:eastAsia="Georgia" w:cs="Georgia"/>
          <w:b/>
          <w:bCs/>
          <w:i w:val="false"/>
          <w:iCs w:val="false"/>
          <w:color w:val="1A1A1A"/>
          <w:sz w:val="22"/>
          <w:szCs w:val="22"/>
        </w:rPr>
        <w:t>the individual investor bears the credit risk</w:t>
      </w:r>
      <w:r>
        <w:rPr>
          <w:rFonts w:eastAsia="Georgia" w:cs="Georgia"/>
          <w:b w:val="false"/>
          <w:bCs w:val="false"/>
          <w:i w:val="false"/>
          <w:iCs w:val="false"/>
          <w:color w:val="1A1A1A"/>
          <w:sz w:val="22"/>
          <w:szCs w:val="22"/>
        </w:rPr>
        <w:t xml:space="preserve">, and that platform-assigned grade is the dominant predictor of default </w:t>
      </w:r>
      <w:r>
        <w:rPr>
          <w:rFonts w:eastAsia="Georgia" w:cs="Georgia"/>
          <w:sz w:val="22"/>
          <w:szCs w:val="22"/>
        </w:rPr>
        <w:t>[129]</w:t>
      </w:r>
      <w:r>
        <w:rPr>
          <w:rFonts w:eastAsia="Georgia" w:cs="Georgia"/>
          <w:b w:val="false"/>
          <w:bCs w:val="false"/>
          <w:i w:val="false"/>
          <w:iCs w:val="false"/>
          <w:color w:val="1A1A1A"/>
          <w:sz w:val="22"/>
          <w:szCs w:val="22"/>
        </w:rPr>
        <w:t xml:space="preserve">. Subsequent Federal Reserve research found that institutional investors entering these markets reduced returns available to retail participants through adverse selection—cherry-picking the best loans </w:t>
      </w:r>
      <w:r>
        <w:rPr>
          <w:rFonts w:eastAsia="Georgia" w:cs="Georgia"/>
          <w:sz w:val="22"/>
          <w:szCs w:val="22"/>
        </w:rPr>
        <w:t>[130]</w:t>
      </w:r>
      <w:r>
        <w:rPr>
          <w:rFonts w:eastAsia="Georgia" w:cs="Georgia"/>
          <w:b w:val="false"/>
          <w:bCs w:val="false"/>
          <w:i w:val="false"/>
          <w:iCs w:val="false"/>
          <w:color w:val="1A1A1A"/>
          <w:sz w:val="22"/>
          <w:szCs w:val="22"/>
        </w:rPr>
        <w:t xml:space="preserve">. Most tellingly, LendingClub </w:t>
      </w:r>
      <w:r>
        <w:rPr>
          <w:rFonts w:eastAsia="Georgia" w:cs="Georgia"/>
          <w:b/>
          <w:bCs/>
          <w:i w:val="false"/>
          <w:iCs w:val="false"/>
          <w:color w:val="1A1A1A"/>
          <w:sz w:val="22"/>
          <w:szCs w:val="22"/>
        </w:rPr>
        <w:t>exited retail peer-to-peer lending entirely</w:t>
      </w:r>
      <w:r>
        <w:rPr>
          <w:rFonts w:eastAsia="Georgia" w:cs="Georgia"/>
          <w:b w:val="false"/>
          <w:bCs w:val="false"/>
          <w:i w:val="false"/>
          <w:iCs w:val="false"/>
          <w:color w:val="1A1A1A"/>
          <w:sz w:val="22"/>
          <w:szCs w:val="22"/>
        </w:rPr>
        <w:t xml:space="preserve">, retiring its retail Notes platform at the end of 2020 on the ground that it was not economically practical, and pivoting to a banking model </w:t>
      </w:r>
      <w:r>
        <w:rPr>
          <w:rFonts w:eastAsia="Georgia" w:cs="Georgia"/>
          <w:sz w:val="22"/>
          <w:szCs w:val="22"/>
        </w:rPr>
        <w:t>[131]</w:t>
      </w:r>
      <w:r>
        <w:rPr>
          <w:rFonts w:eastAsia="Georgia" w:cs="Georgia"/>
          <w:b w:val="false"/>
          <w:bCs w:val="false"/>
          <w:i w:val="false"/>
          <w:iCs w:val="false"/>
          <w:color w:val="1A1A1A"/>
          <w:sz w:val="22"/>
          <w:szCs w:val="22"/>
        </w:rPr>
        <w:t>. The cautionary lesson for Flock is that disintermediated retail markets can be undermined by adverse selection and by the entry of sophisticated participants who capture the best opportunities, leaving retail users with residual risk—a dynamic the platform’s reputation and matching design must explicitly counter.</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Social Layer</w:t>
            </w:r>
          </w:p>
          <w:p>
            <w:pPr>
              <w:pStyle w:val="Normal"/>
              <w:spacing w:lineRule="auto" w:line="264" w:before="0" w:after="0"/>
              <w:jc w:val="left"/>
              <w:rPr/>
            </w:pPr>
            <w:r>
              <w:rPr>
                <w:rFonts w:eastAsia="Georgia" w:cs="Georgia"/>
                <w:i/>
                <w:iCs/>
                <w:color w:val="1A1A1A"/>
                <w:sz w:val="21"/>
                <w:szCs w:val="21"/>
              </w:rPr>
              <w:t>Social and copy trading reliably drive engagement and can transmit information, but the evidence documents herding, over-reliance on narrative over risk, systemic amplification, and—in the P2P-lending antecedent—adverse selection that drove a market leader to exit retail entirely. Verdict: feasible only with herding circuit-breakers, risk-forward presentation, competence-gated copying, and a properly regulated advisory marketplace.</w:t>
            </w:r>
          </w:p>
        </w:tc>
      </w:tr>
    </w:tbl>
    <w:p>
      <w:pPr>
        <w:pStyle w:val="Normal"/>
        <w:rPr/>
      </w:pPr>
      <w:r>
        <w:rPr/>
      </w:r>
      <w:r>
        <w:br w:type="page"/>
      </w:r>
    </w:p>
    <w:p>
      <w:pPr>
        <w:pStyle w:val="Heading1"/>
        <w:spacing w:before="0" w:after="200"/>
        <w:rPr/>
      </w:pPr>
      <w:bookmarkStart w:id="34" w:name="__RefHeading___Toc1419_1329916799"/>
      <w:bookmarkEnd w:id="34"/>
      <w:r>
        <w:rPr/>
        <w:t>8. Prediction Markets and Other Event-Driven Markets</w:t>
      </w:r>
    </w:p>
    <w:p>
      <w:pPr>
        <w:pStyle w:val="Normal"/>
        <w:spacing w:lineRule="auto" w:line="276" w:before="0" w:after="140"/>
        <w:jc w:val="both"/>
        <w:rPr/>
      </w:pPr>
      <w:r>
        <w:rPr>
          <w:rFonts w:eastAsia="Georgia" w:cs="Georgia"/>
          <w:b w:val="false"/>
          <w:bCs w:val="false"/>
          <w:i w:val="false"/>
          <w:iCs w:val="false"/>
          <w:color w:val="1A1A1A"/>
          <w:sz w:val="22"/>
          <w:szCs w:val="22"/>
        </w:rPr>
        <w:t>Among the market types Flock would host, prediction markets—venues in which participants trade contracts paying out on the realized outcome of future events—are simultaneously the most theoretically celebrated and, in 2026, the most empirically scrutinized. They also illustrate, more clearly than any other domain, the gap between a market’s aggregate accuracy and the welfare of its individual participants. This section also situates the derivatives, perpetual-swap, and decentralized-insurance markets that round out a multi-market platform.</w:t>
      </w:r>
    </w:p>
    <w:p>
      <w:pPr>
        <w:pStyle w:val="Heading2"/>
        <w:rPr/>
      </w:pPr>
      <w:bookmarkStart w:id="35" w:name="__RefHeading___Toc1421_1329916799"/>
      <w:bookmarkEnd w:id="35"/>
      <w:r>
        <w:rPr/>
        <w:t>8.1 The Theory and the Accuracy Record</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theoretical case for prediction markets rests on information aggregation: prices in a well-functioning market should incorporate the dispersed private information of participants, yielding forecasts that are difficult to beat </w:t>
      </w:r>
      <w:r>
        <w:rPr>
          <w:rFonts w:eastAsia="Georgia" w:cs="Georgia"/>
          <w:sz w:val="22"/>
          <w:szCs w:val="22"/>
        </w:rPr>
        <w:t>[81]</w:t>
      </w:r>
      <w:r>
        <w:rPr>
          <w:rFonts w:eastAsia="Georgia" w:cs="Georgia"/>
          <w:b w:val="false"/>
          <w:bCs w:val="false"/>
          <w:i w:val="false"/>
          <w:iCs w:val="false"/>
          <w:color w:val="1A1A1A"/>
          <w:sz w:val="22"/>
          <w:szCs w:val="22"/>
        </w:rPr>
        <w:t xml:space="preserve">. The mechanism design literature supplies the tools—most influentially Hanson’s logarithmic market scoring rule, which provides automated liquidity and bounded subsidy for thin markets </w:t>
      </w:r>
      <w:r>
        <w:rPr>
          <w:rFonts w:eastAsia="Georgia" w:cs="Georgia"/>
          <w:sz w:val="22"/>
          <w:szCs w:val="22"/>
        </w:rPr>
        <w:t>[80]</w:t>
      </w:r>
      <w:r>
        <w:rPr>
          <w:rFonts w:eastAsia="Georgia" w:cs="Georgia"/>
          <w:b w:val="false"/>
          <w:bCs w:val="false"/>
          <w:i w:val="false"/>
          <w:iCs w:val="false"/>
          <w:color w:val="1A1A1A"/>
          <w:sz w:val="22"/>
          <w:szCs w:val="22"/>
        </w:rPr>
        <w:t xml:space="preserve">—and decades of evidence from the Iowa Electronic Markets established that even small-scale real-money markets can forecast elections with accuracy rivaling or exceeding polls </w:t>
      </w:r>
      <w:r>
        <w:rPr>
          <w:rFonts w:eastAsia="Georgia" w:cs="Georgia"/>
          <w:sz w:val="22"/>
          <w:szCs w:val="22"/>
        </w:rPr>
        <w:t>[82]</w:t>
      </w:r>
      <w:r>
        <w:rPr>
          <w:rFonts w:eastAsia="Georgia" w:cs="Georgia"/>
          <w:b w:val="false"/>
          <w:bCs w:val="false"/>
          <w:i w:val="false"/>
          <w:iCs w:val="false"/>
          <w:color w:val="1A1A1A"/>
          <w:sz w:val="22"/>
          <w:szCs w:val="22"/>
        </w:rPr>
        <w:t xml:space="preserve">. Decentralized implementations, beginning with Augur, extended the concept to permissionless settings with on-chain oracle resolution </w:t>
      </w:r>
      <w:r>
        <w:rPr>
          <w:rFonts w:eastAsia="Georgia" w:cs="Georgia"/>
          <w:sz w:val="22"/>
          <w:szCs w:val="22"/>
        </w:rPr>
        <w:t>[89]</w:t>
      </w:r>
      <w:r>
        <w:rPr>
          <w:rFonts w:eastAsia="Georgia" w:cs="Georgia"/>
          <w:b w:val="false"/>
          <w:bCs w:val="false"/>
          <w:i w:val="false"/>
          <w:iCs w:val="false"/>
          <w:color w:val="1A1A1A"/>
          <w:sz w:val="22"/>
          <w:szCs w:val="22"/>
        </w:rPr>
        <w:t>.</w:t>
      </w:r>
    </w:p>
    <w:p>
      <w:pPr>
        <w:pStyle w:val="Heading2"/>
        <w:rPr/>
      </w:pPr>
      <w:bookmarkStart w:id="36" w:name="__RefHeading___Toc1423_1329916799"/>
      <w:bookmarkEnd w:id="36"/>
      <w:r>
        <w:rPr/>
        <w:t>8.2 The Informed-Minority Critique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defining empirical contribution of 2026 complicates the celebratory narrative. A large-scale study analyzing approximately 1.72 million accounts, more than 210,000 markets, and roughly US$13.8 billion in volume on a leading decentralized prediction market found that aggregate accuracy </w:t>
      </w:r>
      <w:r>
        <w:rPr>
          <w:rFonts w:eastAsia="Georgia" w:cs="Georgia"/>
          <w:b/>
          <w:bCs/>
          <w:i w:val="false"/>
          <w:iCs w:val="false"/>
          <w:color w:val="1A1A1A"/>
          <w:sz w:val="22"/>
          <w:szCs w:val="22"/>
        </w:rPr>
        <w:t>reflects the wisdom of an informed minority, not the wisdom of the crowd</w:t>
      </w:r>
      <w:r>
        <w:rPr>
          <w:rFonts w:eastAsia="Georgia" w:cs="Georgia"/>
          <w:sz w:val="22"/>
          <w:szCs w:val="22"/>
        </w:rPr>
        <w:t>[78]</w:t>
      </w:r>
      <w:r>
        <w:rPr>
          <w:rFonts w:eastAsia="Georgia" w:cs="Georgia"/>
          <w:b w:val="false"/>
          <w:bCs w:val="false"/>
          <w:i w:val="false"/>
          <w:iCs w:val="false"/>
          <w:color w:val="1A1A1A"/>
          <w:sz w:val="22"/>
          <w:szCs w:val="22"/>
        </w:rPr>
        <w:t xml:space="preserve">. Only about 3.1 percent of accounts were skilled, consistently profitable participants, while roughly two-thirds of users lost money. A parallel study across more than 124 million trades corroborated the pattern: prices closely track realized probabilities and modestly outperform bookmaker odds, yet </w:t>
      </w:r>
      <w:r>
        <w:rPr>
          <w:rFonts w:eastAsia="Georgia" w:cs="Georgia"/>
          <w:b/>
          <w:bCs/>
          <w:i w:val="false"/>
          <w:iCs w:val="false"/>
          <w:color w:val="1A1A1A"/>
          <w:sz w:val="22"/>
          <w:szCs w:val="22"/>
        </w:rPr>
        <w:t>fewer than a third of traders earn positive profits</w:t>
      </w:r>
      <w:r>
        <w:rPr>
          <w:rFonts w:eastAsia="Georgia" w:cs="Georgia"/>
          <w:sz w:val="22"/>
          <w:szCs w:val="22"/>
        </w:rPr>
        <w:t>[79]</w:t>
      </w:r>
      <w:r>
        <w:rPr>
          <w:rFonts w:eastAsia="Georgia" w:cs="Georgia"/>
          <w:b w:val="false"/>
          <w:bCs w:val="false"/>
          <w:i w:val="false"/>
          <w:iCs w:val="false"/>
          <w:color w:val="1A1A1A"/>
          <w:sz w:val="22"/>
          <w:szCs w:val="22"/>
        </w:rPr>
        <w:t xml:space="preserve">, and reporting on the research emphasized that a small fraction of traders drives price discovery </w:t>
      </w:r>
      <w:r>
        <w:rPr>
          <w:rFonts w:eastAsia="Georgia" w:cs="Georgia"/>
          <w:sz w:val="22"/>
          <w:szCs w:val="22"/>
        </w:rPr>
        <w:t>[83]</w:t>
      </w:r>
      <w:r>
        <w:rPr>
          <w:rFonts w:eastAsia="Georgia" w:cs="Georgia"/>
          <w:b w:val="false"/>
          <w:bCs w:val="false"/>
          <w:i w:val="false"/>
          <w:iCs w:val="false"/>
          <w:color w:val="1A1A1A"/>
          <w:sz w:val="22"/>
          <w:szCs w:val="22"/>
        </w:rPr>
        <w:t xml:space="preserve">. Cross-platform analysis of the 2024 U.S. election further showed that accuracy varied substantially across venues and that cross-exchange arbitrage persisted </w:t>
      </w:r>
      <w:r>
        <w:rPr>
          <w:rFonts w:eastAsia="Georgia" w:cs="Georgia"/>
          <w:sz w:val="22"/>
          <w:szCs w:val="22"/>
        </w:rPr>
        <w:t>[84]</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implication for Flock is the same structural lesson that recurs across prediction markets, copy trading, and DeFi liquidity provision: </w:t>
      </w:r>
      <w:r>
        <w:rPr>
          <w:rFonts w:eastAsia="Georgia" w:cs="Georgia"/>
          <w:b/>
          <w:bCs/>
          <w:i w:val="false"/>
          <w:iCs w:val="false"/>
          <w:color w:val="1A1A1A"/>
          <w:sz w:val="22"/>
          <w:szCs w:val="22"/>
        </w:rPr>
        <w:t>a market can be informative in aggregate while imposing losses on the majority of its participants</w:t>
      </w:r>
      <w:r>
        <w:rPr>
          <w:rFonts w:eastAsia="Georgia" w:cs="Georgia"/>
          <w:b w:val="false"/>
          <w:bCs w:val="false"/>
          <w:i w:val="false"/>
          <w:iCs w:val="false"/>
          <w:color w:val="1A1A1A"/>
          <w:sz w:val="22"/>
          <w:szCs w:val="22"/>
        </w:rPr>
        <w:t xml:space="preserve">. A platform committed to participant welfare cannot present prediction markets to Tier 1 users as a casual earning opportunity. The responsible posture is to position event contracts primarily as </w:t>
      </w:r>
      <w:r>
        <w:rPr>
          <w:rFonts w:eastAsia="Georgia" w:cs="Georgia"/>
          <w:b/>
          <w:bCs/>
          <w:i w:val="false"/>
          <w:iCs w:val="false"/>
          <w:color w:val="1A1A1A"/>
          <w:sz w:val="22"/>
          <w:szCs w:val="22"/>
        </w:rPr>
        <w:t>hedging and forecasting instruments</w:t>
      </w:r>
      <w:r>
        <w:rPr>
          <w:rFonts w:eastAsia="Georgia" w:cs="Georgia"/>
          <w:b w:val="false"/>
          <w:bCs w:val="false"/>
          <w:i w:val="false"/>
          <w:iCs w:val="false"/>
          <w:color w:val="1A1A1A"/>
          <w:sz w:val="22"/>
          <w:szCs w:val="22"/>
        </w:rPr>
        <w:t>, to disclose the documented loss distribution prominently, and to gate speculative participation behind the competence tiers.</w:t>
      </w:r>
    </w:p>
    <w:p>
      <w:pPr>
        <w:pStyle w:val="Heading2"/>
        <w:rPr/>
      </w:pPr>
      <w:bookmarkStart w:id="37" w:name="__RefHeading___Toc1425_1329916799"/>
      <w:bookmarkEnd w:id="37"/>
      <w:r>
        <w:rPr/>
        <w:t>8.3 The Regulatory Battleground</w:t>
      </w:r>
    </w:p>
    <w:p>
      <w:pPr>
        <w:pStyle w:val="Normal"/>
        <w:spacing w:lineRule="auto" w:line="276" w:before="0" w:after="140"/>
        <w:jc w:val="both"/>
        <w:rPr/>
      </w:pPr>
      <w:r>
        <w:rPr>
          <w:rFonts w:eastAsia="Georgia" w:cs="Georgia"/>
          <w:b w:val="false"/>
          <w:bCs w:val="false"/>
          <w:i w:val="false"/>
          <w:iCs w:val="false"/>
          <w:color w:val="1A1A1A"/>
          <w:sz w:val="22"/>
          <w:szCs w:val="22"/>
        </w:rPr>
        <w:t xml:space="preserve">Event-contract markets occupy contested regulatory ground in the United States, governed primarily by the Commodity Futures Trading Commission. Two episodes define the landscape. In January 2022, the Commission fined the operator of Polymarket US$1.4 million for running an unregistered binary-options facility, with the order stating plainly that all derivatives markets must operate within the law regardless of the underlying technology, expressly including decentralized finance </w:t>
      </w:r>
      <w:r>
        <w:rPr>
          <w:rFonts w:eastAsia="Georgia" w:cs="Georgia"/>
          <w:sz w:val="22"/>
          <w:szCs w:val="22"/>
        </w:rPr>
        <w:t>[85]</w:t>
      </w:r>
      <w:r>
        <w:rPr>
          <w:rFonts w:eastAsia="Georgia" w:cs="Georgia"/>
          <w:b w:val="false"/>
          <w:bCs w:val="false"/>
          <w:i w:val="false"/>
          <w:iCs w:val="false"/>
          <w:color w:val="1A1A1A"/>
          <w:sz w:val="22"/>
          <w:szCs w:val="22"/>
        </w:rPr>
        <w:t xml:space="preserve">. Polymarket subsequently acquired a Commission-licensed derivatives exchange for approximately US$112 million in July 2025 to re-enter the U.S. market through a regulated, intermediated structure </w:t>
      </w:r>
      <w:r>
        <w:rPr>
          <w:rFonts w:eastAsia="Georgia" w:cs="Georgia"/>
          <w:sz w:val="22"/>
          <w:szCs w:val="22"/>
        </w:rPr>
        <w:t>[88]</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second episode, the litigation between Kalshi and the Commission, is more favorable to event markets but legally narrower than often portrayed. After the Commission moved in 2023 to block Kalshi’s congressional-control contracts as unlawful “gaming,” a federal district court </w:t>
      </w:r>
      <w:r>
        <w:rPr>
          <w:rFonts w:eastAsia="Georgia" w:cs="Georgia"/>
          <w:b w:val="false"/>
          <w:bCs w:val="false"/>
          <w:i/>
          <w:iCs/>
          <w:color w:val="1A1A1A"/>
          <w:sz w:val="22"/>
          <w:szCs w:val="22"/>
        </w:rPr>
        <w:t>vacated</w:t>
      </w:r>
      <w:r>
        <w:rPr>
          <w:rFonts w:eastAsia="Georgia" w:cs="Georgia"/>
          <w:b w:val="false"/>
          <w:bCs w:val="false"/>
          <w:i w:val="false"/>
          <w:iCs w:val="false"/>
          <w:color w:val="1A1A1A"/>
          <w:sz w:val="22"/>
          <w:szCs w:val="22"/>
        </w:rPr>
        <w:t xml:space="preserve"> that order in September 2024, holding that “gaming” means playing a game and that “elections are not games” </w:t>
      </w:r>
      <w:r>
        <w:rPr>
          <w:rFonts w:eastAsia="Georgia" w:cs="Georgia"/>
          <w:sz w:val="22"/>
          <w:szCs w:val="22"/>
        </w:rPr>
        <w:t>[86]</w:t>
      </w:r>
      <w:r>
        <w:rPr>
          <w:rFonts w:eastAsia="Georgia" w:cs="Georgia"/>
          <w:b w:val="false"/>
          <w:bCs w:val="false"/>
          <w:i w:val="false"/>
          <w:iCs w:val="false"/>
          <w:color w:val="1A1A1A"/>
          <w:sz w:val="22"/>
          <w:szCs w:val="22"/>
        </w:rPr>
        <w:t xml:space="preserve">; the appellate court declined to stay the ruling, and the Commission ultimately dismissed its appeal in 2025 </w:t>
      </w:r>
      <w:r>
        <w:rPr>
          <w:rFonts w:eastAsia="Georgia" w:cs="Georgia"/>
          <w:sz w:val="22"/>
          <w:szCs w:val="22"/>
        </w:rPr>
        <w:t>[87]</w:t>
      </w:r>
      <w:r>
        <w:rPr>
          <w:rFonts w:eastAsia="Georgia" w:cs="Georgia"/>
          <w:b w:val="false"/>
          <w:bCs w:val="false"/>
          <w:i w:val="false"/>
          <w:iCs w:val="false"/>
          <w:color w:val="1A1A1A"/>
          <w:sz w:val="22"/>
          <w:szCs w:val="22"/>
        </w:rPr>
        <w:t xml:space="preserve">. The outcome left Kalshi operating but rests on a </w:t>
      </w:r>
      <w:r>
        <w:rPr>
          <w:rFonts w:eastAsia="Georgia" w:cs="Georgia"/>
          <w:b/>
          <w:bCs/>
          <w:i w:val="false"/>
          <w:iCs w:val="false"/>
          <w:color w:val="1A1A1A"/>
          <w:sz w:val="22"/>
          <w:szCs w:val="22"/>
        </w:rPr>
        <w:t>district-court decision with no precedential appellate merits ruling</w:t>
      </w:r>
      <w:r>
        <w:rPr>
          <w:rFonts w:eastAsia="Georgia" w:cs="Georgia"/>
          <w:b w:val="false"/>
          <w:bCs w:val="false"/>
          <w:i w:val="false"/>
          <w:iCs w:val="false"/>
          <w:color w:val="1A1A1A"/>
          <w:sz w:val="22"/>
          <w:szCs w:val="22"/>
        </w:rPr>
        <w:t>, and Kalshi simultaneously faced cease-and-desist actions from multiple state regulators—an unresolved federal-state conflict. For Flock, the regulatory reading is that event markets are viable in the United States only through a designated contract market structure (the Polymarket-acquisition model) and that the legal terrain remains unsettled, counseling jurisdiction-aware gating and a conservative product scope.</w:t>
      </w:r>
    </w:p>
    <w:p>
      <w:pPr>
        <w:pStyle w:val="Heading2"/>
        <w:rPr/>
      </w:pPr>
      <w:bookmarkStart w:id="38" w:name="__RefHeading___Toc1427_1329916799"/>
      <w:bookmarkEnd w:id="38"/>
      <w:r>
        <w:rPr/>
        <w:t>8.4 Derivatives, Perpetuals, and Decentralized Insurance</w:t>
      </w:r>
    </w:p>
    <w:p>
      <w:pPr>
        <w:pStyle w:val="Normal"/>
        <w:spacing w:lineRule="auto" w:line="276" w:before="0" w:after="140"/>
        <w:jc w:val="both"/>
        <w:rPr/>
      </w:pPr>
      <w:r>
        <w:rPr>
          <w:rFonts w:eastAsia="Georgia" w:cs="Georgia"/>
          <w:b w:val="false"/>
          <w:bCs w:val="false"/>
          <w:i w:val="false"/>
          <w:iCs w:val="false"/>
          <w:color w:val="1A1A1A"/>
          <w:sz w:val="22"/>
          <w:szCs w:val="22"/>
        </w:rPr>
        <w:t xml:space="preserve">Beyond prediction markets, a multi-market platform implies exposure to conventional derivatives and to their decentralized analogues. On-chain perpetual-swap venues such as dYdX and GMX demonstrate that leveraged derivatives can operate without a central intermediary </w:t>
      </w:r>
      <w:r>
        <w:rPr>
          <w:rFonts w:eastAsia="Georgia" w:cs="Georgia"/>
          <w:sz w:val="22"/>
          <w:szCs w:val="22"/>
        </w:rPr>
        <w:t>[90, 91]</w:t>
      </w:r>
      <w:r>
        <w:rPr>
          <w:rFonts w:eastAsia="Georgia" w:cs="Georgia"/>
          <w:b w:val="false"/>
          <w:bCs w:val="false"/>
          <w:i w:val="false"/>
          <w:iCs w:val="false"/>
          <w:color w:val="1A1A1A"/>
          <w:sz w:val="22"/>
          <w:szCs w:val="22"/>
        </w:rPr>
        <w:t xml:space="preserve">, and decentralized parametric-insurance protocols such as Nexus Mutual and Etherisc show that risk-transfer markets—coverage against smart-contract failure, flight delay, or crop loss—can be constructed on-chain </w:t>
      </w:r>
      <w:r>
        <w:rPr>
          <w:rFonts w:eastAsia="Georgia" w:cs="Georgia"/>
          <w:sz w:val="22"/>
          <w:szCs w:val="22"/>
        </w:rPr>
        <w:t>[92, 93]</w:t>
      </w:r>
      <w:r>
        <w:rPr>
          <w:rFonts w:eastAsia="Georgia" w:cs="Georgia"/>
          <w:b w:val="false"/>
          <w:bCs w:val="false"/>
          <w:i w:val="false"/>
          <w:iCs w:val="false"/>
          <w:color w:val="1A1A1A"/>
          <w:sz w:val="22"/>
          <w:szCs w:val="22"/>
        </w:rPr>
        <w:t>. Each of these market types carries its own leverage, liquidation, and counterparty risks and its own regulatory classification (derivatives, insurance), reinforcing the central regulatory conclusion of Section 5: breadth of market type multiplies, rather than merely adds to, the compliance burden. The prudent sequencing is to introduce these markets only after the foundational securities and tokenization layers are operating under clear regulatory authority.</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Market Layer</w:t>
            </w:r>
          </w:p>
          <w:p>
            <w:pPr>
              <w:pStyle w:val="Normal"/>
              <w:spacing w:lineRule="auto" w:line="264" w:before="0" w:after="0"/>
              <w:jc w:val="left"/>
              <w:rPr/>
            </w:pPr>
            <w:r>
              <w:rPr>
                <w:rFonts w:eastAsia="Georgia" w:cs="Georgia"/>
                <w:i/>
                <w:iCs/>
                <w:color w:val="1A1A1A"/>
                <w:sz w:val="21"/>
                <w:szCs w:val="21"/>
              </w:rPr>
              <w:t>Prediction markets are demonstrably accurate in aggregate yet impose losses on roughly two-thirds of participants, with price discovery driven by an informed ~3% minority. Event markets are viable in the U.S. only through a regulated designated-contract-market structure, on legally unsettled ground. Derivatives, perpetuals, and decentralized insurance each add distinct leverage and regulatory complexity. Verdict: feasible as hedging/forecasting tools under regulated venue structures and competence gating; irresponsible if marketed as casual earning to inexperienced users.</w:t>
            </w:r>
          </w:p>
        </w:tc>
      </w:tr>
    </w:tbl>
    <w:p>
      <w:pPr>
        <w:pStyle w:val="Normal"/>
        <w:rPr/>
      </w:pPr>
      <w:r>
        <w:rPr/>
      </w:r>
      <w:r>
        <w:br w:type="page"/>
      </w:r>
    </w:p>
    <w:p>
      <w:pPr>
        <w:pStyle w:val="Heading1"/>
        <w:spacing w:before="0" w:after="200"/>
        <w:rPr/>
      </w:pPr>
      <w:bookmarkStart w:id="39" w:name="__RefHeading___Toc1429_1329916799"/>
      <w:bookmarkEnd w:id="39"/>
      <w:r>
        <w:rPr/>
        <w:t>9. Metaverse and Virtual Assets: The Cautionary Domain</w:t>
      </w:r>
    </w:p>
    <w:p>
      <w:pPr>
        <w:pStyle w:val="Normal"/>
        <w:spacing w:lineRule="auto" w:line="276" w:before="0" w:after="140"/>
        <w:jc w:val="both"/>
        <w:rPr/>
      </w:pPr>
      <w:r>
        <w:rPr>
          <w:rFonts w:eastAsia="Georgia" w:cs="Georgia"/>
          <w:b w:val="false"/>
          <w:bCs w:val="false"/>
          <w:i w:val="false"/>
          <w:iCs w:val="false"/>
          <w:color w:val="1A1A1A"/>
          <w:sz w:val="22"/>
          <w:szCs w:val="22"/>
        </w:rPr>
        <w:t>Flock’s optional metaverse layer—representing holdings as interactive objects and treating virtual assets as an investable class—is the domain in which the evidence most strongly counsels restraint. The 2021–2022 enthusiasm for virtual real estate and “play-to-earn” gaming has been followed by a well-documented collapse, and the academic post-mortems are unusually clear. This section presents that evidence and derives a deliberately conservative design posture.</w:t>
      </w:r>
    </w:p>
    <w:p>
      <w:pPr>
        <w:pStyle w:val="Heading2"/>
        <w:rPr/>
      </w:pPr>
      <w:bookmarkStart w:id="40" w:name="__RefHeading___Toc1431_1329916799"/>
      <w:bookmarkEnd w:id="40"/>
      <w:r>
        <w:rPr/>
        <w:t>9.1 Anatomy of a Virtual-Land Bubble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most rigorous study of metaverse virtual-real-estate pricing, conducted by researchers at Carnegie Mellon University, analyzed the Decentraland market and documented a textbook bubble. Median land prices rose from under US$1,000 in 2020 to approximately US$15,000 in late 2021, then </w:t>
      </w:r>
      <w:r>
        <w:rPr>
          <w:rFonts w:eastAsia="Georgia" w:cs="Georgia"/>
          <w:b/>
          <w:bCs/>
          <w:i w:val="false"/>
          <w:iCs w:val="false"/>
          <w:color w:val="1A1A1A"/>
          <w:sz w:val="22"/>
          <w:szCs w:val="22"/>
        </w:rPr>
        <w:t>collapsed back toward US$1,000</w:t>
      </w:r>
      <w:r>
        <w:rPr>
          <w:rFonts w:eastAsia="Georgia" w:cs="Georgia"/>
          <w:sz w:val="22"/>
          <w:szCs w:val="22"/>
        </w:rPr>
        <w:t>[94]</w:t>
      </w:r>
      <w:r>
        <w:rPr>
          <w:rFonts w:eastAsia="Georgia" w:cs="Georgia"/>
          <w:b w:val="false"/>
          <w:bCs w:val="false"/>
          <w:i w:val="false"/>
          <w:iCs w:val="false"/>
          <w:color w:val="1A1A1A"/>
          <w:sz w:val="22"/>
          <w:szCs w:val="22"/>
        </w:rPr>
        <w:t xml:space="preserve">. Crucially, the authors found that conventional real-estate pricing logic—value decaying with distance from desirable locations—held until the 2021 frenzy and then broke down entirely, the signature of speculative mania detached from use value. The distributional finding is the most damning: early entrants earned average profits exceeding US$10,000 per parcel sold, while </w:t>
      </w:r>
      <w:r>
        <w:rPr>
          <w:rFonts w:eastAsia="Georgia" w:cs="Georgia"/>
          <w:b/>
          <w:bCs/>
          <w:i w:val="false"/>
          <w:iCs w:val="false"/>
          <w:color w:val="1A1A1A"/>
          <w:sz w:val="22"/>
          <w:szCs w:val="22"/>
        </w:rPr>
        <w:t>later entrants typically earned nothing or lost roughly US$1,000 per parcel</w:t>
      </w:r>
      <w:r>
        <w:rPr>
          <w:rFonts w:eastAsia="Georgia" w:cs="Georgia"/>
          <w:b w:val="false"/>
          <w:bCs w:val="false"/>
          <w:i w:val="false"/>
          <w:iCs w:val="false"/>
          <w:color w:val="1A1A1A"/>
          <w:sz w:val="22"/>
          <w:szCs w:val="22"/>
        </w:rPr>
        <w:t xml:space="preserve">—the canonical pattern of a wealth transfer from latecomers to early speculators </w:t>
      </w:r>
      <w:r>
        <w:rPr>
          <w:rFonts w:eastAsia="Georgia" w:cs="Georgia"/>
          <w:sz w:val="22"/>
          <w:szCs w:val="22"/>
        </w:rPr>
        <w:t>[94]</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aggregate market confirms the single-platform finding. Average parcel prices across major Ethereum metaverse projects fell roughly 85 percent between January and August 2022 </w:t>
      </w:r>
      <w:r>
        <w:rPr>
          <w:rFonts w:eastAsia="Georgia" w:cs="Georgia"/>
          <w:sz w:val="22"/>
          <w:szCs w:val="22"/>
        </w:rPr>
        <w:t>[95]</w:t>
      </w:r>
      <w:r>
        <w:rPr>
          <w:rFonts w:eastAsia="Georgia" w:cs="Georgia"/>
          <w:b w:val="false"/>
          <w:bCs w:val="false"/>
          <w:i w:val="false"/>
          <w:iCs w:val="false"/>
          <w:color w:val="1A1A1A"/>
          <w:sz w:val="22"/>
          <w:szCs w:val="22"/>
        </w:rPr>
        <w:t xml:space="preserve">, and by mid-2024 metaverse land had declined approximately 72 percent from its peak, with the leading platforms down 89 to 95 percent </w:t>
      </w:r>
      <w:r>
        <w:rPr>
          <w:rFonts w:eastAsia="Georgia" w:cs="Georgia"/>
          <w:sz w:val="22"/>
          <w:szCs w:val="22"/>
        </w:rPr>
        <w:t>[96]</w:t>
      </w:r>
      <w:r>
        <w:rPr>
          <w:rFonts w:eastAsia="Georgia" w:cs="Georgia"/>
          <w:b w:val="false"/>
          <w:bCs w:val="false"/>
          <w:i w:val="false"/>
          <w:iCs w:val="false"/>
          <w:color w:val="1A1A1A"/>
          <w:sz w:val="22"/>
          <w:szCs w:val="22"/>
        </w:rPr>
        <w:t xml:space="preserve">. Reporting on activity levels found that the flagship platforms sustained only dozens to a few thousand daily active participants—a fraction of the user base their valuations implied </w:t>
      </w:r>
      <w:r>
        <w:rPr>
          <w:rFonts w:eastAsia="Georgia" w:cs="Georgia"/>
          <w:sz w:val="22"/>
          <w:szCs w:val="22"/>
        </w:rPr>
        <w:t>[97, 98]</w:t>
      </w:r>
      <w:r>
        <w:rPr>
          <w:rFonts w:eastAsia="Georgia" w:cs="Georgia"/>
          <w:b w:val="false"/>
          <w:bCs w:val="false"/>
          <w:i w:val="false"/>
          <w:iCs w:val="false"/>
          <w:color w:val="1A1A1A"/>
          <w:sz w:val="22"/>
          <w:szCs w:val="22"/>
        </w:rPr>
        <w:t xml:space="preserve">. The CMU authors further note that these markets were largely self-regulated, underscoring the absence of the conduct standards and disclosure that protect participants in mature markets </w:t>
      </w:r>
      <w:r>
        <w:rPr>
          <w:rFonts w:eastAsia="Georgia" w:cs="Georgia"/>
          <w:sz w:val="22"/>
          <w:szCs w:val="22"/>
        </w:rPr>
        <w:t>[94]</w:t>
      </w:r>
      <w:r>
        <w:rPr>
          <w:rFonts w:eastAsia="Georgia" w:cs="Georgia"/>
          <w:b w:val="false"/>
          <w:bCs w:val="false"/>
          <w:i w:val="false"/>
          <w:iCs w:val="false"/>
          <w:color w:val="1A1A1A"/>
          <w:sz w:val="22"/>
          <w:szCs w:val="22"/>
        </w:rPr>
        <w:t>.</w:t>
      </w:r>
    </w:p>
    <w:p>
      <w:pPr>
        <w:pStyle w:val="Heading2"/>
        <w:rPr/>
      </w:pPr>
      <w:bookmarkStart w:id="41" w:name="__RefHeading___Toc1433_1329916799"/>
      <w:bookmarkEnd w:id="41"/>
      <w:r>
        <w:rPr/>
        <w:t>9.2 The Unsustainability of Play-to-Earn</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“play-to-earn” model, in which game participants earn tradable tokens, suffered an equally instructive collapse. Axie Infinity, the category’s flagship, saw its in-game reward token lose approximately 99 percent of its value, and daily active users fell from roughly 2.7 million to about 700,000 within months </w:t>
      </w:r>
      <w:r>
        <w:rPr>
          <w:rFonts w:eastAsia="Georgia" w:cs="Georgia"/>
          <w:sz w:val="22"/>
          <w:szCs w:val="22"/>
        </w:rPr>
        <w:t>[102, 103]</w:t>
      </w:r>
      <w:r>
        <w:rPr>
          <w:rFonts w:eastAsia="Georgia" w:cs="Georgia"/>
          <w:b w:val="false"/>
          <w:bCs w:val="false"/>
          <w:i w:val="false"/>
          <w:iCs w:val="false"/>
          <w:color w:val="1A1A1A"/>
          <w:sz w:val="22"/>
          <w:szCs w:val="22"/>
        </w:rPr>
        <w:t xml:space="preserve">. The academic and analytical consensus identifies the structural flaw: the economic model depended on </w:t>
      </w:r>
      <w:r>
        <w:rPr>
          <w:rFonts w:eastAsia="Georgia" w:cs="Georgia"/>
          <w:b/>
          <w:bCs/>
          <w:i w:val="false"/>
          <w:iCs w:val="false"/>
          <w:color w:val="1A1A1A"/>
          <w:sz w:val="22"/>
          <w:szCs w:val="22"/>
        </w:rPr>
        <w:t>perpetual growth of the player base</w:t>
      </w:r>
      <w:r>
        <w:rPr>
          <w:rFonts w:eastAsia="Georgia" w:cs="Georgia"/>
          <w:b w:val="false"/>
          <w:bCs w:val="false"/>
          <w:i w:val="false"/>
          <w:iCs w:val="false"/>
          <w:color w:val="1A1A1A"/>
          <w:sz w:val="22"/>
          <w:szCs w:val="22"/>
        </w:rPr>
        <w:t xml:space="preserve">—new entrants’ spending funded existing participants’ earnings—so that token inflation from generous reward emission, inadequately offset by token sinks, made collapse inevitable once growth slowed </w:t>
      </w:r>
      <w:r>
        <w:rPr>
          <w:rFonts w:eastAsia="Georgia" w:cs="Georgia"/>
          <w:sz w:val="22"/>
          <w:szCs w:val="22"/>
        </w:rPr>
        <w:t>[99, 101]</w:t>
      </w:r>
      <w:r>
        <w:rPr>
          <w:rFonts w:eastAsia="Georgia" w:cs="Georgia"/>
          <w:b w:val="false"/>
          <w:bCs w:val="false"/>
          <w:i w:val="false"/>
          <w:iCs w:val="false"/>
          <w:color w:val="1A1A1A"/>
          <w:sz w:val="22"/>
          <w:szCs w:val="22"/>
        </w:rPr>
        <w:t xml:space="preserve">. Scholars have characterized this as the “financialization of fun,” in which the introduction of speculative earning incentives ultimately undermined both the game and its economy </w:t>
      </w:r>
      <w:r>
        <w:rPr>
          <w:rFonts w:eastAsia="Georgia" w:cs="Georgia"/>
          <w:sz w:val="22"/>
          <w:szCs w:val="22"/>
        </w:rPr>
        <w:t>[100]</w:t>
      </w:r>
      <w:r>
        <w:rPr>
          <w:rFonts w:eastAsia="Georgia" w:cs="Georgia"/>
          <w:b w:val="false"/>
          <w:bCs w:val="false"/>
          <w:i w:val="false"/>
          <w:iCs w:val="false"/>
          <w:color w:val="1A1A1A"/>
          <w:sz w:val="22"/>
          <w:szCs w:val="22"/>
        </w:rPr>
        <w:t>.</w:t>
      </w:r>
    </w:p>
    <w:tbl>
      <w:tblPr>
        <w:tblW w:w="9360" w:type="dxa"/>
        <w:jc w:val="left"/>
        <w:tblInd w:w="0" w:type="dxa"/>
        <w:tblLayout w:type="fixed"/>
        <w:tblCellMar>
          <w:top w:w="70" w:type="dxa"/>
          <w:left w:w="110" w:type="dxa"/>
          <w:bottom w:w="70" w:type="dxa"/>
          <w:right w:w="110" w:type="dxa"/>
        </w:tblCellMar>
      </w:tblPr>
      <w:tblGrid>
        <w:gridCol w:w="3200"/>
        <w:gridCol w:w="2079"/>
        <w:gridCol w:w="2080"/>
        <w:gridCol w:w="2000"/>
      </w:tblGrid>
      <w:tr>
        <w:trPr>
          <w:tblHeader w:val="true"/>
        </w:trPr>
        <w:tc>
          <w:tcPr>
            <w:tcW w:w="32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Metaverse Asset / Platform</w:t>
            </w:r>
          </w:p>
        </w:tc>
        <w:tc>
          <w:tcPr>
            <w:tcW w:w="207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Peak</w:t>
            </w:r>
          </w:p>
        </w:tc>
        <w:tc>
          <w:tcPr>
            <w:tcW w:w="208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Subsequent Trough</w:t>
            </w:r>
          </w:p>
        </w:tc>
        <w:tc>
          <w:tcPr>
            <w:tcW w:w="20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Approx. Drawdown</w:t>
            </w:r>
          </w:p>
        </w:tc>
      </w:tr>
      <w:tr>
        <w:trPr/>
        <w:tc>
          <w:tcPr>
            <w:tcW w:w="32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Decentraland (median parcel)</w:t>
            </w:r>
          </w:p>
        </w:tc>
        <w:tc>
          <w:tcPr>
            <w:tcW w:w="207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~$15,000 (late 2021)</w:t>
            </w:r>
          </w:p>
        </w:tc>
        <w:tc>
          <w:tcPr>
            <w:tcW w:w="208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~$1,000 (post-crash)</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~93%</w:t>
            </w:r>
          </w:p>
        </w:tc>
      </w:tr>
      <w:tr>
        <w:trPr/>
        <w:tc>
          <w:tcPr>
            <w:tcW w:w="32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The Sandbox (avg. land)</w:t>
            </w:r>
          </w:p>
        </w:tc>
        <w:tc>
          <w:tcPr>
            <w:tcW w:w="207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Peak 2021–22</w:t>
            </w:r>
          </w:p>
        </w:tc>
        <w:tc>
          <w:tcPr>
            <w:tcW w:w="208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Mid-2024</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~95%</w:t>
            </w:r>
          </w:p>
        </w:tc>
      </w:tr>
      <w:tr>
        <w:trPr/>
        <w:tc>
          <w:tcPr>
            <w:tcW w:w="32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Decentraland (avg. land)</w:t>
            </w:r>
          </w:p>
        </w:tc>
        <w:tc>
          <w:tcPr>
            <w:tcW w:w="207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Peak 2021–22</w:t>
            </w:r>
          </w:p>
        </w:tc>
        <w:tc>
          <w:tcPr>
            <w:tcW w:w="208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Mid-2024</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~89%</w:t>
            </w:r>
          </w:p>
        </w:tc>
      </w:tr>
      <w:tr>
        <w:trPr/>
        <w:tc>
          <w:tcPr>
            <w:tcW w:w="32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Six-project Ethereum average</w:t>
            </w:r>
          </w:p>
        </w:tc>
        <w:tc>
          <w:tcPr>
            <w:tcW w:w="207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~$17,000 (Jan. 2022)</w:t>
            </w:r>
          </w:p>
        </w:tc>
        <w:tc>
          <w:tcPr>
            <w:tcW w:w="208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~$2,500 (Aug. 2022)</w:t>
            </w:r>
          </w:p>
        </w:tc>
        <w:tc>
          <w:tcPr>
            <w:tcW w:w="20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~85%</w:t>
            </w:r>
          </w:p>
        </w:tc>
      </w:tr>
      <w:tr>
        <w:trPr/>
        <w:tc>
          <w:tcPr>
            <w:tcW w:w="32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Axie Infinity reward token (SLP)</w:t>
            </w:r>
          </w:p>
        </w:tc>
        <w:tc>
          <w:tcPr>
            <w:tcW w:w="207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Peak 2021</w:t>
            </w:r>
          </w:p>
        </w:tc>
        <w:tc>
          <w:tcPr>
            <w:tcW w:w="208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Late 2022</w:t>
            </w:r>
          </w:p>
        </w:tc>
        <w:tc>
          <w:tcPr>
            <w:tcW w:w="20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~99%</w:t>
            </w:r>
          </w:p>
        </w:tc>
      </w:tr>
    </w:tbl>
    <w:p>
      <w:pPr>
        <w:pStyle w:val="Normal"/>
        <w:spacing w:before="80" w:after="200"/>
        <w:jc w:val="left"/>
        <w:rPr/>
      </w:pPr>
      <w:r>
        <w:rPr>
          <w:rFonts w:eastAsia="Arial" w:cs="Arial" w:ascii="Arial" w:hAnsi="Arial"/>
          <w:i/>
          <w:iCs/>
          <w:color w:val="44505A"/>
          <w:sz w:val="18"/>
          <w:szCs w:val="18"/>
        </w:rPr>
        <w:t>Table 9.1 — Documented drawdowns in metaverse virtual-asset and play-to-earn markets. The magnitude and breadth of the collapse distinguish these from ordinary market volatility. Sources: academic and market-data analyses [73–82].</w:t>
      </w:r>
    </w:p>
    <w:p>
      <w:pPr>
        <w:pStyle w:val="Normal"/>
        <w:spacing w:lineRule="auto" w:line="276" w:before="0" w:after="140"/>
        <w:jc w:val="both"/>
        <w:rPr/>
      </w:pPr>
      <w:r>
        <w:rPr>
          <w:rFonts w:eastAsia="Georgia" w:cs="Georgia"/>
          <w:b w:val="false"/>
          <w:bCs w:val="false"/>
          <w:i w:val="false"/>
          <w:iCs w:val="false"/>
          <w:color w:val="1A1A1A"/>
          <w:sz w:val="22"/>
          <w:szCs w:val="22"/>
        </w:rPr>
        <w:t xml:space="preserve">A further claim used to justify metaverse-asset valuations—that virtual goods would be freely </w:t>
      </w:r>
      <w:r>
        <w:rPr>
          <w:rFonts w:eastAsia="Georgia" w:cs="Georgia"/>
          <w:b/>
          <w:bCs/>
          <w:i w:val="false"/>
          <w:iCs w:val="false"/>
          <w:color w:val="1A1A1A"/>
          <w:sz w:val="22"/>
          <w:szCs w:val="22"/>
        </w:rPr>
        <w:t>interoperable</w:t>
      </w:r>
      <w:r>
        <w:rPr>
          <w:rFonts w:eastAsia="Georgia" w:cs="Georgia"/>
          <w:b w:val="false"/>
          <w:bCs w:val="false"/>
          <w:i w:val="false"/>
          <w:iCs w:val="false"/>
          <w:color w:val="1A1A1A"/>
          <w:sz w:val="22"/>
          <w:szCs w:val="22"/>
        </w:rPr>
        <w:t xml:space="preserve"> across worlds, so that an item purchased in one environment could be carried into another—has not materialized at scale. Interoperability is constrained by incompatible technical standards, by the commercial incentives of platform operators to retain users and value within their own environments, and by the practical difficulty of rendering an asset meaningfully in worlds with different rules and aesthetics. For Flock, the lesson reinforces the conservative posture: the speculative thesis for virtual assets rested on assumptions—perpetual user growth, free interoperability, durable scarcity—that the evidence has not borne out.</w:t>
      </w:r>
    </w:p>
    <w:p>
      <w:pPr>
        <w:pStyle w:val="Heading2"/>
        <w:rPr/>
      </w:pPr>
      <w:bookmarkStart w:id="42" w:name="__RefHeading___Toc1435_1329916799"/>
      <w:bookmarkEnd w:id="42"/>
      <w:r>
        <w:rPr/>
        <w:t>9.3 The Durable Alternative and Flock’s Posture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contrast that matters for Flock is between speculative, financialized virtual worlds—which collapsed—and durable creative and social platforms such as Roblox, Fortnite, and Minecraft, which sustain large engaged populations precisely because their value derives from </w:t>
      </w:r>
      <w:r>
        <w:rPr>
          <w:rFonts w:eastAsia="Georgia" w:cs="Georgia"/>
          <w:b/>
          <w:bCs/>
          <w:i w:val="false"/>
          <w:iCs w:val="false"/>
          <w:color w:val="1A1A1A"/>
          <w:sz w:val="22"/>
          <w:szCs w:val="22"/>
        </w:rPr>
        <w:t>creativity, community, and play rather than from token speculation</w:t>
      </w:r>
      <w:r>
        <w:rPr>
          <w:rFonts w:eastAsia="Georgia" w:cs="Georgia"/>
          <w:b w:val="false"/>
          <w:bCs w:val="false"/>
          <w:i w:val="false"/>
          <w:iCs w:val="false"/>
          <w:color w:val="1A1A1A"/>
          <w:sz w:val="22"/>
          <w:szCs w:val="22"/>
        </w:rPr>
        <w:t xml:space="preserve">. The design conclusion is therefore unambiguous and conservative: Flock should </w:t>
      </w:r>
      <w:r>
        <w:rPr>
          <w:rFonts w:eastAsia="Georgia" w:cs="Georgia"/>
          <w:b w:val="false"/>
          <w:bCs w:val="false"/>
          <w:i/>
          <w:iCs/>
          <w:color w:val="1A1A1A"/>
          <w:sz w:val="22"/>
          <w:szCs w:val="22"/>
        </w:rPr>
        <w:t>not</w:t>
      </w:r>
      <w:r>
        <w:rPr>
          <w:rFonts w:eastAsia="Georgia" w:cs="Georgia"/>
          <w:b w:val="false"/>
          <w:bCs w:val="false"/>
          <w:i w:val="false"/>
          <w:iCs w:val="false"/>
          <w:color w:val="1A1A1A"/>
          <w:sz w:val="22"/>
          <w:szCs w:val="22"/>
        </w:rPr>
        <w:t xml:space="preserve"> build a business case on speculative virtual-land appreciation or play-to-earn token emission, both of which the evidence shows to be wealth transfers from latecomers to early entrants. If a metaverse layer is implemented at all, it should serve as an </w:t>
      </w:r>
      <w:r>
        <w:rPr>
          <w:rFonts w:eastAsia="Georgia" w:cs="Georgia"/>
          <w:b/>
          <w:bCs/>
          <w:i w:val="false"/>
          <w:iCs w:val="false"/>
          <w:color w:val="1A1A1A"/>
          <w:sz w:val="22"/>
          <w:szCs w:val="22"/>
        </w:rPr>
        <w:t>experiential interface</w:t>
      </w:r>
      <w:r>
        <w:rPr>
          <w:rFonts w:eastAsia="Georgia" w:cs="Georgia"/>
          <w:b w:val="false"/>
          <w:bCs w:val="false"/>
          <w:i w:val="false"/>
          <w:iCs w:val="false"/>
          <w:color w:val="1A1A1A"/>
          <w:sz w:val="22"/>
          <w:szCs w:val="22"/>
        </w:rPr>
        <w:t xml:space="preserve"> to genuine assets and social interaction—a way to visualize a portfolio or attend an event—modeled on durable creative platforms, with any tradable virtual goods treated under the same disclosure and consumer-protection standards as other speculative instruments. The metaverse layer is, in short, the most deferrable component of the architecture and the one with the weakest independent economic justification.</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Metaverse Layer</w:t>
            </w:r>
          </w:p>
          <w:p>
            <w:pPr>
              <w:pStyle w:val="Normal"/>
              <w:spacing w:lineRule="auto" w:line="264" w:before="0" w:after="0"/>
              <w:jc w:val="left"/>
              <w:rPr/>
            </w:pPr>
            <w:r>
              <w:rPr>
                <w:rFonts w:eastAsia="Georgia" w:cs="Georgia"/>
                <w:i/>
                <w:iCs/>
                <w:color w:val="1A1A1A"/>
                <w:sz w:val="21"/>
                <w:szCs w:val="21"/>
              </w:rPr>
              <w:t>Virtual-land and play-to-earn markets exhibit documented bubble-and-collapse dynamics (85–99% drawdowns) that systematically transfer wealth from latecomers to early entrants. Durable value in virtual worlds comes from creativity and community, not token speculation. Verdict: the metaverse layer is feasible only as a non-speculative experiential interface; it is the most deferrable component and should carry no business case predicated on virtual-asset appreciation.</w:t>
            </w:r>
          </w:p>
        </w:tc>
      </w:tr>
    </w:tbl>
    <w:p>
      <w:pPr>
        <w:pStyle w:val="Normal"/>
        <w:rPr/>
      </w:pPr>
      <w:r>
        <w:rPr/>
      </w:r>
      <w:r>
        <w:br w:type="page"/>
      </w:r>
    </w:p>
    <w:p>
      <w:pPr>
        <w:pStyle w:val="Heading1"/>
        <w:spacing w:before="0" w:after="200"/>
        <w:rPr/>
      </w:pPr>
      <w:bookmarkStart w:id="43" w:name="__RefHeading___Toc1437_1329916799"/>
      <w:bookmarkEnd w:id="43"/>
      <w:r>
        <w:rPr/>
        <w:t>10. Gamification, Financial Inclusion, and Peer-to-Peer Lending</w:t>
      </w:r>
    </w:p>
    <w:p>
      <w:pPr>
        <w:pStyle w:val="Normal"/>
        <w:spacing w:lineRule="auto" w:line="276" w:before="0" w:after="140"/>
        <w:jc w:val="both"/>
        <w:rPr/>
      </w:pPr>
      <w:r>
        <w:rPr>
          <w:rFonts w:eastAsia="Georgia" w:cs="Georgia"/>
          <w:b w:val="false"/>
          <w:bCs w:val="false"/>
          <w:i w:val="false"/>
          <w:iCs w:val="false"/>
          <w:color w:val="1A1A1A"/>
          <w:sz w:val="22"/>
          <w:szCs w:val="22"/>
        </w:rPr>
        <w:t>This section addresses three interlinked themes: the double-edged nature of gamification (Flock’s third differentiator), the contested promise of blockchain-enabled financial inclusion, and the peer-to-peer securities-lending mechanism (Flock’s second differentiator). Each bears directly on whether Flock can responsibly broaden participation.</w:t>
      </w:r>
    </w:p>
    <w:p>
      <w:pPr>
        <w:pStyle w:val="Heading2"/>
        <w:rPr/>
      </w:pPr>
      <w:bookmarkStart w:id="44" w:name="__RefHeading___Toc1439_1329916799"/>
      <w:bookmarkEnd w:id="44"/>
      <w:r>
        <w:rPr/>
        <w:t>10.1 Gamification: Engagement Versus Exploitation</w:t>
      </w:r>
    </w:p>
    <w:p>
      <w:pPr>
        <w:pStyle w:val="Normal"/>
        <w:spacing w:lineRule="auto" w:line="276" w:before="0" w:after="140"/>
        <w:jc w:val="both"/>
        <w:rPr/>
      </w:pPr>
      <w:r>
        <w:rPr>
          <w:rFonts w:eastAsia="Georgia" w:cs="Georgia"/>
          <w:b w:val="false"/>
          <w:bCs w:val="false"/>
          <w:i w:val="false"/>
          <w:iCs w:val="false"/>
          <w:color w:val="1A1A1A"/>
          <w:sz w:val="22"/>
          <w:szCs w:val="22"/>
        </w:rPr>
        <w:t xml:space="preserve">Gamification—the application of game-design elements to non-game contexts </w:t>
      </w:r>
      <w:r>
        <w:rPr>
          <w:rFonts w:eastAsia="Georgia" w:cs="Georgia"/>
          <w:sz w:val="22"/>
          <w:szCs w:val="22"/>
        </w:rPr>
        <w:t>[110]</w:t>
      </w:r>
      <w:r>
        <w:rPr>
          <w:rFonts w:eastAsia="Georgia" w:cs="Georgia"/>
          <w:b w:val="false"/>
          <w:bCs w:val="false"/>
          <w:i w:val="false"/>
          <w:iCs w:val="false"/>
          <w:color w:val="1A1A1A"/>
          <w:sz w:val="22"/>
          <w:szCs w:val="22"/>
        </w:rPr>
        <w:t xml:space="preserve">—is central to Flock’s progression model, and the evidence on its use in finance is sharply double-edged. On the cautionary side stands the most consequential enforcement action in the area: in January 2024, the Massachusetts Securities Division entered a </w:t>
      </w:r>
      <w:r>
        <w:rPr>
          <w:rFonts w:eastAsia="Georgia" w:cs="Georgia"/>
          <w:b/>
          <w:bCs/>
          <w:i w:val="false"/>
          <w:iCs w:val="false"/>
          <w:color w:val="1A1A1A"/>
          <w:sz w:val="22"/>
          <w:szCs w:val="22"/>
        </w:rPr>
        <w:t>US$7.5 million consent order</w:t>
      </w:r>
      <w:r>
        <w:rPr>
          <w:rFonts w:eastAsia="Georgia" w:cs="Georgia"/>
          <w:b w:val="false"/>
          <w:bCs w:val="false"/>
          <w:i w:val="false"/>
          <w:iCs w:val="false"/>
          <w:color w:val="1A1A1A"/>
          <w:sz w:val="22"/>
          <w:szCs w:val="22"/>
        </w:rPr>
        <w:t xml:space="preserve"> against Robinhood over gamified features—confetti animations, lottery-style rewards, push notifications, and lists of top-moving securities—that the regulator found encouraged frequent, risky trading in breach of the state fiduciary standard </w:t>
      </w:r>
      <w:r>
        <w:rPr>
          <w:rFonts w:eastAsia="Georgia" w:cs="Georgia"/>
          <w:sz w:val="22"/>
          <w:szCs w:val="22"/>
        </w:rPr>
        <w:t>[105, 104]</w:t>
      </w:r>
      <w:r>
        <w:rPr>
          <w:rFonts w:eastAsia="Georgia" w:cs="Georgia"/>
          <w:b w:val="false"/>
          <w:bCs w:val="false"/>
          <w:i w:val="false"/>
          <w:iCs w:val="false"/>
          <w:color w:val="1A1A1A"/>
          <w:sz w:val="22"/>
          <w:szCs w:val="22"/>
        </w:rPr>
        <w:t xml:space="preserve">. This followed the Securities and Exchange Commission’s 2021 request for comment on “digital engagement practices” and broader congressional scrutiny of trading gamification </w:t>
      </w:r>
      <w:r>
        <w:rPr>
          <w:rFonts w:eastAsia="Georgia" w:cs="Georgia"/>
          <w:sz w:val="22"/>
          <w:szCs w:val="22"/>
        </w:rPr>
        <w:t>[107, 108]</w:t>
      </w:r>
      <w:r>
        <w:rPr>
          <w:rFonts w:eastAsia="Georgia" w:cs="Georgia"/>
          <w:b w:val="false"/>
          <w:bCs w:val="false"/>
          <w:i w:val="false"/>
          <w:iCs w:val="false"/>
          <w:color w:val="1A1A1A"/>
          <w:sz w:val="22"/>
          <w:szCs w:val="22"/>
        </w:rPr>
        <w:t xml:space="preserve">, and experimental evidence confirming that gamified prompts increase trading frequency and risk-taking, disproportionately among younger users </w:t>
      </w:r>
      <w:r>
        <w:rPr>
          <w:rFonts w:eastAsia="Georgia" w:cs="Georgia"/>
          <w:sz w:val="22"/>
          <w:szCs w:val="22"/>
        </w:rPr>
        <w:t>[106]</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On the constructive side, a systematic review finds gamification genuinely effective for </w:t>
      </w:r>
      <w:r>
        <w:rPr>
          <w:rFonts w:eastAsia="Georgia" w:cs="Georgia"/>
          <w:b/>
          <w:bCs/>
          <w:i w:val="false"/>
          <w:iCs w:val="false"/>
          <w:color w:val="1A1A1A"/>
          <w:sz w:val="22"/>
          <w:szCs w:val="22"/>
        </w:rPr>
        <w:t>financial-literacy improvement and savings behavior</w:t>
      </w:r>
      <w:r>
        <w:rPr>
          <w:rFonts w:eastAsia="Georgia" w:cs="Georgia"/>
          <w:b w:val="false"/>
          <w:bCs w:val="false"/>
          <w:i w:val="false"/>
          <w:iCs w:val="false"/>
          <w:color w:val="1A1A1A"/>
          <w:sz w:val="22"/>
          <w:szCs w:val="22"/>
        </w:rPr>
        <w:t xml:space="preserve"> when it is designed for education and progression rather than for transaction volume </w:t>
      </w:r>
      <w:r>
        <w:rPr>
          <w:rFonts w:eastAsia="Georgia" w:cs="Georgia"/>
          <w:sz w:val="22"/>
          <w:szCs w:val="22"/>
        </w:rPr>
        <w:t>[106]</w:t>
      </w:r>
      <w:r>
        <w:rPr>
          <w:rFonts w:eastAsia="Georgia" w:cs="Georgia"/>
          <w:b w:val="false"/>
          <w:bCs w:val="false"/>
          <w:i w:val="false"/>
          <w:iCs w:val="false"/>
          <w:color w:val="1A1A1A"/>
          <w:sz w:val="22"/>
          <w:szCs w:val="22"/>
        </w:rPr>
        <w:t xml:space="preserve">—and financial literacy is itself strongly associated with better financial outcomes </w:t>
      </w:r>
      <w:r>
        <w:rPr>
          <w:rFonts w:eastAsia="Georgia" w:cs="Georgia"/>
          <w:sz w:val="22"/>
          <w:szCs w:val="22"/>
        </w:rPr>
        <w:t>[109]</w:t>
      </w:r>
      <w:r>
        <w:rPr>
          <w:rFonts w:eastAsia="Georgia" w:cs="Georgia"/>
          <w:b w:val="false"/>
          <w:bCs w:val="false"/>
          <w:i w:val="false"/>
          <w:iCs w:val="false"/>
          <w:color w:val="1A1A1A"/>
          <w:sz w:val="22"/>
          <w:szCs w:val="22"/>
        </w:rPr>
        <w:t xml:space="preserve">. The distinction the Massachusetts regulator drew is precisely the line on which Flock’s third differentiator stands or falls: </w:t>
      </w:r>
      <w:r>
        <w:rPr>
          <w:rFonts w:eastAsia="Georgia" w:cs="Georgia"/>
          <w:b/>
          <w:bCs/>
          <w:i w:val="false"/>
          <w:iCs w:val="false"/>
          <w:color w:val="1A1A1A"/>
          <w:sz w:val="22"/>
          <w:szCs w:val="22"/>
        </w:rPr>
        <w:t>gamification that rewards learning and risk calibration is defensible; gamification that rewards trading volume is not</w:t>
      </w:r>
      <w:r>
        <w:rPr>
          <w:rFonts w:eastAsia="Georgia" w:cs="Georgia"/>
          <w:b w:val="false"/>
          <w:bCs w:val="false"/>
          <w:i w:val="false"/>
          <w:iCs w:val="false"/>
          <w:color w:val="1A1A1A"/>
          <w:sz w:val="22"/>
          <w:szCs w:val="22"/>
        </w:rPr>
        <w:t>. For Flock to claim gamified literacy as a genuine improvement rather than a repackaged hazard, its engagement metrics must be tied to demonstrated competence and prudent behavior—advancement through the tiers earned by passing risk-assessment and knowledge checks—rather than to the frequency or size of trades. This is an auditable design commitment, and the regulatory record establishes the threshold against which it will be judged.</w:t>
      </w:r>
    </w:p>
    <w:p>
      <w:pPr>
        <w:pStyle w:val="Heading2"/>
        <w:rPr/>
      </w:pPr>
      <w:bookmarkStart w:id="45" w:name="__RefHeading___Toc1441_1329916799"/>
      <w:bookmarkEnd w:id="45"/>
      <w:r>
        <w:rPr/>
        <w:t>10.2 The Contested Promise of Financial Inclusion</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broader social claim—that decentralized, tokenized finance can democratize access to investments historically reserved for the wealthy—must be assessed against a literature that is genuinely divided. The optimistic case holds that blockchain can extend financial services to the unbanked and lower the barriers to alternative assets </w:t>
      </w:r>
      <w:r>
        <w:rPr>
          <w:rFonts w:eastAsia="Georgia" w:cs="Georgia"/>
          <w:sz w:val="22"/>
          <w:szCs w:val="22"/>
        </w:rPr>
        <w:t>[118, 122, 120]</w:t>
      </w:r>
      <w:r>
        <w:rPr>
          <w:rFonts w:eastAsia="Georgia" w:cs="Georgia"/>
          <w:b w:val="false"/>
          <w:bCs w:val="false"/>
          <w:i w:val="false"/>
          <w:iCs w:val="false"/>
          <w:color w:val="1A1A1A"/>
          <w:sz w:val="22"/>
          <w:szCs w:val="22"/>
        </w:rPr>
        <w:t xml:space="preserve">, a view with intellectual lineage in the foundational vision of peer-to-peer electronic value transfer </w:t>
      </w:r>
      <w:r>
        <w:rPr>
          <w:rFonts w:eastAsia="Georgia" w:cs="Georgia"/>
          <w:sz w:val="22"/>
          <w:szCs w:val="22"/>
        </w:rPr>
        <w:t>[121]</w:t>
      </w:r>
      <w:r>
        <w:rPr>
          <w:rFonts w:eastAsia="Georgia" w:cs="Georgia"/>
          <w:b w:val="false"/>
          <w:bCs w:val="false"/>
          <w:i w:val="false"/>
          <w:iCs w:val="false"/>
          <w:color w:val="1A1A1A"/>
          <w:sz w:val="22"/>
          <w:szCs w:val="22"/>
        </w:rPr>
        <w:t xml:space="preserve"> and in the scholarship on financial-technology-driven regulatory change </w:t>
      </w:r>
      <w:r>
        <w:rPr>
          <w:rFonts w:eastAsia="Georgia" w:cs="Georgia"/>
          <w:sz w:val="22"/>
          <w:szCs w:val="22"/>
        </w:rPr>
        <w:t>[123, 124]</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skeptical case is equally serious and, for a feasibility assessment, must be given full weight. The Brookings Institution has argued that the financial-inclusion narrative around cryptocurrency is largely overstated—that the unbanked already have access to instruments such as prepaid cards, and that volatility and scaling problems undercut the claim </w:t>
      </w:r>
      <w:r>
        <w:rPr>
          <w:rFonts w:eastAsia="Georgia" w:cs="Georgia"/>
          <w:sz w:val="22"/>
          <w:szCs w:val="22"/>
        </w:rPr>
        <w:t>[116]</w:t>
      </w:r>
      <w:r>
        <w:rPr>
          <w:rFonts w:eastAsia="Georgia" w:cs="Georgia"/>
          <w:b w:val="false"/>
          <w:bCs w:val="false"/>
          <w:i w:val="false"/>
          <w:iCs w:val="false"/>
          <w:color w:val="1A1A1A"/>
          <w:sz w:val="22"/>
          <w:szCs w:val="22"/>
        </w:rPr>
        <w:t xml:space="preserve">. Other analysis documents that decentralization has in practice often </w:t>
      </w:r>
      <w:r>
        <w:rPr>
          <w:rFonts w:eastAsia="Georgia" w:cs="Georgia"/>
          <w:b/>
          <w:bCs/>
          <w:i w:val="false"/>
          <w:iCs w:val="false"/>
          <w:color w:val="1A1A1A"/>
          <w:sz w:val="22"/>
          <w:szCs w:val="22"/>
        </w:rPr>
        <w:t>reproduced or widened wealth disparity</w:t>
      </w:r>
      <w:r>
        <w:rPr>
          <w:rFonts w:eastAsia="Georgia" w:cs="Georgia"/>
          <w:b w:val="false"/>
          <w:bCs w:val="false"/>
          <w:i w:val="false"/>
          <w:iCs w:val="false"/>
          <w:color w:val="1A1A1A"/>
          <w:sz w:val="22"/>
          <w:szCs w:val="22"/>
        </w:rPr>
        <w:t xml:space="preserve"> rather than reducing it </w:t>
      </w:r>
      <w:r>
        <w:rPr>
          <w:rFonts w:eastAsia="Georgia" w:cs="Georgia"/>
          <w:sz w:val="22"/>
          <w:szCs w:val="22"/>
        </w:rPr>
        <w:t>[117]</w:t>
      </w:r>
      <w:r>
        <w:rPr>
          <w:rFonts w:eastAsia="Georgia" w:cs="Georgia"/>
          <w:b w:val="false"/>
          <w:bCs w:val="false"/>
          <w:i w:val="false"/>
          <w:iCs w:val="false"/>
          <w:color w:val="1A1A1A"/>
          <w:sz w:val="22"/>
          <w:szCs w:val="22"/>
        </w:rPr>
        <w:t xml:space="preserve">. The authoritative measurement of inclusion, the World Bank’s Global Findex, situates these claims in data and tempers techno-optimism </w:t>
      </w:r>
      <w:r>
        <w:rPr>
          <w:rFonts w:eastAsia="Georgia" w:cs="Georgia"/>
          <w:sz w:val="22"/>
          <w:szCs w:val="22"/>
        </w:rPr>
        <w:t>[119]</w:t>
      </w:r>
      <w:r>
        <w:rPr>
          <w:rFonts w:eastAsia="Georgia" w:cs="Georgia"/>
          <w:b w:val="false"/>
          <w:bCs w:val="false"/>
          <w:i w:val="false"/>
          <w:iCs w:val="false"/>
          <w:color w:val="1A1A1A"/>
          <w:sz w:val="22"/>
          <w:szCs w:val="22"/>
        </w:rPr>
        <w:t xml:space="preserve">, as does the nuanced evidence on mobile money, which delivered genuine benefits but also novel forms of indebtedness </w:t>
      </w:r>
      <w:r>
        <w:rPr>
          <w:rFonts w:eastAsia="Georgia" w:cs="Georgia"/>
          <w:sz w:val="22"/>
          <w:szCs w:val="22"/>
        </w:rPr>
        <w:t>[125]</w:t>
      </w:r>
      <w:r>
        <w:rPr>
          <w:rFonts w:eastAsia="Georgia" w:cs="Georgia"/>
          <w:b w:val="false"/>
          <w:bCs w:val="false"/>
          <w:i w:val="false"/>
          <w:iCs w:val="false"/>
          <w:color w:val="1A1A1A"/>
          <w:sz w:val="22"/>
          <w:szCs w:val="22"/>
        </w:rPr>
        <w:t>. The honest conclusion for Flock is that lowering the technical barrier to alternative assets does not, by itself, democratize wealth—and may concentrate it—unless the platform actively counters the dynamics (informed-minority capture, adverse selection, herding) documented throughout this paper. Inclusion is a design achievement to be engineered, not an automatic consequence of decentralization.</w:t>
      </w:r>
    </w:p>
    <w:p>
      <w:pPr>
        <w:pStyle w:val="Heading2"/>
        <w:rPr/>
      </w:pPr>
      <w:bookmarkStart w:id="46" w:name="__RefHeading___Toc1443_1329916799"/>
      <w:bookmarkEnd w:id="46"/>
      <w:r>
        <w:rPr/>
        <w:t>10.3 The Institutional Trajectory: Toward a Tokenized Unified Ledger</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thesis is, notably, directionally aligned with the considered view of the central-banking establishment. The Bank for International Settlements has argued across successive Annual Economic Reports that the future monetary and financial system will be built on a </w:t>
      </w:r>
      <w:r>
        <w:rPr>
          <w:rFonts w:eastAsia="Georgia" w:cs="Georgia"/>
          <w:b/>
          <w:bCs/>
          <w:i w:val="false"/>
          <w:iCs w:val="false"/>
          <w:color w:val="1A1A1A"/>
          <w:sz w:val="22"/>
          <w:szCs w:val="22"/>
        </w:rPr>
        <w:t>tokenized “unified ledger”</w:t>
      </w:r>
      <w:r>
        <w:rPr>
          <w:rFonts w:eastAsia="Georgia" w:cs="Georgia"/>
          <w:b w:val="false"/>
          <w:bCs w:val="false"/>
          <w:i w:val="false"/>
          <w:iCs w:val="false"/>
          <w:color w:val="1A1A1A"/>
          <w:sz w:val="22"/>
          <w:szCs w:val="22"/>
        </w:rPr>
        <w:t xml:space="preserve"> combining tokenized central-bank reserves, commercial-bank money, and government securities on a common programmable platform </w:t>
      </w:r>
      <w:r>
        <w:rPr>
          <w:rFonts w:eastAsia="Georgia" w:cs="Georgia"/>
          <w:sz w:val="22"/>
          <w:szCs w:val="22"/>
        </w:rPr>
        <w:t>[126, 127]</w:t>
      </w:r>
      <w:r>
        <w:rPr>
          <w:rFonts w:eastAsia="Georgia" w:cs="Georgia"/>
          <w:b w:val="false"/>
          <w:bCs w:val="false"/>
          <w:i w:val="false"/>
          <w:iCs w:val="false"/>
          <w:color w:val="1A1A1A"/>
          <w:sz w:val="22"/>
          <w:szCs w:val="22"/>
        </w:rPr>
        <w:t xml:space="preserve">. The same institution is pointedly skeptical of stablecoins, judging that they fall short on the criteria of singleness, elasticity, and integrity that sound money requires </w:t>
      </w:r>
      <w:r>
        <w:rPr>
          <w:rFonts w:eastAsia="Georgia" w:cs="Georgia"/>
          <w:sz w:val="22"/>
          <w:szCs w:val="22"/>
        </w:rPr>
        <w:t>[127]</w:t>
      </w:r>
      <w:r>
        <w:rPr>
          <w:rFonts w:eastAsia="Georgia" w:cs="Georgia"/>
          <w:b w:val="false"/>
          <w:bCs w:val="false"/>
          <w:i w:val="false"/>
          <w:iCs w:val="false"/>
          <w:color w:val="1A1A1A"/>
          <w:sz w:val="22"/>
          <w:szCs w:val="22"/>
        </w:rPr>
        <w:t xml:space="preserve">. The World Economic Forum has estimated that tokenization could yield substantial operational savings in capital markets </w:t>
      </w:r>
      <w:r>
        <w:rPr>
          <w:rFonts w:eastAsia="Georgia" w:cs="Georgia"/>
          <w:sz w:val="22"/>
          <w:szCs w:val="22"/>
        </w:rPr>
        <w:t>[128]</w:t>
      </w:r>
      <w:r>
        <w:rPr>
          <w:rFonts w:eastAsia="Georgia" w:cs="Georgia"/>
          <w:b w:val="false"/>
          <w:bCs w:val="false"/>
          <w:i w:val="false"/>
          <w:iCs w:val="false"/>
          <w:color w:val="1A1A1A"/>
          <w:sz w:val="22"/>
          <w:szCs w:val="22"/>
        </w:rPr>
        <w:t>. This institutional trajectory lends Flock’s tokenization premise a credibility it would lack if it rested on crypto-native enthusiasm alone—while simultaneously implying that the winning architectures will be regulated and integrated with the traditional financial system, not built in opposition to it. This reinforces the regulated-first conclusion of Section 5.</w:t>
      </w:r>
    </w:p>
    <w:p>
      <w:pPr>
        <w:pStyle w:val="Heading2"/>
        <w:rPr/>
      </w:pPr>
      <w:bookmarkStart w:id="47" w:name="__RefHeading___Toc1445_1329916799"/>
      <w:bookmarkEnd w:id="47"/>
      <w:r>
        <w:rPr/>
        <w:t>10.4 Peer-to-Peer Securities Lending: Evaluating the Second Differentiator</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second differentiator is decentralized peer-to-peer securities lending in which the asset owner selects the counterparty directly. The natural benchmark is the centralized stock-yield-enhancement program offered by Interactive Brokers, whose published terms are illuminating: the broker pays participating lenders </w:t>
      </w:r>
      <w:r>
        <w:rPr>
          <w:rFonts w:eastAsia="Georgia" w:cs="Georgia"/>
          <w:b/>
          <w:bCs/>
          <w:i w:val="false"/>
          <w:iCs w:val="false"/>
          <w:color w:val="1A1A1A"/>
          <w:sz w:val="22"/>
          <w:szCs w:val="22"/>
        </w:rPr>
        <w:t>50 percent of the market-based lending rate</w:t>
      </w:r>
      <w:r>
        <w:rPr>
          <w:rFonts w:eastAsia="Georgia" w:cs="Georgia"/>
          <w:b w:val="false"/>
          <w:bCs w:val="false"/>
          <w:i w:val="false"/>
          <w:iCs w:val="false"/>
          <w:color w:val="1A1A1A"/>
          <w:sz w:val="22"/>
          <w:szCs w:val="22"/>
        </w:rPr>
        <w:t xml:space="preserve">, automatically lends fully-paid and excess-margin shares against U.S.-Treasury or cash collateral, and is itself the sole counterparty to every loan; lenders cannot choose the borrower, lose proxy-voting rights on lent shares, and may receive payments-in-lieu of dividends taxed as ordinary income </w:t>
      </w:r>
      <w:r>
        <w:rPr>
          <w:rFonts w:eastAsia="Georgia" w:cs="Georgia"/>
          <w:sz w:val="22"/>
          <w:szCs w:val="22"/>
        </w:rPr>
        <w:t>[132]</w:t>
      </w:r>
      <w:r>
        <w:rPr>
          <w:rFonts w:eastAsia="Georgia" w:cs="Georgia"/>
          <w:b w:val="false"/>
          <w:bCs w:val="false"/>
          <w:i w:val="false"/>
          <w:iCs w:val="false"/>
          <w:color w:val="1A1A1A"/>
          <w:sz w:val="22"/>
          <w:szCs w:val="22"/>
        </w:rPr>
        <w:t>.</w:t>
      </w:r>
    </w:p>
    <w:p>
      <w:pPr>
        <w:pStyle w:val="Normal"/>
        <w:spacing w:lineRule="auto" w:line="276" w:before="0" w:after="140"/>
        <w:jc w:val="both"/>
        <w:rPr/>
      </w:pPr>
      <w:r>
        <w:rPr>
          <w:rFonts w:eastAsia="Georgia" w:cs="Georgia"/>
          <w:b w:val="false"/>
          <w:bCs w:val="false"/>
          <w:i w:val="false"/>
          <w:iCs w:val="false"/>
          <w:color w:val="1A1A1A"/>
          <w:sz w:val="22"/>
          <w:szCs w:val="22"/>
        </w:rPr>
        <w:t xml:space="preserve">Against this benchmark, Flock’s proposed model is a </w:t>
      </w:r>
      <w:r>
        <w:rPr>
          <w:rFonts w:eastAsia="Georgia" w:cs="Georgia"/>
          <w:b/>
          <w:bCs/>
          <w:i w:val="false"/>
          <w:iCs w:val="false"/>
          <w:color w:val="1A1A1A"/>
          <w:sz w:val="22"/>
          <w:szCs w:val="22"/>
        </w:rPr>
        <w:t>genuine structural improvement in transparency and economics</w:t>
      </w:r>
      <w:r>
        <w:rPr>
          <w:rFonts w:eastAsia="Georgia" w:cs="Georgia"/>
          <w:b w:val="false"/>
          <w:bCs w:val="false"/>
          <w:i w:val="false"/>
          <w:iCs w:val="false"/>
          <w:color w:val="1A1A1A"/>
          <w:sz w:val="22"/>
          <w:szCs w:val="22"/>
        </w:rPr>
        <w:t xml:space="preserve">: disintermediation could return to lenders the spread the broker captures, counterparty choice and on-chain terms could make the arrangement transparent, and programmable collateral could automate margining. These are real advantages, and they distinguish the differentiator from the repackaged-hazard category. The improvement is not costless, however. Removing the intermediary transfers to the lender the </w:t>
      </w:r>
      <w:r>
        <w:rPr>
          <w:rFonts w:eastAsia="Georgia" w:cs="Georgia"/>
          <w:b/>
          <w:bCs/>
          <w:i w:val="false"/>
          <w:iCs w:val="false"/>
          <w:color w:val="1A1A1A"/>
          <w:sz w:val="22"/>
          <w:szCs w:val="22"/>
        </w:rPr>
        <w:t>counterparty-default risk</w:t>
      </w:r>
      <w:r>
        <w:rPr>
          <w:rFonts w:eastAsia="Georgia" w:cs="Georgia"/>
          <w:b w:val="false"/>
          <w:bCs w:val="false"/>
          <w:i w:val="false"/>
          <w:iCs w:val="false"/>
          <w:color w:val="1A1A1A"/>
          <w:sz w:val="22"/>
          <w:szCs w:val="22"/>
        </w:rPr>
        <w:t xml:space="preserve"> the broker formerly absorbed; the collateral-management and liquidation machinery must be robust and automated; and loaned securities fall outside the protections of investor-compensation schemes. The peer-to-peer-lending antecedent (Section 7.3)—in which retail lenders bore credit risk and a market leader ultimately exited </w:t>
      </w:r>
      <w:r>
        <w:rPr>
          <w:rFonts w:eastAsia="Georgia" w:cs="Georgia"/>
          <w:sz w:val="22"/>
          <w:szCs w:val="22"/>
        </w:rPr>
        <w:t>[129, 131]</w:t>
      </w:r>
      <w:r>
        <w:rPr>
          <w:rFonts w:eastAsia="Georgia" w:cs="Georgia"/>
          <w:b w:val="false"/>
          <w:bCs w:val="false"/>
          <w:i w:val="false"/>
          <w:iCs w:val="false"/>
          <w:color w:val="1A1A1A"/>
          <w:sz w:val="22"/>
          <w:szCs w:val="22"/>
        </w:rPr>
        <w:t>—is the relevant cautionary parallel. The differentiator is therefore feasible and genuinely superior to the incumbent design, conditional on over-collateralization, automated on-chain margining, default-insurance provisioning, and unambiguous disclosure that the lender, not an intermediary, bears the counterparty risk.</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Gamification, Inclusion, and P2P Lending</w:t>
            </w:r>
          </w:p>
          <w:p>
            <w:pPr>
              <w:pStyle w:val="Normal"/>
              <w:spacing w:lineRule="auto" w:line="264" w:before="0" w:after="0"/>
              <w:jc w:val="left"/>
              <w:rPr/>
            </w:pPr>
            <w:r>
              <w:rPr>
                <w:rFonts w:eastAsia="Georgia" w:cs="Georgia"/>
                <w:i/>
                <w:iCs/>
                <w:color w:val="1A1A1A"/>
                <w:sz w:val="21"/>
                <w:szCs w:val="21"/>
              </w:rPr>
              <w:t>Gamified literacy is defensible only if it rewards learning rather than trading volume—the precise line the Massachusetts settlement drew. Financial inclusion is an engineering achievement, not an automatic byproduct of decentralization, and may concentrate wealth if the documented capture dynamics are not countered. Peer-to-peer securities lending is a genuine improvement over the centralized stock-yield model, conditional on robust collateral and default architecture and honest risk disclosure.</w:t>
            </w:r>
          </w:p>
        </w:tc>
      </w:tr>
    </w:tbl>
    <w:p>
      <w:pPr>
        <w:pStyle w:val="Normal"/>
        <w:rPr/>
      </w:pPr>
      <w:r>
        <w:rPr/>
      </w:r>
      <w:r>
        <w:br w:type="page"/>
      </w:r>
    </w:p>
    <w:p>
      <w:pPr>
        <w:pStyle w:val="Heading1"/>
        <w:spacing w:before="0" w:after="200"/>
        <w:rPr/>
      </w:pPr>
      <w:bookmarkStart w:id="48" w:name="__RefHeading___Toc1447_1329916799"/>
      <w:bookmarkEnd w:id="48"/>
      <w:r>
        <w:rPr/>
        <w:t>11. The Creator Economy and the Limits of On-Chain Enforcement</w:t>
      </w:r>
    </w:p>
    <w:p>
      <w:pPr>
        <w:pStyle w:val="Normal"/>
        <w:spacing w:lineRule="auto" w:line="276" w:before="0" w:after="140"/>
        <w:jc w:val="both"/>
        <w:rPr/>
      </w:pPr>
      <w:r>
        <w:rPr>
          <w:rFonts w:eastAsia="Georgia" w:cs="Georgia"/>
          <w:b w:val="false"/>
          <w:bCs w:val="false"/>
          <w:i w:val="false"/>
          <w:iCs w:val="false"/>
          <w:color w:val="1A1A1A"/>
          <w:sz w:val="22"/>
          <w:szCs w:val="22"/>
        </w:rPr>
        <w:t>Flock’s vision includes tokenizing creative works and distributing royalties through smart contracts—a natural extension of its tokenization layer to intellectual property. This domain delivers a sharp and generalizable lesson about the limits of “code is law,” one that bears on the platform’s broader reliance on automated enforcement.</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instructive case is the collapse of non-fungible-token royalties. Early NFT marketplaces advertised that creators would earn a perpetual percentage of secondary sales, enforced automatically. In practice, because the prevailing token standard could not enforce transfer conditions at the protocol level, royalties were enforced only by marketplace convention—and when competing marketplaces made creator fees </w:t>
      </w:r>
      <w:r>
        <w:rPr>
          <w:rFonts w:eastAsia="Georgia" w:cs="Georgia"/>
          <w:b/>
          <w:bCs/>
          <w:i w:val="false"/>
          <w:iCs w:val="false"/>
          <w:color w:val="1A1A1A"/>
          <w:sz w:val="22"/>
          <w:szCs w:val="22"/>
        </w:rPr>
        <w:t>optional</w:t>
      </w:r>
      <w:r>
        <w:rPr>
          <w:rFonts w:eastAsia="Georgia" w:cs="Georgia"/>
          <w:b w:val="false"/>
          <w:bCs w:val="false"/>
          <w:i w:val="false"/>
          <w:iCs w:val="false"/>
          <w:color w:val="1A1A1A"/>
          <w:sz w:val="22"/>
          <w:szCs w:val="22"/>
        </w:rPr>
        <w:t xml:space="preserve"> in 2022 and 2023 to attract trading volume, royalty income across the sector collapsed toward zero </w:t>
      </w:r>
      <w:r>
        <w:rPr>
          <w:rFonts w:eastAsia="Georgia" w:cs="Georgia"/>
          <w:sz w:val="22"/>
          <w:szCs w:val="22"/>
        </w:rPr>
        <w:t>[111, 112]</w:t>
      </w:r>
      <w:r>
        <w:rPr>
          <w:rFonts w:eastAsia="Georgia" w:cs="Georgia"/>
          <w:b w:val="false"/>
          <w:bCs w:val="false"/>
          <w:i w:val="false"/>
          <w:iCs w:val="false"/>
          <w:color w:val="1A1A1A"/>
          <w:sz w:val="22"/>
          <w:szCs w:val="22"/>
        </w:rPr>
        <w:t>. The episode demonstrated that a “smart-contract guarantee” that depends on voluntary marketplace compliance is not a guarantee at all.</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technical response—new standards such as ERC-721C that enforce royalties by restricting transfers to compliant marketplaces </w:t>
      </w:r>
      <w:r>
        <w:rPr>
          <w:rFonts w:eastAsia="Georgia" w:cs="Georgia"/>
          <w:sz w:val="22"/>
          <w:szCs w:val="22"/>
        </w:rPr>
        <w:t>[113, 114, 115]</w:t>
      </w:r>
      <w:r>
        <w:rPr>
          <w:rFonts w:eastAsia="Georgia" w:cs="Georgia"/>
          <w:b w:val="false"/>
          <w:bCs w:val="false"/>
          <w:i w:val="false"/>
          <w:iCs w:val="false"/>
          <w:color w:val="1A1A1A"/>
          <w:sz w:val="22"/>
          <w:szCs w:val="22"/>
        </w:rPr>
        <w:t xml:space="preserve">—restores enforceability only by sacrificing the permissionless transferability that was supposed to be the technology’s advantage, exactly mirroring the compliance-versus-trustlessness trade-off identified for security tokens (Section 3.3). The generalizable lesson for Flock is that </w:t>
      </w:r>
      <w:r>
        <w:rPr>
          <w:rFonts w:eastAsia="Georgia" w:cs="Georgia"/>
          <w:b/>
          <w:bCs/>
          <w:i w:val="false"/>
          <w:iCs w:val="false"/>
          <w:color w:val="1A1A1A"/>
          <w:sz w:val="22"/>
          <w:szCs w:val="22"/>
        </w:rPr>
        <w:t>automated on-chain enforcement is reliable only where the protocol itself constrains the permitted actions</w:t>
      </w:r>
      <w:r>
        <w:rPr>
          <w:rFonts w:eastAsia="Georgia" w:cs="Georgia"/>
          <w:b w:val="false"/>
          <w:bCs w:val="false"/>
          <w:i w:val="false"/>
          <w:iCs w:val="false"/>
          <w:color w:val="1A1A1A"/>
          <w:sz w:val="22"/>
          <w:szCs w:val="22"/>
        </w:rPr>
        <w:t>; wherever enforcement depends on the voluntary cooperation of external venues or counterparties, it will erode under competitive pressure. This principle applies equally to royalty distribution, to securities-transfer restrictions, and to the redemption guarantees underpinning hybrid ownership—each must be enforced by protocol-level constraint or by enforceable legal contract, never by mere convention.</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Feasibility Verdict — Creator-Economy Layer</w:t>
            </w:r>
          </w:p>
          <w:p>
            <w:pPr>
              <w:pStyle w:val="Normal"/>
              <w:spacing w:lineRule="auto" w:line="264" w:before="0" w:after="0"/>
              <w:jc w:val="left"/>
              <w:rPr/>
            </w:pPr>
            <w:r>
              <w:rPr>
                <w:rFonts w:eastAsia="Georgia" w:cs="Georgia"/>
                <w:i/>
                <w:iCs/>
                <w:color w:val="1A1A1A"/>
                <w:sz w:val="21"/>
                <w:szCs w:val="21"/>
              </w:rPr>
              <w:t>On-chain royalty distribution is technically straightforward but economically fragile: enforcement that depends on voluntary marketplace compliance collapses under competition, as the NFT-royalty experience proved. Reliable enforcement requires protocol-level constraint (at the cost of permissionless transfer) or enforceable legal contract. Verdict: feasible only where enforcement is built into the protocol or backed by law, not convention.</w:t>
            </w:r>
          </w:p>
        </w:tc>
      </w:tr>
    </w:tbl>
    <w:p>
      <w:pPr>
        <w:pStyle w:val="Normal"/>
        <w:rPr/>
      </w:pPr>
      <w:r>
        <w:rPr/>
      </w:r>
      <w:r>
        <w:br w:type="page"/>
      </w:r>
    </w:p>
    <w:p>
      <w:pPr>
        <w:pStyle w:val="Heading1"/>
        <w:spacing w:before="0" w:after="200"/>
        <w:rPr/>
      </w:pPr>
      <w:bookmarkStart w:id="49" w:name="__RefHeading___Toc1449_1329916799"/>
      <w:bookmarkEnd w:id="49"/>
      <w:r>
        <w:rPr/>
        <w:t>12. Synthesis: The Differentiators and the Competitive Landscape</w:t>
      </w:r>
    </w:p>
    <w:p>
      <w:pPr>
        <w:pStyle w:val="Normal"/>
        <w:spacing w:lineRule="auto" w:line="276" w:before="0" w:after="140"/>
        <w:jc w:val="both"/>
        <w:rPr/>
      </w:pPr>
      <w:r>
        <w:rPr>
          <w:rFonts w:eastAsia="Georgia" w:cs="Georgia"/>
          <w:b w:val="false"/>
          <w:bCs w:val="false"/>
          <w:i w:val="false"/>
          <w:iCs w:val="false"/>
          <w:color w:val="1A1A1A"/>
          <w:sz w:val="22"/>
          <w:szCs w:val="22"/>
        </w:rPr>
        <w:t>Having assessed each layer, we now synthesize the findings around the two questions that determine whether Flock is worth building: are its differentiators genuine (RQ4), and how does the integrated system compare with the incumbents it would displace?</w:t>
      </w:r>
    </w:p>
    <w:p>
      <w:pPr>
        <w:pStyle w:val="Heading2"/>
        <w:rPr/>
      </w:pPr>
      <w:bookmarkStart w:id="50" w:name="__RefHeading___Toc1451_1329916799"/>
      <w:bookmarkEnd w:id="50"/>
      <w:r>
        <w:rPr/>
        <w:t>12.1 The Three Differentiators, Adjudicated</w:t>
      </w:r>
    </w:p>
    <w:p>
      <w:pPr>
        <w:pStyle w:val="Normal"/>
        <w:spacing w:lineRule="auto" w:line="276" w:before="0" w:after="140"/>
        <w:jc w:val="both"/>
        <w:rPr/>
      </w:pPr>
      <w:r>
        <w:rPr>
          <w:rFonts w:eastAsia="Georgia" w:cs="Georgia"/>
          <w:b w:val="false"/>
          <w:bCs w:val="false"/>
          <w:i w:val="false"/>
          <w:iCs w:val="false"/>
          <w:color w:val="1A1A1A"/>
          <w:sz w:val="22"/>
          <w:szCs w:val="22"/>
        </w:rPr>
        <w:t>A recurring risk in financial innovation is that a “differentiator” is merely a known failure mode in new packaging. We assessed each of Flock’s three signature features against that standard.</w:t>
      </w:r>
    </w:p>
    <w:tbl>
      <w:tblPr>
        <w:tblW w:w="9360" w:type="dxa"/>
        <w:jc w:val="left"/>
        <w:tblInd w:w="0" w:type="dxa"/>
        <w:tblLayout w:type="fixed"/>
        <w:tblCellMar>
          <w:top w:w="70" w:type="dxa"/>
          <w:left w:w="110" w:type="dxa"/>
          <w:bottom w:w="70" w:type="dxa"/>
          <w:right w:w="110" w:type="dxa"/>
        </w:tblCellMar>
      </w:tblPr>
      <w:tblGrid>
        <w:gridCol w:w="2500"/>
        <w:gridCol w:w="2299"/>
        <w:gridCol w:w="4561"/>
      </w:tblGrid>
      <w:tr>
        <w:trPr>
          <w:tblHeader w:val="true"/>
        </w:trPr>
        <w:tc>
          <w:tcPr>
            <w:tcW w:w="25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Differentiator</w:t>
            </w:r>
          </w:p>
        </w:tc>
        <w:tc>
          <w:tcPr>
            <w:tcW w:w="229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Verdict</w:t>
            </w:r>
          </w:p>
        </w:tc>
        <w:tc>
          <w:tcPr>
            <w:tcW w:w="4561"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Binding Condition</w:t>
            </w:r>
          </w:p>
        </w:tc>
      </w:tr>
      <w:tr>
        <w:trPr/>
        <w:tc>
          <w:tcPr>
            <w:tcW w:w="25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b/>
                <w:bCs/>
                <w:i w:val="false"/>
                <w:iCs w:val="false"/>
                <w:color w:val="1A1A1A"/>
                <w:sz w:val="22"/>
                <w:szCs w:val="22"/>
              </w:rPr>
              <w:t>Hybrid physical-digital ownership</w:t>
            </w:r>
          </w:p>
        </w:tc>
        <w:tc>
          <w:tcPr>
            <w:tcW w:w="22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Genuine, but the hardest to build</w:t>
            </w:r>
          </w:p>
        </w:tc>
        <w:tc>
          <w:tcPr>
            <w:tcW w:w="4561"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Requires SPV/custody + proof-of-reserve oracles per asset class; overhead scales with asset types, so introduce selectively atop mature custody (funds, then titled real estate)</w:t>
            </w:r>
          </w:p>
        </w:tc>
      </w:tr>
      <w:tr>
        <w:trPr/>
        <w:tc>
          <w:tcPr>
            <w:tcW w:w="25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b/>
                <w:bCs/>
                <w:i w:val="false"/>
                <w:iCs w:val="false"/>
                <w:color w:val="1A1A1A"/>
                <w:sz w:val="22"/>
                <w:szCs w:val="22"/>
              </w:rPr>
              <w:t>Peer-to-peer securities lending</w:t>
            </w:r>
          </w:p>
        </w:tc>
        <w:tc>
          <w:tcPr>
            <w:tcW w:w="229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Genuine improvement over incumbents</w:t>
            </w:r>
          </w:p>
        </w:tc>
        <w:tc>
          <w:tcPr>
            <w:tcW w:w="4561"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Superior to centralized 50%-spread model only with over-collateralization, automated on-chain margining, default insurance, and clear lender-bears-risk disclosure</w:t>
            </w:r>
          </w:p>
        </w:tc>
      </w:tr>
      <w:tr>
        <w:trPr/>
        <w:tc>
          <w:tcPr>
            <w:tcW w:w="25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b/>
                <w:bCs/>
                <w:i w:val="false"/>
                <w:iCs w:val="false"/>
                <w:color w:val="1A1A1A"/>
                <w:sz w:val="22"/>
                <w:szCs w:val="22"/>
              </w:rPr>
              <w:t>Gamified financial literacy</w:t>
            </w:r>
          </w:p>
        </w:tc>
        <w:tc>
          <w:tcPr>
            <w:tcW w:w="229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Genuine only under one design</w:t>
            </w:r>
          </w:p>
        </w:tc>
        <w:tc>
          <w:tcPr>
            <w:tcW w:w="4561"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Defensible iff engagement rewards demonstrated learning/risk calibration, not trade volume—the line the Massachusetts settlement drew</w:t>
            </w:r>
          </w:p>
        </w:tc>
      </w:tr>
    </w:tbl>
    <w:p>
      <w:pPr>
        <w:pStyle w:val="Normal"/>
        <w:spacing w:before="80" w:after="200"/>
        <w:jc w:val="left"/>
        <w:rPr/>
      </w:pPr>
      <w:r>
        <w:rPr>
          <w:rFonts w:eastAsia="Arial" w:cs="Arial" w:ascii="Arial" w:hAnsi="Arial"/>
          <w:i/>
          <w:iCs/>
          <w:color w:val="44505A"/>
          <w:sz w:val="18"/>
          <w:szCs w:val="18"/>
        </w:rPr>
        <w:t>Table 12.1 — Adjudication of Flock’s three differentiators against the empirical record. All three are genuine rather than repackaged hazards, but each is feasible only under a specific binding condition.</w:t>
      </w:r>
    </w:p>
    <w:p>
      <w:pPr>
        <w:pStyle w:val="Normal"/>
        <w:spacing w:lineRule="auto" w:line="276" w:before="0" w:after="140"/>
        <w:jc w:val="both"/>
        <w:rPr/>
      </w:pPr>
      <w:r>
        <w:rPr>
          <w:rFonts w:eastAsia="Georgia" w:cs="Georgia"/>
          <w:b w:val="false"/>
          <w:bCs w:val="false"/>
          <w:i w:val="false"/>
          <w:iCs w:val="false"/>
          <w:color w:val="1A1A1A"/>
          <w:sz w:val="22"/>
          <w:szCs w:val="22"/>
        </w:rPr>
        <w:t>The adjudication is encouraging in a qualified way: none of the three differentiators is a repackaged hazard, and each represents a genuine improvement over incumbent practice. But each is feasible only under a precise condition, and those conditions—legal-operational infrastructure for hybrid ownership, collateral and default machinery for lending, and learning-anchored metrics for gamification—are demanding. The differentiators justify the project; the conditions discipline it.</w:t>
      </w:r>
    </w:p>
    <w:p>
      <w:pPr>
        <w:pStyle w:val="Heading2"/>
        <w:rPr/>
      </w:pPr>
      <w:bookmarkStart w:id="51" w:name="__RefHeading___Toc1453_1329916799"/>
      <w:bookmarkEnd w:id="51"/>
      <w:r>
        <w:rPr/>
        <w:t>12.2 The Integrated System Versus the Incumbents</w:t>
      </w:r>
    </w:p>
    <w:p>
      <w:pPr>
        <w:pStyle w:val="Normal"/>
        <w:spacing w:lineRule="auto" w:line="276" w:before="0" w:after="140"/>
        <w:jc w:val="both"/>
        <w:rPr/>
      </w:pPr>
      <w:r>
        <w:rPr>
          <w:rFonts w:eastAsia="Georgia" w:cs="Georgia"/>
          <w:b w:val="false"/>
          <w:bCs w:val="false"/>
          <w:i w:val="false"/>
          <w:iCs w:val="false"/>
          <w:color w:val="1A1A1A"/>
          <w:sz w:val="22"/>
          <w:szCs w:val="22"/>
        </w:rPr>
        <w:t xml:space="preserve">Flock’s deeper claim is not that any single capability is novel—several incumbents offer pieces—but that </w:t>
      </w:r>
      <w:r>
        <w:rPr>
          <w:rFonts w:eastAsia="Georgia" w:cs="Georgia"/>
          <w:b/>
          <w:bCs/>
          <w:i w:val="false"/>
          <w:iCs w:val="false"/>
          <w:color w:val="1A1A1A"/>
          <w:sz w:val="22"/>
          <w:szCs w:val="22"/>
        </w:rPr>
        <w:t>integration</w:t>
      </w:r>
      <w:r>
        <w:rPr>
          <w:rFonts w:eastAsia="Georgia" w:cs="Georgia"/>
          <w:b w:val="false"/>
          <w:bCs w:val="false"/>
          <w:i w:val="false"/>
          <w:iCs w:val="false"/>
          <w:color w:val="1A1A1A"/>
          <w:sz w:val="22"/>
          <w:szCs w:val="22"/>
        </w:rPr>
        <w:t xml:space="preserve"> across the full spectrum is the unmet need. The competitive landscape supports this framing. Discount and multi-asset brokerages offer broad public-market access and sophisticated tooling but no native tokenization, no genuine alternative-asset ownership, no integrated learning progression, and a centralized lending model. Cryptocurrency exchanges offer deep digital-asset markets but limited regulated-securities access. Specialized alternative-asset platforms—for private equity, private credit, real estate, and fine art </w:t>
      </w:r>
      <w:r>
        <w:rPr>
          <w:rFonts w:eastAsia="Georgia" w:cs="Georgia"/>
          <w:sz w:val="22"/>
          <w:szCs w:val="22"/>
        </w:rPr>
        <w:t>[133]</w:t>
      </w:r>
      <w:r>
        <w:rPr>
          <w:rFonts w:eastAsia="Georgia" w:cs="Georgia"/>
          <w:b w:val="false"/>
          <w:bCs w:val="false"/>
          <w:i w:val="false"/>
          <w:iCs w:val="false"/>
          <w:color w:val="1A1A1A"/>
          <w:sz w:val="22"/>
          <w:szCs w:val="22"/>
        </w:rPr>
        <w:t>—each address one slice, gated by accreditation, with no interoperation among them. The regulated tokenization venues (Securitize, tZERO, ADDX) demonstrate the compliant rails Flock would need but are not consumer-facing super-applications. No incumbent unifies the spectrum, which is simultaneously Flock’s opportunity and the reason no one has done it: the integration is hard for regulatory and liquidity reasons, not technical ones.</w:t>
      </w:r>
    </w:p>
    <w:p>
      <w:pPr>
        <w:pStyle w:val="Heading2"/>
        <w:rPr/>
      </w:pPr>
      <w:bookmarkStart w:id="52" w:name="__RefHeading___Toc1455_1329916799"/>
      <w:bookmarkEnd w:id="52"/>
      <w:r>
        <w:rPr/>
        <w:t>12.3 The Two Cross-Cutting Constraints</w:t>
      </w:r>
    </w:p>
    <w:p>
      <w:pPr>
        <w:pStyle w:val="Normal"/>
        <w:spacing w:lineRule="auto" w:line="276" w:before="0" w:after="140"/>
        <w:jc w:val="both"/>
        <w:rPr/>
      </w:pPr>
      <w:r>
        <w:rPr>
          <w:rFonts w:eastAsia="Georgia" w:cs="Georgia"/>
          <w:b w:val="false"/>
          <w:bCs w:val="false"/>
          <w:i w:val="false"/>
          <w:iCs w:val="false"/>
          <w:color w:val="1A1A1A"/>
          <w:sz w:val="22"/>
          <w:szCs w:val="22"/>
        </w:rPr>
        <w:t>Across all ten domains, two constraints recur with enough force to be considered the determinants of feasibility.</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first is </w:t>
      </w:r>
      <w:r>
        <w:rPr>
          <w:rFonts w:eastAsia="Georgia" w:cs="Georgia"/>
          <w:b/>
          <w:bCs/>
          <w:i w:val="false"/>
          <w:iCs w:val="false"/>
          <w:color w:val="1A1A1A"/>
          <w:sz w:val="22"/>
          <w:szCs w:val="22"/>
        </w:rPr>
        <w:t>regulatory architecture</w:t>
      </w:r>
      <w:r>
        <w:rPr>
          <w:rFonts w:eastAsia="Georgia" w:cs="Georgia"/>
          <w:b w:val="false"/>
          <w:bCs w:val="false"/>
          <w:i w:val="false"/>
          <w:iCs w:val="false"/>
          <w:color w:val="1A1A1A"/>
          <w:sz w:val="22"/>
          <w:szCs w:val="22"/>
        </w:rPr>
        <w:t>. A platform spanning securities, event contracts, lending, payments, and virtual assets must satisfy every relevant regulator simultaneously, in every jurisdiction it serves. The compliance layer must be built into the token standard (Section 3.3), the venue structure must be licensed (Section 5), and expansion must proceed jurisdiction by jurisdiction (Section 5.5). This is not a cost to be minimized but a structural determinant of the entire build sequence.</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second is </w:t>
      </w:r>
      <w:r>
        <w:rPr>
          <w:rFonts w:eastAsia="Georgia" w:cs="Georgia"/>
          <w:b/>
          <w:bCs/>
          <w:i w:val="false"/>
          <w:iCs w:val="false"/>
          <w:color w:val="1A1A1A"/>
          <w:sz w:val="22"/>
          <w:szCs w:val="22"/>
        </w:rPr>
        <w:t>liquidity fragmentation</w:t>
      </w:r>
      <w:r>
        <w:rPr>
          <w:rFonts w:eastAsia="Georgia" w:cs="Georgia"/>
          <w:b w:val="false"/>
          <w:bCs w:val="false"/>
          <w:i w:val="false"/>
          <w:iCs w:val="false"/>
          <w:color w:val="1A1A1A"/>
          <w:sz w:val="22"/>
          <w:szCs w:val="22"/>
        </w:rPr>
        <w:t>. A super-application that lists many assets across many markets risks spreading order flow so thinly that no individual market is liquid enough to function—while the markets that do work (tokenized Treasuries, leading prediction markets) exhibit dangerous concentration (Sections 3.2, 8.2). Bootstrapping liquidity across many simultaneously thin markets, without depending on a few concentrated issuers, is the most likely point of practical failure—more likely than any technical breakdown.</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The Determinative Insight</w:t>
            </w:r>
          </w:p>
          <w:p>
            <w:pPr>
              <w:pStyle w:val="Normal"/>
              <w:spacing w:lineRule="auto" w:line="264" w:before="0" w:after="0"/>
              <w:jc w:val="left"/>
              <w:rPr/>
            </w:pPr>
            <w:r>
              <w:rPr>
                <w:rFonts w:eastAsia="Georgia" w:cs="Georgia"/>
                <w:i/>
                <w:iCs/>
                <w:color w:val="1A1A1A"/>
                <w:sz w:val="21"/>
                <w:szCs w:val="21"/>
              </w:rPr>
              <w:t>A market or platform can be sound in aggregate while harming the majority of its individual participants. This pattern appears in prediction markets (~3% skilled, ~67% lose), liquidity provision (impermanent loss), copy trading (herding), and virtual-land speculation (latecomers lose). Flock’s entire claim to serve participants—rather than merely to extract from them—depends on actively engineering against this pattern through tiering, disclosure, circuit-breakers, and learning-anchored design.</w:t>
            </w:r>
          </w:p>
        </w:tc>
      </w:tr>
    </w:tbl>
    <w:p>
      <w:pPr>
        <w:pStyle w:val="Normal"/>
        <w:rPr/>
      </w:pPr>
      <w:r>
        <w:rPr/>
      </w:r>
      <w:r>
        <w:br w:type="page"/>
      </w:r>
    </w:p>
    <w:p>
      <w:pPr>
        <w:pStyle w:val="Heading1"/>
        <w:spacing w:before="0" w:after="200"/>
        <w:rPr/>
      </w:pPr>
      <w:bookmarkStart w:id="53" w:name="__RefHeading___Toc1457_1329916799"/>
      <w:bookmarkEnd w:id="53"/>
      <w:r>
        <w:rPr/>
        <w:t>13. A Staged, Feasible Construction Path</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synthesis implies that Flock is feasible only as a </w:t>
      </w:r>
      <w:r>
        <w:rPr>
          <w:rFonts w:eastAsia="Georgia" w:cs="Georgia"/>
          <w:b/>
          <w:bCs/>
          <w:i w:val="false"/>
          <w:iCs w:val="false"/>
          <w:color w:val="1A1A1A"/>
          <w:sz w:val="22"/>
          <w:szCs w:val="22"/>
        </w:rPr>
        <w:t>staged, regulated-first construction</w:t>
      </w:r>
      <w:r>
        <w:rPr>
          <w:rFonts w:eastAsia="Georgia" w:cs="Georgia"/>
          <w:b w:val="false"/>
          <w:bCs w:val="false"/>
          <w:i w:val="false"/>
          <w:iCs w:val="false"/>
          <w:color w:val="1A1A1A"/>
          <w:sz w:val="22"/>
          <w:szCs w:val="22"/>
        </w:rPr>
        <w:t>, never as a simultaneous launch of all capabilities. We propose three stages, each with explicit go/no-go thresholds derived from the preceding analysis. The thresholds are deliberately falsifiable: if a stage’s threshold is not met, the strategy should be revised rather than the next stage attempted.</w:t>
      </w:r>
    </w:p>
    <w:p>
      <w:pPr>
        <w:pStyle w:val="Heading2"/>
        <w:rPr/>
      </w:pPr>
      <w:bookmarkStart w:id="54" w:name="__RefHeading___Toc1459_1329916799"/>
      <w:bookmarkEnd w:id="54"/>
      <w:r>
        <w:rPr/>
        <w:t>13.1 Stage One (Months 0–18): The Regulated Foundation</w:t>
      </w:r>
    </w:p>
    <w:p>
      <w:pPr>
        <w:pStyle w:val="Normal"/>
        <w:spacing w:lineRule="auto" w:line="276" w:before="0" w:after="140"/>
        <w:jc w:val="both"/>
        <w:rPr/>
      </w:pPr>
      <w:r>
        <w:rPr>
          <w:rFonts w:eastAsia="Georgia" w:cs="Georgia"/>
          <w:b w:val="false"/>
          <w:bCs w:val="false"/>
          <w:i w:val="false"/>
          <w:iCs w:val="false"/>
          <w:color w:val="1A1A1A"/>
          <w:sz w:val="22"/>
          <w:szCs w:val="22"/>
        </w:rPr>
        <w:t>The first stage establishes the compliant tokenization and trading core. Flock should launch with the asset classes whose tokenization is most mature and least legally contested: tokenized Treasuries, money-market instruments, and regulated funds, built on a permissioned, compliance-aware token standard (ERC-3643 or ERC-1400; Section 3.3), traded through a licensed venue (an ATS in the United States or under the EU DLT Pilot Regime; Section 5), with a qualified custodian and transfer agent on the Securitize/ADDX model. The intelligence layer enters in a constrained, transparent form—diversification-improving robo-advisory with explainable recommendations (Section 6.2)—and the gamified literacy progression is anchored, from the outset, to learning and risk-calibration metrics rather than trading volume (Section 10.1).</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Stage One Go/No-Go Threshold</w:t>
            </w:r>
          </w:p>
          <w:p>
            <w:pPr>
              <w:pStyle w:val="Normal"/>
              <w:spacing w:lineRule="auto" w:line="264" w:before="0" w:after="0"/>
              <w:jc w:val="left"/>
              <w:rPr/>
            </w:pPr>
            <w:r>
              <w:rPr>
                <w:rFonts w:eastAsia="Georgia" w:cs="Georgia"/>
                <w:i/>
                <w:iCs/>
                <w:color w:val="1A1A1A"/>
                <w:sz w:val="21"/>
                <w:szCs w:val="21"/>
              </w:rPr>
              <w:t>Advance only upon (i) demonstrated compliant settlement of tokenized securities through a licensed venue in at least one jurisdiction, and (ii) at least US$50 million in custodied tokenized assets with functioning secondary liquidity. If compliant settlement cannot be achieved, the entire premise is unproven and later stages must not proceed.</w:t>
            </w:r>
          </w:p>
        </w:tc>
      </w:tr>
    </w:tbl>
    <w:p>
      <w:pPr>
        <w:pStyle w:val="Heading2"/>
        <w:rPr/>
      </w:pPr>
      <w:bookmarkStart w:id="55" w:name="__RefHeading___Toc1461_1329916799"/>
      <w:bookmarkEnd w:id="55"/>
      <w:r>
        <w:rPr/>
        <w:t>13.2 Stage Two (Months 18–36): Social, Advisory, and Event Markets</w:t>
      </w:r>
    </w:p>
    <w:p>
      <w:pPr>
        <w:pStyle w:val="Normal"/>
        <w:spacing w:lineRule="auto" w:line="276" w:before="0" w:after="140"/>
        <w:jc w:val="both"/>
        <w:rPr/>
      </w:pPr>
      <w:r>
        <w:rPr>
          <w:rFonts w:eastAsia="Georgia" w:cs="Georgia"/>
          <w:b w:val="false"/>
          <w:bCs w:val="false"/>
          <w:i w:val="false"/>
          <w:iCs w:val="false"/>
          <w:color w:val="1A1A1A"/>
          <w:sz w:val="22"/>
          <w:szCs w:val="22"/>
        </w:rPr>
        <w:t>With a compliant core operating, the second stage adds the social and market layers under their respective controls. Copy and social trading enter with herding circuit-breakers, risk-forward presentation, and competence-gated copying (Section 7.2); the freelance-advisory marketplace operates within investment-adviser rules with verified credentials and honest track-record disclosure. Prediction and other event markets are introduced only through a designated-contract-market structure (the Polymarket-acquisition model; Section 8.3), positioned as hedging and forecasting instruments with prominent disclosure of the documented loss distribution, and gated by jurisdiction and competence tier.</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Stage Two Go/No-Go Threshold</w:t>
            </w:r>
          </w:p>
          <w:p>
            <w:pPr>
              <w:pStyle w:val="Normal"/>
              <w:spacing w:lineRule="auto" w:line="264" w:before="0" w:after="0"/>
              <w:jc w:val="left"/>
              <w:rPr/>
            </w:pPr>
            <w:r>
              <w:rPr>
                <w:rFonts w:eastAsia="Georgia" w:cs="Georgia"/>
                <w:i/>
                <w:iCs/>
                <w:color w:val="1A1A1A"/>
                <w:sz w:val="21"/>
                <w:szCs w:val="21"/>
              </w:rPr>
              <w:t>Advance only upon (i) clean independent smart-contract and security audits of all new components, (ii) a documented, tested copy-trading risk-control regime (circuit-breakers and per-strategy risk caps demonstrably operative), and (iii) confirmed regulated-venue authority for any event-contract offering. If copy-trading controls cannot be shown to dampen herding, the social layer should be curtailed rather than expanded.</w:t>
            </w:r>
          </w:p>
        </w:tc>
      </w:tr>
    </w:tbl>
    <w:p>
      <w:pPr>
        <w:pStyle w:val="Heading2"/>
        <w:rPr/>
      </w:pPr>
      <w:bookmarkStart w:id="56" w:name="__RefHeading___Toc1463_1329916799"/>
      <w:bookmarkEnd w:id="56"/>
      <w:r>
        <w:rPr/>
        <w:t>13.3 Stage Three (Months 36+): Differentiators and Hybrid Assets</w:t>
      </w:r>
    </w:p>
    <w:p>
      <w:pPr>
        <w:pStyle w:val="Normal"/>
        <w:spacing w:lineRule="auto" w:line="276" w:before="0" w:after="140"/>
        <w:jc w:val="both"/>
        <w:rPr/>
      </w:pPr>
      <w:r>
        <w:rPr>
          <w:rFonts w:eastAsia="Georgia" w:cs="Georgia"/>
          <w:b w:val="false"/>
          <w:bCs w:val="false"/>
          <w:i w:val="false"/>
          <w:iCs w:val="false"/>
          <w:color w:val="1A1A1A"/>
          <w:sz w:val="22"/>
          <w:szCs w:val="22"/>
        </w:rPr>
        <w:t xml:space="preserve">The third stage implements the most ambitious and most infrastructure-dependent features. Peer-to-peer securities lending launches with on-chain over-collateralization, automated margining, and default-insurance provisioning (Section 10.4); hybrid physical-digital assets are introduced </w:t>
      </w:r>
      <w:r>
        <w:rPr>
          <w:rFonts w:eastAsia="Georgia" w:cs="Georgia"/>
          <w:b w:val="false"/>
          <w:bCs w:val="false"/>
          <w:i/>
          <w:iCs/>
          <w:color w:val="1A1A1A"/>
          <w:sz w:val="22"/>
          <w:szCs w:val="22"/>
        </w:rPr>
        <w:t>selectively</w:t>
      </w:r>
      <w:r>
        <w:rPr>
          <w:rFonts w:eastAsia="Georgia" w:cs="Georgia"/>
          <w:b w:val="false"/>
          <w:bCs w:val="false"/>
          <w:i w:val="false"/>
          <w:iCs w:val="false"/>
          <w:color w:val="1A1A1A"/>
          <w:sz w:val="22"/>
          <w:szCs w:val="22"/>
        </w:rPr>
        <w:t>, beginning with asset classes whose custody and title infrastructure is mature, each backed by an SPV and a robust proof-of-reserve oracle (Sections 3.4, 4.4). A metaverse layer, if pursued at all, is implemented only as a non-speculative experiential interface to genuine assets, carrying no business case predicated on virtual-asset appreciation (Section 9.3). Cross-chain functionality, if required, is added last and conservatively, treating bridge risk as a board-level concern (Section 4.3).</w:t>
      </w:r>
    </w:p>
    <w:tbl>
      <w:tblPr>
        <w:tblW w:w="9360" w:type="dxa"/>
        <w:jc w:val="left"/>
        <w:tblInd w:w="0" w:type="dxa"/>
        <w:tblLayout w:type="fixed"/>
        <w:tblCellMar>
          <w:top w:w="140" w:type="dxa"/>
          <w:left w:w="220" w:type="dxa"/>
          <w:bottom w:w="140" w:type="dxa"/>
          <w:right w:w="180" w:type="dxa"/>
        </w:tblCellMar>
      </w:tblPr>
      <w:tblGrid>
        <w:gridCol w:w="9360"/>
      </w:tblGrid>
      <w:tr>
        <w:trPr/>
        <w:tc>
          <w:tcPr>
            <w:tcW w:w="9360" w:type="dxa"/>
            <w:tcBorders>
              <w:top w:val="single" w:sz="2" w:space="0" w:color="DCF0F2"/>
              <w:left w:val="single" w:sz="24" w:space="0" w:color="5FC8C0"/>
              <w:bottom w:val="single" w:sz="2" w:space="0" w:color="DCF0F2"/>
              <w:right w:val="single" w:sz="2" w:space="0" w:color="DCF0F2"/>
            </w:tcBorders>
            <w:shd w:fill="DCF0F2" w:val="clear"/>
          </w:tcPr>
          <w:p>
            <w:pPr>
              <w:pStyle w:val="Normal"/>
              <w:spacing w:before="0" w:after="60"/>
              <w:rPr/>
            </w:pPr>
            <w:r>
              <w:rPr>
                <w:rFonts w:eastAsia="Arial" w:cs="Arial" w:ascii="Arial" w:hAnsi="Arial"/>
                <w:b/>
                <w:bCs/>
                <w:color w:val="0B3D6B"/>
                <w:sz w:val="22"/>
                <w:szCs w:val="22"/>
              </w:rPr>
              <w:t>Stage Three Go/No-Go Threshold</w:t>
            </w:r>
          </w:p>
          <w:p>
            <w:pPr>
              <w:pStyle w:val="Normal"/>
              <w:spacing w:lineRule="auto" w:line="264" w:before="0" w:after="0"/>
              <w:jc w:val="left"/>
              <w:rPr/>
            </w:pPr>
            <w:r>
              <w:rPr>
                <w:rFonts w:eastAsia="Georgia" w:cs="Georgia"/>
                <w:i/>
                <w:iCs/>
                <w:color w:val="1A1A1A"/>
                <w:sz w:val="21"/>
                <w:szCs w:val="21"/>
              </w:rPr>
              <w:t>Introduce each hybrid-ownership asset class only upon (i) a legal opinion confirming enforceable beneficial ownership and redemption in the relevant jurisdiction, (ii) an independently attested proof-of-reserve mechanism, and (iii) a custody/registry relationship that honors redemption. Add cross-chain functionality only if single-chain operation is demonstrably insufficient and only via the most rigorously secured message-passing infrastructure. Deprioritize indefinitely any feature failing these tests.</w:t>
            </w:r>
          </w:p>
        </w:tc>
      </w:tr>
    </w:tbl>
    <w:p>
      <w:pPr>
        <w:pStyle w:val="Heading2"/>
        <w:rPr/>
      </w:pPr>
      <w:bookmarkStart w:id="57" w:name="__RefHeading___Toc1465_1329916799"/>
      <w:bookmarkEnd w:id="57"/>
      <w:r>
        <w:rPr/>
        <w:t>13.4 Summary of the Construction Logic</w:t>
      </w:r>
    </w:p>
    <w:tbl>
      <w:tblPr>
        <w:tblW w:w="9360" w:type="dxa"/>
        <w:jc w:val="left"/>
        <w:tblInd w:w="0" w:type="dxa"/>
        <w:tblLayout w:type="fixed"/>
        <w:tblCellMar>
          <w:top w:w="70" w:type="dxa"/>
          <w:left w:w="110" w:type="dxa"/>
          <w:bottom w:w="70" w:type="dxa"/>
          <w:right w:w="110" w:type="dxa"/>
        </w:tblCellMar>
      </w:tblPr>
      <w:tblGrid>
        <w:gridCol w:w="900"/>
        <w:gridCol w:w="1100"/>
        <w:gridCol w:w="4059"/>
        <w:gridCol w:w="3300"/>
      </w:tblGrid>
      <w:tr>
        <w:trPr>
          <w:tblHeader w:val="true"/>
        </w:trPr>
        <w:tc>
          <w:tcPr>
            <w:tcW w:w="9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Stage</w:t>
            </w:r>
          </w:p>
        </w:tc>
        <w:tc>
          <w:tcPr>
            <w:tcW w:w="11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Horizon</w:t>
            </w:r>
          </w:p>
        </w:tc>
        <w:tc>
          <w:tcPr>
            <w:tcW w:w="4059"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Adds</w:t>
            </w:r>
          </w:p>
        </w:tc>
        <w:tc>
          <w:tcPr>
            <w:tcW w:w="3300" w:type="dxa"/>
            <w:tcBorders>
              <w:top w:val="single" w:sz="2" w:space="0" w:color="BFD3E6"/>
              <w:left w:val="single" w:sz="2" w:space="0" w:color="BFD3E6"/>
              <w:bottom w:val="single" w:sz="2" w:space="0" w:color="BFD3E6"/>
              <w:right w:val="single" w:sz="2" w:space="0" w:color="BFD3E6"/>
            </w:tcBorders>
            <w:shd w:fill="0B3D6B" w:val="clear"/>
          </w:tcPr>
          <w:p>
            <w:pPr>
              <w:pStyle w:val="Normal"/>
              <w:spacing w:lineRule="auto" w:line="240" w:before="0" w:after="0"/>
              <w:jc w:val="left"/>
              <w:rPr/>
            </w:pPr>
            <w:r>
              <w:rPr>
                <w:rFonts w:eastAsia="Arial" w:cs="Arial" w:ascii="Arial" w:hAnsi="Arial"/>
                <w:b/>
                <w:bCs/>
                <w:color w:val="FFFFFF"/>
                <w:sz w:val="17"/>
                <w:szCs w:val="17"/>
              </w:rPr>
              <w:t>Gating Threshold (abbreviated)</w:t>
            </w:r>
          </w:p>
        </w:tc>
      </w:tr>
      <w:tr>
        <w:trPr/>
        <w:tc>
          <w:tcPr>
            <w:tcW w:w="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One</w:t>
            </w:r>
          </w:p>
        </w:tc>
        <w:tc>
          <w:tcPr>
            <w:tcW w:w="11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0–18 mo.</w:t>
            </w:r>
          </w:p>
        </w:tc>
        <w:tc>
          <w:tcPr>
            <w:tcW w:w="405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Compliant tokenized funds/Treasuries; explainable robo-advisory; learning-anchored gamification</w:t>
            </w:r>
          </w:p>
        </w:tc>
        <w:tc>
          <w:tcPr>
            <w:tcW w:w="33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Compliant settlement + US$50M custodied with liquidity</w:t>
            </w:r>
          </w:p>
        </w:tc>
      </w:tr>
      <w:tr>
        <w:trPr/>
        <w:tc>
          <w:tcPr>
            <w:tcW w:w="9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Two</w:t>
            </w:r>
          </w:p>
        </w:tc>
        <w:tc>
          <w:tcPr>
            <w:tcW w:w="11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18–36 mo.</w:t>
            </w:r>
          </w:p>
        </w:tc>
        <w:tc>
          <w:tcPr>
            <w:tcW w:w="4059"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Copy/social trading with circuit-breakers; freelance advisory; regulated event markets</w:t>
            </w:r>
          </w:p>
        </w:tc>
        <w:tc>
          <w:tcPr>
            <w:tcW w:w="3300" w:type="dxa"/>
            <w:tcBorders>
              <w:top w:val="single" w:sz="2" w:space="0" w:color="BFD3E6"/>
              <w:left w:val="single" w:sz="2" w:space="0" w:color="BFD3E6"/>
              <w:bottom w:val="single" w:sz="2" w:space="0" w:color="BFD3E6"/>
              <w:right w:val="single" w:sz="2" w:space="0" w:color="BFD3E6"/>
            </w:tcBorders>
            <w:shd w:fill="E3EEF7" w:val="clear"/>
            <w:tcMar>
              <w:top w:w="60" w:type="dxa"/>
              <w:bottom w:w="60" w:type="dxa"/>
            </w:tcMar>
          </w:tcPr>
          <w:p>
            <w:pPr>
              <w:pStyle w:val="Normal"/>
              <w:spacing w:lineRule="auto" w:line="240" w:before="0" w:after="0"/>
              <w:rPr/>
            </w:pPr>
            <w:r>
              <w:rPr>
                <w:rFonts w:eastAsia="Georgia" w:cs="Georgia"/>
                <w:color w:val="1A1A1A"/>
                <w:sz w:val="17"/>
                <w:szCs w:val="17"/>
              </w:rPr>
              <w:t>Clean audits + tested herding controls + venue authority</w:t>
            </w:r>
          </w:p>
        </w:tc>
      </w:tr>
      <w:tr>
        <w:trPr/>
        <w:tc>
          <w:tcPr>
            <w:tcW w:w="9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Three</w:t>
            </w:r>
          </w:p>
        </w:tc>
        <w:tc>
          <w:tcPr>
            <w:tcW w:w="11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36+ mo.</w:t>
            </w:r>
          </w:p>
        </w:tc>
        <w:tc>
          <w:tcPr>
            <w:tcW w:w="4059"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P2P lending; selective hybrid ownership; optional experiential metaverse; conservative cross-chain</w:t>
            </w:r>
          </w:p>
        </w:tc>
        <w:tc>
          <w:tcPr>
            <w:tcW w:w="3300" w:type="dxa"/>
            <w:tcBorders>
              <w:top w:val="single" w:sz="2" w:space="0" w:color="BFD3E6"/>
              <w:left w:val="single" w:sz="2" w:space="0" w:color="BFD3E6"/>
              <w:bottom w:val="single" w:sz="2" w:space="0" w:color="BFD3E6"/>
              <w:right w:val="single" w:sz="2" w:space="0" w:color="BFD3E6"/>
            </w:tcBorders>
            <w:shd w:fill="FFFFFF" w:val="clear"/>
            <w:tcMar>
              <w:top w:w="60" w:type="dxa"/>
              <w:bottom w:w="60" w:type="dxa"/>
            </w:tcMar>
          </w:tcPr>
          <w:p>
            <w:pPr>
              <w:pStyle w:val="Normal"/>
              <w:spacing w:lineRule="auto" w:line="240" w:before="0" w:after="0"/>
              <w:rPr/>
            </w:pPr>
            <w:r>
              <w:rPr>
                <w:rFonts w:eastAsia="Georgia" w:cs="Georgia"/>
                <w:color w:val="1A1A1A"/>
                <w:sz w:val="17"/>
                <w:szCs w:val="17"/>
              </w:rPr>
              <w:t>Per-asset legal opinion + attested reserves + redemption custody</w:t>
            </w:r>
          </w:p>
        </w:tc>
      </w:tr>
    </w:tbl>
    <w:p>
      <w:pPr>
        <w:pStyle w:val="Normal"/>
        <w:spacing w:before="80" w:after="200"/>
        <w:jc w:val="left"/>
        <w:rPr/>
      </w:pPr>
      <w:r>
        <w:rPr>
          <w:rFonts w:eastAsia="Arial" w:cs="Arial" w:ascii="Arial" w:hAnsi="Arial"/>
          <w:i/>
          <w:iCs/>
          <w:color w:val="44505A"/>
          <w:sz w:val="18"/>
          <w:szCs w:val="18"/>
        </w:rPr>
        <w:t>Table 13.1 — The staged construction path. Each stage is gated by a falsifiable threshold; failure to meet a threshold mandates revision rather than progression.</w:t>
      </w:r>
    </w:p>
    <w:p>
      <w:pPr>
        <w:pStyle w:val="Normal"/>
        <w:rPr/>
      </w:pPr>
      <w:r>
        <w:rPr/>
      </w:r>
      <w:r>
        <w:br w:type="page"/>
      </w:r>
    </w:p>
    <w:p>
      <w:pPr>
        <w:pStyle w:val="Heading1"/>
        <w:spacing w:before="0" w:after="200"/>
        <w:rPr/>
      </w:pPr>
      <w:bookmarkStart w:id="58" w:name="__RefHeading___Toc1467_1329916799"/>
      <w:bookmarkEnd w:id="58"/>
      <w:r>
        <w:rPr/>
        <w:t>14. Limitations and Threats to Validity</w:t>
      </w:r>
    </w:p>
    <w:p>
      <w:pPr>
        <w:pStyle w:val="Normal"/>
        <w:spacing w:lineRule="auto" w:line="276" w:before="0" w:after="140"/>
        <w:jc w:val="both"/>
        <w:rPr/>
      </w:pPr>
      <w:r>
        <w:rPr>
          <w:rFonts w:eastAsia="Georgia" w:cs="Georgia"/>
          <w:b w:val="false"/>
          <w:bCs w:val="false"/>
          <w:i w:val="false"/>
          <w:iCs w:val="false"/>
          <w:color w:val="1A1A1A"/>
          <w:sz w:val="22"/>
          <w:szCs w:val="22"/>
        </w:rPr>
        <w:t>Several limitations qualify this assessment and should temper its conclusions.</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Source stratification and industry data. </w:t>
      </w:r>
      <w:r>
        <w:rPr>
          <w:rFonts w:eastAsia="Georgia" w:cs="Georgia"/>
          <w:b w:val="false"/>
          <w:bCs w:val="false"/>
          <w:i w:val="false"/>
          <w:iCs w:val="false"/>
          <w:color w:val="1A1A1A"/>
          <w:sz w:val="22"/>
          <w:szCs w:val="22"/>
        </w:rPr>
        <w:t>Many market-size figures—on-chain RWA totals, the trillion-dollar tokenization projections, metaverse price levels, and default and return statistics—originate in industry sources and data aggregators rather than peer-reviewed research. We have flagged these in context and anchored load-bearing claims on peer-reviewed and primary regulatory sources, but the quantitative landscape remains partly dependent on self-interested or non-replicated reporting.</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Regulatory fluidity. </w:t>
      </w:r>
      <w:r>
        <w:rPr>
          <w:rFonts w:eastAsia="Georgia" w:cs="Georgia"/>
          <w:b w:val="false"/>
          <w:bCs w:val="false"/>
          <w:i w:val="false"/>
          <w:iCs w:val="false"/>
          <w:color w:val="1A1A1A"/>
          <w:sz w:val="22"/>
          <w:szCs w:val="22"/>
        </w:rPr>
        <w:t>The U.S. framework shifted materially in 2025–2026 with the SEC–CFTC joint interpretation and a more permissive posture; the favorable Kalshi outcome rests on a district-court ruling without a precedential appellate merits decision and amid unresolved federal-state conflict; and MiCA full application and DLT Pilot Regime expansion remain in flux. Every regulatory conclusion is time-stamped to mid-2026 and may not survive subsequent change.</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Forward-looking framing in recent sources. </w:t>
      </w:r>
      <w:r>
        <w:rPr>
          <w:rFonts w:eastAsia="Georgia" w:cs="Georgia"/>
          <w:b w:val="false"/>
          <w:bCs w:val="false"/>
          <w:i w:val="false"/>
          <w:iCs w:val="false"/>
          <w:color w:val="1A1A1A"/>
          <w:sz w:val="22"/>
          <w:szCs w:val="22"/>
        </w:rPr>
        <w:t>Several 2025–2026 sources contain speculative or promotional language. We have treated such framing as claims to be evaluated rather than facts, but the recency of the field means some evidence is provisional.</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Generalization across domains. </w:t>
      </w:r>
      <w:r>
        <w:rPr>
          <w:rFonts w:eastAsia="Georgia" w:cs="Georgia"/>
          <w:b w:val="false"/>
          <w:bCs w:val="false"/>
          <w:i w:val="false"/>
          <w:iCs w:val="false"/>
          <w:color w:val="1A1A1A"/>
          <w:sz w:val="22"/>
          <w:szCs w:val="22"/>
        </w:rPr>
        <w:t>This is a synthesis, not an experiment. Conclusions about the integrated system are inferred from evidence about its parts; emergent behaviors of the full system—especially interactions among the intelligence, social, and market layers—can be assessed only through deployment and were beyond the scope of this study.</w:t>
      </w:r>
    </w:p>
    <w:p>
      <w:pPr>
        <w:pStyle w:val="ListParagraph"/>
        <w:numPr>
          <w:ilvl w:val="0"/>
          <w:numId w:val="1"/>
        </w:numPr>
        <w:spacing w:lineRule="auto" w:line="264" w:before="0" w:after="80"/>
        <w:jc w:val="both"/>
        <w:rPr/>
      </w:pPr>
      <w:r>
        <w:rPr>
          <w:rFonts w:eastAsia="Georgia" w:cs="Georgia"/>
          <w:b/>
          <w:bCs/>
          <w:i w:val="false"/>
          <w:iCs w:val="false"/>
          <w:color w:val="1A1A1A"/>
          <w:sz w:val="22"/>
          <w:szCs w:val="22"/>
        </w:rPr>
        <w:t xml:space="preserve">Absence of primary user research. </w:t>
      </w:r>
      <w:r>
        <w:rPr>
          <w:rFonts w:eastAsia="Georgia" w:cs="Georgia"/>
          <w:b w:val="false"/>
          <w:bCs w:val="false"/>
          <w:i w:val="false"/>
          <w:iCs w:val="false"/>
          <w:color w:val="1A1A1A"/>
          <w:sz w:val="22"/>
          <w:szCs w:val="22"/>
        </w:rPr>
        <w:t>The behavioral claims rest on existing literature about analogous platforms. Whether Flock’s specific tiering and gamification design achieves its protective aims is an empirical question requiring controlled study of the actual product—a priority for future work.</w:t>
      </w:r>
    </w:p>
    <w:p>
      <w:pPr>
        <w:pStyle w:val="Normal"/>
        <w:rPr/>
      </w:pPr>
      <w:r>
        <w:rPr/>
      </w:r>
      <w:r>
        <w:br w:type="page"/>
      </w:r>
    </w:p>
    <w:p>
      <w:pPr>
        <w:pStyle w:val="Heading1"/>
        <w:spacing w:before="0" w:after="200"/>
        <w:rPr/>
      </w:pPr>
      <w:bookmarkStart w:id="59" w:name="__RefHeading___Toc1469_1329916799"/>
      <w:bookmarkEnd w:id="59"/>
      <w:r>
        <w:rPr/>
        <w:t>15. Conclusion</w:t>
      </w:r>
    </w:p>
    <w:p>
      <w:pPr>
        <w:pStyle w:val="Normal"/>
        <w:spacing w:lineRule="auto" w:line="276" w:before="0" w:after="140"/>
        <w:jc w:val="both"/>
        <w:rPr/>
      </w:pPr>
      <w:r>
        <w:rPr>
          <w:rFonts w:eastAsia="Georgia" w:cs="Georgia"/>
          <w:b w:val="false"/>
          <w:bCs w:val="false"/>
          <w:i w:val="false"/>
          <w:iCs w:val="false"/>
          <w:color w:val="1A1A1A"/>
          <w:sz w:val="22"/>
          <w:szCs w:val="22"/>
        </w:rPr>
        <w:t xml:space="preserve">This paper asked whether a single platform could unify tokenized multi-asset investing, algorithmic advising, social and freelance trading, prediction and other markets, and virtual assets—and under what conditions. The answer is that Flock is </w:t>
      </w:r>
      <w:r>
        <w:rPr>
          <w:rFonts w:eastAsia="Georgia" w:cs="Georgia"/>
          <w:b/>
          <w:bCs/>
          <w:i w:val="false"/>
          <w:iCs w:val="false"/>
          <w:color w:val="1A1A1A"/>
          <w:sz w:val="22"/>
          <w:szCs w:val="22"/>
        </w:rPr>
        <w:t>conditionally feasible</w:t>
      </w:r>
      <w:r>
        <w:rPr>
          <w:rFonts w:eastAsia="Georgia" w:cs="Georgia"/>
          <w:b w:val="false"/>
          <w:bCs w:val="false"/>
          <w:i w:val="false"/>
          <w:iCs w:val="false"/>
          <w:color w:val="1A1A1A"/>
          <w:sz w:val="22"/>
          <w:szCs w:val="22"/>
        </w:rPr>
        <w:t>. Every constituent capability is technically demonstrated and at least partially commercialized as of 2026; the binding constraints are not cryptographic or computational but regulatory architecture and liquidity fragmentation. The technology is ready; the question is whether the platform can be made compliant and liquid across many markets at once, and whether it can be designed to serve participants rather than to extract from them.</w:t>
      </w:r>
    </w:p>
    <w:p>
      <w:pPr>
        <w:pStyle w:val="Normal"/>
        <w:spacing w:lineRule="auto" w:line="276" w:before="0" w:after="140"/>
        <w:jc w:val="both"/>
        <w:rPr/>
      </w:pPr>
      <w:r>
        <w:rPr>
          <w:rFonts w:eastAsia="Georgia" w:cs="Georgia"/>
          <w:b w:val="false"/>
          <w:bCs w:val="false"/>
          <w:i w:val="false"/>
          <w:iCs w:val="false"/>
          <w:color w:val="1A1A1A"/>
          <w:sz w:val="22"/>
          <w:szCs w:val="22"/>
        </w:rPr>
        <w:t xml:space="preserve">Three conclusions stand out. First, </w:t>
      </w:r>
      <w:r>
        <w:rPr>
          <w:rFonts w:eastAsia="Georgia" w:cs="Georgia"/>
          <w:b/>
          <w:bCs/>
          <w:i w:val="false"/>
          <w:iCs w:val="false"/>
          <w:color w:val="1A1A1A"/>
          <w:sz w:val="22"/>
          <w:szCs w:val="22"/>
        </w:rPr>
        <w:t>disciplined constraint, not maximal decentralization, is the precondition of viability</w:t>
      </w:r>
      <w:r>
        <w:rPr>
          <w:rFonts w:eastAsia="Georgia" w:cs="Georgia"/>
          <w:b w:val="false"/>
          <w:bCs w:val="false"/>
          <w:i w:val="false"/>
          <w:iCs w:val="false"/>
          <w:color w:val="1A1A1A"/>
          <w:sz w:val="22"/>
          <w:szCs w:val="22"/>
        </w:rPr>
        <w:t xml:space="preserve">. The recurring finding—across token standards, royalty enforcement, and compliance—is that reliable systems require protocol-level constraints and enforceable legal structures; “trustlessness” and “code is law” fail precisely where Flock most needs them to hold. Second, </w:t>
      </w:r>
      <w:r>
        <w:rPr>
          <w:rFonts w:eastAsia="Georgia" w:cs="Georgia"/>
          <w:b/>
          <w:bCs/>
          <w:i w:val="false"/>
          <w:iCs w:val="false"/>
          <w:color w:val="1A1A1A"/>
          <w:sz w:val="22"/>
          <w:szCs w:val="22"/>
        </w:rPr>
        <w:t>aggregate soundness does not imply individual welfare</w:t>
      </w:r>
      <w:r>
        <w:rPr>
          <w:rFonts w:eastAsia="Georgia" w:cs="Georgia"/>
          <w:b w:val="false"/>
          <w:bCs w:val="false"/>
          <w:i w:val="false"/>
          <w:iCs w:val="false"/>
          <w:color w:val="1A1A1A"/>
          <w:sz w:val="22"/>
          <w:szCs w:val="22"/>
        </w:rPr>
        <w:t xml:space="preserve">. Prediction markets, liquidity pools, copy trading, and virtual-land markets each demonstrate that a market can be informative or efficient in aggregate while imposing losses on most of its participants; Flock’s claim to broaden participation responsibly depends entirely on engineering against this pattern. Third, Flock’s three differentiators are </w:t>
      </w:r>
      <w:r>
        <w:rPr>
          <w:rFonts w:eastAsia="Georgia" w:cs="Georgia"/>
          <w:b/>
          <w:bCs/>
          <w:i w:val="false"/>
          <w:iCs w:val="false"/>
          <w:color w:val="1A1A1A"/>
          <w:sz w:val="22"/>
          <w:szCs w:val="22"/>
        </w:rPr>
        <w:t>genuine rather than repackaged hazards</w:t>
      </w:r>
      <w:r>
        <w:rPr>
          <w:rFonts w:eastAsia="Georgia" w:cs="Georgia"/>
          <w:b w:val="false"/>
          <w:bCs w:val="false"/>
          <w:i w:val="false"/>
          <w:iCs w:val="false"/>
          <w:color w:val="1A1A1A"/>
          <w:sz w:val="22"/>
          <w:szCs w:val="22"/>
        </w:rPr>
        <w:t>—but each is feasible only under a demanding, specific condition, and those conditions define the disciplined build the platform requires.</w:t>
      </w:r>
    </w:p>
    <w:p>
      <w:pPr>
        <w:pStyle w:val="Normal"/>
        <w:spacing w:lineRule="auto" w:line="276" w:before="0" w:after="140"/>
        <w:jc w:val="both"/>
        <w:rPr/>
      </w:pPr>
      <w:r>
        <w:rPr>
          <w:rFonts w:eastAsia="Georgia" w:cs="Georgia"/>
          <w:b w:val="false"/>
          <w:bCs w:val="false"/>
          <w:i w:val="false"/>
          <w:iCs w:val="false"/>
          <w:color w:val="1A1A1A"/>
          <w:sz w:val="22"/>
          <w:szCs w:val="22"/>
        </w:rPr>
        <w:t>The flocking metaphor with which we began is, in the end, the right one. A flock is robust not because its members are unconstrained but because each obeys simple, disciplined local rules; remove the rules and the flock becomes a mob. Flock the platform can achieve the coordination it promises—distributed price discovery, liquidity, lending, and advice—only if it is built on the disciplined constraints this paper has identified: compliance embedded in the token, liquidity bootstrapped without dangerous concentration, risk disclosed honestly, speculation gated behind demonstrated competence, and enforcement grounded in protocol or law rather than convention. Built that way, and only that way, the architecture is not merely feasible but genuinely valuable. The vision is sound; the discipline is everything.</w:t>
      </w:r>
    </w:p>
    <w:p>
      <w:pPr>
        <w:pStyle w:val="Normal"/>
        <w:spacing w:lineRule="auto" w:line="276" w:before="0" w:after="140"/>
        <w:jc w:val="left"/>
        <w:rPr/>
      </w:pPr>
      <w:r>
        <w:rPr>
          <w:rFonts w:eastAsia="Georgia" w:cs="Georgia"/>
          <w:b w:val="false"/>
          <w:bCs w:val="false"/>
          <w:i/>
          <w:iCs/>
          <w:color w:val="C9882B"/>
          <w:sz w:val="22"/>
          <w:szCs w:val="22"/>
        </w:rPr>
        <w:t>Patience, as the project’s ethos has it, pays.</w:t>
      </w:r>
    </w:p>
    <w:p>
      <w:pPr>
        <w:pStyle w:val="Normal"/>
        <w:rPr/>
      </w:pPr>
      <w:r>
        <w:rPr/>
      </w:r>
      <w:r>
        <w:br w:type="page"/>
      </w:r>
    </w:p>
    <w:p>
      <w:pPr>
        <w:pStyle w:val="Heading1"/>
        <w:spacing w:before="0" w:after="200"/>
        <w:rPr/>
      </w:pPr>
      <w:bookmarkStart w:id="60" w:name="__RefHeading___Toc1471_1329916799"/>
      <w:bookmarkEnd w:id="60"/>
      <w:r>
        <w:rPr/>
        <w:t>References</w:t>
      </w:r>
    </w:p>
    <w:p>
      <w:pPr>
        <w:pStyle w:val="Normal"/>
        <w:spacing w:lineRule="auto" w:line="276" w:before="0" w:after="200"/>
        <w:jc w:val="both"/>
        <w:rPr/>
      </w:pPr>
      <w:r>
        <w:rPr>
          <w:rFonts w:eastAsia="Georgia" w:cs="Georgia"/>
          <w:b w:val="false"/>
          <w:bCs w:val="false"/>
          <w:i/>
          <w:iCs/>
          <w:color w:val="44505A"/>
          <w:sz w:val="20"/>
          <w:szCs w:val="20"/>
        </w:rPr>
        <w:t>The following list comprises the sources cited in this paper. In-text citations use the bracketed number corresponding to each entry below. Sources span peer-reviewed journals and conference proceedings, working papers from established repositories, regulatory instruments and enforcement actions, central-bank and multilateral reports, and—where flagged in context—industry analyses and market-data aggregators.</w:t>
      </w:r>
    </w:p>
    <w:p>
      <w:pPr>
        <w:pStyle w:val="Normal"/>
        <w:spacing w:lineRule="auto" w:line="240" w:before="0" w:after="110"/>
        <w:ind w:hanging="360" w:left="360"/>
        <w:jc w:val="left"/>
        <w:rPr/>
      </w:pPr>
      <w:r>
        <w:rPr>
          <w:rFonts w:eastAsia="Georgia" w:cs="Georgia"/>
          <w:b/>
          <w:bCs/>
          <w:color w:val="1B6CA8"/>
          <w:sz w:val="19"/>
          <w:szCs w:val="19"/>
        </w:rPr>
        <w:t xml:space="preserve">[1] </w:t>
      </w:r>
      <w:r>
        <w:rPr>
          <w:rFonts w:eastAsia="Georgia" w:cs="Georgia"/>
          <w:color w:val="1A1A1A"/>
          <w:sz w:val="19"/>
          <w:szCs w:val="19"/>
        </w:rPr>
        <w:t>Higginson, M., Hilal, A., Marchat, E., et al. (2024). “From ripples to waves: The transformational power of tokenizing assets.” McKinsey &amp; Company, June 20, 2024.</w:t>
      </w:r>
    </w:p>
    <w:p>
      <w:pPr>
        <w:pStyle w:val="Normal"/>
        <w:spacing w:lineRule="auto" w:line="240" w:before="0" w:after="110"/>
        <w:ind w:hanging="360" w:left="360"/>
        <w:jc w:val="left"/>
        <w:rPr/>
      </w:pPr>
      <w:r>
        <w:rPr>
          <w:rFonts w:eastAsia="Georgia" w:cs="Georgia"/>
          <w:b/>
          <w:bCs/>
          <w:color w:val="1B6CA8"/>
          <w:sz w:val="19"/>
          <w:szCs w:val="19"/>
        </w:rPr>
        <w:t xml:space="preserve">[2] </w:t>
      </w:r>
      <w:r>
        <w:rPr>
          <w:rFonts w:eastAsia="Georgia" w:cs="Georgia"/>
          <w:color w:val="1A1A1A"/>
          <w:sz w:val="19"/>
          <w:szCs w:val="19"/>
        </w:rPr>
        <w:t>Boston Consulting Group &amp; ADDX. (2022). “Relevance of On-Chain Asset Tokenization in Crypto Winter.” BCG &amp; ADDX Report, September 2022.</w:t>
      </w:r>
    </w:p>
    <w:p>
      <w:pPr>
        <w:pStyle w:val="Normal"/>
        <w:spacing w:lineRule="auto" w:line="240" w:before="0" w:after="110"/>
        <w:ind w:hanging="360" w:left="360"/>
        <w:jc w:val="left"/>
        <w:rPr/>
      </w:pPr>
      <w:r>
        <w:rPr>
          <w:rFonts w:eastAsia="Georgia" w:cs="Georgia"/>
          <w:b/>
          <w:bCs/>
          <w:color w:val="1B6CA8"/>
          <w:sz w:val="19"/>
          <w:szCs w:val="19"/>
        </w:rPr>
        <w:t xml:space="preserve">[3] </w:t>
      </w:r>
      <w:r>
        <w:rPr>
          <w:rFonts w:eastAsia="Georgia" w:cs="Georgia"/>
          <w:color w:val="1A1A1A"/>
          <w:sz w:val="19"/>
          <w:szCs w:val="19"/>
        </w:rPr>
        <w:t>The Defiant. (2025). “RWAs Became Wall Street’s Gateway to Crypto in 2025.” The Defiant, December 2025. https://thedefiant.io/news/defi/rwas-became-wall-street-s-gateway-to-crypto-in-2025</w:t>
      </w:r>
    </w:p>
    <w:p>
      <w:pPr>
        <w:pStyle w:val="Normal"/>
        <w:spacing w:lineRule="auto" w:line="240" w:before="0" w:after="110"/>
        <w:ind w:hanging="360" w:left="360"/>
        <w:jc w:val="left"/>
        <w:rPr/>
      </w:pPr>
      <w:r>
        <w:rPr>
          <w:rFonts w:eastAsia="Georgia" w:cs="Georgia"/>
          <w:b/>
          <w:bCs/>
          <w:color w:val="1B6CA8"/>
          <w:sz w:val="19"/>
          <w:szCs w:val="19"/>
        </w:rPr>
        <w:t xml:space="preserve">[4] </w:t>
      </w:r>
      <w:r>
        <w:rPr>
          <w:rFonts w:eastAsia="Georgia" w:cs="Georgia"/>
          <w:color w:val="1A1A1A"/>
          <w:sz w:val="19"/>
          <w:szCs w:val="19"/>
        </w:rPr>
        <w:t>RWA.xyz. (2026). “Real-World Assets On-Chain: Market Dashboard and Analytics.” RWA.xyz, accessed June 2026. https://www.rwa.xyz</w:t>
      </w:r>
    </w:p>
    <w:p>
      <w:pPr>
        <w:pStyle w:val="Normal"/>
        <w:spacing w:lineRule="auto" w:line="240" w:before="0" w:after="110"/>
        <w:ind w:hanging="360" w:left="360"/>
        <w:jc w:val="left"/>
        <w:rPr/>
      </w:pPr>
      <w:r>
        <w:rPr>
          <w:rFonts w:eastAsia="Georgia" w:cs="Georgia"/>
          <w:b/>
          <w:bCs/>
          <w:color w:val="1B6CA8"/>
          <w:sz w:val="19"/>
          <w:szCs w:val="19"/>
        </w:rPr>
        <w:t xml:space="preserve">[5] </w:t>
      </w:r>
      <w:r>
        <w:rPr>
          <w:rFonts w:eastAsia="Georgia" w:cs="Georgia"/>
          <w:color w:val="1A1A1A"/>
          <w:sz w:val="19"/>
          <w:szCs w:val="19"/>
        </w:rPr>
        <w:t>RedStone Oracles, Gauntlet &amp; RWA.xyz. (2025). “Real-World Assets in Onchain Finance Report.” RedStone, June 2025.</w:t>
      </w:r>
    </w:p>
    <w:p>
      <w:pPr>
        <w:pStyle w:val="Normal"/>
        <w:spacing w:lineRule="auto" w:line="240" w:before="0" w:after="110"/>
        <w:ind w:hanging="360" w:left="360"/>
        <w:jc w:val="left"/>
        <w:rPr/>
      </w:pPr>
      <w:r>
        <w:rPr>
          <w:rFonts w:eastAsia="Georgia" w:cs="Georgia"/>
          <w:b/>
          <w:bCs/>
          <w:color w:val="1B6CA8"/>
          <w:sz w:val="19"/>
          <w:szCs w:val="19"/>
        </w:rPr>
        <w:t xml:space="preserve">[6] </w:t>
      </w:r>
      <w:r>
        <w:rPr>
          <w:rFonts w:eastAsia="Georgia" w:cs="Georgia"/>
          <w:color w:val="1A1A1A"/>
          <w:sz w:val="19"/>
          <w:szCs w:val="19"/>
        </w:rPr>
        <w:t>CoinDesk. (2025). “BlackRock’s BUIDL Tokenized Fund Surpasses $2B in Assets and $100M in Lifetime Dividends.” CoinDesk, December 30, 2025.</w:t>
      </w:r>
    </w:p>
    <w:p>
      <w:pPr>
        <w:pStyle w:val="Normal"/>
        <w:spacing w:lineRule="auto" w:line="240" w:before="0" w:after="110"/>
        <w:ind w:hanging="360" w:left="360"/>
        <w:jc w:val="left"/>
        <w:rPr/>
      </w:pPr>
      <w:r>
        <w:rPr>
          <w:rFonts w:eastAsia="Georgia" w:cs="Georgia"/>
          <w:b/>
          <w:bCs/>
          <w:color w:val="1B6CA8"/>
          <w:sz w:val="19"/>
          <w:szCs w:val="19"/>
        </w:rPr>
        <w:t xml:space="preserve">[7] </w:t>
      </w:r>
      <w:r>
        <w:rPr>
          <w:rFonts w:eastAsia="Georgia" w:cs="Georgia"/>
          <w:color w:val="1A1A1A"/>
          <w:sz w:val="19"/>
          <w:szCs w:val="19"/>
        </w:rPr>
        <w:t>Securitize. (2024). “BlackRock Launches Its First Tokenized Fund, BUIDL, on the Ethereum Network.” Securitize Press Release, March 20, 2024.</w:t>
      </w:r>
    </w:p>
    <w:p>
      <w:pPr>
        <w:pStyle w:val="Normal"/>
        <w:spacing w:lineRule="auto" w:line="240" w:before="0" w:after="110"/>
        <w:ind w:hanging="360" w:left="360"/>
        <w:jc w:val="left"/>
        <w:rPr/>
      </w:pPr>
      <w:r>
        <w:rPr>
          <w:rFonts w:eastAsia="Georgia" w:cs="Georgia"/>
          <w:b/>
          <w:bCs/>
          <w:color w:val="1B6CA8"/>
          <w:sz w:val="19"/>
          <w:szCs w:val="19"/>
        </w:rPr>
        <w:t xml:space="preserve">[8] </w:t>
      </w:r>
      <w:r>
        <w:rPr>
          <w:rFonts w:eastAsia="Georgia" w:cs="Georgia"/>
          <w:color w:val="1A1A1A"/>
          <w:sz w:val="19"/>
          <w:szCs w:val="19"/>
        </w:rPr>
        <w:t>Animoca Brands Research. (2025). “The State of Tokenized Stocks.” Reported in crypto.news, September 2025.</w:t>
      </w:r>
    </w:p>
    <w:p>
      <w:pPr>
        <w:pStyle w:val="Normal"/>
        <w:spacing w:lineRule="auto" w:line="240" w:before="0" w:after="110"/>
        <w:ind w:hanging="360" w:left="360"/>
        <w:jc w:val="left"/>
        <w:rPr/>
      </w:pPr>
      <w:r>
        <w:rPr>
          <w:rFonts w:eastAsia="Georgia" w:cs="Georgia"/>
          <w:b/>
          <w:bCs/>
          <w:color w:val="1B6CA8"/>
          <w:sz w:val="19"/>
          <w:szCs w:val="19"/>
        </w:rPr>
        <w:t xml:space="preserve">[9] </w:t>
      </w:r>
      <w:r>
        <w:rPr>
          <w:rFonts w:eastAsia="Georgia" w:cs="Georgia"/>
          <w:color w:val="1A1A1A"/>
          <w:sz w:val="19"/>
          <w:szCs w:val="19"/>
        </w:rPr>
        <w:t>World Bank. (2018). “World Bank Prices First Global Blockchain Bond, Raising A$110 Million.” World Bank Press Release, August 23, 2018.</w:t>
      </w:r>
    </w:p>
    <w:p>
      <w:pPr>
        <w:pStyle w:val="Normal"/>
        <w:spacing w:lineRule="auto" w:line="240" w:before="0" w:after="110"/>
        <w:ind w:hanging="360" w:left="360"/>
        <w:jc w:val="left"/>
        <w:rPr/>
      </w:pPr>
      <w:r>
        <w:rPr>
          <w:rFonts w:eastAsia="Georgia" w:cs="Georgia"/>
          <w:b/>
          <w:bCs/>
          <w:color w:val="1B6CA8"/>
          <w:sz w:val="19"/>
          <w:szCs w:val="19"/>
        </w:rPr>
        <w:t xml:space="preserve">[10] </w:t>
      </w:r>
      <w:r>
        <w:rPr>
          <w:rFonts w:eastAsia="Georgia" w:cs="Georgia"/>
          <w:color w:val="1A1A1A"/>
          <w:sz w:val="19"/>
          <w:szCs w:val="19"/>
        </w:rPr>
        <w:t>World Bank. (2019). “World Bank Issues Second Tranche of Blockchain Bond via bond-i.” World Bank Press Release, August 16, 2019.</w:t>
      </w:r>
    </w:p>
    <w:p>
      <w:pPr>
        <w:pStyle w:val="Normal"/>
        <w:spacing w:lineRule="auto" w:line="240" w:before="0" w:after="110"/>
        <w:ind w:hanging="360" w:left="360"/>
        <w:jc w:val="left"/>
        <w:rPr/>
      </w:pPr>
      <w:r>
        <w:rPr>
          <w:rFonts w:eastAsia="Georgia" w:cs="Georgia"/>
          <w:b/>
          <w:bCs/>
          <w:color w:val="1B6CA8"/>
          <w:sz w:val="19"/>
          <w:szCs w:val="19"/>
        </w:rPr>
        <w:t xml:space="preserve">[11] </w:t>
      </w:r>
      <w:r>
        <w:rPr>
          <w:rFonts w:eastAsia="Georgia" w:cs="Georgia"/>
          <w:color w:val="1A1A1A"/>
          <w:sz w:val="19"/>
          <w:szCs w:val="19"/>
        </w:rPr>
        <w:t>Tokeny Solutions. (2023). “ERC-3643: The T-REX Standard for Permissioned Tokens.” Tokeny Technical Documentation.</w:t>
      </w:r>
    </w:p>
    <w:p>
      <w:pPr>
        <w:pStyle w:val="Normal"/>
        <w:spacing w:lineRule="auto" w:line="240" w:before="0" w:after="110"/>
        <w:ind w:hanging="360" w:left="360"/>
        <w:jc w:val="left"/>
        <w:rPr/>
      </w:pPr>
      <w:r>
        <w:rPr>
          <w:rFonts w:eastAsia="Georgia" w:cs="Georgia"/>
          <w:b/>
          <w:bCs/>
          <w:color w:val="1B6CA8"/>
          <w:sz w:val="19"/>
          <w:szCs w:val="19"/>
        </w:rPr>
        <w:t xml:space="preserve">[12] </w:t>
      </w:r>
      <w:r>
        <w:rPr>
          <w:rFonts w:eastAsia="Georgia" w:cs="Georgia"/>
          <w:color w:val="1A1A1A"/>
          <w:sz w:val="19"/>
          <w:szCs w:val="19"/>
        </w:rPr>
        <w:t>Aumasson, J.-P., &amp; Sauge, B. (2024). “Security Token Standards Compared: CMTAT vs. ERC-1400 vs. ERC-3643.” Taurus SA &amp; Capital Markets and Technology Association (CMTA), January 2024. https://www.taurushq.com/blog/security-token-standards-compared-cmtat-solidity-code-vs-erc-1400-vs-erc-3643/</w:t>
      </w:r>
    </w:p>
    <w:p>
      <w:pPr>
        <w:pStyle w:val="Normal"/>
        <w:spacing w:lineRule="auto" w:line="240" w:before="0" w:after="110"/>
        <w:ind w:hanging="360" w:left="360"/>
        <w:jc w:val="left"/>
        <w:rPr/>
      </w:pPr>
      <w:r>
        <w:rPr>
          <w:rFonts w:eastAsia="Georgia" w:cs="Georgia"/>
          <w:b/>
          <w:bCs/>
          <w:color w:val="1B6CA8"/>
          <w:sz w:val="19"/>
          <w:szCs w:val="19"/>
        </w:rPr>
        <w:t xml:space="preserve">[13] </w:t>
      </w:r>
      <w:r>
        <w:rPr>
          <w:rFonts w:eastAsia="Georgia" w:cs="Georgia"/>
          <w:color w:val="1A1A1A"/>
          <w:sz w:val="19"/>
          <w:szCs w:val="19"/>
        </w:rPr>
        <w:t>Polymath &amp; Ethereum Community. (2018–2019). “ERC-1400: Security Token Standard.” Ethereum Improvement Proposals.</w:t>
      </w:r>
    </w:p>
    <w:p>
      <w:pPr>
        <w:pStyle w:val="Normal"/>
        <w:spacing w:lineRule="auto" w:line="240" w:before="0" w:after="110"/>
        <w:ind w:hanging="360" w:left="360"/>
        <w:jc w:val="left"/>
        <w:rPr/>
      </w:pPr>
      <w:r>
        <w:rPr>
          <w:rFonts w:eastAsia="Georgia" w:cs="Georgia"/>
          <w:b/>
          <w:bCs/>
          <w:color w:val="1B6CA8"/>
          <w:sz w:val="19"/>
          <w:szCs w:val="19"/>
        </w:rPr>
        <w:t xml:space="preserve">[14] </w:t>
      </w:r>
      <w:r>
        <w:rPr>
          <w:rFonts w:eastAsia="Georgia" w:cs="Georgia"/>
          <w:color w:val="1A1A1A"/>
          <w:sz w:val="19"/>
          <w:szCs w:val="19"/>
        </w:rPr>
        <w:t>ERC-3643 Association. (2021). “ERC-3643: T-REX — Token for Regulated EXchanges.” Ethereum Improvement Proposals (Final, merged 2023).</w:t>
      </w:r>
    </w:p>
    <w:p>
      <w:pPr>
        <w:pStyle w:val="Normal"/>
        <w:spacing w:lineRule="auto" w:line="240" w:before="0" w:after="110"/>
        <w:ind w:hanging="360" w:left="360"/>
        <w:jc w:val="left"/>
        <w:rPr/>
      </w:pPr>
      <w:r>
        <w:rPr>
          <w:rFonts w:eastAsia="Georgia" w:cs="Georgia"/>
          <w:b/>
          <w:bCs/>
          <w:color w:val="1B6CA8"/>
          <w:sz w:val="19"/>
          <w:szCs w:val="19"/>
        </w:rPr>
        <w:t xml:space="preserve">[15] </w:t>
      </w:r>
      <w:r>
        <w:rPr>
          <w:rFonts w:eastAsia="Georgia" w:cs="Georgia"/>
          <w:color w:val="1A1A1A"/>
          <w:sz w:val="19"/>
          <w:szCs w:val="19"/>
        </w:rPr>
        <w:t>Noyes, J., Santoro, J., et al. (2022). “ERC-4626: Tokenized Vault Standard.” Ethereum Improvement Proposals.</w:t>
      </w:r>
    </w:p>
    <w:p>
      <w:pPr>
        <w:pStyle w:val="Normal"/>
        <w:spacing w:lineRule="auto" w:line="240" w:before="0" w:after="110"/>
        <w:ind w:hanging="360" w:left="360"/>
        <w:jc w:val="left"/>
        <w:rPr/>
      </w:pPr>
      <w:r>
        <w:rPr>
          <w:rFonts w:eastAsia="Georgia" w:cs="Georgia"/>
          <w:b/>
          <w:bCs/>
          <w:color w:val="1B6CA8"/>
          <w:sz w:val="19"/>
          <w:szCs w:val="19"/>
        </w:rPr>
        <w:t xml:space="preserve">[16] </w:t>
      </w:r>
      <w:r>
        <w:rPr>
          <w:rFonts w:eastAsia="Georgia" w:cs="Georgia"/>
          <w:color w:val="1A1A1A"/>
          <w:sz w:val="19"/>
          <w:szCs w:val="19"/>
        </w:rPr>
        <w:t>Entriken, W., Shirley, D., Evans, J., &amp; Sachs, N. (2018). “ERC-721: Non-Fungible Token Standard.” Ethereum Improvement Proposals.</w:t>
      </w:r>
    </w:p>
    <w:p>
      <w:pPr>
        <w:pStyle w:val="Normal"/>
        <w:spacing w:lineRule="auto" w:line="240" w:before="0" w:after="110"/>
        <w:ind w:hanging="360" w:left="360"/>
        <w:jc w:val="left"/>
        <w:rPr/>
      </w:pPr>
      <w:r>
        <w:rPr>
          <w:rFonts w:eastAsia="Georgia" w:cs="Georgia"/>
          <w:b/>
          <w:bCs/>
          <w:color w:val="1B6CA8"/>
          <w:sz w:val="19"/>
          <w:szCs w:val="19"/>
        </w:rPr>
        <w:t xml:space="preserve">[17] </w:t>
      </w:r>
      <w:r>
        <w:rPr>
          <w:rFonts w:eastAsia="Georgia" w:cs="Georgia"/>
          <w:color w:val="1A1A1A"/>
          <w:sz w:val="19"/>
          <w:szCs w:val="19"/>
        </w:rPr>
        <w:t>Radomski, W., Cooke, A., Castonguay, P., et al. (2018). “ERC-1155: Multi Token Standard.” Ethereum Improvement Proposals.</w:t>
      </w:r>
    </w:p>
    <w:p>
      <w:pPr>
        <w:pStyle w:val="Normal"/>
        <w:spacing w:lineRule="auto" w:line="240" w:before="0" w:after="110"/>
        <w:ind w:hanging="360" w:left="360"/>
        <w:jc w:val="left"/>
        <w:rPr/>
      </w:pPr>
      <w:r>
        <w:rPr>
          <w:rFonts w:eastAsia="Georgia" w:cs="Georgia"/>
          <w:b/>
          <w:bCs/>
          <w:color w:val="1B6CA8"/>
          <w:sz w:val="19"/>
          <w:szCs w:val="19"/>
        </w:rPr>
        <w:t xml:space="preserve">[18] </w:t>
      </w:r>
      <w:r>
        <w:rPr>
          <w:rFonts w:eastAsia="Georgia" w:cs="Georgia"/>
          <w:color w:val="1A1A1A"/>
          <w:sz w:val="19"/>
          <w:szCs w:val="19"/>
        </w:rPr>
        <w:t>Ondo Finance. (2026). “OUSG and USDY: Tokenized U.S. Treasuries Documentation.” Ondo Finance, accessed early 2026.</w:t>
      </w:r>
    </w:p>
    <w:p>
      <w:pPr>
        <w:pStyle w:val="Normal"/>
        <w:spacing w:lineRule="auto" w:line="240" w:before="0" w:after="110"/>
        <w:ind w:hanging="360" w:left="360"/>
        <w:jc w:val="left"/>
        <w:rPr/>
      </w:pPr>
      <w:r>
        <w:rPr>
          <w:rFonts w:eastAsia="Georgia" w:cs="Georgia"/>
          <w:b/>
          <w:bCs/>
          <w:color w:val="1B6CA8"/>
          <w:sz w:val="19"/>
          <w:szCs w:val="19"/>
        </w:rPr>
        <w:t xml:space="preserve">[19] </w:t>
      </w:r>
      <w:r>
        <w:rPr>
          <w:rFonts w:eastAsia="Georgia" w:cs="Georgia"/>
          <w:color w:val="1A1A1A"/>
          <w:sz w:val="19"/>
          <w:szCs w:val="19"/>
        </w:rPr>
        <w:t>Franklin Templeton. (2021). “Franklin OnChain U.S. Government Money Fund (FOBXX/BENJI).” Franklin Templeton, SEC-registered tokenized money market fund.</w:t>
      </w:r>
    </w:p>
    <w:p>
      <w:pPr>
        <w:pStyle w:val="Normal"/>
        <w:spacing w:lineRule="auto" w:line="240" w:before="0" w:after="110"/>
        <w:ind w:hanging="360" w:left="360"/>
        <w:jc w:val="left"/>
        <w:rPr/>
      </w:pPr>
      <w:r>
        <w:rPr>
          <w:rFonts w:eastAsia="Georgia" w:cs="Georgia"/>
          <w:b/>
          <w:bCs/>
          <w:color w:val="1B6CA8"/>
          <w:sz w:val="19"/>
          <w:szCs w:val="19"/>
        </w:rPr>
        <w:t xml:space="preserve">[20] </w:t>
      </w:r>
      <w:r>
        <w:rPr>
          <w:rFonts w:eastAsia="Georgia" w:cs="Georgia"/>
          <w:color w:val="1A1A1A"/>
          <w:sz w:val="19"/>
          <w:szCs w:val="19"/>
        </w:rPr>
        <w:t>Loesch, S., Hindman, N., Richardson, M. B., &amp; Welch, N. (2021). “Impermanent Loss in Uniswap v3.” arXiv:2111.09192.</w:t>
      </w:r>
    </w:p>
    <w:p>
      <w:pPr>
        <w:pStyle w:val="Normal"/>
        <w:spacing w:lineRule="auto" w:line="240" w:before="0" w:after="110"/>
        <w:ind w:hanging="360" w:left="360"/>
        <w:jc w:val="left"/>
        <w:rPr/>
      </w:pPr>
      <w:r>
        <w:rPr>
          <w:rFonts w:eastAsia="Georgia" w:cs="Georgia"/>
          <w:b/>
          <w:bCs/>
          <w:color w:val="1B6CA8"/>
          <w:sz w:val="19"/>
          <w:szCs w:val="19"/>
        </w:rPr>
        <w:t xml:space="preserve">[21] </w:t>
      </w:r>
      <w:r>
        <w:rPr>
          <w:rFonts w:eastAsia="Georgia" w:cs="Georgia"/>
          <w:color w:val="1A1A1A"/>
          <w:sz w:val="19"/>
          <w:szCs w:val="19"/>
        </w:rPr>
        <w:t>Fritsch, R. (2021). “Concentrated Liquidity in Automated Market Makers.” Proceedings of the ACM CCS Workshop on Decentralized Finance and Security (DeFi’21).</w:t>
      </w:r>
    </w:p>
    <w:p>
      <w:pPr>
        <w:pStyle w:val="Normal"/>
        <w:spacing w:lineRule="auto" w:line="240" w:before="0" w:after="110"/>
        <w:ind w:hanging="360" w:left="360"/>
        <w:jc w:val="left"/>
        <w:rPr/>
      </w:pPr>
      <w:r>
        <w:rPr>
          <w:rFonts w:eastAsia="Georgia" w:cs="Georgia"/>
          <w:b/>
          <w:bCs/>
          <w:color w:val="1B6CA8"/>
          <w:sz w:val="19"/>
          <w:szCs w:val="19"/>
        </w:rPr>
        <w:t xml:space="preserve">[22] </w:t>
      </w:r>
      <w:r>
        <w:rPr>
          <w:rFonts w:eastAsia="Georgia" w:cs="Georgia"/>
          <w:color w:val="1A1A1A"/>
          <w:sz w:val="19"/>
          <w:szCs w:val="19"/>
        </w:rPr>
        <w:t>Fukasawa, M., Maire, B., &amp; Wunsch, M. (2022). “Weighted Variance Swaps Hedge Against Impermanent Loss / Static Replication of Impermanent Loss.” arXiv:2205.12043; Journal of Economics and Finance.</w:t>
      </w:r>
    </w:p>
    <w:p>
      <w:pPr>
        <w:pStyle w:val="Normal"/>
        <w:spacing w:lineRule="auto" w:line="240" w:before="0" w:after="110"/>
        <w:ind w:hanging="360" w:left="360"/>
        <w:jc w:val="left"/>
        <w:rPr/>
      </w:pPr>
      <w:r>
        <w:rPr>
          <w:rFonts w:eastAsia="Georgia" w:cs="Georgia"/>
          <w:b/>
          <w:bCs/>
          <w:color w:val="1B6CA8"/>
          <w:sz w:val="19"/>
          <w:szCs w:val="19"/>
        </w:rPr>
        <w:t xml:space="preserve">[23] </w:t>
      </w:r>
      <w:r>
        <w:rPr>
          <w:rFonts w:eastAsia="Georgia" w:cs="Georgia"/>
          <w:color w:val="1A1A1A"/>
          <w:sz w:val="19"/>
          <w:szCs w:val="19"/>
        </w:rPr>
        <w:t>Authors (2025). “Automated Market Makers: Toward More Profitable Liquidity Provisioning Strategies.” arXiv:2501.07828 (700-day Uniswap v3 empirical analysis).</w:t>
      </w:r>
    </w:p>
    <w:p>
      <w:pPr>
        <w:pStyle w:val="Normal"/>
        <w:spacing w:lineRule="auto" w:line="240" w:before="0" w:after="110"/>
        <w:ind w:hanging="360" w:left="360"/>
        <w:jc w:val="left"/>
        <w:rPr/>
      </w:pPr>
      <w:r>
        <w:rPr>
          <w:rFonts w:eastAsia="Georgia" w:cs="Georgia"/>
          <w:b/>
          <w:bCs/>
          <w:color w:val="1B6CA8"/>
          <w:sz w:val="19"/>
          <w:szCs w:val="19"/>
        </w:rPr>
        <w:t xml:space="preserve">[24] </w:t>
      </w:r>
      <w:r>
        <w:rPr>
          <w:rFonts w:eastAsia="Georgia" w:cs="Georgia"/>
          <w:color w:val="1A1A1A"/>
          <w:sz w:val="19"/>
          <w:szCs w:val="19"/>
        </w:rPr>
        <w:t>Authors (2022). “Delta Hedging Liquidity Positions on Automated Market Makers.” arXiv:2208.03318.</w:t>
      </w:r>
    </w:p>
    <w:p>
      <w:pPr>
        <w:pStyle w:val="Normal"/>
        <w:spacing w:lineRule="auto" w:line="240" w:before="0" w:after="110"/>
        <w:ind w:hanging="360" w:left="360"/>
        <w:jc w:val="left"/>
        <w:rPr/>
      </w:pPr>
      <w:r>
        <w:rPr>
          <w:rFonts w:eastAsia="Georgia" w:cs="Georgia"/>
          <w:b/>
          <w:bCs/>
          <w:color w:val="1B6CA8"/>
          <w:sz w:val="19"/>
          <w:szCs w:val="19"/>
        </w:rPr>
        <w:t xml:space="preserve">[25] </w:t>
      </w:r>
      <w:r>
        <w:rPr>
          <w:rFonts w:eastAsia="Georgia" w:cs="Georgia"/>
          <w:color w:val="1A1A1A"/>
          <w:sz w:val="19"/>
          <w:szCs w:val="19"/>
        </w:rPr>
        <w:t>Angeris, G., &amp; Chitra, T. (2020). “Improved Price Oracles: Constant Function Market Makers.” Proceedings of the 2nd ACM Conference on Advances in Financial Technologies (AFT’20), pp. 80–91.</w:t>
      </w:r>
    </w:p>
    <w:p>
      <w:pPr>
        <w:pStyle w:val="Normal"/>
        <w:spacing w:lineRule="auto" w:line="240" w:before="0" w:after="110"/>
        <w:ind w:hanging="360" w:left="360"/>
        <w:jc w:val="left"/>
        <w:rPr/>
      </w:pPr>
      <w:r>
        <w:rPr>
          <w:rFonts w:eastAsia="Georgia" w:cs="Georgia"/>
          <w:b/>
          <w:bCs/>
          <w:color w:val="1B6CA8"/>
          <w:sz w:val="19"/>
          <w:szCs w:val="19"/>
        </w:rPr>
        <w:t xml:space="preserve">[26] </w:t>
      </w:r>
      <w:r>
        <w:rPr>
          <w:rFonts w:eastAsia="Georgia" w:cs="Georgia"/>
          <w:color w:val="1A1A1A"/>
          <w:sz w:val="19"/>
          <w:szCs w:val="19"/>
        </w:rPr>
        <w:t>Adams, H., Zinsmeister, N., Salem, M., Keefer, R., &amp; Robinson, D. (2021). “Uniswap v3 Core.” Uniswap Labs Whitepaper, March 2021.</w:t>
      </w:r>
    </w:p>
    <w:p>
      <w:pPr>
        <w:pStyle w:val="Normal"/>
        <w:spacing w:lineRule="auto" w:line="240" w:before="0" w:after="110"/>
        <w:ind w:hanging="360" w:left="360"/>
        <w:jc w:val="left"/>
        <w:rPr/>
      </w:pPr>
      <w:r>
        <w:rPr>
          <w:rFonts w:eastAsia="Georgia" w:cs="Georgia"/>
          <w:b/>
          <w:bCs/>
          <w:color w:val="1B6CA8"/>
          <w:sz w:val="19"/>
          <w:szCs w:val="19"/>
        </w:rPr>
        <w:t xml:space="preserve">[27] </w:t>
      </w:r>
      <w:r>
        <w:rPr>
          <w:rFonts w:eastAsia="Georgia" w:cs="Georgia"/>
          <w:color w:val="1A1A1A"/>
          <w:sz w:val="19"/>
          <w:szCs w:val="19"/>
        </w:rPr>
        <w:t>Egorov, M. (2019). “StableSwap — Efficient Mechanism for Stablecoin Liquidity.” Curve Finance Whitepaper.</w:t>
      </w:r>
    </w:p>
    <w:p>
      <w:pPr>
        <w:pStyle w:val="Normal"/>
        <w:spacing w:lineRule="auto" w:line="240" w:before="0" w:after="110"/>
        <w:ind w:hanging="360" w:left="360"/>
        <w:jc w:val="left"/>
        <w:rPr/>
      </w:pPr>
      <w:r>
        <w:rPr>
          <w:rFonts w:eastAsia="Georgia" w:cs="Georgia"/>
          <w:b/>
          <w:bCs/>
          <w:color w:val="1B6CA8"/>
          <w:sz w:val="19"/>
          <w:szCs w:val="19"/>
        </w:rPr>
        <w:t xml:space="preserve">[28] </w:t>
      </w:r>
      <w:r>
        <w:rPr>
          <w:rFonts w:eastAsia="Georgia" w:cs="Georgia"/>
          <w:color w:val="1A1A1A"/>
          <w:sz w:val="19"/>
          <w:szCs w:val="19"/>
        </w:rPr>
        <w:t>Milionis, J., Moallemi, C. C., Roughgarden, T., &amp; Zhang, A. L. (2022). “Automated Market Making and Loss-Versus-Rebalancing.” arXiv:2208.06046.</w:t>
      </w:r>
    </w:p>
    <w:p>
      <w:pPr>
        <w:pStyle w:val="Normal"/>
        <w:spacing w:lineRule="auto" w:line="240" w:before="0" w:after="110"/>
        <w:ind w:hanging="360" w:left="360"/>
        <w:jc w:val="left"/>
        <w:rPr/>
      </w:pPr>
      <w:r>
        <w:rPr>
          <w:rFonts w:eastAsia="Georgia" w:cs="Georgia"/>
          <w:b/>
          <w:bCs/>
          <w:color w:val="1B6CA8"/>
          <w:sz w:val="19"/>
          <w:szCs w:val="19"/>
        </w:rPr>
        <w:t xml:space="preserve">[29] </w:t>
      </w:r>
      <w:r>
        <w:rPr>
          <w:rFonts w:eastAsia="Georgia" w:cs="Georgia"/>
          <w:color w:val="1A1A1A"/>
          <w:sz w:val="19"/>
          <w:szCs w:val="19"/>
        </w:rPr>
        <w:t>Aave. (2020). “Aave Protocol Whitepaper V1.0.” Aave, January 2020.</w:t>
      </w:r>
    </w:p>
    <w:p>
      <w:pPr>
        <w:pStyle w:val="Normal"/>
        <w:spacing w:lineRule="auto" w:line="240" w:before="0" w:after="110"/>
        <w:ind w:hanging="360" w:left="360"/>
        <w:jc w:val="left"/>
        <w:rPr/>
      </w:pPr>
      <w:r>
        <w:rPr>
          <w:rFonts w:eastAsia="Georgia" w:cs="Georgia"/>
          <w:b/>
          <w:bCs/>
          <w:color w:val="1B6CA8"/>
          <w:sz w:val="19"/>
          <w:szCs w:val="19"/>
        </w:rPr>
        <w:t xml:space="preserve">[30] </w:t>
      </w:r>
      <w:r>
        <w:rPr>
          <w:rFonts w:eastAsia="Georgia" w:cs="Georgia"/>
          <w:color w:val="1A1A1A"/>
          <w:sz w:val="19"/>
          <w:szCs w:val="19"/>
        </w:rPr>
        <w:t>Leshner, R., &amp; Hayes, G. (2019). “Compound: The Money Market Protocol.” Compound Labs Whitepaper, February 2019.</w:t>
      </w:r>
    </w:p>
    <w:p>
      <w:pPr>
        <w:pStyle w:val="Normal"/>
        <w:spacing w:lineRule="auto" w:line="240" w:before="0" w:after="110"/>
        <w:ind w:hanging="360" w:left="360"/>
        <w:jc w:val="left"/>
        <w:rPr/>
      </w:pPr>
      <w:r>
        <w:rPr>
          <w:rFonts w:eastAsia="Georgia" w:cs="Georgia"/>
          <w:b/>
          <w:bCs/>
          <w:color w:val="1B6CA8"/>
          <w:sz w:val="19"/>
          <w:szCs w:val="19"/>
        </w:rPr>
        <w:t xml:space="preserve">[31] </w:t>
      </w:r>
      <w:r>
        <w:rPr>
          <w:rFonts w:eastAsia="Georgia" w:cs="Georgia"/>
          <w:color w:val="1A1A1A"/>
          <w:sz w:val="19"/>
          <w:szCs w:val="19"/>
        </w:rPr>
        <w:t>Lido. (2020). “Lido: Ethereum Liquid Staking.” Lido Whitepaper / Documentation.</w:t>
      </w:r>
    </w:p>
    <w:p>
      <w:pPr>
        <w:pStyle w:val="Normal"/>
        <w:spacing w:lineRule="auto" w:line="240" w:before="0" w:after="110"/>
        <w:ind w:hanging="360" w:left="360"/>
        <w:jc w:val="left"/>
        <w:rPr/>
      </w:pPr>
      <w:r>
        <w:rPr>
          <w:rFonts w:eastAsia="Georgia" w:cs="Georgia"/>
          <w:b/>
          <w:bCs/>
          <w:color w:val="1B6CA8"/>
          <w:sz w:val="19"/>
          <w:szCs w:val="19"/>
        </w:rPr>
        <w:t xml:space="preserve">[32] </w:t>
      </w:r>
      <w:r>
        <w:rPr>
          <w:rFonts w:eastAsia="Georgia" w:cs="Georgia"/>
          <w:color w:val="1A1A1A"/>
          <w:sz w:val="19"/>
          <w:szCs w:val="19"/>
        </w:rPr>
        <w:t>Authors (2023). “SoK: Security of Cross-Chain Bridges — Attack Surfaces, Defenses, and Open Problems.” arXiv:2312.12573.</w:t>
      </w:r>
    </w:p>
    <w:p>
      <w:pPr>
        <w:pStyle w:val="Normal"/>
        <w:spacing w:lineRule="auto" w:line="240" w:before="0" w:after="110"/>
        <w:ind w:hanging="360" w:left="360"/>
        <w:jc w:val="left"/>
        <w:rPr/>
      </w:pPr>
      <w:r>
        <w:rPr>
          <w:rFonts w:eastAsia="Georgia" w:cs="Georgia"/>
          <w:b/>
          <w:bCs/>
          <w:color w:val="1B6CA8"/>
          <w:sz w:val="19"/>
          <w:szCs w:val="19"/>
        </w:rPr>
        <w:t xml:space="preserve">[33] </w:t>
      </w:r>
      <w:r>
        <w:rPr>
          <w:rFonts w:eastAsia="Georgia" w:cs="Georgia"/>
          <w:color w:val="1A1A1A"/>
          <w:sz w:val="19"/>
          <w:szCs w:val="19"/>
        </w:rPr>
        <w:t>Authors (2025). “SoK: A Review of Cross-Chain Bridge Hacks in 2023.” arXiv:2501.03423. https://arxiv.org/html/2501.03423v1</w:t>
      </w:r>
    </w:p>
    <w:p>
      <w:pPr>
        <w:pStyle w:val="Normal"/>
        <w:spacing w:lineRule="auto" w:line="240" w:before="0" w:after="110"/>
        <w:ind w:hanging="360" w:left="360"/>
        <w:jc w:val="left"/>
        <w:rPr/>
      </w:pPr>
      <w:r>
        <w:rPr>
          <w:rFonts w:eastAsia="Georgia" w:cs="Georgia"/>
          <w:b/>
          <w:bCs/>
          <w:color w:val="1B6CA8"/>
          <w:sz w:val="19"/>
          <w:szCs w:val="19"/>
        </w:rPr>
        <w:t xml:space="preserve">[34] </w:t>
      </w:r>
      <w:r>
        <w:rPr>
          <w:rFonts w:eastAsia="Georgia" w:cs="Georgia"/>
          <w:color w:val="1A1A1A"/>
          <w:sz w:val="19"/>
          <w:szCs w:val="19"/>
        </w:rPr>
        <w:t>Halborn. (2022). “Explained: The Ronin Hack (March 2022).” Halborn Blockchain Security.</w:t>
      </w:r>
    </w:p>
    <w:p>
      <w:pPr>
        <w:pStyle w:val="Normal"/>
        <w:spacing w:lineRule="auto" w:line="240" w:before="0" w:after="110"/>
        <w:ind w:hanging="360" w:left="360"/>
        <w:jc w:val="left"/>
        <w:rPr/>
      </w:pPr>
      <w:r>
        <w:rPr>
          <w:rFonts w:eastAsia="Georgia" w:cs="Georgia"/>
          <w:b/>
          <w:bCs/>
          <w:color w:val="1B6CA8"/>
          <w:sz w:val="19"/>
          <w:szCs w:val="19"/>
        </w:rPr>
        <w:t xml:space="preserve">[35] </w:t>
      </w:r>
      <w:r>
        <w:rPr>
          <w:rFonts w:eastAsia="Georgia" w:cs="Georgia"/>
          <w:color w:val="1A1A1A"/>
          <w:sz w:val="19"/>
          <w:szCs w:val="19"/>
        </w:rPr>
        <w:t>Chainalysis. (2022). “Vulnerabilities in Cross-Chain Bridge Protocols Emerge as Top Security Risk.” Chainalysis Crypto Crime Report.</w:t>
      </w:r>
    </w:p>
    <w:p>
      <w:pPr>
        <w:pStyle w:val="Normal"/>
        <w:spacing w:lineRule="auto" w:line="240" w:before="0" w:after="110"/>
        <w:ind w:hanging="360" w:left="360"/>
        <w:jc w:val="left"/>
        <w:rPr/>
      </w:pPr>
      <w:r>
        <w:rPr>
          <w:rFonts w:eastAsia="Georgia" w:cs="Georgia"/>
          <w:b/>
          <w:bCs/>
          <w:color w:val="1B6CA8"/>
          <w:sz w:val="19"/>
          <w:szCs w:val="19"/>
        </w:rPr>
        <w:t xml:space="preserve">[36] </w:t>
      </w:r>
      <w:r>
        <w:rPr>
          <w:rFonts w:eastAsia="Georgia" w:cs="Georgia"/>
          <w:color w:val="1A1A1A"/>
          <w:sz w:val="19"/>
          <w:szCs w:val="19"/>
        </w:rPr>
        <w:t>Chainlink. (2023). “7 Cross-Chain Bridge Vulnerabilities Explained.” Chainlink Education Hub. https://chain.link/education-hub/cross-chain-bridge-vulnerabilities</w:t>
      </w:r>
    </w:p>
    <w:p>
      <w:pPr>
        <w:pStyle w:val="Normal"/>
        <w:spacing w:lineRule="auto" w:line="240" w:before="0" w:after="110"/>
        <w:ind w:hanging="360" w:left="360"/>
        <w:jc w:val="left"/>
        <w:rPr/>
      </w:pPr>
      <w:r>
        <w:rPr>
          <w:rFonts w:eastAsia="Georgia" w:cs="Georgia"/>
          <w:b/>
          <w:bCs/>
          <w:color w:val="1B6CA8"/>
          <w:sz w:val="19"/>
          <w:szCs w:val="19"/>
        </w:rPr>
        <w:t xml:space="preserve">[37] </w:t>
      </w:r>
      <w:r>
        <w:rPr>
          <w:rFonts w:eastAsia="Georgia" w:cs="Georgia"/>
          <w:color w:val="1A1A1A"/>
          <w:sz w:val="19"/>
          <w:szCs w:val="19"/>
        </w:rPr>
        <w:t>CertiK. (2022). “Cross-Chain Vulnerabilities and Bridge Exploits in 2022.” CertiK Blog. https://www.certik.com/blog</w:t>
      </w:r>
    </w:p>
    <w:p>
      <w:pPr>
        <w:pStyle w:val="Normal"/>
        <w:spacing w:lineRule="auto" w:line="240" w:before="0" w:after="110"/>
        <w:ind w:hanging="360" w:left="360"/>
        <w:jc w:val="left"/>
        <w:rPr/>
      </w:pPr>
      <w:r>
        <w:rPr>
          <w:rFonts w:eastAsia="Georgia" w:cs="Georgia"/>
          <w:b/>
          <w:bCs/>
          <w:color w:val="1B6CA8"/>
          <w:sz w:val="19"/>
          <w:szCs w:val="19"/>
        </w:rPr>
        <w:t xml:space="preserve">[38] </w:t>
      </w:r>
      <w:r>
        <w:rPr>
          <w:rFonts w:eastAsia="Georgia" w:cs="Georgia"/>
          <w:color w:val="1A1A1A"/>
          <w:sz w:val="19"/>
          <w:szCs w:val="19"/>
        </w:rPr>
        <w:t>Chainlink Labs. (2023). “Cross-Chain Interoperability Protocol (CCIP) and the Risk Management Network.” Chainlink Technical Documentation.</w:t>
      </w:r>
    </w:p>
    <w:p>
      <w:pPr>
        <w:pStyle w:val="Normal"/>
        <w:spacing w:lineRule="auto" w:line="240" w:before="0" w:after="110"/>
        <w:ind w:hanging="360" w:left="360"/>
        <w:jc w:val="left"/>
        <w:rPr/>
      </w:pPr>
      <w:r>
        <w:rPr>
          <w:rFonts w:eastAsia="Georgia" w:cs="Georgia"/>
          <w:b/>
          <w:bCs/>
          <w:color w:val="1B6CA8"/>
          <w:sz w:val="19"/>
          <w:szCs w:val="19"/>
        </w:rPr>
        <w:t xml:space="preserve">[39] </w:t>
      </w:r>
      <w:r>
        <w:rPr>
          <w:rFonts w:eastAsia="Georgia" w:cs="Georgia"/>
          <w:color w:val="1A1A1A"/>
          <w:sz w:val="19"/>
          <w:szCs w:val="19"/>
        </w:rPr>
        <w:t>Buterin, V. (2022). “The Limits of Cross-Chain Interoperability and Multi-Chain Security.” Reddit/r-ethereum and subsequent commentary, January 2022.</w:t>
      </w:r>
    </w:p>
    <w:p>
      <w:pPr>
        <w:pStyle w:val="Normal"/>
        <w:spacing w:lineRule="auto" w:line="240" w:before="0" w:after="110"/>
        <w:ind w:hanging="360" w:left="360"/>
        <w:jc w:val="left"/>
        <w:rPr/>
      </w:pPr>
      <w:r>
        <w:rPr>
          <w:rFonts w:eastAsia="Georgia" w:cs="Georgia"/>
          <w:b/>
          <w:bCs/>
          <w:color w:val="1B6CA8"/>
          <w:sz w:val="19"/>
          <w:szCs w:val="19"/>
        </w:rPr>
        <w:t xml:space="preserve">[40] </w:t>
      </w:r>
      <w:r>
        <w:rPr>
          <w:rFonts w:eastAsia="Georgia" w:cs="Georgia"/>
          <w:color w:val="1A1A1A"/>
          <w:sz w:val="19"/>
          <w:szCs w:val="19"/>
        </w:rPr>
        <w:t>SEC v. W. J. Howey Co., 328 U.S. 293 (1946). United States Supreme Court.</w:t>
      </w:r>
    </w:p>
    <w:p>
      <w:pPr>
        <w:pStyle w:val="Normal"/>
        <w:spacing w:lineRule="auto" w:line="240" w:before="0" w:after="110"/>
        <w:ind w:hanging="360" w:left="360"/>
        <w:jc w:val="left"/>
        <w:rPr/>
      </w:pPr>
      <w:r>
        <w:rPr>
          <w:rFonts w:eastAsia="Georgia" w:cs="Georgia"/>
          <w:b/>
          <w:bCs/>
          <w:color w:val="1B6CA8"/>
          <w:sz w:val="19"/>
          <w:szCs w:val="19"/>
        </w:rPr>
        <w:t xml:space="preserve">[41] </w:t>
      </w:r>
      <w:r>
        <w:rPr>
          <w:rFonts w:eastAsia="Georgia" w:cs="Georgia"/>
          <w:color w:val="1A1A1A"/>
          <w:sz w:val="19"/>
          <w:szCs w:val="19"/>
        </w:rPr>
        <w:t>U.S. Securities and Exchange Commission, FinHub. (2019). “Framework for ‘Investment Contract’ Analysis of Digital Assets.” (Subsequently withdrawn.) https://www.sec.gov/files/dlt-framework.pdf</w:t>
      </w:r>
    </w:p>
    <w:p>
      <w:pPr>
        <w:pStyle w:val="Normal"/>
        <w:spacing w:lineRule="auto" w:line="240" w:before="0" w:after="110"/>
        <w:ind w:hanging="360" w:left="360"/>
        <w:jc w:val="left"/>
        <w:rPr/>
      </w:pPr>
      <w:r>
        <w:rPr>
          <w:rFonts w:eastAsia="Georgia" w:cs="Georgia"/>
          <w:b/>
          <w:bCs/>
          <w:color w:val="1B6CA8"/>
          <w:sz w:val="19"/>
          <w:szCs w:val="19"/>
        </w:rPr>
        <w:t xml:space="preserve">[42] </w:t>
      </w:r>
      <w:r>
        <w:rPr>
          <w:rFonts w:eastAsia="Georgia" w:cs="Georgia"/>
          <w:color w:val="1A1A1A"/>
          <w:sz w:val="19"/>
          <w:szCs w:val="19"/>
        </w:rPr>
        <w:t>U.S. Securities and Exchange Commission &amp; Commodity Futures Trading Commission. (2026). “Joint Interpretive Guidance on the Classification of Digital Assets.” March 17, 2026 (analysis via Ballard Spahr; WilmerHale).</w:t>
      </w:r>
    </w:p>
    <w:p>
      <w:pPr>
        <w:pStyle w:val="Normal"/>
        <w:spacing w:lineRule="auto" w:line="240" w:before="0" w:after="110"/>
        <w:ind w:hanging="360" w:left="360"/>
        <w:jc w:val="left"/>
        <w:rPr/>
      </w:pPr>
      <w:r>
        <w:rPr>
          <w:rFonts w:eastAsia="Georgia" w:cs="Georgia"/>
          <w:b/>
          <w:bCs/>
          <w:color w:val="1B6CA8"/>
          <w:sz w:val="19"/>
          <w:szCs w:val="19"/>
        </w:rPr>
        <w:t xml:space="preserve">[43] </w:t>
      </w:r>
      <w:r>
        <w:rPr>
          <w:rFonts w:eastAsia="Georgia" w:cs="Georgia"/>
          <w:color w:val="1A1A1A"/>
          <w:sz w:val="19"/>
          <w:szCs w:val="19"/>
        </w:rPr>
        <w:t>Atkins, P. S. (2025). “The SEC’s Approach to Digital Assets: Inside Project Crypto.” Speech, U.S. SEC, November 12, 2025. https://www.sec.gov/newsroom/speeches-statements</w:t>
      </w:r>
    </w:p>
    <w:p>
      <w:pPr>
        <w:pStyle w:val="Normal"/>
        <w:spacing w:lineRule="auto" w:line="240" w:before="0" w:after="110"/>
        <w:ind w:hanging="360" w:left="360"/>
        <w:jc w:val="left"/>
        <w:rPr/>
      </w:pPr>
      <w:r>
        <w:rPr>
          <w:rFonts w:eastAsia="Georgia" w:cs="Georgia"/>
          <w:b/>
          <w:bCs/>
          <w:color w:val="1B6CA8"/>
          <w:sz w:val="19"/>
          <w:szCs w:val="19"/>
        </w:rPr>
        <w:t xml:space="preserve">[44] </w:t>
      </w:r>
      <w:r>
        <w:rPr>
          <w:rFonts w:eastAsia="Georgia" w:cs="Georgia"/>
          <w:color w:val="1A1A1A"/>
          <w:sz w:val="19"/>
          <w:szCs w:val="19"/>
        </w:rPr>
        <w:t>Global Fintech &amp; Digital Assets Blog. (2026). “SEC Clarifies the Application of the Securities Laws to Crypto-Assets.” April 2026. https://www.fintechanddigitalassets.com/2026/04/sec-clarifies-the-application-of-the-securities-laws-to-cryptoassets/</w:t>
      </w:r>
    </w:p>
    <w:p>
      <w:pPr>
        <w:pStyle w:val="Normal"/>
        <w:spacing w:lineRule="auto" w:line="240" w:before="0" w:after="110"/>
        <w:ind w:hanging="360" w:left="360"/>
        <w:jc w:val="left"/>
        <w:rPr/>
      </w:pPr>
      <w:r>
        <w:rPr>
          <w:rFonts w:eastAsia="Georgia" w:cs="Georgia"/>
          <w:b/>
          <w:bCs/>
          <w:color w:val="1B6CA8"/>
          <w:sz w:val="19"/>
          <w:szCs w:val="19"/>
        </w:rPr>
        <w:t xml:space="preserve">[45] </w:t>
      </w:r>
      <w:r>
        <w:rPr>
          <w:rFonts w:eastAsia="Georgia" w:cs="Georgia"/>
          <w:color w:val="1A1A1A"/>
          <w:sz w:val="19"/>
          <w:szCs w:val="19"/>
        </w:rPr>
        <w:t>U.S. Securities and Exchange Commission. “Regulation D — Rules 504, 506(b), 506(c); Section 4(a)(2) of the Securities Act of 1933.” 17 CFR §§ 230.500–230.508.</w:t>
      </w:r>
    </w:p>
    <w:p>
      <w:pPr>
        <w:pStyle w:val="Normal"/>
        <w:spacing w:lineRule="auto" w:line="240" w:before="0" w:after="110"/>
        <w:ind w:hanging="360" w:left="360"/>
        <w:jc w:val="left"/>
        <w:rPr/>
      </w:pPr>
      <w:r>
        <w:rPr>
          <w:rFonts w:eastAsia="Georgia" w:cs="Georgia"/>
          <w:b/>
          <w:bCs/>
          <w:color w:val="1B6CA8"/>
          <w:sz w:val="19"/>
          <w:szCs w:val="19"/>
        </w:rPr>
        <w:t xml:space="preserve">[46] </w:t>
      </w:r>
      <w:r>
        <w:rPr>
          <w:rFonts w:eastAsia="Georgia" w:cs="Georgia"/>
          <w:color w:val="1A1A1A"/>
          <w:sz w:val="19"/>
          <w:szCs w:val="19"/>
        </w:rPr>
        <w:t>U.S. Securities and Exchange Commission. “Regulation A (Tier 1 and Tier 2) under the Securities Act of 1933.” 17 CFR §§ 230.251–230.263.</w:t>
      </w:r>
    </w:p>
    <w:p>
      <w:pPr>
        <w:pStyle w:val="Normal"/>
        <w:spacing w:lineRule="auto" w:line="240" w:before="0" w:after="110"/>
        <w:ind w:hanging="360" w:left="360"/>
        <w:jc w:val="left"/>
        <w:rPr/>
      </w:pPr>
      <w:r>
        <w:rPr>
          <w:rFonts w:eastAsia="Georgia" w:cs="Georgia"/>
          <w:b/>
          <w:bCs/>
          <w:color w:val="1B6CA8"/>
          <w:sz w:val="19"/>
          <w:szCs w:val="19"/>
        </w:rPr>
        <w:t xml:space="preserve">[47] </w:t>
      </w:r>
      <w:r>
        <w:rPr>
          <w:rFonts w:eastAsia="Georgia" w:cs="Georgia"/>
          <w:color w:val="1A1A1A"/>
          <w:sz w:val="19"/>
          <w:szCs w:val="19"/>
        </w:rPr>
        <w:t>European Parliament and Council. (2023). “Regulation (EU) 2023/1114 on Markets in Crypto-Assets (MiCA).” Official Journal of the European Union, June 9, 2023.</w:t>
      </w:r>
    </w:p>
    <w:p>
      <w:pPr>
        <w:pStyle w:val="Normal"/>
        <w:spacing w:lineRule="auto" w:line="240" w:before="0" w:after="110"/>
        <w:ind w:hanging="360" w:left="360"/>
        <w:jc w:val="left"/>
        <w:rPr/>
      </w:pPr>
      <w:r>
        <w:rPr>
          <w:rFonts w:eastAsia="Georgia" w:cs="Georgia"/>
          <w:b/>
          <w:bCs/>
          <w:color w:val="1B6CA8"/>
          <w:sz w:val="19"/>
          <w:szCs w:val="19"/>
        </w:rPr>
        <w:t xml:space="preserve">[48] </w:t>
      </w:r>
      <w:r>
        <w:rPr>
          <w:rFonts w:eastAsia="Georgia" w:cs="Georgia"/>
          <w:color w:val="1A1A1A"/>
          <w:sz w:val="19"/>
          <w:szCs w:val="19"/>
        </w:rPr>
        <w:t>European Parliament and Council. (2022). “Regulation (EU) 2022/858 on a Pilot Regime for Market Infrastructures Based on Distributed Ledger Technology (DLT Pilot Regime).” Official Journal of the European Union, June 2, 2022.</w:t>
      </w:r>
    </w:p>
    <w:p>
      <w:pPr>
        <w:pStyle w:val="Normal"/>
        <w:spacing w:lineRule="auto" w:line="240" w:before="0" w:after="110"/>
        <w:ind w:hanging="360" w:left="360"/>
        <w:jc w:val="left"/>
        <w:rPr/>
      </w:pPr>
      <w:r>
        <w:rPr>
          <w:rFonts w:eastAsia="Georgia" w:cs="Georgia"/>
          <w:b/>
          <w:bCs/>
          <w:color w:val="1B6CA8"/>
          <w:sz w:val="19"/>
          <w:szCs w:val="19"/>
        </w:rPr>
        <w:t xml:space="preserve">[49] </w:t>
      </w:r>
      <w:r>
        <w:rPr>
          <w:rFonts w:eastAsia="Georgia" w:cs="Georgia"/>
          <w:color w:val="1A1A1A"/>
          <w:sz w:val="19"/>
          <w:szCs w:val="19"/>
        </w:rPr>
        <w:t>European Securities and Markets Authority. (2025). “Report on the Functioning and Review of the DLT Pilot Regime (Article 14).” ESMA75-117376770-460, June 2025.</w:t>
      </w:r>
    </w:p>
    <w:p>
      <w:pPr>
        <w:pStyle w:val="Normal"/>
        <w:spacing w:lineRule="auto" w:line="240" w:before="0" w:after="110"/>
        <w:ind w:hanging="360" w:left="360"/>
        <w:jc w:val="left"/>
        <w:rPr/>
      </w:pPr>
      <w:r>
        <w:rPr>
          <w:rFonts w:eastAsia="Georgia" w:cs="Georgia"/>
          <w:b/>
          <w:bCs/>
          <w:color w:val="1B6CA8"/>
          <w:sz w:val="19"/>
          <w:szCs w:val="19"/>
        </w:rPr>
        <w:t xml:space="preserve">[50] </w:t>
      </w:r>
      <w:r>
        <w:rPr>
          <w:rFonts w:eastAsia="Georgia" w:cs="Georgia"/>
          <w:color w:val="1A1A1A"/>
          <w:sz w:val="19"/>
          <w:szCs w:val="19"/>
        </w:rPr>
        <w:t>European Securities and Markets Authority. (2024). “Guidelines on the Conditions and Criteria for the Qualification of Crypto-Assets as Financial Instruments.” ESMA, December 2024.</w:t>
      </w:r>
    </w:p>
    <w:p>
      <w:pPr>
        <w:pStyle w:val="Normal"/>
        <w:spacing w:lineRule="auto" w:line="240" w:before="0" w:after="110"/>
        <w:ind w:hanging="360" w:left="360"/>
        <w:jc w:val="left"/>
        <w:rPr/>
      </w:pPr>
      <w:r>
        <w:rPr>
          <w:rFonts w:eastAsia="Georgia" w:cs="Georgia"/>
          <w:b/>
          <w:bCs/>
          <w:color w:val="1B6CA8"/>
          <w:sz w:val="19"/>
          <w:szCs w:val="19"/>
        </w:rPr>
        <w:t xml:space="preserve">[51] </w:t>
      </w:r>
      <w:r>
        <w:rPr>
          <w:rFonts w:eastAsia="Georgia" w:cs="Georgia"/>
          <w:color w:val="1A1A1A"/>
          <w:sz w:val="19"/>
          <w:szCs w:val="19"/>
        </w:rPr>
        <w:t>Monetary Authority of Singapore. (2022–2024). “Project Guardian: Industry Pilots on Asset Tokenization.” MAS.</w:t>
      </w:r>
    </w:p>
    <w:p>
      <w:pPr>
        <w:pStyle w:val="Normal"/>
        <w:spacing w:lineRule="auto" w:line="240" w:before="0" w:after="110"/>
        <w:ind w:hanging="360" w:left="360"/>
        <w:jc w:val="left"/>
        <w:rPr/>
      </w:pPr>
      <w:r>
        <w:rPr>
          <w:rFonts w:eastAsia="Georgia" w:cs="Georgia"/>
          <w:b/>
          <w:bCs/>
          <w:color w:val="1B6CA8"/>
          <w:sz w:val="19"/>
          <w:szCs w:val="19"/>
        </w:rPr>
        <w:t xml:space="preserve">[52] </w:t>
      </w:r>
      <w:r>
        <w:rPr>
          <w:rFonts w:eastAsia="Georgia" w:cs="Georgia"/>
          <w:color w:val="1A1A1A"/>
          <w:sz w:val="19"/>
          <w:szCs w:val="19"/>
        </w:rPr>
        <w:t>ADDX. (2024). “ADDX Facilitates the World’s First Tokenized Private Credit Fund.” ADDX Press Materials; MAS Capital Markets Services license.</w:t>
      </w:r>
    </w:p>
    <w:p>
      <w:pPr>
        <w:pStyle w:val="Normal"/>
        <w:spacing w:lineRule="auto" w:line="240" w:before="0" w:after="110"/>
        <w:ind w:hanging="360" w:left="360"/>
        <w:jc w:val="left"/>
        <w:rPr/>
      </w:pPr>
      <w:r>
        <w:rPr>
          <w:rFonts w:eastAsia="Georgia" w:cs="Georgia"/>
          <w:b/>
          <w:bCs/>
          <w:color w:val="1B6CA8"/>
          <w:sz w:val="19"/>
          <w:szCs w:val="19"/>
        </w:rPr>
        <w:t xml:space="preserve">[53] </w:t>
      </w:r>
      <w:r>
        <w:rPr>
          <w:rFonts w:eastAsia="Georgia" w:cs="Georgia"/>
          <w:color w:val="1A1A1A"/>
          <w:sz w:val="19"/>
          <w:szCs w:val="19"/>
        </w:rPr>
        <w:t>Financial Crimes Enforcement Network. (2013, 2019). “Application of FinCEN’s Regulations to Persons Administering, Exchanging, or Using Virtual Currencies” (FIN-2013-G001) and 2019 Guidance.</w:t>
      </w:r>
    </w:p>
    <w:p>
      <w:pPr>
        <w:pStyle w:val="Normal"/>
        <w:spacing w:lineRule="auto" w:line="240" w:before="0" w:after="110"/>
        <w:ind w:hanging="360" w:left="360"/>
        <w:jc w:val="left"/>
        <w:rPr/>
      </w:pPr>
      <w:r>
        <w:rPr>
          <w:rFonts w:eastAsia="Georgia" w:cs="Georgia"/>
          <w:b/>
          <w:bCs/>
          <w:color w:val="1B6CA8"/>
          <w:sz w:val="19"/>
          <w:szCs w:val="19"/>
        </w:rPr>
        <w:t xml:space="preserve">[54] </w:t>
      </w:r>
      <w:r>
        <w:rPr>
          <w:rFonts w:eastAsia="Georgia" w:cs="Georgia"/>
          <w:color w:val="1A1A1A"/>
          <w:sz w:val="19"/>
          <w:szCs w:val="19"/>
        </w:rPr>
        <w:t>CNBC; PYMNTS; Coin Edition. (2025). “Robinhood Launches Tokenized Stocks for OpenAI and SpaceX in the EU; Bank of Lithuania Reviews Compliance.” Reporting, June–July 2025.</w:t>
      </w:r>
    </w:p>
    <w:p>
      <w:pPr>
        <w:pStyle w:val="Normal"/>
        <w:spacing w:lineRule="auto" w:line="240" w:before="0" w:after="110"/>
        <w:ind w:hanging="360" w:left="360"/>
        <w:jc w:val="left"/>
        <w:rPr/>
      </w:pPr>
      <w:r>
        <w:rPr>
          <w:rFonts w:eastAsia="Georgia" w:cs="Georgia"/>
          <w:b/>
          <w:bCs/>
          <w:color w:val="1B6CA8"/>
          <w:sz w:val="19"/>
          <w:szCs w:val="19"/>
        </w:rPr>
        <w:t xml:space="preserve">[55] </w:t>
      </w:r>
      <w:r>
        <w:rPr>
          <w:rFonts w:eastAsia="Georgia" w:cs="Georgia"/>
          <w:color w:val="1A1A1A"/>
          <w:sz w:val="19"/>
          <w:szCs w:val="19"/>
        </w:rPr>
        <w:t>OpenAI. (2025). Public statement via X (Twitter): “These ‘OpenAI tokens’ are not OpenAI equity… we did not approve any transfer.” July 2025.</w:t>
      </w:r>
    </w:p>
    <w:p>
      <w:pPr>
        <w:pStyle w:val="Normal"/>
        <w:spacing w:lineRule="auto" w:line="240" w:before="0" w:after="110"/>
        <w:ind w:hanging="360" w:left="360"/>
        <w:jc w:val="left"/>
        <w:rPr/>
      </w:pPr>
      <w:r>
        <w:rPr>
          <w:rFonts w:eastAsia="Georgia" w:cs="Georgia"/>
          <w:b/>
          <w:bCs/>
          <w:color w:val="1B6CA8"/>
          <w:sz w:val="19"/>
          <w:szCs w:val="19"/>
        </w:rPr>
        <w:t xml:space="preserve">[56] </w:t>
      </w:r>
      <w:r>
        <w:rPr>
          <w:rFonts w:eastAsia="Georgia" w:cs="Georgia"/>
          <w:color w:val="1A1A1A"/>
          <w:sz w:val="19"/>
          <w:szCs w:val="19"/>
        </w:rPr>
        <w:t>tZERO. “tZERO ATS: SEC-Registered Alternative Trading System for Digital Securities.” tZERO Group documentation.</w:t>
      </w:r>
    </w:p>
    <w:p>
      <w:pPr>
        <w:pStyle w:val="Normal"/>
        <w:spacing w:lineRule="auto" w:line="240" w:before="0" w:after="110"/>
        <w:ind w:hanging="360" w:left="360"/>
        <w:jc w:val="left"/>
        <w:rPr/>
      </w:pPr>
      <w:r>
        <w:rPr>
          <w:rFonts w:eastAsia="Georgia" w:cs="Georgia"/>
          <w:b/>
          <w:bCs/>
          <w:color w:val="1B6CA8"/>
          <w:sz w:val="19"/>
          <w:szCs w:val="19"/>
        </w:rPr>
        <w:t xml:space="preserve">[57] </w:t>
      </w:r>
      <w:r>
        <w:rPr>
          <w:rFonts w:eastAsia="Georgia" w:cs="Georgia"/>
          <w:color w:val="1A1A1A"/>
          <w:sz w:val="19"/>
          <w:szCs w:val="19"/>
        </w:rPr>
        <w:t>Securitize. “Securitize Markets: FINRA/SEC-Registered Broker-Dealer and ATS for Tokenized Securities.” Securitize documentation.</w:t>
      </w:r>
    </w:p>
    <w:p>
      <w:pPr>
        <w:pStyle w:val="Normal"/>
        <w:spacing w:lineRule="auto" w:line="240" w:before="0" w:after="110"/>
        <w:ind w:hanging="360" w:left="360"/>
        <w:jc w:val="left"/>
        <w:rPr/>
      </w:pPr>
      <w:r>
        <w:rPr>
          <w:rFonts w:eastAsia="Georgia" w:cs="Georgia"/>
          <w:b/>
          <w:bCs/>
          <w:color w:val="1B6CA8"/>
          <w:sz w:val="19"/>
          <w:szCs w:val="19"/>
        </w:rPr>
        <w:t xml:space="preserve">[58] </w:t>
      </w:r>
      <w:r>
        <w:rPr>
          <w:rFonts w:eastAsia="Georgia" w:cs="Georgia"/>
          <w:color w:val="1A1A1A"/>
          <w:sz w:val="19"/>
          <w:szCs w:val="19"/>
        </w:rPr>
        <w:t>Wang, H., &amp; Yu, S. (2021). “Robo-Advising: Enhancing Investment with Inverse Optimization and Deep Reinforcement Learning.” arXiv:2105.09264 (Vanguard / IEEE ICMLA).</w:t>
      </w:r>
    </w:p>
    <w:p>
      <w:pPr>
        <w:pStyle w:val="Normal"/>
        <w:spacing w:lineRule="auto" w:line="240" w:before="0" w:after="110"/>
        <w:ind w:hanging="360" w:left="360"/>
        <w:jc w:val="left"/>
        <w:rPr/>
      </w:pPr>
      <w:r>
        <w:rPr>
          <w:rFonts w:eastAsia="Georgia" w:cs="Georgia"/>
          <w:b/>
          <w:bCs/>
          <w:color w:val="1B6CA8"/>
          <w:sz w:val="19"/>
          <w:szCs w:val="19"/>
        </w:rPr>
        <w:t xml:space="preserve">[59] </w:t>
      </w:r>
      <w:r>
        <w:rPr>
          <w:rFonts w:eastAsia="Georgia" w:cs="Georgia"/>
          <w:color w:val="1A1A1A"/>
          <w:sz w:val="19"/>
          <w:szCs w:val="19"/>
        </w:rPr>
        <w:t>Alsabah, H., Capponi, A., Ruiz Lacedelli, O., &amp; Stern, M. (2019). “Robo-Advising: Learning Investors’ Risk Preferences via Portfolio Choices.” arXiv:1911.02067; Journal of Financial Econometrics.</w:t>
      </w:r>
    </w:p>
    <w:p>
      <w:pPr>
        <w:pStyle w:val="Normal"/>
        <w:spacing w:lineRule="auto" w:line="240" w:before="0" w:after="110"/>
        <w:ind w:hanging="360" w:left="360"/>
        <w:jc w:val="left"/>
        <w:rPr/>
      </w:pPr>
      <w:r>
        <w:rPr>
          <w:rFonts w:eastAsia="Georgia" w:cs="Georgia"/>
          <w:b/>
          <w:bCs/>
          <w:color w:val="1B6CA8"/>
          <w:sz w:val="19"/>
          <w:szCs w:val="19"/>
        </w:rPr>
        <w:t xml:space="preserve">[60] </w:t>
      </w:r>
      <w:r>
        <w:rPr>
          <w:rFonts w:eastAsia="Georgia" w:cs="Georgia"/>
          <w:color w:val="1A1A1A"/>
          <w:sz w:val="19"/>
          <w:szCs w:val="19"/>
        </w:rPr>
        <w:t>D’Acunto, F., Prabhala, N., &amp; Rossi, A. G. (2019). “The Promises and Pitfalls of Robo-Advising.” The Review of Financial Studies, 32(5), 1983–2020.</w:t>
      </w:r>
    </w:p>
    <w:p>
      <w:pPr>
        <w:pStyle w:val="Normal"/>
        <w:spacing w:lineRule="auto" w:line="240" w:before="0" w:after="110"/>
        <w:ind w:hanging="360" w:left="360"/>
        <w:jc w:val="left"/>
        <w:rPr/>
      </w:pPr>
      <w:r>
        <w:rPr>
          <w:rFonts w:eastAsia="Georgia" w:cs="Georgia"/>
          <w:b/>
          <w:bCs/>
          <w:color w:val="1B6CA8"/>
          <w:sz w:val="19"/>
          <w:szCs w:val="19"/>
        </w:rPr>
        <w:t xml:space="preserve">[61] </w:t>
      </w:r>
      <w:r>
        <w:rPr>
          <w:rFonts w:eastAsia="Georgia" w:cs="Georgia"/>
          <w:color w:val="1A1A1A"/>
          <w:sz w:val="19"/>
          <w:szCs w:val="19"/>
        </w:rPr>
        <w:t>Authors (2024). “The Evolution of Reinforcement Learning in Quantitative Finance: A Survey.” arXiv:2408.10932.</w:t>
      </w:r>
    </w:p>
    <w:p>
      <w:pPr>
        <w:pStyle w:val="Normal"/>
        <w:spacing w:lineRule="auto" w:line="240" w:before="0" w:after="110"/>
        <w:ind w:hanging="360" w:left="360"/>
        <w:jc w:val="left"/>
        <w:rPr/>
      </w:pPr>
      <w:r>
        <w:rPr>
          <w:rFonts w:eastAsia="Georgia" w:cs="Georgia"/>
          <w:b/>
          <w:bCs/>
          <w:color w:val="1B6CA8"/>
          <w:sz w:val="19"/>
          <w:szCs w:val="19"/>
        </w:rPr>
        <w:t xml:space="preserve">[62] </w:t>
      </w:r>
      <w:r>
        <w:rPr>
          <w:rFonts w:eastAsia="Georgia" w:cs="Georgia"/>
          <w:color w:val="1A1A1A"/>
          <w:sz w:val="19"/>
          <w:szCs w:val="19"/>
        </w:rPr>
        <w:t>Bourgeron, T., Lezmi, E., &amp; Roncalli, T. (2019). “Robust Asset Allocation for Robo-Advisors / Machine Learning Optimization Algorithms and Portfolio Allocation.” arXiv:1909.10233.</w:t>
      </w:r>
    </w:p>
    <w:p>
      <w:pPr>
        <w:pStyle w:val="Normal"/>
        <w:spacing w:lineRule="auto" w:line="240" w:before="0" w:after="110"/>
        <w:ind w:hanging="360" w:left="360"/>
        <w:jc w:val="left"/>
        <w:rPr/>
      </w:pPr>
      <w:r>
        <w:rPr>
          <w:rFonts w:eastAsia="Georgia" w:cs="Georgia"/>
          <w:b/>
          <w:bCs/>
          <w:color w:val="1B6CA8"/>
          <w:sz w:val="19"/>
          <w:szCs w:val="19"/>
        </w:rPr>
        <w:t xml:space="preserve">[63] </w:t>
      </w:r>
      <w:r>
        <w:rPr>
          <w:rFonts w:eastAsia="Georgia" w:cs="Georgia"/>
          <w:color w:val="1A1A1A"/>
          <w:sz w:val="19"/>
          <w:szCs w:val="19"/>
        </w:rPr>
        <w:t>Authors (2025). “Robo-Advisors Beyond Automation: Principles and Risks of AI-Mediated Investment Platforms.” arXiv:2509.09922.</w:t>
      </w:r>
    </w:p>
    <w:p>
      <w:pPr>
        <w:pStyle w:val="Normal"/>
        <w:spacing w:lineRule="auto" w:line="240" w:before="0" w:after="110"/>
        <w:ind w:hanging="360" w:left="360"/>
        <w:jc w:val="left"/>
        <w:rPr/>
      </w:pPr>
      <w:r>
        <w:rPr>
          <w:rFonts w:eastAsia="Georgia" w:cs="Georgia"/>
          <w:b/>
          <w:bCs/>
          <w:color w:val="1B6CA8"/>
          <w:sz w:val="19"/>
          <w:szCs w:val="19"/>
        </w:rPr>
        <w:t xml:space="preserve">[64] </w:t>
      </w:r>
      <w:r>
        <w:rPr>
          <w:rFonts w:eastAsia="Georgia" w:cs="Georgia"/>
          <w:color w:val="1A1A1A"/>
          <w:sz w:val="19"/>
          <w:szCs w:val="19"/>
        </w:rPr>
        <w:t>Markowitz, H. (1952). “Portfolio Selection.” The Journal of Finance, 7(1), 77–91.</w:t>
      </w:r>
    </w:p>
    <w:p>
      <w:pPr>
        <w:pStyle w:val="Normal"/>
        <w:spacing w:lineRule="auto" w:line="240" w:before="0" w:after="110"/>
        <w:ind w:hanging="360" w:left="360"/>
        <w:jc w:val="left"/>
        <w:rPr/>
      </w:pPr>
      <w:r>
        <w:rPr>
          <w:rFonts w:eastAsia="Georgia" w:cs="Georgia"/>
          <w:b/>
          <w:bCs/>
          <w:color w:val="1B6CA8"/>
          <w:sz w:val="19"/>
          <w:szCs w:val="19"/>
        </w:rPr>
        <w:t xml:space="preserve">[65] </w:t>
      </w:r>
      <w:r>
        <w:rPr>
          <w:rFonts w:eastAsia="Georgia" w:cs="Georgia"/>
          <w:color w:val="1A1A1A"/>
          <w:sz w:val="19"/>
          <w:szCs w:val="19"/>
        </w:rPr>
        <w:t>Sharpe, W. F. (1966). “Mutual Fund Performance.” The Journal of Business, 39(1), 119–138.</w:t>
      </w:r>
    </w:p>
    <w:p>
      <w:pPr>
        <w:pStyle w:val="Normal"/>
        <w:spacing w:lineRule="auto" w:line="240" w:before="0" w:after="110"/>
        <w:ind w:hanging="360" w:left="360"/>
        <w:jc w:val="left"/>
        <w:rPr/>
      </w:pPr>
      <w:r>
        <w:rPr>
          <w:rFonts w:eastAsia="Georgia" w:cs="Georgia"/>
          <w:b/>
          <w:bCs/>
          <w:color w:val="1B6CA8"/>
          <w:sz w:val="19"/>
          <w:szCs w:val="19"/>
        </w:rPr>
        <w:t xml:space="preserve">[66] </w:t>
      </w:r>
      <w:r>
        <w:rPr>
          <w:rFonts w:eastAsia="Georgia" w:cs="Georgia"/>
          <w:color w:val="1A1A1A"/>
          <w:sz w:val="19"/>
          <w:szCs w:val="19"/>
        </w:rPr>
        <w:t>Sortino, F. A., &amp; Price, L. N. (1994). “Performance Measurement in a Downside Risk Framework.” The Journal of Investing, 3(3), 59–64.</w:t>
      </w:r>
    </w:p>
    <w:p>
      <w:pPr>
        <w:pStyle w:val="Normal"/>
        <w:spacing w:lineRule="auto" w:line="240" w:before="0" w:after="110"/>
        <w:ind w:hanging="360" w:left="360"/>
        <w:jc w:val="left"/>
        <w:rPr/>
      </w:pPr>
      <w:r>
        <w:rPr>
          <w:rFonts w:eastAsia="Georgia" w:cs="Georgia"/>
          <w:b/>
          <w:bCs/>
          <w:color w:val="1B6CA8"/>
          <w:sz w:val="19"/>
          <w:szCs w:val="19"/>
        </w:rPr>
        <w:t xml:space="preserve">[67] </w:t>
      </w:r>
      <w:r>
        <w:rPr>
          <w:rFonts w:eastAsia="Georgia" w:cs="Georgia"/>
          <w:color w:val="1A1A1A"/>
          <w:sz w:val="19"/>
          <w:szCs w:val="19"/>
        </w:rPr>
        <w:t>Treynor, J. L. (1965). “How to Rate Management of Investment Funds.” Harvard Business Review, 43(1), 63–75.</w:t>
      </w:r>
    </w:p>
    <w:p>
      <w:pPr>
        <w:pStyle w:val="Normal"/>
        <w:spacing w:lineRule="auto" w:line="240" w:before="0" w:after="110"/>
        <w:ind w:hanging="360" w:left="360"/>
        <w:jc w:val="left"/>
        <w:rPr/>
      </w:pPr>
      <w:r>
        <w:rPr>
          <w:rFonts w:eastAsia="Georgia" w:cs="Georgia"/>
          <w:b/>
          <w:bCs/>
          <w:color w:val="1B6CA8"/>
          <w:sz w:val="19"/>
          <w:szCs w:val="19"/>
        </w:rPr>
        <w:t xml:space="preserve">[68] </w:t>
      </w:r>
      <w:r>
        <w:rPr>
          <w:rFonts w:eastAsia="Georgia" w:cs="Georgia"/>
          <w:color w:val="1A1A1A"/>
          <w:sz w:val="19"/>
          <w:szCs w:val="19"/>
        </w:rPr>
        <w:t>Black, F., &amp; Litterman, R. (1992). “Global Portfolio Optimization.” Financial Analysts Journal, 48(5), 28–43.</w:t>
      </w:r>
    </w:p>
    <w:p>
      <w:pPr>
        <w:pStyle w:val="Normal"/>
        <w:spacing w:lineRule="auto" w:line="240" w:before="0" w:after="110"/>
        <w:ind w:hanging="360" w:left="360"/>
        <w:jc w:val="left"/>
        <w:rPr/>
      </w:pPr>
      <w:r>
        <w:rPr>
          <w:rFonts w:eastAsia="Georgia" w:cs="Georgia"/>
          <w:b/>
          <w:bCs/>
          <w:color w:val="1B6CA8"/>
          <w:sz w:val="19"/>
          <w:szCs w:val="19"/>
        </w:rPr>
        <w:t xml:space="preserve">[69] </w:t>
      </w:r>
      <w:r>
        <w:rPr>
          <w:rFonts w:eastAsia="Georgia" w:cs="Georgia"/>
          <w:color w:val="1A1A1A"/>
          <w:sz w:val="19"/>
          <w:szCs w:val="19"/>
        </w:rPr>
        <w:t>Brennan, T. J., &amp; Lo, A. W. (2010). “Impossible Frontiers.” Management Science, 56(6), 905–923 (NBER Working Paper 14525).</w:t>
      </w:r>
    </w:p>
    <w:p>
      <w:pPr>
        <w:pStyle w:val="Normal"/>
        <w:spacing w:lineRule="auto" w:line="240" w:before="0" w:after="110"/>
        <w:ind w:hanging="360" w:left="360"/>
        <w:jc w:val="left"/>
        <w:rPr/>
      </w:pPr>
      <w:r>
        <w:rPr>
          <w:rFonts w:eastAsia="Georgia" w:cs="Georgia"/>
          <w:b/>
          <w:bCs/>
          <w:color w:val="1B6CA8"/>
          <w:sz w:val="19"/>
          <w:szCs w:val="19"/>
        </w:rPr>
        <w:t xml:space="preserve">[70] </w:t>
      </w:r>
      <w:r>
        <w:rPr>
          <w:rFonts w:eastAsia="Georgia" w:cs="Georgia"/>
          <w:color w:val="1A1A1A"/>
          <w:sz w:val="19"/>
          <w:szCs w:val="19"/>
        </w:rPr>
        <w:t>Sahota, N. (2024). “Futuristic Finance: AI’s Seductive Power in Reshaping Private Equity” (discussing EQT’s Motherbrain platform). Forbes, February 7, 2024.</w:t>
      </w:r>
    </w:p>
    <w:p>
      <w:pPr>
        <w:pStyle w:val="Normal"/>
        <w:spacing w:lineRule="auto" w:line="240" w:before="0" w:after="110"/>
        <w:ind w:hanging="360" w:left="360"/>
        <w:jc w:val="left"/>
        <w:rPr/>
      </w:pPr>
      <w:r>
        <w:rPr>
          <w:rFonts w:eastAsia="Georgia" w:cs="Georgia"/>
          <w:b/>
          <w:bCs/>
          <w:color w:val="1B6CA8"/>
          <w:sz w:val="19"/>
          <w:szCs w:val="19"/>
        </w:rPr>
        <w:t xml:space="preserve">[71] </w:t>
      </w:r>
      <w:r>
        <w:rPr>
          <w:rFonts w:eastAsia="Georgia" w:cs="Georgia"/>
          <w:color w:val="1A1A1A"/>
          <w:sz w:val="19"/>
          <w:szCs w:val="19"/>
        </w:rPr>
        <w:t>Kogan, S., Makarov, I., Niessner, M., &amp; Schoar, A. (2024). “Are Crypto and Equity Investors the Same? Evidence from Social Trading.” Working Paper (eToro data).</w:t>
      </w:r>
    </w:p>
    <w:p>
      <w:pPr>
        <w:pStyle w:val="Normal"/>
        <w:spacing w:lineRule="auto" w:line="240" w:before="0" w:after="110"/>
        <w:ind w:hanging="360" w:left="360"/>
        <w:jc w:val="left"/>
        <w:rPr/>
      </w:pPr>
      <w:r>
        <w:rPr>
          <w:rFonts w:eastAsia="Georgia" w:cs="Georgia"/>
          <w:b/>
          <w:bCs/>
          <w:color w:val="1B6CA8"/>
          <w:sz w:val="19"/>
          <w:szCs w:val="19"/>
        </w:rPr>
        <w:t xml:space="preserve">[72] </w:t>
      </w:r>
      <w:r>
        <w:rPr>
          <w:rFonts w:eastAsia="Georgia" w:cs="Georgia"/>
          <w:color w:val="1A1A1A"/>
          <w:sz w:val="19"/>
          <w:szCs w:val="19"/>
        </w:rPr>
        <w:t>Pelster, M., &amp; Hofmann, A. (2018). “About the Fear of Reputational Loss: Social Trading and the Disposition Effect.” Journal of Banking &amp; Finance, 94, 75–88.</w:t>
      </w:r>
    </w:p>
    <w:p>
      <w:pPr>
        <w:pStyle w:val="Normal"/>
        <w:spacing w:lineRule="auto" w:line="240" w:before="0" w:after="110"/>
        <w:ind w:hanging="360" w:left="360"/>
        <w:jc w:val="left"/>
        <w:rPr/>
      </w:pPr>
      <w:r>
        <w:rPr>
          <w:rFonts w:eastAsia="Georgia" w:cs="Georgia"/>
          <w:b/>
          <w:bCs/>
          <w:color w:val="1B6CA8"/>
          <w:sz w:val="19"/>
          <w:szCs w:val="19"/>
        </w:rPr>
        <w:t xml:space="preserve">[73] </w:t>
      </w:r>
      <w:r>
        <w:rPr>
          <w:rFonts w:eastAsia="Georgia" w:cs="Georgia"/>
          <w:color w:val="1A1A1A"/>
          <w:sz w:val="19"/>
          <w:szCs w:val="19"/>
        </w:rPr>
        <w:t>Gemayel, R., &amp; Preda, A. (2018). “Does a Scopic Regime Erode the Disposition Effect? Evidence from a Social Trading Platform.” Journal of Economic Behavior &amp; Organization, 154, 175–190.</w:t>
      </w:r>
    </w:p>
    <w:p>
      <w:pPr>
        <w:pStyle w:val="Normal"/>
        <w:spacing w:lineRule="auto" w:line="240" w:before="0" w:after="110"/>
        <w:ind w:hanging="360" w:left="360"/>
        <w:jc w:val="left"/>
        <w:rPr/>
      </w:pPr>
      <w:r>
        <w:rPr>
          <w:rFonts w:eastAsia="Georgia" w:cs="Georgia"/>
          <w:b/>
          <w:bCs/>
          <w:color w:val="1B6CA8"/>
          <w:sz w:val="19"/>
          <w:szCs w:val="19"/>
        </w:rPr>
        <w:t xml:space="preserve">[74] </w:t>
      </w:r>
      <w:r>
        <w:rPr>
          <w:rFonts w:eastAsia="Georgia" w:cs="Georgia"/>
          <w:color w:val="1A1A1A"/>
          <w:sz w:val="19"/>
          <w:szCs w:val="19"/>
        </w:rPr>
        <w:t>Authors (2019). “Copy Trading.” Management Science (Articles in Advance, 2019.3508).</w:t>
      </w:r>
    </w:p>
    <w:p>
      <w:pPr>
        <w:pStyle w:val="Normal"/>
        <w:spacing w:lineRule="auto" w:line="240" w:before="0" w:after="110"/>
        <w:ind w:hanging="360" w:left="360"/>
        <w:jc w:val="left"/>
        <w:rPr/>
      </w:pPr>
      <w:r>
        <w:rPr>
          <w:rFonts w:eastAsia="Georgia" w:cs="Georgia"/>
          <w:b/>
          <w:bCs/>
          <w:color w:val="1B6CA8"/>
          <w:sz w:val="19"/>
          <w:szCs w:val="19"/>
        </w:rPr>
        <w:t xml:space="preserve">[75] </w:t>
      </w:r>
      <w:r>
        <w:rPr>
          <w:rFonts w:eastAsia="Georgia" w:cs="Georgia"/>
          <w:color w:val="1A1A1A"/>
          <w:sz w:val="19"/>
          <w:szCs w:val="19"/>
        </w:rPr>
        <w:t>Wagner, G., Schramm-Klein, H., &amp; Steinmann, S. (2016). “More Than Just Financial Performance: Trusting Investors in Social Trading.” Journal of Business Research, 69(11), 4083–4090.</w:t>
      </w:r>
    </w:p>
    <w:p>
      <w:pPr>
        <w:pStyle w:val="Normal"/>
        <w:spacing w:lineRule="auto" w:line="240" w:before="0" w:after="110"/>
        <w:ind w:hanging="360" w:left="360"/>
        <w:jc w:val="left"/>
        <w:rPr/>
      </w:pPr>
      <w:r>
        <w:rPr>
          <w:rFonts w:eastAsia="Georgia" w:cs="Georgia"/>
          <w:b/>
          <w:bCs/>
          <w:color w:val="1B6CA8"/>
          <w:sz w:val="19"/>
          <w:szCs w:val="19"/>
        </w:rPr>
        <w:t xml:space="preserve">[76] </w:t>
      </w:r>
      <w:r>
        <w:rPr>
          <w:rFonts w:eastAsia="Georgia" w:cs="Georgia"/>
          <w:color w:val="1A1A1A"/>
          <w:sz w:val="19"/>
          <w:szCs w:val="19"/>
        </w:rPr>
        <w:t>Wagner, G., et al. (2017). “Imitation-Related Performance Outcomes in Social Trading.” Journal of Business Research, 75, 159–168.</w:t>
      </w:r>
    </w:p>
    <w:p>
      <w:pPr>
        <w:pStyle w:val="Normal"/>
        <w:spacing w:lineRule="auto" w:line="240" w:before="0" w:after="110"/>
        <w:ind w:hanging="360" w:left="360"/>
        <w:jc w:val="left"/>
        <w:rPr/>
      </w:pPr>
      <w:r>
        <w:rPr>
          <w:rFonts w:eastAsia="Georgia" w:cs="Georgia"/>
          <w:b/>
          <w:bCs/>
          <w:color w:val="1B6CA8"/>
          <w:sz w:val="19"/>
          <w:szCs w:val="19"/>
        </w:rPr>
        <w:t xml:space="preserve">[77] </w:t>
      </w:r>
      <w:r>
        <w:rPr>
          <w:rFonts w:eastAsia="Georgia" w:cs="Georgia"/>
          <w:color w:val="1A1A1A"/>
          <w:sz w:val="19"/>
          <w:szCs w:val="19"/>
        </w:rPr>
        <w:t>Boosi, A. (2025). “Social Trading, Herd Behavior, and Systemic Risk: A Critical Analysis of eToro’s CopyTrader.” Working Paper.</w:t>
      </w:r>
    </w:p>
    <w:p>
      <w:pPr>
        <w:pStyle w:val="Normal"/>
        <w:spacing w:lineRule="auto" w:line="240" w:before="0" w:after="110"/>
        <w:ind w:hanging="360" w:left="360"/>
        <w:jc w:val="left"/>
        <w:rPr/>
      </w:pPr>
      <w:r>
        <w:rPr>
          <w:rFonts w:eastAsia="Georgia" w:cs="Georgia"/>
          <w:b/>
          <w:bCs/>
          <w:color w:val="1B6CA8"/>
          <w:sz w:val="19"/>
          <w:szCs w:val="19"/>
        </w:rPr>
        <w:t xml:space="preserve">[78] </w:t>
      </w:r>
      <w:r>
        <w:rPr>
          <w:rFonts w:eastAsia="Georgia" w:cs="Georgia"/>
          <w:color w:val="1A1A1A"/>
          <w:sz w:val="19"/>
          <w:szCs w:val="19"/>
        </w:rPr>
        <w:t>Gómez-Cram, R., Guo, H. (Howard), Kung, H., &amp; Jensen, T. I. (2026). “Prediction Market Accuracy: Crowd Wisdom or Informed Minority?” SSRN Working Paper, April 2026 (London Business School &amp; Yale).</w:t>
      </w:r>
    </w:p>
    <w:p>
      <w:pPr>
        <w:pStyle w:val="Normal"/>
        <w:spacing w:lineRule="auto" w:line="240" w:before="0" w:after="110"/>
        <w:ind w:hanging="360" w:left="360"/>
        <w:jc w:val="left"/>
        <w:rPr/>
      </w:pPr>
      <w:r>
        <w:rPr>
          <w:rFonts w:eastAsia="Georgia" w:cs="Georgia"/>
          <w:b/>
          <w:bCs/>
          <w:color w:val="1B6CA8"/>
          <w:sz w:val="19"/>
          <w:szCs w:val="19"/>
        </w:rPr>
        <w:t xml:space="preserve">[79] </w:t>
      </w:r>
      <w:r>
        <w:rPr>
          <w:rFonts w:eastAsia="Georgia" w:cs="Georgia"/>
          <w:color w:val="1A1A1A"/>
          <w:sz w:val="19"/>
          <w:szCs w:val="19"/>
        </w:rPr>
        <w:t>Reichenbach, F., &amp; Walther, M. (2026). “Forecasting the Future: The Accuracy and Profitability of Decentralized Prediction Markets.” SSRN Working Paper 5910522.</w:t>
      </w:r>
    </w:p>
    <w:p>
      <w:pPr>
        <w:pStyle w:val="Normal"/>
        <w:spacing w:lineRule="auto" w:line="240" w:before="0" w:after="110"/>
        <w:ind w:hanging="360" w:left="360"/>
        <w:jc w:val="left"/>
        <w:rPr/>
      </w:pPr>
      <w:r>
        <w:rPr>
          <w:rFonts w:eastAsia="Georgia" w:cs="Georgia"/>
          <w:b/>
          <w:bCs/>
          <w:color w:val="1B6CA8"/>
          <w:sz w:val="19"/>
          <w:szCs w:val="19"/>
        </w:rPr>
        <w:t xml:space="preserve">[80] </w:t>
      </w:r>
      <w:r>
        <w:rPr>
          <w:rFonts w:eastAsia="Georgia" w:cs="Georgia"/>
          <w:color w:val="1A1A1A"/>
          <w:sz w:val="19"/>
          <w:szCs w:val="19"/>
        </w:rPr>
        <w:t>Hanson, R. (2003). “Combinatorial Information Market Design.” Information Systems Frontiers, 5(1), 107–119 (Logarithmic Market Scoring Rule).</w:t>
      </w:r>
    </w:p>
    <w:p>
      <w:pPr>
        <w:pStyle w:val="Normal"/>
        <w:spacing w:lineRule="auto" w:line="240" w:before="0" w:after="110"/>
        <w:ind w:hanging="360" w:left="360"/>
        <w:jc w:val="left"/>
        <w:rPr/>
      </w:pPr>
      <w:r>
        <w:rPr>
          <w:rFonts w:eastAsia="Georgia" w:cs="Georgia"/>
          <w:b/>
          <w:bCs/>
          <w:color w:val="1B6CA8"/>
          <w:sz w:val="19"/>
          <w:szCs w:val="19"/>
        </w:rPr>
        <w:t xml:space="preserve">[81] </w:t>
      </w:r>
      <w:r>
        <w:rPr>
          <w:rFonts w:eastAsia="Georgia" w:cs="Georgia"/>
          <w:color w:val="1A1A1A"/>
          <w:sz w:val="19"/>
          <w:szCs w:val="19"/>
        </w:rPr>
        <w:t>Wolfers, J., &amp; Zitzewitz, E. (2004). “Prediction Markets.” Journal of Economic Perspectives, 18(2), 107–126.</w:t>
      </w:r>
    </w:p>
    <w:p>
      <w:pPr>
        <w:pStyle w:val="Normal"/>
        <w:spacing w:lineRule="auto" w:line="240" w:before="0" w:after="110"/>
        <w:ind w:hanging="360" w:left="360"/>
        <w:jc w:val="left"/>
        <w:rPr/>
      </w:pPr>
      <w:r>
        <w:rPr>
          <w:rFonts w:eastAsia="Georgia" w:cs="Georgia"/>
          <w:b/>
          <w:bCs/>
          <w:color w:val="1B6CA8"/>
          <w:sz w:val="19"/>
          <w:szCs w:val="19"/>
        </w:rPr>
        <w:t xml:space="preserve">[82] </w:t>
      </w:r>
      <w:r>
        <w:rPr>
          <w:rFonts w:eastAsia="Georgia" w:cs="Georgia"/>
          <w:color w:val="1A1A1A"/>
          <w:sz w:val="19"/>
          <w:szCs w:val="19"/>
        </w:rPr>
        <w:t>Berg, J., Forsythe, R., Nelson, F., &amp; Rietz, T. (2008). “Results from a Dozen Years of Election Futures Markets Research.” Handbook of Experimental Economics Results, Vol. 1, 742–751 (Iowa Electronic Markets).</w:t>
      </w:r>
    </w:p>
    <w:p>
      <w:pPr>
        <w:pStyle w:val="Normal"/>
        <w:spacing w:lineRule="auto" w:line="240" w:before="0" w:after="110"/>
        <w:ind w:hanging="360" w:left="360"/>
        <w:jc w:val="left"/>
        <w:rPr/>
      </w:pPr>
      <w:r>
        <w:rPr>
          <w:rFonts w:eastAsia="Georgia" w:cs="Georgia"/>
          <w:b/>
          <w:bCs/>
          <w:color w:val="1B6CA8"/>
          <w:sz w:val="19"/>
          <w:szCs w:val="19"/>
        </w:rPr>
        <w:t xml:space="preserve">[83] </w:t>
      </w:r>
      <w:r>
        <w:rPr>
          <w:rFonts w:eastAsia="Georgia" w:cs="Georgia"/>
          <w:color w:val="1A1A1A"/>
          <w:sz w:val="19"/>
          <w:szCs w:val="19"/>
        </w:rPr>
        <w:t>CoinDesk. (2026). “Roughly 3% of Traders Drive Price Discovery in Prediction Markets, Study Finds.” CoinDesk, April 26, 2026.</w:t>
      </w:r>
    </w:p>
    <w:p>
      <w:pPr>
        <w:pStyle w:val="Normal"/>
        <w:spacing w:lineRule="auto" w:line="240" w:before="0" w:after="110"/>
        <w:ind w:hanging="360" w:left="360"/>
        <w:jc w:val="left"/>
        <w:rPr/>
      </w:pPr>
      <w:r>
        <w:rPr>
          <w:rFonts w:eastAsia="Georgia" w:cs="Georgia"/>
          <w:b/>
          <w:bCs/>
          <w:color w:val="1B6CA8"/>
          <w:sz w:val="19"/>
          <w:szCs w:val="19"/>
        </w:rPr>
        <w:t xml:space="preserve">[84] </w:t>
      </w:r>
      <w:r>
        <w:rPr>
          <w:rFonts w:eastAsia="Georgia" w:cs="Georgia"/>
          <w:color w:val="1A1A1A"/>
          <w:sz w:val="19"/>
          <w:szCs w:val="19"/>
        </w:rPr>
        <w:t>Authors (2024). “Political Leanings in Web3 Betting: Decentralized Prediction Markets and the 2024 U.S. Election.” arXiv:2407.14844.</w:t>
      </w:r>
    </w:p>
    <w:p>
      <w:pPr>
        <w:pStyle w:val="Normal"/>
        <w:spacing w:lineRule="auto" w:line="240" w:before="0" w:after="110"/>
        <w:ind w:hanging="360" w:left="360"/>
        <w:jc w:val="left"/>
        <w:rPr/>
      </w:pPr>
      <w:r>
        <w:rPr>
          <w:rFonts w:eastAsia="Georgia" w:cs="Georgia"/>
          <w:b/>
          <w:bCs/>
          <w:color w:val="1B6CA8"/>
          <w:sz w:val="19"/>
          <w:szCs w:val="19"/>
        </w:rPr>
        <w:t xml:space="preserve">[85] </w:t>
      </w:r>
      <w:r>
        <w:rPr>
          <w:rFonts w:eastAsia="Georgia" w:cs="Georgia"/>
          <w:color w:val="1A1A1A"/>
          <w:sz w:val="19"/>
          <w:szCs w:val="19"/>
        </w:rPr>
        <w:t>U.S. Commodity Futures Trading Commission. (2022). “CFTC Orders Event-Based Binary Options Markets Operator Polymarket to Pay $1.4 Million Penalty.” Press Release 8478-22, January 3, 2022.</w:t>
      </w:r>
    </w:p>
    <w:p>
      <w:pPr>
        <w:pStyle w:val="Normal"/>
        <w:spacing w:lineRule="auto" w:line="240" w:before="0" w:after="110"/>
        <w:ind w:hanging="360" w:left="360"/>
        <w:jc w:val="left"/>
        <w:rPr/>
      </w:pPr>
      <w:r>
        <w:rPr>
          <w:rFonts w:eastAsia="Georgia" w:cs="Georgia"/>
          <w:b/>
          <w:bCs/>
          <w:color w:val="1B6CA8"/>
          <w:sz w:val="19"/>
          <w:szCs w:val="19"/>
        </w:rPr>
        <w:t xml:space="preserve">[86] </w:t>
      </w:r>
      <w:r>
        <w:rPr>
          <w:rFonts w:eastAsia="Georgia" w:cs="Georgia"/>
          <w:color w:val="1A1A1A"/>
          <w:sz w:val="19"/>
          <w:szCs w:val="19"/>
        </w:rPr>
        <w:t>KalshiEX LLC v. Commodity Futures Trading Commission, No. 1:23-cv-03257-JMC, 2024 WL 4164694 (D.D.C. Sept. 6, 2024) (Cobb, J.).</w:t>
      </w:r>
    </w:p>
    <w:p>
      <w:pPr>
        <w:pStyle w:val="Normal"/>
        <w:spacing w:lineRule="auto" w:line="240" w:before="0" w:after="110"/>
        <w:ind w:hanging="360" w:left="360"/>
        <w:jc w:val="left"/>
        <w:rPr/>
      </w:pPr>
      <w:r>
        <w:rPr>
          <w:rFonts w:eastAsia="Georgia" w:cs="Georgia"/>
          <w:b/>
          <w:bCs/>
          <w:color w:val="1B6CA8"/>
          <w:sz w:val="19"/>
          <w:szCs w:val="19"/>
        </w:rPr>
        <w:t xml:space="preserve">[87] </w:t>
      </w:r>
      <w:r>
        <w:rPr>
          <w:rFonts w:eastAsia="Georgia" w:cs="Georgia"/>
          <w:color w:val="1A1A1A"/>
          <w:sz w:val="19"/>
          <w:szCs w:val="19"/>
        </w:rPr>
        <w:t>KalshiEX LLC v. CFTC, No. 24-5205 (D.C. Cir. Oct. 2, 2024) (Millett, J., denying emergency stay); appeal voluntarily dismissed May 2025.</w:t>
      </w:r>
    </w:p>
    <w:p>
      <w:pPr>
        <w:pStyle w:val="Normal"/>
        <w:spacing w:lineRule="auto" w:line="240" w:before="0" w:after="110"/>
        <w:ind w:hanging="360" w:left="360"/>
        <w:jc w:val="left"/>
        <w:rPr/>
      </w:pPr>
      <w:r>
        <w:rPr>
          <w:rFonts w:eastAsia="Georgia" w:cs="Georgia"/>
          <w:b/>
          <w:bCs/>
          <w:color w:val="1B6CA8"/>
          <w:sz w:val="19"/>
          <w:szCs w:val="19"/>
        </w:rPr>
        <w:t xml:space="preserve">[88] </w:t>
      </w:r>
      <w:r>
        <w:rPr>
          <w:rFonts w:eastAsia="Georgia" w:cs="Georgia"/>
          <w:color w:val="1A1A1A"/>
          <w:sz w:val="19"/>
          <w:szCs w:val="19"/>
        </w:rPr>
        <w:t>PR Newswire. (2025). “Polymarket Acquires CFTC-Licensed Derivatives Exchange QCEX for $112 Million.” July 21, 2025.</w:t>
      </w:r>
    </w:p>
    <w:p>
      <w:pPr>
        <w:pStyle w:val="Normal"/>
        <w:spacing w:lineRule="auto" w:line="240" w:before="0" w:after="110"/>
        <w:ind w:hanging="360" w:left="360"/>
        <w:jc w:val="left"/>
        <w:rPr/>
      </w:pPr>
      <w:r>
        <w:rPr>
          <w:rFonts w:eastAsia="Georgia" w:cs="Georgia"/>
          <w:b/>
          <w:bCs/>
          <w:color w:val="1B6CA8"/>
          <w:sz w:val="19"/>
          <w:szCs w:val="19"/>
        </w:rPr>
        <w:t xml:space="preserve">[89] </w:t>
      </w:r>
      <w:r>
        <w:rPr>
          <w:rFonts w:eastAsia="Georgia" w:cs="Georgia"/>
          <w:color w:val="1A1A1A"/>
          <w:sz w:val="19"/>
          <w:szCs w:val="19"/>
        </w:rPr>
        <w:t>Peterson, J., Krug, J., Zoltu, M., Williams, A. K., &amp; Alexander, S. (2018). “Augur: A Decentralized Oracle and Prediction Market Platform.” Forecast Foundation Whitepaper.</w:t>
      </w:r>
    </w:p>
    <w:p>
      <w:pPr>
        <w:pStyle w:val="Normal"/>
        <w:spacing w:lineRule="auto" w:line="240" w:before="0" w:after="110"/>
        <w:ind w:hanging="360" w:left="360"/>
        <w:jc w:val="left"/>
        <w:rPr/>
      </w:pPr>
      <w:r>
        <w:rPr>
          <w:rFonts w:eastAsia="Georgia" w:cs="Georgia"/>
          <w:b/>
          <w:bCs/>
          <w:color w:val="1B6CA8"/>
          <w:sz w:val="19"/>
          <w:szCs w:val="19"/>
        </w:rPr>
        <w:t xml:space="preserve">[90] </w:t>
      </w:r>
      <w:r>
        <w:rPr>
          <w:rFonts w:eastAsia="Georgia" w:cs="Georgia"/>
          <w:color w:val="1A1A1A"/>
          <w:sz w:val="19"/>
          <w:szCs w:val="19"/>
        </w:rPr>
        <w:t>dYdX. (2021–2023). “dYdX: Decentralized Perpetuals Exchange Documentation and Whitepaper.”</w:t>
      </w:r>
    </w:p>
    <w:p>
      <w:pPr>
        <w:pStyle w:val="Normal"/>
        <w:spacing w:lineRule="auto" w:line="240" w:before="0" w:after="110"/>
        <w:ind w:hanging="360" w:left="360"/>
        <w:jc w:val="left"/>
        <w:rPr/>
      </w:pPr>
      <w:r>
        <w:rPr>
          <w:rFonts w:eastAsia="Georgia" w:cs="Georgia"/>
          <w:b/>
          <w:bCs/>
          <w:color w:val="1B6CA8"/>
          <w:sz w:val="19"/>
          <w:szCs w:val="19"/>
        </w:rPr>
        <w:t xml:space="preserve">[91] </w:t>
      </w:r>
      <w:r>
        <w:rPr>
          <w:rFonts w:eastAsia="Georgia" w:cs="Georgia"/>
          <w:color w:val="1A1A1A"/>
          <w:sz w:val="19"/>
          <w:szCs w:val="19"/>
        </w:rPr>
        <w:t>GMX. (2022). “GMX: Decentralized Perpetual Exchange Documentation.”</w:t>
      </w:r>
    </w:p>
    <w:p>
      <w:pPr>
        <w:pStyle w:val="Normal"/>
        <w:spacing w:lineRule="auto" w:line="240" w:before="0" w:after="110"/>
        <w:ind w:hanging="360" w:left="360"/>
        <w:jc w:val="left"/>
        <w:rPr/>
      </w:pPr>
      <w:r>
        <w:rPr>
          <w:rFonts w:eastAsia="Georgia" w:cs="Georgia"/>
          <w:b/>
          <w:bCs/>
          <w:color w:val="1B6CA8"/>
          <w:sz w:val="19"/>
          <w:szCs w:val="19"/>
        </w:rPr>
        <w:t xml:space="preserve">[92] </w:t>
      </w:r>
      <w:r>
        <w:rPr>
          <w:rFonts w:eastAsia="Georgia" w:cs="Georgia"/>
          <w:color w:val="1A1A1A"/>
          <w:sz w:val="19"/>
          <w:szCs w:val="19"/>
        </w:rPr>
        <w:t>Karp, H. (2019). “Nexus Mutual: A Decentralised Alternative to Insurance.” Nexus Mutual Whitepaper.</w:t>
      </w:r>
    </w:p>
    <w:p>
      <w:pPr>
        <w:pStyle w:val="Normal"/>
        <w:spacing w:lineRule="auto" w:line="240" w:before="0" w:after="110"/>
        <w:ind w:hanging="360" w:left="360"/>
        <w:jc w:val="left"/>
        <w:rPr/>
      </w:pPr>
      <w:r>
        <w:rPr>
          <w:rFonts w:eastAsia="Georgia" w:cs="Georgia"/>
          <w:b/>
          <w:bCs/>
          <w:color w:val="1B6CA8"/>
          <w:sz w:val="19"/>
          <w:szCs w:val="19"/>
        </w:rPr>
        <w:t xml:space="preserve">[93] </w:t>
      </w:r>
      <w:r>
        <w:rPr>
          <w:rFonts w:eastAsia="Georgia" w:cs="Georgia"/>
          <w:color w:val="1A1A1A"/>
          <w:sz w:val="19"/>
          <w:szCs w:val="19"/>
        </w:rPr>
        <w:t>Etherisc. (2019). “Etherisc: Decentralized Insurance Protocol and Parametric Crop/Flight Insurance.” Etherisc Documentation.</w:t>
      </w:r>
    </w:p>
    <w:p>
      <w:pPr>
        <w:pStyle w:val="Normal"/>
        <w:spacing w:lineRule="auto" w:line="240" w:before="0" w:after="110"/>
        <w:ind w:hanging="360" w:left="360"/>
        <w:jc w:val="left"/>
        <w:rPr/>
      </w:pPr>
      <w:r>
        <w:rPr>
          <w:rFonts w:eastAsia="Georgia" w:cs="Georgia"/>
          <w:b/>
          <w:bCs/>
          <w:color w:val="1B6CA8"/>
          <w:sz w:val="19"/>
          <w:szCs w:val="19"/>
        </w:rPr>
        <w:t xml:space="preserve">[94] </w:t>
      </w:r>
      <w:r>
        <w:rPr>
          <w:rFonts w:eastAsia="Georgia" w:cs="Georgia"/>
          <w:color w:val="1A1A1A"/>
          <w:sz w:val="19"/>
          <w:szCs w:val="19"/>
        </w:rPr>
        <w:t>Kawai, K., Soska, K., Routledge, B., Zetlin-Jones, A., &amp; Christin, N. (2025). “Anatomy of a Digital Bubble: Lessons Learned from the Decentraland Metaverse.” arXiv:2501.09601 (Carnegie Mellon University). https://arxiv.org/html/2501.09601v1</w:t>
      </w:r>
    </w:p>
    <w:p>
      <w:pPr>
        <w:pStyle w:val="Normal"/>
        <w:spacing w:lineRule="auto" w:line="240" w:before="0" w:after="110"/>
        <w:ind w:hanging="360" w:left="360"/>
        <w:jc w:val="left"/>
        <w:rPr/>
      </w:pPr>
      <w:r>
        <w:rPr>
          <w:rFonts w:eastAsia="Georgia" w:cs="Georgia"/>
          <w:b/>
          <w:bCs/>
          <w:color w:val="1B6CA8"/>
          <w:sz w:val="19"/>
          <w:szCs w:val="19"/>
        </w:rPr>
        <w:t xml:space="preserve">[95] </w:t>
      </w:r>
      <w:r>
        <w:rPr>
          <w:rFonts w:eastAsia="Georgia" w:cs="Georgia"/>
          <w:color w:val="1A1A1A"/>
          <w:sz w:val="19"/>
          <w:szCs w:val="19"/>
        </w:rPr>
        <w:t>WeMeta / Cointelegraph. (2022). “Metaverse Land Prices Crash up to 85% as Speculative Bubble Deflates.” Cointelegraph, August 2022.</w:t>
      </w:r>
    </w:p>
    <w:p>
      <w:pPr>
        <w:pStyle w:val="Normal"/>
        <w:spacing w:lineRule="auto" w:line="240" w:before="0" w:after="110"/>
        <w:ind w:hanging="360" w:left="360"/>
        <w:jc w:val="left"/>
        <w:rPr/>
      </w:pPr>
      <w:r>
        <w:rPr>
          <w:rFonts w:eastAsia="Georgia" w:cs="Georgia"/>
          <w:b/>
          <w:bCs/>
          <w:color w:val="1B6CA8"/>
          <w:sz w:val="19"/>
          <w:szCs w:val="19"/>
        </w:rPr>
        <w:t xml:space="preserve">[96] </w:t>
      </w:r>
      <w:r>
        <w:rPr>
          <w:rFonts w:eastAsia="Georgia" w:cs="Georgia"/>
          <w:color w:val="1A1A1A"/>
          <w:sz w:val="19"/>
          <w:szCs w:val="19"/>
        </w:rPr>
        <w:t>CoinGecko. (2024). “Metaverse Land Prices Down 72% Since Peak.” CoinGecko Research, June 2024.</w:t>
      </w:r>
    </w:p>
    <w:p>
      <w:pPr>
        <w:pStyle w:val="Normal"/>
        <w:spacing w:lineRule="auto" w:line="240" w:before="0" w:after="110"/>
        <w:ind w:hanging="360" w:left="360"/>
        <w:jc w:val="left"/>
        <w:rPr/>
      </w:pPr>
      <w:r>
        <w:rPr>
          <w:rFonts w:eastAsia="Georgia" w:cs="Georgia"/>
          <w:b/>
          <w:bCs/>
          <w:color w:val="1B6CA8"/>
          <w:sz w:val="19"/>
          <w:szCs w:val="19"/>
        </w:rPr>
        <w:t xml:space="preserve">[97] </w:t>
      </w:r>
      <w:r>
        <w:rPr>
          <w:rFonts w:eastAsia="Georgia" w:cs="Georgia"/>
          <w:color w:val="1A1A1A"/>
          <w:sz w:val="19"/>
          <w:szCs w:val="19"/>
        </w:rPr>
        <w:t>CryptoSlate. (2023). “Decentraland’s $2.4M Estate Now Worth a Fraction; Daily Active Users Plummet.” CryptoSlate.</w:t>
      </w:r>
    </w:p>
    <w:p>
      <w:pPr>
        <w:pStyle w:val="Normal"/>
        <w:spacing w:lineRule="auto" w:line="240" w:before="0" w:after="110"/>
        <w:ind w:hanging="360" w:left="360"/>
        <w:jc w:val="left"/>
        <w:rPr/>
      </w:pPr>
      <w:r>
        <w:rPr>
          <w:rFonts w:eastAsia="Georgia" w:cs="Georgia"/>
          <w:b/>
          <w:bCs/>
          <w:color w:val="1B6CA8"/>
          <w:sz w:val="19"/>
          <w:szCs w:val="19"/>
        </w:rPr>
        <w:t xml:space="preserve">[98] </w:t>
      </w:r>
      <w:r>
        <w:rPr>
          <w:rFonts w:eastAsia="Georgia" w:cs="Georgia"/>
          <w:color w:val="1A1A1A"/>
          <w:sz w:val="19"/>
          <w:szCs w:val="19"/>
        </w:rPr>
        <w:t>The Verge / DappRadar data. (2023). “Decentraland’s Daily Active ‘Users’ Reportedly Number in the Dozens.” Reporting, 2023.</w:t>
      </w:r>
    </w:p>
    <w:p>
      <w:pPr>
        <w:pStyle w:val="Normal"/>
        <w:spacing w:lineRule="auto" w:line="240" w:before="0" w:after="110"/>
        <w:ind w:hanging="360" w:left="360"/>
        <w:jc w:val="left"/>
        <w:rPr/>
      </w:pPr>
      <w:r>
        <w:rPr>
          <w:rFonts w:eastAsia="Georgia" w:cs="Georgia"/>
          <w:b/>
          <w:bCs/>
          <w:color w:val="1B6CA8"/>
          <w:sz w:val="19"/>
          <w:szCs w:val="19"/>
        </w:rPr>
        <w:t xml:space="preserve">[99] </w:t>
      </w:r>
      <w:r>
        <w:rPr>
          <w:rFonts w:eastAsia="Georgia" w:cs="Georgia"/>
          <w:color w:val="1A1A1A"/>
          <w:sz w:val="19"/>
          <w:szCs w:val="19"/>
        </w:rPr>
        <w:t>Ali, J., &amp; Vidan, G. (2025). “Playing, Earning, Crashing, and Grinding: Axie Infinity and Growth Crises in the Web3 Economy.” Big Data &amp; Society, 12(3). https://journals.sagepub.com/doi/10.1177/20539517251357296</w:t>
      </w:r>
    </w:p>
    <w:p>
      <w:pPr>
        <w:pStyle w:val="Normal"/>
        <w:spacing w:lineRule="auto" w:line="240" w:before="0" w:after="110"/>
        <w:ind w:hanging="360" w:left="360"/>
        <w:jc w:val="left"/>
        <w:rPr/>
      </w:pPr>
      <w:r>
        <w:rPr>
          <w:rFonts w:eastAsia="Georgia" w:cs="Georgia"/>
          <w:b/>
          <w:bCs/>
          <w:color w:val="1B6CA8"/>
          <w:sz w:val="19"/>
          <w:szCs w:val="19"/>
        </w:rPr>
        <w:t xml:space="preserve">[100] </w:t>
      </w:r>
      <w:r>
        <w:rPr>
          <w:rFonts w:eastAsia="Georgia" w:cs="Georgia"/>
          <w:color w:val="1A1A1A"/>
          <w:sz w:val="19"/>
          <w:szCs w:val="19"/>
        </w:rPr>
        <w:t>Kominers, S. D., &amp; Weyl, E. G. (2022). “GameFi and the Financialization of Fun.” Harvard Business Review, 2022.</w:t>
      </w:r>
    </w:p>
    <w:p>
      <w:pPr>
        <w:pStyle w:val="Normal"/>
        <w:spacing w:lineRule="auto" w:line="240" w:before="0" w:after="110"/>
        <w:ind w:hanging="360" w:left="360"/>
        <w:jc w:val="left"/>
        <w:rPr/>
      </w:pPr>
      <w:r>
        <w:rPr>
          <w:rFonts w:eastAsia="Georgia" w:cs="Georgia"/>
          <w:b/>
          <w:bCs/>
          <w:color w:val="1B6CA8"/>
          <w:sz w:val="19"/>
          <w:szCs w:val="19"/>
        </w:rPr>
        <w:t xml:space="preserve">[101] </w:t>
      </w:r>
      <w:r>
        <w:rPr>
          <w:rFonts w:eastAsia="Georgia" w:cs="Georgia"/>
          <w:color w:val="1A1A1A"/>
          <w:sz w:val="19"/>
          <w:szCs w:val="19"/>
        </w:rPr>
        <w:t>Chou, Y. (2022). “Axie Infinity Economy Collapse Explained: An Octalysis Economy-Design Analysis.” Yu-kai Chou: Gamification &amp; Behavioral Design. https://yukaichou.com/gamification-study/economy-design-framework-axie-infinity-collapse/</w:t>
      </w:r>
    </w:p>
    <w:p>
      <w:pPr>
        <w:pStyle w:val="Normal"/>
        <w:spacing w:lineRule="auto" w:line="240" w:before="0" w:after="110"/>
        <w:ind w:hanging="360" w:left="360"/>
        <w:jc w:val="left"/>
        <w:rPr/>
      </w:pPr>
      <w:r>
        <w:rPr>
          <w:rFonts w:eastAsia="Georgia" w:cs="Georgia"/>
          <w:b/>
          <w:bCs/>
          <w:color w:val="1B6CA8"/>
          <w:sz w:val="19"/>
          <w:szCs w:val="19"/>
        </w:rPr>
        <w:t xml:space="preserve">[102] </w:t>
      </w:r>
      <w:r>
        <w:rPr>
          <w:rFonts w:eastAsia="Georgia" w:cs="Georgia"/>
          <w:color w:val="1A1A1A"/>
          <w:sz w:val="19"/>
          <w:szCs w:val="19"/>
        </w:rPr>
        <w:t>Beluga. (2023). “The Rise and Fall of Axie Infinity.” https://heybeluga.com/articles/why-axie-infinity-failed/</w:t>
      </w:r>
    </w:p>
    <w:p>
      <w:pPr>
        <w:pStyle w:val="Normal"/>
        <w:spacing w:lineRule="auto" w:line="240" w:before="0" w:after="110"/>
        <w:ind w:hanging="360" w:left="360"/>
        <w:jc w:val="left"/>
        <w:rPr/>
      </w:pPr>
      <w:r>
        <w:rPr>
          <w:rFonts w:eastAsia="Georgia" w:cs="Georgia"/>
          <w:b/>
          <w:bCs/>
          <w:color w:val="1B6CA8"/>
          <w:sz w:val="19"/>
          <w:szCs w:val="19"/>
        </w:rPr>
        <w:t xml:space="preserve">[103] </w:t>
      </w:r>
      <w:r>
        <w:rPr>
          <w:rFonts w:eastAsia="Georgia" w:cs="Georgia"/>
          <w:color w:val="1A1A1A"/>
          <w:sz w:val="19"/>
          <w:szCs w:val="19"/>
        </w:rPr>
        <w:t>Bitget. (2024). “Axie Infinity Play-to-Earn: Sustainability and Tokenomics.” Bitget Academy. https://www.bitget.com/academy/axie-infinity-p2e</w:t>
      </w:r>
    </w:p>
    <w:p>
      <w:pPr>
        <w:pStyle w:val="Normal"/>
        <w:spacing w:lineRule="auto" w:line="240" w:before="0" w:after="110"/>
        <w:ind w:hanging="360" w:left="360"/>
        <w:jc w:val="left"/>
        <w:rPr/>
      </w:pPr>
      <w:r>
        <w:rPr>
          <w:rFonts w:eastAsia="Georgia" w:cs="Georgia"/>
          <w:b/>
          <w:bCs/>
          <w:color w:val="1B6CA8"/>
          <w:sz w:val="19"/>
          <w:szCs w:val="19"/>
        </w:rPr>
        <w:t xml:space="preserve">[104] </w:t>
      </w:r>
      <w:r>
        <w:rPr>
          <w:rFonts w:eastAsia="Georgia" w:cs="Georgia"/>
          <w:color w:val="1A1A1A"/>
          <w:sz w:val="19"/>
          <w:szCs w:val="19"/>
        </w:rPr>
        <w:t>Author (2025). “Gamification, Fiduciary Duty, and Investor Protection: The Robinhood Settlement and Its Implications.” Berkeley Technology Law Journal, November 2025.</w:t>
      </w:r>
    </w:p>
    <w:p>
      <w:pPr>
        <w:pStyle w:val="Normal"/>
        <w:spacing w:lineRule="auto" w:line="240" w:before="0" w:after="110"/>
        <w:ind w:hanging="360" w:left="360"/>
        <w:jc w:val="left"/>
        <w:rPr/>
      </w:pPr>
      <w:r>
        <w:rPr>
          <w:rFonts w:eastAsia="Georgia" w:cs="Georgia"/>
          <w:b/>
          <w:bCs/>
          <w:color w:val="1B6CA8"/>
          <w:sz w:val="19"/>
          <w:szCs w:val="19"/>
        </w:rPr>
        <w:t xml:space="preserve">[105] </w:t>
      </w:r>
      <w:r>
        <w:rPr>
          <w:rFonts w:eastAsia="Georgia" w:cs="Georgia"/>
          <w:color w:val="1A1A1A"/>
          <w:sz w:val="19"/>
          <w:szCs w:val="19"/>
        </w:rPr>
        <w:t>Massachusetts Securities Division. (2024). “Consent Order: Robinhood Financial LLC (Gamification and Digital Engagement Practices).” Docket No. E-2020-0047, January 18, 2024 ($7.5 million settlement).</w:t>
      </w:r>
    </w:p>
    <w:p>
      <w:pPr>
        <w:pStyle w:val="Normal"/>
        <w:spacing w:lineRule="auto" w:line="240" w:before="0" w:after="110"/>
        <w:ind w:hanging="360" w:left="360"/>
        <w:jc w:val="left"/>
        <w:rPr/>
      </w:pPr>
      <w:r>
        <w:rPr>
          <w:rFonts w:eastAsia="Georgia" w:cs="Georgia"/>
          <w:b/>
          <w:bCs/>
          <w:color w:val="1B6CA8"/>
          <w:sz w:val="19"/>
          <w:szCs w:val="19"/>
        </w:rPr>
        <w:t xml:space="preserve">[106] </w:t>
      </w:r>
      <w:r>
        <w:rPr>
          <w:rFonts w:eastAsia="Georgia" w:cs="Georgia"/>
          <w:color w:val="1A1A1A"/>
          <w:sz w:val="19"/>
          <w:szCs w:val="19"/>
        </w:rPr>
        <w:t>Authors (2026). “Gamification in Finance: A Systematic Review and Research Agenda.” Journal of Behavioral and Experimental Finance. https://www.sciencedirect.com/science/article/abs/pii/S2214635026000420</w:t>
      </w:r>
    </w:p>
    <w:p>
      <w:pPr>
        <w:pStyle w:val="Normal"/>
        <w:spacing w:lineRule="auto" w:line="240" w:before="0" w:after="110"/>
        <w:ind w:hanging="360" w:left="360"/>
        <w:jc w:val="left"/>
        <w:rPr/>
      </w:pPr>
      <w:r>
        <w:rPr>
          <w:rFonts w:eastAsia="Georgia" w:cs="Georgia"/>
          <w:b/>
          <w:bCs/>
          <w:color w:val="1B6CA8"/>
          <w:sz w:val="19"/>
          <w:szCs w:val="19"/>
        </w:rPr>
        <w:t xml:space="preserve">[107] </w:t>
      </w:r>
      <w:r>
        <w:rPr>
          <w:rFonts w:eastAsia="Georgia" w:cs="Georgia"/>
          <w:color w:val="1A1A1A"/>
          <w:sz w:val="19"/>
          <w:szCs w:val="19"/>
        </w:rPr>
        <w:t>U.S. Securities and Exchange Commission. (2021). “Request for Information and Comment on Broker-Dealer and Investment Adviser Digital Engagement Practices.” Release Nos. 34-92766; IA-5833, August 27, 2021.</w:t>
      </w:r>
    </w:p>
    <w:p>
      <w:pPr>
        <w:pStyle w:val="Normal"/>
        <w:spacing w:lineRule="auto" w:line="240" w:before="0" w:after="110"/>
        <w:ind w:hanging="360" w:left="360"/>
        <w:jc w:val="left"/>
        <w:rPr/>
      </w:pPr>
      <w:r>
        <w:rPr>
          <w:rFonts w:eastAsia="Georgia" w:cs="Georgia"/>
          <w:b/>
          <w:bCs/>
          <w:color w:val="1B6CA8"/>
          <w:sz w:val="19"/>
          <w:szCs w:val="19"/>
        </w:rPr>
        <w:t xml:space="preserve">[108] </w:t>
      </w:r>
      <w:r>
        <w:rPr>
          <w:rFonts w:eastAsia="Georgia" w:cs="Georgia"/>
          <w:color w:val="1A1A1A"/>
          <w:sz w:val="19"/>
          <w:szCs w:val="19"/>
        </w:rPr>
        <w:t>Casten, S. (Office of U.S. Rep.). (2021). “SEC Accelerates Inquiry into Gamification of Trading on Sites Like Robinhood.” https://casten.house.gov/media/in-the-news/sec-accelerates-inquiry-gamification-trading-sites-robinhood</w:t>
      </w:r>
    </w:p>
    <w:p>
      <w:pPr>
        <w:pStyle w:val="Normal"/>
        <w:spacing w:lineRule="auto" w:line="240" w:before="0" w:after="110"/>
        <w:ind w:hanging="360" w:left="360"/>
        <w:jc w:val="left"/>
        <w:rPr/>
      </w:pPr>
      <w:r>
        <w:rPr>
          <w:rFonts w:eastAsia="Georgia" w:cs="Georgia"/>
          <w:b/>
          <w:bCs/>
          <w:color w:val="1B6CA8"/>
          <w:sz w:val="19"/>
          <w:szCs w:val="19"/>
        </w:rPr>
        <w:t xml:space="preserve">[109] </w:t>
      </w:r>
      <w:r>
        <w:rPr>
          <w:rFonts w:eastAsia="Georgia" w:cs="Georgia"/>
          <w:color w:val="1A1A1A"/>
          <w:sz w:val="19"/>
          <w:szCs w:val="19"/>
        </w:rPr>
        <w:t>Lusardi, A., &amp; Mitchell, O. S. (2014). “The Economic Importance of Financial Literacy: Theory and Evidence.” Journal of Economic Literature, 52(1), 5–44.</w:t>
      </w:r>
    </w:p>
    <w:p>
      <w:pPr>
        <w:pStyle w:val="Normal"/>
        <w:spacing w:lineRule="auto" w:line="240" w:before="0" w:after="110"/>
        <w:ind w:hanging="360" w:left="360"/>
        <w:jc w:val="left"/>
        <w:rPr/>
      </w:pPr>
      <w:r>
        <w:rPr>
          <w:rFonts w:eastAsia="Georgia" w:cs="Georgia"/>
          <w:b/>
          <w:bCs/>
          <w:color w:val="1B6CA8"/>
          <w:sz w:val="19"/>
          <w:szCs w:val="19"/>
        </w:rPr>
        <w:t xml:space="preserve">[110] </w:t>
      </w:r>
      <w:r>
        <w:rPr>
          <w:rFonts w:eastAsia="Georgia" w:cs="Georgia"/>
          <w:color w:val="1A1A1A"/>
          <w:sz w:val="19"/>
          <w:szCs w:val="19"/>
        </w:rPr>
        <w:t>Deterding, S., Dixon, D., Khaled, R., &amp; Nacke, L. (2011). “From Game Design Elements to Gamefulness: Defining ‘Gamification’.” Proceedings of the 15th International Academic MindTrek Conference, 9–15.</w:t>
      </w:r>
    </w:p>
    <w:p>
      <w:pPr>
        <w:pStyle w:val="Normal"/>
        <w:spacing w:lineRule="auto" w:line="240" w:before="0" w:after="110"/>
        <w:ind w:hanging="360" w:left="360"/>
        <w:jc w:val="left"/>
        <w:rPr/>
      </w:pPr>
      <w:r>
        <w:rPr>
          <w:rFonts w:eastAsia="Georgia" w:cs="Georgia"/>
          <w:b/>
          <w:bCs/>
          <w:color w:val="1B6CA8"/>
          <w:sz w:val="19"/>
          <w:szCs w:val="19"/>
        </w:rPr>
        <w:t xml:space="preserve">[111] </w:t>
      </w:r>
      <w:r>
        <w:rPr>
          <w:rFonts w:eastAsia="Georgia" w:cs="Georgia"/>
          <w:color w:val="1A1A1A"/>
          <w:sz w:val="19"/>
          <w:szCs w:val="19"/>
        </w:rPr>
        <w:t>Crypto for Innovation. (2023). “The State of NFT Royalties and the Race to the Bottom.” Analysis, 2023.</w:t>
      </w:r>
    </w:p>
    <w:p>
      <w:pPr>
        <w:pStyle w:val="Normal"/>
        <w:spacing w:lineRule="auto" w:line="240" w:before="0" w:after="110"/>
        <w:ind w:hanging="360" w:left="360"/>
        <w:jc w:val="left"/>
        <w:rPr/>
      </w:pPr>
      <w:r>
        <w:rPr>
          <w:rFonts w:eastAsia="Georgia" w:cs="Georgia"/>
          <w:b/>
          <w:bCs/>
          <w:color w:val="1B6CA8"/>
          <w:sz w:val="19"/>
          <w:szCs w:val="19"/>
        </w:rPr>
        <w:t xml:space="preserve">[112] </w:t>
      </w:r>
      <w:r>
        <w:rPr>
          <w:rFonts w:eastAsia="Georgia" w:cs="Georgia"/>
          <w:color w:val="1A1A1A"/>
          <w:sz w:val="19"/>
          <w:szCs w:val="19"/>
        </w:rPr>
        <w:t>Axios. (2023). “NFT Royalties Collapse as Marketplaces Make Creator Fees Optional.” Axios, 2023.</w:t>
      </w:r>
    </w:p>
    <w:p>
      <w:pPr>
        <w:pStyle w:val="Normal"/>
        <w:spacing w:lineRule="auto" w:line="240" w:before="0" w:after="110"/>
        <w:ind w:hanging="360" w:left="360"/>
        <w:jc w:val="left"/>
        <w:rPr/>
      </w:pPr>
      <w:r>
        <w:rPr>
          <w:rFonts w:eastAsia="Georgia" w:cs="Georgia"/>
          <w:b/>
          <w:bCs/>
          <w:color w:val="1B6CA8"/>
          <w:sz w:val="19"/>
          <w:szCs w:val="19"/>
        </w:rPr>
        <w:t xml:space="preserve">[113] </w:t>
      </w:r>
      <w:r>
        <w:rPr>
          <w:rFonts w:eastAsia="Georgia" w:cs="Georgia"/>
          <w:color w:val="1A1A1A"/>
          <w:sz w:val="19"/>
          <w:szCs w:val="19"/>
        </w:rPr>
        <w:t>Limit Break. (2023). “ERC-721C: Programmable Royalties and Creator-Enforced Transfer Policies.” Limit Break / Creator Ownership Research.</w:t>
      </w:r>
    </w:p>
    <w:p>
      <w:pPr>
        <w:pStyle w:val="Normal"/>
        <w:spacing w:lineRule="auto" w:line="240" w:before="0" w:after="110"/>
        <w:ind w:hanging="360" w:left="360"/>
        <w:jc w:val="left"/>
        <w:rPr/>
      </w:pPr>
      <w:r>
        <w:rPr>
          <w:rFonts w:eastAsia="Georgia" w:cs="Georgia"/>
          <w:b/>
          <w:bCs/>
          <w:color w:val="1B6CA8"/>
          <w:sz w:val="19"/>
          <w:szCs w:val="19"/>
        </w:rPr>
        <w:t xml:space="preserve">[114] </w:t>
      </w:r>
      <w:r>
        <w:rPr>
          <w:rFonts w:eastAsia="Georgia" w:cs="Georgia"/>
          <w:color w:val="1A1A1A"/>
          <w:sz w:val="19"/>
          <w:szCs w:val="19"/>
        </w:rPr>
        <w:t>NFT Plazas. (2024). “OpenSea Integrates ERC-721C Standard for NFT Royalties.” https://nftplazas.com/opensea-erc-721c-standard/</w:t>
      </w:r>
    </w:p>
    <w:p>
      <w:pPr>
        <w:pStyle w:val="Normal"/>
        <w:spacing w:lineRule="auto" w:line="240" w:before="0" w:after="110"/>
        <w:ind w:hanging="360" w:left="360"/>
        <w:jc w:val="left"/>
        <w:rPr/>
      </w:pPr>
      <w:r>
        <w:rPr>
          <w:rFonts w:eastAsia="Georgia" w:cs="Georgia"/>
          <w:b/>
          <w:bCs/>
          <w:color w:val="1B6CA8"/>
          <w:sz w:val="19"/>
          <w:szCs w:val="19"/>
        </w:rPr>
        <w:t xml:space="preserve">[115] </w:t>
      </w:r>
      <w:r>
        <w:rPr>
          <w:rFonts w:eastAsia="Georgia" w:cs="Georgia"/>
          <w:color w:val="1A1A1A"/>
          <w:sz w:val="19"/>
          <w:szCs w:val="19"/>
        </w:rPr>
        <w:t>Chain. “How Can NFT Creators Enforce Royalty Fees Once and For All?” Medium. https://medium.com/@chaincom/chain-insights-how-can-nft-creators-enforce-royalty-fees-once-and-for-all-a7ccc54b0827</w:t>
      </w:r>
    </w:p>
    <w:p>
      <w:pPr>
        <w:pStyle w:val="Normal"/>
        <w:spacing w:lineRule="auto" w:line="240" w:before="0" w:after="110"/>
        <w:ind w:hanging="360" w:left="360"/>
        <w:jc w:val="left"/>
        <w:rPr/>
      </w:pPr>
      <w:r>
        <w:rPr>
          <w:rFonts w:eastAsia="Georgia" w:cs="Georgia"/>
          <w:b/>
          <w:bCs/>
          <w:color w:val="1B6CA8"/>
          <w:sz w:val="19"/>
          <w:szCs w:val="19"/>
        </w:rPr>
        <w:t xml:space="preserve">[116] </w:t>
      </w:r>
      <w:r>
        <w:rPr>
          <w:rFonts w:eastAsia="Georgia" w:cs="Georgia"/>
          <w:color w:val="1A1A1A"/>
          <w:sz w:val="19"/>
          <w:szCs w:val="19"/>
        </w:rPr>
        <w:t>Brookings Institution. (2022). “Debunking the Narratives About Cryptocurrency and Financial Inclusion.” https://www.brookings.edu/articles/debunking-the-narratives-about-cryptocurrency-and-financial-inclusion/</w:t>
      </w:r>
    </w:p>
    <w:p>
      <w:pPr>
        <w:pStyle w:val="Normal"/>
        <w:spacing w:lineRule="auto" w:line="240" w:before="0" w:after="110"/>
        <w:ind w:hanging="360" w:left="360"/>
        <w:jc w:val="left"/>
        <w:rPr/>
      </w:pPr>
      <w:r>
        <w:rPr>
          <w:rFonts w:eastAsia="Georgia" w:cs="Georgia"/>
          <w:b/>
          <w:bCs/>
          <w:color w:val="1B6CA8"/>
          <w:sz w:val="19"/>
          <w:szCs w:val="19"/>
        </w:rPr>
        <w:t xml:space="preserve">[117] </w:t>
      </w:r>
      <w:r>
        <w:rPr>
          <w:rFonts w:eastAsia="Georgia" w:cs="Georgia"/>
          <w:color w:val="1A1A1A"/>
          <w:sz w:val="19"/>
          <w:szCs w:val="19"/>
        </w:rPr>
        <w:t>OxJournal. (2025). “The Decentralisation Dilemma: Cryptocurrency’s Impact on Financial Inclusion and Wealth Disparity (2020–2025).” https://www.oxjournal.org/the-decentralisation-dilemma/</w:t>
      </w:r>
    </w:p>
    <w:p>
      <w:pPr>
        <w:pStyle w:val="Normal"/>
        <w:spacing w:lineRule="auto" w:line="240" w:before="0" w:after="110"/>
        <w:ind w:hanging="360" w:left="360"/>
        <w:jc w:val="left"/>
        <w:rPr/>
      </w:pPr>
      <w:r>
        <w:rPr>
          <w:rFonts w:eastAsia="Georgia" w:cs="Georgia"/>
          <w:b/>
          <w:bCs/>
          <w:color w:val="1B6CA8"/>
          <w:sz w:val="19"/>
          <w:szCs w:val="19"/>
        </w:rPr>
        <w:t xml:space="preserve">[118] </w:t>
      </w:r>
      <w:r>
        <w:rPr>
          <w:rFonts w:eastAsia="Georgia" w:cs="Georgia"/>
          <w:color w:val="1A1A1A"/>
          <w:sz w:val="19"/>
          <w:szCs w:val="19"/>
        </w:rPr>
        <w:t>Abdulhakeem, S. A., &amp; Hu, Q. (2021). “Powered by Blockchain Technology, DeFi (Decentralized Finance) Strives to Increase Financial Inclusion of the Unbanked by Reshaping the World Financial System.” Modern Economy, 12(1), 1–16.</w:t>
      </w:r>
    </w:p>
    <w:p>
      <w:pPr>
        <w:pStyle w:val="Normal"/>
        <w:spacing w:lineRule="auto" w:line="240" w:before="0" w:after="110"/>
        <w:ind w:hanging="360" w:left="360"/>
        <w:jc w:val="left"/>
        <w:rPr/>
      </w:pPr>
      <w:r>
        <w:rPr>
          <w:rFonts w:eastAsia="Georgia" w:cs="Georgia"/>
          <w:b/>
          <w:bCs/>
          <w:color w:val="1B6CA8"/>
          <w:sz w:val="19"/>
          <w:szCs w:val="19"/>
        </w:rPr>
        <w:t xml:space="preserve">[119] </w:t>
      </w:r>
      <w:r>
        <w:rPr>
          <w:rFonts w:eastAsia="Georgia" w:cs="Georgia"/>
          <w:color w:val="1A1A1A"/>
          <w:sz w:val="19"/>
          <w:szCs w:val="19"/>
        </w:rPr>
        <w:t>Demirgüç-Kunt, A., Klapper, L., Singer, D., Ansar, S., &amp; Hess, J. (2018). “The Global Findex Database 2017: Measuring Financial Inclusion and the Fintech Revolution.” World Bank Group.</w:t>
      </w:r>
    </w:p>
    <w:p>
      <w:pPr>
        <w:pStyle w:val="Normal"/>
        <w:spacing w:lineRule="auto" w:line="240" w:before="0" w:after="110"/>
        <w:ind w:hanging="360" w:left="360"/>
        <w:jc w:val="left"/>
        <w:rPr/>
      </w:pPr>
      <w:r>
        <w:rPr>
          <w:rFonts w:eastAsia="Georgia" w:cs="Georgia"/>
          <w:b/>
          <w:bCs/>
          <w:color w:val="1B6CA8"/>
          <w:sz w:val="19"/>
          <w:szCs w:val="19"/>
        </w:rPr>
        <w:t xml:space="preserve">[120] </w:t>
      </w:r>
      <w:r>
        <w:rPr>
          <w:rFonts w:eastAsia="Georgia" w:cs="Georgia"/>
          <w:color w:val="1A1A1A"/>
          <w:sz w:val="19"/>
          <w:szCs w:val="19"/>
        </w:rPr>
        <w:t>Buterin, V. (2014). “Ethereum: A Next-Generation Smart Contract and Decentralized Application Platform.” Ethereum Whitepaper.</w:t>
      </w:r>
    </w:p>
    <w:p>
      <w:pPr>
        <w:pStyle w:val="Normal"/>
        <w:spacing w:lineRule="auto" w:line="240" w:before="0" w:after="110"/>
        <w:ind w:hanging="360" w:left="360"/>
        <w:jc w:val="left"/>
        <w:rPr/>
      </w:pPr>
      <w:r>
        <w:rPr>
          <w:rFonts w:eastAsia="Georgia" w:cs="Georgia"/>
          <w:b/>
          <w:bCs/>
          <w:color w:val="1B6CA8"/>
          <w:sz w:val="19"/>
          <w:szCs w:val="19"/>
        </w:rPr>
        <w:t xml:space="preserve">[121] </w:t>
      </w:r>
      <w:r>
        <w:rPr>
          <w:rFonts w:eastAsia="Georgia" w:cs="Georgia"/>
          <w:color w:val="1A1A1A"/>
          <w:sz w:val="19"/>
          <w:szCs w:val="19"/>
        </w:rPr>
        <w:t>Nakamoto, S. (2008). “Bitcoin: A Peer-to-Peer Electronic Cash System.” Bitcoin Whitepaper.</w:t>
      </w:r>
    </w:p>
    <w:p>
      <w:pPr>
        <w:pStyle w:val="Normal"/>
        <w:spacing w:lineRule="auto" w:line="240" w:before="0" w:after="110"/>
        <w:ind w:hanging="360" w:left="360"/>
        <w:jc w:val="left"/>
        <w:rPr/>
      </w:pPr>
      <w:r>
        <w:rPr>
          <w:rFonts w:eastAsia="Georgia" w:cs="Georgia"/>
          <w:b/>
          <w:bCs/>
          <w:color w:val="1B6CA8"/>
          <w:sz w:val="19"/>
          <w:szCs w:val="19"/>
        </w:rPr>
        <w:t xml:space="preserve">[122] </w:t>
      </w:r>
      <w:r>
        <w:rPr>
          <w:rFonts w:eastAsia="Georgia" w:cs="Georgia"/>
          <w:color w:val="1A1A1A"/>
          <w:sz w:val="19"/>
          <w:szCs w:val="19"/>
        </w:rPr>
        <w:t>Tapscott, D., &amp; Tapscott, A. (2016). Blockchain Revolution: How the Technology Behind Bitcoin Is Changing Money, Business, and the World. Portfolio/Penguin.</w:t>
      </w:r>
    </w:p>
    <w:p>
      <w:pPr>
        <w:pStyle w:val="Normal"/>
        <w:spacing w:lineRule="auto" w:line="240" w:before="0" w:after="110"/>
        <w:ind w:hanging="360" w:left="360"/>
        <w:jc w:val="left"/>
        <w:rPr/>
      </w:pPr>
      <w:r>
        <w:rPr>
          <w:rFonts w:eastAsia="Georgia" w:cs="Georgia"/>
          <w:b/>
          <w:bCs/>
          <w:color w:val="1B6CA8"/>
          <w:sz w:val="19"/>
          <w:szCs w:val="19"/>
        </w:rPr>
        <w:t xml:space="preserve">[123] </w:t>
      </w:r>
      <w:r>
        <w:rPr>
          <w:rFonts w:eastAsia="Georgia" w:cs="Georgia"/>
          <w:color w:val="1A1A1A"/>
          <w:sz w:val="19"/>
          <w:szCs w:val="19"/>
        </w:rPr>
        <w:t>Arner, D. W., Barberis, J., &amp; Buckley, R. P. (2017). “FinTech, RegTech, and the Reconceptualization of Financial Regulation.” Northwestern Journal of International Law &amp; Business, 37(3), 371–413.</w:t>
      </w:r>
    </w:p>
    <w:p>
      <w:pPr>
        <w:pStyle w:val="Normal"/>
        <w:spacing w:lineRule="auto" w:line="240" w:before="0" w:after="110"/>
        <w:ind w:hanging="360" w:left="360"/>
        <w:jc w:val="left"/>
        <w:rPr/>
      </w:pPr>
      <w:r>
        <w:rPr>
          <w:rFonts w:eastAsia="Georgia" w:cs="Georgia"/>
          <w:b/>
          <w:bCs/>
          <w:color w:val="1B6CA8"/>
          <w:sz w:val="19"/>
          <w:szCs w:val="19"/>
        </w:rPr>
        <w:t xml:space="preserve">[124] </w:t>
      </w:r>
      <w:r>
        <w:rPr>
          <w:rFonts w:eastAsia="Georgia" w:cs="Georgia"/>
          <w:color w:val="1A1A1A"/>
          <w:sz w:val="19"/>
          <w:szCs w:val="19"/>
        </w:rPr>
        <w:t>Zetzsche, D. A., Arner, D. W., &amp; Buckley, R. P. (2020). “Decentralized Finance.” Journal of Financial Regulation, 6(2), 172–203.</w:t>
      </w:r>
    </w:p>
    <w:p>
      <w:pPr>
        <w:pStyle w:val="Normal"/>
        <w:spacing w:lineRule="auto" w:line="240" w:before="0" w:after="110"/>
        <w:ind w:hanging="360" w:left="360"/>
        <w:jc w:val="left"/>
        <w:rPr/>
      </w:pPr>
      <w:r>
        <w:rPr>
          <w:rFonts w:eastAsia="Georgia" w:cs="Georgia"/>
          <w:b/>
          <w:bCs/>
          <w:color w:val="1B6CA8"/>
          <w:sz w:val="19"/>
          <w:szCs w:val="19"/>
        </w:rPr>
        <w:t xml:space="preserve">[125] </w:t>
      </w:r>
      <w:r>
        <w:rPr>
          <w:rFonts w:eastAsia="Georgia" w:cs="Georgia"/>
          <w:color w:val="1A1A1A"/>
          <w:sz w:val="19"/>
          <w:szCs w:val="19"/>
        </w:rPr>
        <w:t>Mbiti, I., &amp; Weil, D. N. (2016). “Mobile Banking: The Impact of M-Pesa in Kenya.” In African Successes, Volume III: Modernization and Development, NBER, 247–293.</w:t>
      </w:r>
    </w:p>
    <w:p>
      <w:pPr>
        <w:pStyle w:val="Normal"/>
        <w:spacing w:lineRule="auto" w:line="240" w:before="0" w:after="110"/>
        <w:ind w:hanging="360" w:left="360"/>
        <w:jc w:val="left"/>
        <w:rPr/>
      </w:pPr>
      <w:r>
        <w:rPr>
          <w:rFonts w:eastAsia="Georgia" w:cs="Georgia"/>
          <w:b/>
          <w:bCs/>
          <w:color w:val="1B6CA8"/>
          <w:sz w:val="19"/>
          <w:szCs w:val="19"/>
        </w:rPr>
        <w:t xml:space="preserve">[126] </w:t>
      </w:r>
      <w:r>
        <w:rPr>
          <w:rFonts w:eastAsia="Georgia" w:cs="Georgia"/>
          <w:color w:val="1A1A1A"/>
          <w:sz w:val="19"/>
          <w:szCs w:val="19"/>
        </w:rPr>
        <w:t>Bank for International Settlements. (2023). “Blueprint for the Future Monetary System: Improving the Old, Enabling the New.” BIS Annual Economic Report 2023, Chapter III.</w:t>
      </w:r>
    </w:p>
    <w:p>
      <w:pPr>
        <w:pStyle w:val="Normal"/>
        <w:spacing w:lineRule="auto" w:line="240" w:before="0" w:after="110"/>
        <w:ind w:hanging="360" w:left="360"/>
        <w:jc w:val="left"/>
        <w:rPr/>
      </w:pPr>
      <w:r>
        <w:rPr>
          <w:rFonts w:eastAsia="Georgia" w:cs="Georgia"/>
          <w:b/>
          <w:bCs/>
          <w:color w:val="1B6CA8"/>
          <w:sz w:val="19"/>
          <w:szCs w:val="19"/>
        </w:rPr>
        <w:t xml:space="preserve">[127] </w:t>
      </w:r>
      <w:r>
        <w:rPr>
          <w:rFonts w:eastAsia="Georgia" w:cs="Georgia"/>
          <w:color w:val="1A1A1A"/>
          <w:sz w:val="19"/>
          <w:szCs w:val="19"/>
        </w:rPr>
        <w:t>Bank for International Settlements. (2025). “The Next-Generation Monetary and Financial System.” BIS Annual Economic Report 2025. https://www.bis.org/press/p250624.htm</w:t>
      </w:r>
    </w:p>
    <w:p>
      <w:pPr>
        <w:pStyle w:val="Normal"/>
        <w:spacing w:lineRule="auto" w:line="240" w:before="0" w:after="110"/>
        <w:ind w:hanging="360" w:left="360"/>
        <w:jc w:val="left"/>
        <w:rPr/>
      </w:pPr>
      <w:r>
        <w:rPr>
          <w:rFonts w:eastAsia="Georgia" w:cs="Georgia"/>
          <w:b/>
          <w:bCs/>
          <w:color w:val="1B6CA8"/>
          <w:sz w:val="19"/>
          <w:szCs w:val="19"/>
        </w:rPr>
        <w:t xml:space="preserve">[128] </w:t>
      </w:r>
      <w:r>
        <w:rPr>
          <w:rFonts w:eastAsia="Georgia" w:cs="Georgia"/>
          <w:color w:val="1A1A1A"/>
          <w:sz w:val="19"/>
          <w:szCs w:val="19"/>
        </w:rPr>
        <w:t>World Economic Forum. (2020). “Digital Assets, Distributed Ledger Technology, and the Future of Capital Markets.” WEF White Paper.</w:t>
      </w:r>
    </w:p>
    <w:p>
      <w:pPr>
        <w:pStyle w:val="Normal"/>
        <w:spacing w:lineRule="auto" w:line="240" w:before="0" w:after="110"/>
        <w:ind w:hanging="360" w:left="360"/>
        <w:jc w:val="left"/>
        <w:rPr/>
      </w:pPr>
      <w:r>
        <w:rPr>
          <w:rFonts w:eastAsia="Georgia" w:cs="Georgia"/>
          <w:b/>
          <w:bCs/>
          <w:color w:val="1B6CA8"/>
          <w:sz w:val="19"/>
          <w:szCs w:val="19"/>
        </w:rPr>
        <w:t xml:space="preserve">[129] </w:t>
      </w:r>
      <w:r>
        <w:rPr>
          <w:rFonts w:eastAsia="Georgia" w:cs="Georgia"/>
          <w:color w:val="1A1A1A"/>
          <w:sz w:val="19"/>
          <w:szCs w:val="19"/>
        </w:rPr>
        <w:t>Serrano-Cinca, C., Gutiérrez-Nieto, B., &amp; López-Palacios, L. (2015). “Determinants of Default in P2P Lending.” PLOS ONE, 10(10), e0139427.</w:t>
      </w:r>
    </w:p>
    <w:p>
      <w:pPr>
        <w:pStyle w:val="Normal"/>
        <w:spacing w:lineRule="auto" w:line="240" w:before="0" w:after="110"/>
        <w:ind w:hanging="360" w:left="360"/>
        <w:jc w:val="left"/>
        <w:rPr/>
      </w:pPr>
      <w:r>
        <w:rPr>
          <w:rFonts w:eastAsia="Georgia" w:cs="Georgia"/>
          <w:b/>
          <w:bCs/>
          <w:color w:val="1B6CA8"/>
          <w:sz w:val="19"/>
          <w:szCs w:val="19"/>
        </w:rPr>
        <w:t xml:space="preserve">[130] </w:t>
      </w:r>
      <w:r>
        <w:rPr>
          <w:rFonts w:eastAsia="Georgia" w:cs="Georgia"/>
          <w:color w:val="1A1A1A"/>
          <w:sz w:val="19"/>
          <w:szCs w:val="19"/>
        </w:rPr>
        <w:t>Jagtiani, J., &amp; Lemieux, C. (2018). “The Roles of Alternative Data and Machine Learning in Fintech Lending.” Federal Reserve Bank of Philadelphia Working Paper 18-15.</w:t>
      </w:r>
    </w:p>
    <w:p>
      <w:pPr>
        <w:pStyle w:val="Normal"/>
        <w:spacing w:lineRule="auto" w:line="240" w:before="0" w:after="110"/>
        <w:ind w:hanging="360" w:left="360"/>
        <w:jc w:val="left"/>
        <w:rPr/>
      </w:pPr>
      <w:r>
        <w:rPr>
          <w:rFonts w:eastAsia="Georgia" w:cs="Georgia"/>
          <w:b/>
          <w:bCs/>
          <w:color w:val="1B6CA8"/>
          <w:sz w:val="19"/>
          <w:szCs w:val="19"/>
        </w:rPr>
        <w:t xml:space="preserve">[131] </w:t>
      </w:r>
      <w:r>
        <w:rPr>
          <w:rFonts w:eastAsia="Georgia" w:cs="Georgia"/>
          <w:color w:val="1A1A1A"/>
          <w:sz w:val="19"/>
          <w:szCs w:val="19"/>
        </w:rPr>
        <w:t>LendingClub Corporation. (2020). “Notice of Retirement of the Notes (Retail Platform) Effective December 31, 2020.” SEC Form 8-K and investor communication, October 2020.</w:t>
      </w:r>
    </w:p>
    <w:p>
      <w:pPr>
        <w:pStyle w:val="Normal"/>
        <w:spacing w:lineRule="auto" w:line="240" w:before="0" w:after="110"/>
        <w:ind w:hanging="360" w:left="360"/>
        <w:jc w:val="left"/>
        <w:rPr/>
      </w:pPr>
      <w:r>
        <w:rPr>
          <w:rFonts w:eastAsia="Georgia" w:cs="Georgia"/>
          <w:b/>
          <w:bCs/>
          <w:color w:val="1B6CA8"/>
          <w:sz w:val="19"/>
          <w:szCs w:val="19"/>
        </w:rPr>
        <w:t xml:space="preserve">[132] </w:t>
      </w:r>
      <w:r>
        <w:rPr>
          <w:rFonts w:eastAsia="Georgia" w:cs="Georgia"/>
          <w:color w:val="1A1A1A"/>
          <w:sz w:val="19"/>
          <w:szCs w:val="19"/>
        </w:rPr>
        <w:t>Interactive Brokers. “Stock Yield Enhancement Program (SYEP) Disclosures.” Interactive Brokers LLC; see also BrokerChooser, “Earn Extra Income by Lending Your Stocks to Interactive Brokers.” https://brokerchooser.com/broker-reviews/interactive-brokers-review/stock-yield-enhancement</w:t>
      </w:r>
    </w:p>
    <w:p>
      <w:pPr>
        <w:pStyle w:val="Normal"/>
        <w:spacing w:lineRule="auto" w:line="240" w:before="0" w:after="110"/>
        <w:ind w:hanging="360" w:left="360"/>
        <w:jc w:val="left"/>
        <w:rPr/>
      </w:pPr>
      <w:r>
        <w:rPr>
          <w:rFonts w:eastAsia="Georgia" w:cs="Georgia"/>
          <w:b/>
          <w:bCs/>
          <w:color w:val="1B6CA8"/>
          <w:sz w:val="19"/>
          <w:szCs w:val="19"/>
        </w:rPr>
        <w:t xml:space="preserve">[133] </w:t>
      </w:r>
      <w:r>
        <w:rPr>
          <w:rFonts w:eastAsia="Georgia" w:cs="Georgia"/>
          <w:color w:val="1A1A1A"/>
          <w:sz w:val="19"/>
          <w:szCs w:val="19"/>
        </w:rPr>
        <w:t>Bain &amp; Company. (2023). “Why Private Markets Investing Needs New Market Infrastructure.” Bain &amp; Company (discussing iCapital, Moonfare, Securitize, ADDX).</w:t>
      </w:r>
    </w:p>
    <w:p>
      <w:pPr>
        <w:pStyle w:val="Normal"/>
        <w:spacing w:lineRule="auto" w:line="240" w:before="0" w:after="110"/>
        <w:ind w:hanging="360" w:left="360"/>
        <w:jc w:val="left"/>
        <w:rPr/>
      </w:pPr>
      <w:r>
        <w:rPr>
          <w:rFonts w:eastAsia="Georgia" w:cs="Georgia"/>
          <w:b/>
          <w:bCs/>
          <w:color w:val="1B6CA8"/>
          <w:sz w:val="19"/>
          <w:szCs w:val="19"/>
        </w:rPr>
        <w:t xml:space="preserve">[134] </w:t>
      </w:r>
      <w:r>
        <w:rPr>
          <w:rFonts w:eastAsia="Georgia" w:cs="Georgia"/>
          <w:color w:val="1A1A1A"/>
          <w:sz w:val="19"/>
          <w:szCs w:val="19"/>
        </w:rPr>
        <w:t>Lummis, C. (U.S. Senator). (2024). “The BITCOIN Act: Establishing a Strategic Bitcoin Reserve.” Proposed legislation and policy statements, 2024.</w:t>
      </w:r>
    </w:p>
    <w:sectPr>
      <w:footerReference w:type="even" r:id="rId2"/>
      <w:footerReference w:type="default" r:id="rId3"/>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DCF0F2"/>
      </w:pBdr>
      <w:jc w:val="center"/>
      <w:rPr/>
    </w:pPr>
    <w:r>
      <w:rPr>
        <w:rFonts w:eastAsia="Arial" w:cs="Arial" w:ascii="Arial" w:hAnsi="Arial"/>
        <w:color w:val="44505A"/>
        <w:sz w:val="16"/>
        <w:szCs w:val="16"/>
      </w:rPr>
      <w:t xml:space="preserve">Flock · Feasibility Assessment   —   </w:t>
    </w:r>
    <w:r>
      <w:rPr/>
      <w:fldChar w:fldCharType="begin"/>
    </w:r>
    <w:r>
      <w:rPr/>
      <w:instrText xml:space="preserve"> PAGE </w:instrText>
    </w:r>
    <w:r>
      <w:rPr/>
      <w:fldChar w:fldCharType="separate"/>
    </w:r>
    <w:r>
      <w:rPr/>
      <w:t>48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20" w:hanging="280"/>
      </w:pPr>
      <w:rPr>
        <w:rFonts w:ascii="Symbol" w:hAnsi="Symbol" w:cs="Symbol" w:hint="default"/>
      </w:rPr>
    </w:lvl>
    <w:lvl w:ilvl="1">
      <w:start w:val="1"/>
      <w:numFmt w:val="bullet"/>
      <w:lvlText w:val="◦"/>
      <w:lvlJc w:val="left"/>
      <w:pPr>
        <w:tabs>
          <w:tab w:val="num" w:pos="0"/>
        </w:tabs>
        <w:ind w:left="1180" w:hanging="28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2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6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62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1A1A1A"/>
      <w:kern w:val="0"/>
      <w:sz w:val="22"/>
      <w:szCs w:val="22"/>
      <w:lang w:val="en-US" w:eastAsia="zh-CN" w:bidi="hi-IN"/>
    </w:rPr>
  </w:style>
  <w:style w:type="paragraph" w:styleId="Heading1">
    <w:name w:val="Heading 1"/>
    <w:basedOn w:val="Heading"/>
    <w:qFormat/>
    <w:pPr>
      <w:keepNext w:val="true"/>
      <w:pBdr>
        <w:bottom w:val="single" w:sz="8" w:space="6" w:color="5FC8C0"/>
      </w:pBdr>
      <w:spacing w:before="320" w:after="200"/>
      <w:outlineLvl w:val="0"/>
    </w:pPr>
    <w:rPr>
      <w:rFonts w:ascii="Arial" w:hAnsi="Arial" w:eastAsia="Arial" w:cs="Arial"/>
      <w:b/>
      <w:bCs/>
      <w:color w:val="0B3D6B"/>
      <w:sz w:val="30"/>
      <w:szCs w:val="30"/>
    </w:rPr>
  </w:style>
  <w:style w:type="paragraph" w:styleId="Heading2">
    <w:name w:val="Heading 2"/>
    <w:basedOn w:val="Heading"/>
    <w:qFormat/>
    <w:pPr>
      <w:keepNext w:val="true"/>
      <w:spacing w:before="260" w:after="140"/>
      <w:outlineLvl w:val="1"/>
    </w:pPr>
    <w:rPr>
      <w:rFonts w:ascii="Arial" w:hAnsi="Arial" w:eastAsia="Arial" w:cs="Arial"/>
      <w:b/>
      <w:bCs/>
      <w:color w:val="1B6CA8"/>
      <w:sz w:val="25"/>
      <w:szCs w:val="25"/>
    </w:rPr>
  </w:style>
  <w:style w:type="paragraph" w:styleId="Heading3">
    <w:name w:val="Heading 3"/>
    <w:basedOn w:val="Heading"/>
    <w:qFormat/>
    <w:pPr>
      <w:keepNext w:val="true"/>
      <w:spacing w:before="200" w:after="120"/>
      <w:outlineLvl w:val="2"/>
    </w:pPr>
    <w:rPr>
      <w:rFonts w:ascii="Arial" w:hAnsi="Arial" w:eastAsia="Arial" w:cs="Arial"/>
      <w:b/>
      <w:bCs/>
      <w:color w:val="44505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47</Pages>
  <Words>15147</Words>
  <Characters>97375</Characters>
  <CharactersWithSpaces>111804</CharactersWithSpaces>
  <Paragraphs>496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2026-06-17T14:26:53Z</dcterms:created>
  <dc:creator>Maximiliano Garcia</dc:creator>
  <dc:description>A Technical, Economic, and Regulatory Assessment of the Flock Architecture</dc:description>
  <dc:language>en-US</dc:language>
  <cp:lastModifiedBy/>
  <dcterms:modified xsi:type="dcterms:W3CDTF">2026-06-17T14:27:45Z</dcterms:modified>
  <cp:revision>2</cp:revision>
  <dc:subject/>
  <dc:title>The Feasibility of a Blockchain-Powered, Decentralized Multi-Investment Exchange</dc:title>
</cp:coreProperties>
</file>