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Arial" w:cs="Arial" w:eastAsia="Arial" w:hAnsi="Arial"/>
          <w:b/>
          <w:bCs/>
          <w:color w:val="234A35"/>
          <w:sz w:val="72"/>
          <w:szCs w:val="72"/>
        </w:rPr>
        <w:t xml:space="preserve">WINNOW</w:t>
      </w:r>
    </w:p>
    <w:p>
      <w:pPr>
        <w:spacing w:after="420"/>
        <w:jc w:val="center"/>
      </w:pPr>
      <w:r>
        <w:rPr>
          <w:rFonts w:ascii="Georgia" w:cs="Georgia" w:eastAsia="Georgia" w:hAnsi="Georgia"/>
          <w:i/>
          <w:iCs/>
          <w:color w:val="5A5A5A"/>
          <w:sz w:val="22"/>
          <w:szCs w:val="22"/>
        </w:rPr>
        <w:t xml:space="preserve">—  a working name  —</w:t>
      </w:r>
    </w:p>
    <w:p>
      <w:pPr>
        <w:pBdr>
          <w:top w:val="single" w:color="234A35" w:sz="8" w:space="8"/>
          <w:bottom w:val="single" w:color="234A35" w:sz="8" w:space="8"/>
        </w:pBdr>
        <w:spacing w:after="200"/>
        <w:jc w:val="center"/>
      </w:pPr>
      <w:r>
        <w:rPr>
          <w:rFonts w:ascii="Arial" w:cs="Arial" w:eastAsia="Arial" w:hAnsi="Arial"/>
          <w:b/>
          <w:bCs/>
          <w:color w:val="1A1A1A"/>
          <w:sz w:val="44"/>
          <w:szCs w:val="44"/>
        </w:rPr>
        <w:t xml:space="preserve">The Overgrown Feed</w:t>
      </w:r>
    </w:p>
    <w:p>
      <w:pPr>
        <w:spacing w:after="520"/>
        <w:jc w:val="center"/>
      </w:pPr>
      <w:r>
        <w:rPr>
          <w:rFonts w:ascii="Georgia" w:cs="Georgia" w:eastAsia="Georgia" w:hAnsi="Georgia"/>
          <w:i/>
          <w:iCs/>
          <w:color w:val="8C4A2F"/>
          <w:sz w:val="26"/>
          <w:szCs w:val="26"/>
        </w:rPr>
        <w:t xml:space="preserve">Why Our Online Relationships Became Unmanageable, What the Science Says About Fixing Them, and the Case for a Simple Tool to Tend the Garden</w:t>
      </w:r>
    </w:p>
    <w:p>
      <w:pPr>
        <w:spacing w:after="20"/>
        <w:jc w:val="center"/>
      </w:pPr>
      <w:r>
        <w:rPr>
          <w:rFonts w:ascii="Georgia" w:cs="Georgia" w:eastAsia="Georgia" w:hAnsi="Georgia"/>
          <w:color w:val="1A1A1A"/>
          <w:sz w:val="22"/>
          <w:szCs w:val="22"/>
        </w:rPr>
        <w:t xml:space="preserve">An Interdisciplinary Research Paper on Social Media, the Attention Economy,</w:t>
      </w:r>
    </w:p>
    <w:p>
      <w:pPr>
        <w:spacing w:after="600"/>
        <w:jc w:val="center"/>
      </w:pPr>
      <w:r>
        <w:rPr>
          <w:rFonts w:ascii="Georgia" w:cs="Georgia" w:eastAsia="Georgia" w:hAnsi="Georgia"/>
          <w:color w:val="1A1A1A"/>
          <w:sz w:val="22"/>
          <w:szCs w:val="22"/>
        </w:rPr>
        <w:t xml:space="preserve">Relationship Science, and Deliberate Network Curation</w:t>
      </w:r>
    </w:p>
    <w:p>
      <w:pPr>
        <w:spacing w:after="20"/>
        <w:jc w:val="center"/>
      </w:pPr>
      <w:r>
        <w:rPr>
          <w:rFonts w:ascii="Arial" w:cs="Arial" w:eastAsia="Arial" w:hAnsi="Arial"/>
          <w:b/>
          <w:bCs/>
          <w:color w:val="234A35"/>
          <w:sz w:val="22"/>
          <w:szCs w:val="22"/>
        </w:rPr>
        <w:t xml:space="preserve">Comprehensive Reference Series</w:t>
      </w:r>
    </w:p>
    <w:p>
      <w:pPr>
        <w:spacing w:after="400"/>
        <w:jc w:val="center"/>
      </w:pPr>
      <w:r>
        <w:rPr>
          <w:rFonts w:ascii="Georgia" w:cs="Georgia" w:eastAsia="Georgia" w:hAnsi="Georgia"/>
          <w:color w:val="5A5A5A"/>
          <w:sz w:val="20"/>
          <w:szCs w:val="20"/>
        </w:rPr>
        <w:t xml:space="preserve">Technological &amp; Civilizational Futures · Volume Companion</w:t>
      </w:r>
    </w:p>
    <w:p>
      <w:pPr>
        <w:spacing w:after="20"/>
        <w:jc w:val="center"/>
      </w:pPr>
      <w:r>
        <w:rPr>
          <w:rFonts w:ascii="Georgia" w:cs="Georgia" w:eastAsia="Georgia" w:hAnsi="Georgia"/>
          <w:color w:val="5A5A5A"/>
          <w:sz w:val="20"/>
          <w:szCs w:val="20"/>
        </w:rPr>
        <w:t xml:space="preserve">Open-source project foundation · MIT-licensed · Client-side by design</w:t>
      </w:r>
    </w:p>
    <w:p>
      <w:pPr>
        <w:spacing w:after="40"/>
        <w:jc w:val="center"/>
      </w:pPr>
      <w:r>
        <w:rPr>
          <w:rFonts w:ascii="Georgia" w:cs="Georgia" w:eastAsia="Georgia" w:hAnsi="Georgia"/>
          <w:color w:val="8C4A2F"/>
          <w:sz w:val="20"/>
          <w:szCs w:val="20"/>
        </w:rPr>
        <w:t xml:space="preserve">Patience pays. 🦞</w:t>
      </w:r>
    </w:p>
    <w:p>
      <w:r>
        <w:br w:type="page"/>
      </w:r>
    </w:p>
    <w:p>
      <w:pPr>
        <w:pStyle w:val="Heading1"/>
        <w:spacing w:after="160"/>
      </w:pPr>
      <w:r>
        <w:rPr>
          <w:rFonts w:ascii="Arial" w:cs="Arial" w:eastAsia="Arial" w:hAnsi="Arial"/>
          <w:b/>
          <w:bCs/>
          <w:color w:val="234A35"/>
          <w:sz w:val="32"/>
          <w:szCs w:val="32"/>
        </w:rPr>
        <w:t xml:space="preserve">Abstract</w:t>
      </w:r>
    </w:p>
    <w:p>
      <w:pPr>
        <w:spacing w:after="160" w:line="300"/>
        <w:jc w:val="both"/>
      </w:pPr>
      <w:r>
        <w:rPr>
          <w:rFonts w:ascii="Georgia" w:cs="Georgia" w:eastAsia="Georgia" w:hAnsi="Georgia"/>
          <w:color w:val="1A1A1A"/>
          <w:sz w:val="22"/>
          <w:szCs w:val="22"/>
        </w:rPr>
        <w:t xml:space="preserve">Most people carry an online social graph they never deliberately built. Follower and following lists accrete over years — classmates, coworkers, acquaintances met once, novelty accounts, businesses, people who mattered enormously in one season of life and not at all in the next — until the feed becomes an undifferentiated crowd sorted not by the user but by an engagement-optimizing algorithm. This paper argues three linked claims. First, that the dominant architecture of social media is not neutral: it is engineered to maximize attention, and a substantial body of experimental and public-health research links its comparison-driven, passively-consumed mode of use to measurable harms to mood, self-perception, and connection. Second, that the corrective is not necessarily abstinence but deliberate curation — a claim grounded in the relationship science of Robin Dunbar's layered networks, Mark Granovetter's strength of weak ties, and the experimental literature on dormant-tie reconnection and digital minimalism. Third, that a specific, simple, open-source software intervention can make such curation tractable: a client-side web application that ingests a user's own exported follower data and lets them triage each connection rapidly, by swipe or keystroke, into a small set of meaningful tiers, with nothing leaving their device.</w:t>
      </w:r>
    </w:p>
    <w:p>
      <w:pPr>
        <w:spacing w:after="160" w:line="300"/>
        <w:jc w:val="both"/>
      </w:pPr>
      <w:r>
        <w:rPr>
          <w:rFonts w:ascii="Georgia" w:cs="Georgia" w:eastAsia="Georgia" w:hAnsi="Georgia"/>
          <w:color w:val="1A1A1A"/>
          <w:sz w:val="22"/>
          <w:szCs w:val="22"/>
        </w:rPr>
        <w:t xml:space="preserve">The paper reviews over one hundred sources across social and clinical psychology, behavioral economics, network science, human–computer interaction, privacy law, and software architecture. It treats the contested findings honestly — the effect sizes in the adolescent screen-time debate are genuinely disputed, and this paper does not overstate them. It maps the existing landscape of follower-management and personal-relationship tools to establish that the proposed niche — fast, multi-tier, privacy-first, built on official data exports rather than credential harvesting — is currently unoccupied. It then derives each of the tool's core design decisions from the evidence: why four tiers plus a retained “trash” bin rather than a binary keep/remove; why a swipe-and-keyboard closed card sort; why fully local processing; and why open source is the only trustworthy distribution model for software that touches a person's social graph. It closes by proposing evidence-grounded naming conventions for both a personal mode and a professional networking mode, and a staged plan to build the thing. The intended reader is anyone — a curious passerby, a burned-out user, a developer looking to fork the project — who suspects their feed stopped serving them and wants to understand why, and what a person of ordinary means can do about it.</w:t>
      </w:r>
    </w:p>
    <w:p>
      <w:r>
        <w:br w:type="page"/>
      </w:r>
    </w:p>
    <w:p>
      <w:pPr>
        <w:pStyle w:val="Heading1"/>
        <w:spacing w:after="160"/>
      </w:pPr>
      <w:r>
        <w:rPr>
          <w:rFonts w:ascii="Arial" w:cs="Arial" w:eastAsia="Arial" w:hAnsi="Arial"/>
          <w:b/>
          <w:bCs/>
          <w:color w:val="234A35"/>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200" w:before="360"/>
      </w:pPr>
      <w:r>
        <w:rPr>
          <w:rFonts w:ascii="Arial" w:cs="Arial" w:eastAsia="Arial" w:hAnsi="Arial"/>
          <w:b/>
          <w:bCs/>
          <w:color w:val="234A35"/>
          <w:sz w:val="32"/>
          <w:szCs w:val="32"/>
        </w:rPr>
        <w:t xml:space="preserve">Introduction: The Feed Nobody Planted</w:t>
      </w:r>
    </w:p>
    <w:p>
      <w:pPr>
        <w:spacing w:after="160" w:line="300"/>
        <w:jc w:val="both"/>
      </w:pPr>
      <w:r>
        <w:rPr>
          <w:rFonts w:ascii="Georgia" w:cs="Georgia" w:eastAsia="Georgia" w:hAnsi="Georgia"/>
          <w:color w:val="1A1A1A"/>
          <w:sz w:val="22"/>
          <w:szCs w:val="22"/>
        </w:rPr>
        <w:t xml:space="preserve">Consider an ordinary act that almost nobody performs. A person sits down with the complete list of everyone they follow on a social platform, and everyone who follows them, and reads it — name by name — asking of each one a simple question: does this person still belong in my life, and at what distance? The list runs to hundreds of entries, sometimes over a thousand. Some names summon a face and a whole era instantly. Others are strangers. A handful hurt to see. Most produce nothing at all: a flicker of half-recognition, then blankness. Going through the entire list this way is slow, tedious, and quietly emotional. It can take an entire day. Almost no one does it, which is precisely why the feed most people carry is not something they built. It is something that happened to them.</w:t>
      </w:r>
    </w:p>
    <w:p>
      <w:pPr>
        <w:spacing w:after="160" w:line="300"/>
        <w:jc w:val="both"/>
      </w:pPr>
      <w:r>
        <w:rPr>
          <w:rFonts w:ascii="Georgia" w:cs="Georgia" w:eastAsia="Georgia" w:hAnsi="Georgia"/>
          <w:color w:val="1A1A1A"/>
          <w:sz w:val="22"/>
          <w:szCs w:val="22"/>
        </w:rPr>
        <w:t xml:space="preserve">This paper begins from that act because it exposes a gap between two things we rarely compare directly: the number of connections a modern platform invites us to accumulate, and the number of relationships a human being can actually sustain. The platform's incentive is to maximize the former. The research on human sociality is unambiguous that the latter is bounded and small. Between those two numbers lives a great deal of noise — and, this paper will argue, a measurable cost to well-being, attention, and the very sense of connection the platforms promise to deliver.</w:t>
      </w:r>
    </w:p>
    <w:p>
      <w:pPr>
        <w:spacing w:after="160" w:line="300"/>
        <w:jc w:val="both"/>
      </w:pPr>
      <w:r>
        <w:rPr>
          <w:rFonts w:ascii="Georgia" w:cs="Georgia" w:eastAsia="Georgia" w:hAnsi="Georgia"/>
          <w:color w:val="1A1A1A"/>
          <w:sz w:val="22"/>
          <w:szCs w:val="22"/>
        </w:rPr>
        <w:t xml:space="preserve">The argument proceeds in three movements. The first establishes the problem. Drawing on social and clinical psychology, behavioral economics, and public-health scholarship, it shows that the dominant design of social media is engineered to capture attention, and that its comparison-heavy, passively-consumed mode of use is linked — in experiments, not merely in correlations — to declines in mood and increases in loneliness. It treats the contested parts of this literature honestly; the adolescent screen-time debate in particular is genuinely unsettled, and this paper is careful not to claim more than the evidence supports.</w:t>
      </w:r>
    </w:p>
    <w:p>
      <w:pPr>
        <w:spacing w:after="160" w:line="300"/>
        <w:jc w:val="both"/>
      </w:pPr>
      <w:r>
        <w:rPr>
          <w:rFonts w:ascii="Georgia" w:cs="Georgia" w:eastAsia="Georgia" w:hAnsi="Georgia"/>
          <w:color w:val="1A1A1A"/>
          <w:sz w:val="22"/>
          <w:szCs w:val="22"/>
        </w:rPr>
        <w:t xml:space="preserve">The second movement establishes the corrective. It argues, against the reflex that the only remedy is to quit, that the more sustainable intervention is deliberate curation — shrinking and sorting one's network on purpose. This claim rests on the relationship science of Robin Dunbar's layered networks, Mark Granovetter's strength of weak ties, the experimental literature on reconnecting dormant relationships, and the digital-minimalism research on intentional technology use. Curation, properly understood, is not coldness. It is the deliberate allocation of a scarce resource — attention — to the relationships that repay it.</w:t>
      </w:r>
    </w:p>
    <w:p>
      <w:pPr>
        <w:spacing w:after="160" w:line="300"/>
        <w:jc w:val="both"/>
      </w:pPr>
      <w:r>
        <w:rPr>
          <w:rFonts w:ascii="Georgia" w:cs="Georgia" w:eastAsia="Georgia" w:hAnsi="Georgia"/>
          <w:color w:val="1A1A1A"/>
          <w:sz w:val="22"/>
          <w:szCs w:val="22"/>
        </w:rPr>
        <w:t xml:space="preserve">The third movement turns the argument into an artifact. It makes the case for a specific piece of software: a lightweight, open-source, entirely client-side web application into which a person loads their own exported follower data and then triages each connection at speed — swiping on a phone, pressing arrow keys on a laptop — into a small number of meaningful tiers, with a retained bin for everyone who does not make a cut but should not be lost. Crucially, nothing leaves the device. Every design decision in that description — the small number of tiers, the retained bin, the swipe-and-keystroke interaction, the refusal to touch a server, the open-source license — is derived in this paper from the evidence rather than asserted. The tool is not the point; it is the smallest thing that makes the science actionable for a person of ordinary means.</w:t>
      </w:r>
    </w:p>
    <w:p>
      <w:pPr>
        <w:pStyle w:val="Heading3"/>
        <w:keepNext/>
        <w:spacing w:after="120" w:before="200"/>
      </w:pPr>
      <w:r>
        <w:rPr>
          <w:rFonts w:ascii="Arial" w:cs="Arial" w:eastAsia="Arial" w:hAnsi="Arial"/>
          <w:b/>
          <w:bCs/>
          <w:color w:val="1A1A1A"/>
          <w:sz w:val="23"/>
          <w:szCs w:val="23"/>
        </w:rPr>
        <w:t xml:space="preserve">Who this is for</w:t>
      </w:r>
    </w:p>
    <w:p>
      <w:pPr>
        <w:spacing w:after="160" w:line="300"/>
        <w:jc w:val="both"/>
      </w:pPr>
      <w:r>
        <w:rPr>
          <w:rFonts w:ascii="Georgia" w:cs="Georgia" w:eastAsia="Georgia" w:hAnsi="Georgia"/>
          <w:color w:val="1A1A1A"/>
          <w:sz w:val="22"/>
          <w:szCs w:val="22"/>
        </w:rPr>
        <w:t xml:space="preserve">The intended reader is deliberately broad. A person who has felt their feed curdle from a source of connection into a source of low-grade dread should find here an explanation of why that happened and a concrete thing to do about it. A developer evaluating whether to fork the project should find the design rationale laid out honestly, contested evidence included. A general reader with no particular stake should find a self-contained tour of what a century of research on attention, comparison, and human sociality has to say about the strange new task of managing hundreds of relationships through a screen. The paper is written to be entered at the level of a curious passerby and to reward the reader who stays for the depth.</w:t>
      </w:r>
    </w:p>
    <w:p>
      <w:pPr>
        <w:pStyle w:val="Heading3"/>
        <w:keepNext/>
        <w:spacing w:after="120" w:before="200"/>
      </w:pPr>
      <w:r>
        <w:rPr>
          <w:rFonts w:ascii="Arial" w:cs="Arial" w:eastAsia="Arial" w:hAnsi="Arial"/>
          <w:b/>
          <w:bCs/>
          <w:color w:val="1A1A1A"/>
          <w:sz w:val="23"/>
          <w:szCs w:val="23"/>
        </w:rPr>
        <w:t xml:space="preserve">A note on method and honesty</w:t>
      </w:r>
    </w:p>
    <w:p>
      <w:pPr>
        <w:spacing w:after="160" w:line="300"/>
        <w:jc w:val="both"/>
      </w:pPr>
      <w:r>
        <w:rPr>
          <w:rFonts w:ascii="Georgia" w:cs="Georgia" w:eastAsia="Georgia" w:hAnsi="Georgia"/>
          <w:color w:val="1A1A1A"/>
          <w:sz w:val="22"/>
          <w:szCs w:val="22"/>
        </w:rPr>
        <w:t xml:space="preserve">This paper cites over one hundred sources, and it tries throughout to distinguish three things that are easily blurred: what has been demonstrated experimentally, what has been observed only correlationally, and what is expert argument rather than empirical finding. Where a famous claim rests on a single study, that is said plainly. Where effect sizes are small or disputed, that is said plainly too. The goal is not to win an argument by accumulation but to give the reader an accurate map — including its uncertain regions — so they can decide for themselves. That commitment matters especially because the conclusion is a call to action: it is only worth acting on if the reasoning underneath it is sound.</w:t>
      </w:r>
    </w:p>
    <w:p>
      <w:r>
        <w:br w:type="page"/>
      </w:r>
    </w:p>
    <w:p>
      <w:pPr>
        <w:pStyle w:val="Heading1"/>
        <w:keepNext/>
        <w:spacing w:after="200" w:before="360"/>
      </w:pPr>
      <w:r>
        <w:rPr>
          <w:rFonts w:ascii="Arial" w:cs="Arial" w:eastAsia="Arial" w:hAnsi="Arial"/>
          <w:b/>
          <w:bCs/>
          <w:color w:val="234A35"/>
          <w:sz w:val="32"/>
          <w:szCs w:val="32"/>
        </w:rPr>
        <w:t xml:space="preserve">1. The Comparison Machine: Social Media and Well-Being</w:t>
      </w:r>
    </w:p>
    <w:p>
      <w:pPr>
        <w:spacing w:after="160" w:line="300"/>
        <w:jc w:val="both"/>
      </w:pPr>
      <w:r>
        <w:rPr>
          <w:rFonts w:ascii="Georgia" w:cs="Georgia" w:eastAsia="Georgia" w:hAnsi="Georgia"/>
          <w:color w:val="1A1A1A"/>
          <w:sz w:val="22"/>
          <w:szCs w:val="22"/>
        </w:rPr>
        <w:t xml:space="preserve">The claim that social media can make people feel worse is now so culturally familiar that it risks being received as either obvious or overblown. Neither reception is accurate. The truth is more specific and more useful: certain modes of use, driven by certain features of the design, are linked to certain harms, through mechanisms that research has identified with some precision. Understanding those mechanisms is what makes an intervention possible. This chapter builds the case in order — the psychological mechanism, the experimental evidence that use causes harm and not merely accompanies it, the special case of quantified popularity, the industry's own internal findings, the public-health response, and finally, and at length, the serious scientific dispute over how large these effects actually are.</w:t>
      </w:r>
    </w:p>
    <w:p>
      <w:pPr>
        <w:pStyle w:val="Heading2"/>
        <w:keepNext/>
        <w:spacing w:after="140" w:before="260"/>
      </w:pPr>
      <w:r>
        <w:rPr>
          <w:rFonts w:ascii="Arial" w:cs="Arial" w:eastAsia="Arial" w:hAnsi="Arial"/>
          <w:b/>
          <w:bCs/>
          <w:color w:val="8C4A2F"/>
          <w:sz w:val="26"/>
          <w:szCs w:val="26"/>
        </w:rPr>
        <w:t xml:space="preserve">1.1 Social comparison and the highlight reel</w:t>
      </w:r>
    </w:p>
    <w:p>
      <w:pPr>
        <w:spacing w:after="160" w:line="300"/>
        <w:jc w:val="both"/>
      </w:pPr>
      <w:r>
        <w:rPr>
          <w:rFonts w:ascii="Georgia" w:cs="Georgia" w:eastAsia="Georgia" w:hAnsi="Georgia"/>
          <w:color w:val="1A1A1A"/>
          <w:sz w:val="22"/>
          <w:szCs w:val="22"/>
        </w:rPr>
        <w:t xml:space="preserve">The theoretical foundation predates the internet by decades. In 1954 Leon Festinger proposed a theory of social comparison: in the absence of objective standards, people evaluate their own abilities and circumstances by comparing themselves to others. The drive is automatic and mostly useful — it is how we calibrate. But its consequences depend heavily on the direction of comparison and the representativeness of the comparison target. Comparing upward, against people who appear to be doing better, tends to depress self-evaluation; and when the comparison targets are systematically unrepresentative, the calibration goes wrong.</w:t>
      </w:r>
    </w:p>
    <w:p>
      <w:pPr>
        <w:spacing w:after="160" w:line="300"/>
        <w:jc w:val="both"/>
      </w:pPr>
      <w:r>
        <w:rPr>
          <w:rFonts w:ascii="Georgia" w:cs="Georgia" w:eastAsia="Georgia" w:hAnsi="Georgia"/>
          <w:color w:val="1A1A1A"/>
          <w:sz w:val="22"/>
          <w:szCs w:val="22"/>
        </w:rPr>
        <w:t xml:space="preserve">Image-centric social platforms are, in effect, upward-comparison engines. What users post is curated: the trip, not the layover; the achievement, not the months of grind; the flattering frame, not the ordinary Tuesday. The result is what has been called the highlight-reel effect — each user compares the unedited totality of their own life against the edited highlights of everyone else's. Chou and Edge captured the downstream belief in the title of their 2012 study: others are happier and having better lives. Krasnova and colleagues, studying German Facebook users the following year, identified envy as the specific affective pathway, with vacation photos and others' apparent social success among the most potent triggers. Vogel and colleagues showed experimentally that exposure to upward social comparisons on social platforms lowered state self-esteem. The mechanism, in short, is not mysterious, and it is not new; the platforms simply industrialized it.</w:t>
      </w:r>
    </w:p>
    <w:p>
      <w:pPr>
        <w:pStyle w:val="Heading2"/>
        <w:keepNext/>
        <w:spacing w:after="140" w:before="260"/>
      </w:pPr>
      <w:r>
        <w:rPr>
          <w:rFonts w:ascii="Arial" w:cs="Arial" w:eastAsia="Arial" w:hAnsi="Arial"/>
          <w:b/>
          <w:bCs/>
          <w:color w:val="8C4A2F"/>
          <w:sz w:val="26"/>
          <w:szCs w:val="26"/>
        </w:rPr>
        <w:t xml:space="preserve">1.2 The crucial distinction: passive versus active use</w:t>
      </w:r>
    </w:p>
    <w:p>
      <w:pPr>
        <w:spacing w:after="160" w:line="300"/>
        <w:jc w:val="both"/>
      </w:pPr>
      <w:r>
        <w:rPr>
          <w:rFonts w:ascii="Georgia" w:cs="Georgia" w:eastAsia="Georgia" w:hAnsi="Georgia"/>
          <w:color w:val="1A1A1A"/>
          <w:sz w:val="22"/>
          <w:szCs w:val="22"/>
        </w:rPr>
        <w:t xml:space="preserve">If the story stopped at “social media causes comparison,” it would counsel abstinence. But a more discriminating finding reframes the whole problem — and points toward curation rather than exit. The harm is concentrated in a particular mode of use.</w:t>
      </w:r>
    </w:p>
    <w:p>
      <w:pPr>
        <w:spacing w:after="160" w:line="300"/>
        <w:jc w:val="both"/>
      </w:pPr>
      <w:r>
        <w:rPr>
          <w:rFonts w:ascii="Georgia" w:cs="Georgia" w:eastAsia="Georgia" w:hAnsi="Georgia"/>
          <w:color w:val="1A1A1A"/>
          <w:sz w:val="22"/>
          <w:szCs w:val="22"/>
        </w:rPr>
        <w:t xml:space="preserve">The pivotal work is Verduyn and colleagues' 2015 study in the </w:t>
      </w:r>
      <w:r>
        <w:rPr>
          <w:rFonts w:ascii="Georgia" w:cs="Georgia" w:eastAsia="Georgia" w:hAnsi="Georgia"/>
          <w:i/>
          <w:iCs/>
          <w:color w:val="1A1A1A"/>
          <w:sz w:val="22"/>
          <w:szCs w:val="22"/>
        </w:rPr>
        <w:t xml:space="preserve">Journal of Experimental Psychology: General</w:t>
      </w:r>
      <w:r>
        <w:rPr>
          <w:rFonts w:ascii="Georgia" w:cs="Georgia" w:eastAsia="Georgia" w:hAnsi="Georgia"/>
          <w:color w:val="1A1A1A"/>
          <w:sz w:val="22"/>
          <w:szCs w:val="22"/>
        </w:rPr>
        <w:t xml:space="preserve">, which combined an experiment with an experience-sampling study to show that </w:t>
      </w:r>
      <w:r>
        <w:rPr>
          <w:rFonts w:ascii="Georgia" w:cs="Georgia" w:eastAsia="Georgia" w:hAnsi="Georgia"/>
          <w:b/>
          <w:bCs/>
          <w:color w:val="1A1A1A"/>
          <w:sz w:val="22"/>
          <w:szCs w:val="22"/>
        </w:rPr>
        <w:t xml:space="preserve">passive</w:t>
      </w:r>
      <w:r>
        <w:rPr>
          <w:rFonts w:ascii="Georgia" w:cs="Georgia" w:eastAsia="Georgia" w:hAnsi="Georgia"/>
          <w:color w:val="1A1A1A"/>
          <w:sz w:val="22"/>
          <w:szCs w:val="22"/>
        </w:rPr>
        <w:t xml:space="preserve"> Facebook use — scrolling, viewing, consuming without interacting — undermined affective well-being over time, and that this effect was mediated by envy. Crucially, the same studies found that </w:t>
      </w:r>
      <w:r>
        <w:rPr>
          <w:rFonts w:ascii="Georgia" w:cs="Georgia" w:eastAsia="Georgia" w:hAnsi="Georgia"/>
          <w:b/>
          <w:bCs/>
          <w:color w:val="1A1A1A"/>
          <w:sz w:val="22"/>
          <w:szCs w:val="22"/>
        </w:rPr>
        <w:t xml:space="preserve">active</w:t>
      </w:r>
      <w:r>
        <w:rPr>
          <w:rFonts w:ascii="Georgia" w:cs="Georgia" w:eastAsia="Georgia" w:hAnsi="Georgia"/>
          <w:color w:val="1A1A1A"/>
          <w:sz w:val="22"/>
          <w:szCs w:val="22"/>
        </w:rPr>
        <w:t xml:space="preserve"> use — posting, commenting, direct exchange with specific people — did not produce the same decline, because it delivered genuine social connection. The effect held after controlling for active use, for time spent online elsewhere, and for direct social interaction. A subsequent review by Verduyn, Gugushvili, and colleagues consolidated the evidence that it is comparison-laden passive consumption, not social-media use as such, that carries the affective cost.</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Why this distinction is the hinge of the entire paper</w:t>
            </w:r>
          </w:p>
          <w:p>
            <w:pPr>
              <w:spacing w:after="60" w:line="276"/>
            </w:pPr>
            <w:r>
              <w:rPr>
                <w:rFonts w:ascii="Georgia" w:cs="Georgia" w:eastAsia="Georgia" w:hAnsi="Georgia"/>
                <w:color w:val="1A1A1A"/>
                <w:sz w:val="21"/>
                <w:szCs w:val="21"/>
              </w:rPr>
              <w:t xml:space="preserve">If harm came from social media uniformly, the only remedies would be less of it or none of it. But because harm concentrates in passive, comparison-driven consumption of an undifferentiated crowd, a third option appears: change what you passively consume. A feed dominated by a few people you actually care about delivers connection; a feed stuffed with hundreds of near-strangers' highlight reels delivers comparison. Curation is the lever that moves use from the harmful mode toward the beneficial one — without requiring anyone to quit.</w:t>
            </w:r>
          </w:p>
        </w:tc>
      </w:tr>
    </w:tbl>
    <w:p>
      <w:pPr>
        <w:spacing w:after="160" w:line="300"/>
        <w:jc w:val="both"/>
      </w:pPr>
      <w:r>
        <w:rPr>
          <w:rFonts w:ascii="Georgia" w:cs="Georgia" w:eastAsia="Georgia" w:hAnsi="Georgia"/>
          <w:color w:val="1A1A1A"/>
          <w:sz w:val="22"/>
          <w:szCs w:val="22"/>
        </w:rPr>
        <w:t xml:space="preserve">Kross and colleagues had already shown, in a widely cited 2013 experience-sampling study, that more Facebook use predicted subsequent declines in moment-to-moment mood and in life satisfaction among young adults — the more people used it, the worse they subsequently felt, rather than the reverse. Burke, Marlow, and Lento added an important nuance from the other direction: directed, one-to-one communication with close ties was associated with improved well-being and reduced loneliness, whereas passive consumption of broadcasted content was not. The pattern that emerges across these studies is remarkably consistent with the curation thesis: connection helps, consumption of the crowd does not.</w:t>
      </w:r>
    </w:p>
    <w:p>
      <w:pPr>
        <w:pStyle w:val="Heading2"/>
        <w:keepNext/>
        <w:spacing w:after="140" w:before="260"/>
      </w:pPr>
      <w:r>
        <w:rPr>
          <w:rFonts w:ascii="Arial" w:cs="Arial" w:eastAsia="Arial" w:hAnsi="Arial"/>
          <w:b/>
          <w:bCs/>
          <w:color w:val="8C4A2F"/>
          <w:sz w:val="26"/>
          <w:szCs w:val="26"/>
        </w:rPr>
        <w:t xml:space="preserve">1.3 Fear of missing out</w:t>
      </w:r>
    </w:p>
    <w:p>
      <w:pPr>
        <w:spacing w:after="160" w:line="300"/>
        <w:jc w:val="both"/>
      </w:pPr>
      <w:r>
        <w:rPr>
          <w:rFonts w:ascii="Georgia" w:cs="Georgia" w:eastAsia="Georgia" w:hAnsi="Georgia"/>
          <w:color w:val="1A1A1A"/>
          <w:sz w:val="22"/>
          <w:szCs w:val="22"/>
        </w:rPr>
        <w:t xml:space="preserve">A related mechanism links use to distress through anticipatory anxiety. Przybylski and colleagues introduced and validated the construct of fear of missing out — the pervasive apprehension that others are having rewarding experiences from which one is absent — in a 2013 paper that has anchored a large subsequent literature. FOMO both drives compulsive checking and is aggravated by it, producing a self-reinforcing loop: one checks to relieve the anxiety of missing out, and the checking supplies fresh evidence of things being missed. Notably, in the intervention study discussed below, reductions in FOMO accompanied reductions in use — evidence that the loop can be interrupted from the behavioral side.</w:t>
      </w:r>
    </w:p>
    <w:p>
      <w:pPr>
        <w:pStyle w:val="Heading2"/>
        <w:keepNext/>
        <w:spacing w:after="140" w:before="260"/>
      </w:pPr>
      <w:r>
        <w:rPr>
          <w:rFonts w:ascii="Arial" w:cs="Arial" w:eastAsia="Arial" w:hAnsi="Arial"/>
          <w:b/>
          <w:bCs/>
          <w:color w:val="8C4A2F"/>
          <w:sz w:val="26"/>
          <w:szCs w:val="26"/>
        </w:rPr>
        <w:t xml:space="preserve">1.4 The quantified self-worth problem: likes and the adolescent brain</w:t>
      </w:r>
    </w:p>
    <w:p>
      <w:pPr>
        <w:spacing w:after="160" w:line="300"/>
        <w:jc w:val="both"/>
      </w:pPr>
      <w:r>
        <w:rPr>
          <w:rFonts w:ascii="Georgia" w:cs="Georgia" w:eastAsia="Georgia" w:hAnsi="Georgia"/>
          <w:color w:val="1A1A1A"/>
          <w:sz w:val="22"/>
          <w:szCs w:val="22"/>
        </w:rPr>
        <w:t xml:space="preserve">Social platforms did something historically novel: they attached a public, running, numerical score to expressions of self. The like count converts social approval into a metric, visible to all, updated in real time. A striking line of neuroscience shows how directly this taps reward circuitry, especially in the developing brain.</w:t>
      </w:r>
    </w:p>
    <w:p>
      <w:pPr>
        <w:spacing w:after="160" w:line="300"/>
        <w:jc w:val="both"/>
      </w:pPr>
      <w:r>
        <w:rPr>
          <w:rFonts w:ascii="Georgia" w:cs="Georgia" w:eastAsia="Georgia" w:hAnsi="Georgia"/>
          <w:color w:val="1A1A1A"/>
          <w:sz w:val="22"/>
          <w:szCs w:val="22"/>
        </w:rPr>
        <w:t xml:space="preserve">Sherman and colleagues, using functional MRI with adolescents and young adults viewing Instagram-style photographs, found that seeing images with many likes produced greater activation in the brain's reward circuitry — including the nucleus accumbens — as well as in regions associated with social cognition and visual attention. Participants were also markedly more likely to like a photograph, regardless of its content, when it already carried many likes: quantified popularity was self-reinforcing at the neural level. This helps explain both the compulsive quality of engagement metrics and the particular vulnerability of adolescents, whose reward and social-sensitivity systems are still maturing. It also supplies the rationale behind Instagram's later experiments with hiding public like counts — an implicit acknowledgment by the platform that the metric itself carried psychological cost.</w:t>
      </w:r>
    </w:p>
    <w:p>
      <w:pPr>
        <w:pStyle w:val="Heading2"/>
        <w:keepNext/>
        <w:spacing w:after="140" w:before="260"/>
      </w:pPr>
      <w:r>
        <w:rPr>
          <w:rFonts w:ascii="Arial" w:cs="Arial" w:eastAsia="Arial" w:hAnsi="Arial"/>
          <w:b/>
          <w:bCs/>
          <w:color w:val="8C4A2F"/>
          <w:sz w:val="26"/>
          <w:szCs w:val="26"/>
        </w:rPr>
        <w:t xml:space="preserve">1.5 The industry's own evidence: the Facebook Files</w:t>
      </w:r>
    </w:p>
    <w:p>
      <w:pPr>
        <w:spacing w:after="160" w:line="300"/>
        <w:jc w:val="both"/>
      </w:pPr>
      <w:r>
        <w:rPr>
          <w:rFonts w:ascii="Georgia" w:cs="Georgia" w:eastAsia="Georgia" w:hAnsi="Georgia"/>
          <w:color w:val="1A1A1A"/>
          <w:sz w:val="22"/>
          <w:szCs w:val="22"/>
        </w:rPr>
        <w:t xml:space="preserve">For years the claim that platforms knew their products harmed some users was a matter of external inference. In 2021 it became a matter of internal record. The whistleblower Frances Haugen, a former Facebook product manager, disclosed tens of thousands of pages of internal research to the Securities and Exchange Commission and to Congress; the Wall Street Journal reported on them as the Facebook Files. The company's own researchers had studied Instagram's effect on teenage users and reached conclusions the company did not publish.</w:t>
      </w:r>
    </w:p>
    <w:p>
      <w:pPr>
        <w:pBdr>
          <w:left w:val="single" w:color="234A35" w:sz="18" w:space="12"/>
        </w:pBdr>
        <w:spacing w:after="160" w:before="120" w:line="288"/>
        <w:ind w:left="620" w:right="400"/>
      </w:pPr>
      <w:r>
        <w:rPr>
          <w:rFonts w:ascii="Georgia" w:cs="Georgia" w:eastAsia="Georgia" w:hAnsi="Georgia"/>
          <w:i/>
          <w:iCs/>
          <w:color w:val="5A5A5A"/>
          <w:sz w:val="21"/>
          <w:szCs w:val="21"/>
        </w:rPr>
        <w:t xml:space="preserve">“We make body image issues worse for one in three teen girls.”</w:t>
      </w:r>
      <w:r>
        <w:rPr>
          <w:rFonts w:ascii="Georgia" w:cs="Georgia" w:eastAsia="Georgia" w:hAnsi="Georgia"/>
          <w:color w:val="5A5A5A"/>
          <w:sz w:val="20"/>
          <w:szCs w:val="20"/>
        </w:rPr>
        <w:t xml:space="preserve">  — Internal Facebook research slide, 2019, as reported in the Facebook Files</w:t>
      </w:r>
    </w:p>
    <w:p>
      <w:pPr>
        <w:pBdr>
          <w:left w:val="single" w:color="234A35" w:sz="18" w:space="12"/>
        </w:pBdr>
        <w:spacing w:after="160" w:before="120" w:line="288"/>
        <w:ind w:left="620" w:right="400"/>
      </w:pPr>
      <w:r>
        <w:rPr>
          <w:rFonts w:ascii="Georgia" w:cs="Georgia" w:eastAsia="Georgia" w:hAnsi="Georgia"/>
          <w:i/>
          <w:iCs/>
          <w:color w:val="5A5A5A"/>
          <w:sz w:val="21"/>
          <w:szCs w:val="21"/>
        </w:rPr>
        <w:t xml:space="preserve">“Teens blame Instagram for increases in the rate of anxiety and depression. This reaction was unprompted and consistent across all groups.”</w:t>
      </w:r>
      <w:r>
        <w:rPr>
          <w:rFonts w:ascii="Georgia" w:cs="Georgia" w:eastAsia="Georgia" w:hAnsi="Georgia"/>
          <w:color w:val="5A5A5A"/>
          <w:sz w:val="20"/>
          <w:szCs w:val="20"/>
        </w:rPr>
        <w:t xml:space="preserve">  — Internal Facebook research presentation, 2019</w:t>
      </w:r>
    </w:p>
    <w:p>
      <w:pPr>
        <w:spacing w:after="160" w:line="300"/>
        <w:jc w:val="both"/>
      </w:pPr>
      <w:r>
        <w:rPr>
          <w:rFonts w:ascii="Georgia" w:cs="Georgia" w:eastAsia="Georgia" w:hAnsi="Georgia"/>
          <w:color w:val="1A1A1A"/>
          <w:sz w:val="22"/>
          <w:szCs w:val="22"/>
        </w:rPr>
        <w:t xml:space="preserve">Further slides reported that thirty-two percent of teen girls said that when they felt bad about their bodies, Instagram made them feel worse, and that among teens who reported suicidal thoughts, a meaningful minority — thirteen percent of British and six percent of American users in one slide — traced the desire to kill themselves to Instagram. The primary documents entered the U.S. congressional record. </w:t>
      </w:r>
      <w:r>
        <w:rPr>
          <w:rFonts w:ascii="Georgia" w:cs="Georgia" w:eastAsia="Georgia" w:hAnsi="Georgia"/>
          <w:b/>
          <w:bCs/>
          <w:color w:val="1A1A1A"/>
          <w:sz w:val="22"/>
          <w:szCs w:val="22"/>
        </w:rPr>
        <w:t xml:space="preserve">In fairness</w:t>
      </w:r>
      <w:r>
        <w:rPr>
          <w:rFonts w:ascii="Georgia" w:cs="Georgia" w:eastAsia="Georgia" w:hAnsi="Georgia"/>
          <w:color w:val="1A1A1A"/>
          <w:sz w:val="22"/>
          <w:szCs w:val="22"/>
        </w:rPr>
        <w:t xml:space="preserve">, the company contested the framing: Meta noted that on eleven of twelve well-being measures examined in the same research, more struggling teen girls reported that Instagram made difficult moments better than reported it made them worse. The internal findings are therefore genuine evidence of harm to an identifiable subgroup, not proof of uniform damage — and this paper treats them as exactly that.</w:t>
      </w:r>
    </w:p>
    <w:p>
      <w:pPr>
        <w:pStyle w:val="Heading2"/>
        <w:keepNext/>
        <w:spacing w:after="140" w:before="260"/>
      </w:pPr>
      <w:r>
        <w:rPr>
          <w:rFonts w:ascii="Arial" w:cs="Arial" w:eastAsia="Arial" w:hAnsi="Arial"/>
          <w:b/>
          <w:bCs/>
          <w:color w:val="8C4A2F"/>
          <w:sz w:val="26"/>
          <w:szCs w:val="26"/>
        </w:rPr>
        <w:t xml:space="preserve">1.6 The public-health response</w:t>
      </w:r>
    </w:p>
    <w:p>
      <w:pPr>
        <w:spacing w:after="160" w:line="300"/>
        <w:jc w:val="both"/>
      </w:pPr>
      <w:r>
        <w:rPr>
          <w:rFonts w:ascii="Georgia" w:cs="Georgia" w:eastAsia="Georgia" w:hAnsi="Georgia"/>
          <w:color w:val="1A1A1A"/>
          <w:sz w:val="22"/>
          <w:szCs w:val="22"/>
        </w:rPr>
        <w:t xml:space="preserve">In 2023 the U.S. Surgeon General issued a formal advisory, </w:t>
      </w:r>
      <w:r>
        <w:rPr>
          <w:rFonts w:ascii="Georgia" w:cs="Georgia" w:eastAsia="Georgia" w:hAnsi="Georgia"/>
          <w:i/>
          <w:iCs/>
          <w:color w:val="1A1A1A"/>
          <w:sz w:val="22"/>
          <w:szCs w:val="22"/>
        </w:rPr>
        <w:t xml:space="preserve">Social Media and Youth Mental Health</w:t>
      </w:r>
      <w:r>
        <w:rPr>
          <w:rFonts w:ascii="Georgia" w:cs="Georgia" w:eastAsia="Georgia" w:hAnsi="Georgia"/>
          <w:color w:val="1A1A1A"/>
          <w:sz w:val="22"/>
          <w:szCs w:val="22"/>
        </w:rPr>
        <w:t xml:space="preserve">, warning that adolescents who are heavy users of social media may face a heightened risk of mental-health harms. The advisory drew on, among other evidence, a longitudinal study of nearly seven thousand U.S. adolescents which found that those spending more than three hours per day on social media faced roughly double the risk of poor mental-health outcomes, including symptoms of depression and anxiety, even after adjustment for baseline status. The advisory situated this within a landscape in which up to ninety-five percent of teenagers use a social platform and roughly a third report using one “almost constantly.” A companion advisory that year, </w:t>
      </w:r>
      <w:r>
        <w:rPr>
          <w:rFonts w:ascii="Georgia" w:cs="Georgia" w:eastAsia="Georgia" w:hAnsi="Georgia"/>
          <w:i/>
          <w:iCs/>
          <w:color w:val="1A1A1A"/>
          <w:sz w:val="22"/>
          <w:szCs w:val="22"/>
        </w:rPr>
        <w:t xml:space="preserve">Our Epidemic of Loneliness and Isolation</w:t>
      </w:r>
      <w:r>
        <w:rPr>
          <w:rFonts w:ascii="Georgia" w:cs="Georgia" w:eastAsia="Georgia" w:hAnsi="Georgia"/>
          <w:color w:val="1A1A1A"/>
          <w:sz w:val="22"/>
          <w:szCs w:val="22"/>
        </w:rPr>
        <w:t xml:space="preserve">, elevated loneliness itself to the status of a public-health priority — a framing this paper returns to in the chapters on connection, because it is the other half of the story: the same tool that reduces harmful comparison should also serve the unmet desire for genuine contact.</w:t>
      </w:r>
    </w:p>
    <w:p>
      <w:pPr>
        <w:pStyle w:val="Heading2"/>
        <w:keepNext/>
        <w:spacing w:after="140" w:before="260"/>
      </w:pPr>
      <w:r>
        <w:rPr>
          <w:rFonts w:ascii="Arial" w:cs="Arial" w:eastAsia="Arial" w:hAnsi="Arial"/>
          <w:b/>
          <w:bCs/>
          <w:color w:val="8C4A2F"/>
          <w:sz w:val="26"/>
          <w:szCs w:val="26"/>
        </w:rPr>
        <w:t xml:space="preserve">1.7 The honest dispute: how large are these effects?</w:t>
      </w:r>
    </w:p>
    <w:p>
      <w:pPr>
        <w:spacing w:after="160" w:line="300"/>
        <w:jc w:val="both"/>
      </w:pPr>
      <w:r>
        <w:rPr>
          <w:rFonts w:ascii="Georgia" w:cs="Georgia" w:eastAsia="Georgia" w:hAnsi="Georgia"/>
          <w:color w:val="1A1A1A"/>
          <w:sz w:val="22"/>
          <w:szCs w:val="22"/>
        </w:rPr>
        <w:t xml:space="preserve">A paper that presented only the evidence above would be advocacy, not scholarship. The size and even the direction of these effects are the subject of a genuine and unresolved scientific dispute, and the reader is owed a clear account of it.</w:t>
      </w:r>
    </w:p>
    <w:p>
      <w:pPr>
        <w:spacing w:after="160" w:line="300"/>
        <w:jc w:val="both"/>
      </w:pPr>
      <w:r>
        <w:rPr>
          <w:rFonts w:ascii="Georgia" w:cs="Georgia" w:eastAsia="Georgia" w:hAnsi="Georgia"/>
          <w:color w:val="1A1A1A"/>
          <w:sz w:val="22"/>
          <w:szCs w:val="22"/>
        </w:rPr>
        <w:t xml:space="preserve">The most influential skeptical work comes from Amy Orben and Andrew Przybylski. In a 2019 </w:t>
      </w:r>
      <w:r>
        <w:rPr>
          <w:rFonts w:ascii="Georgia" w:cs="Georgia" w:eastAsia="Georgia" w:hAnsi="Georgia"/>
          <w:i/>
          <w:iCs/>
          <w:color w:val="1A1A1A"/>
          <w:sz w:val="22"/>
          <w:szCs w:val="22"/>
        </w:rPr>
        <w:t xml:space="preserve">Nature Human Behaviour</w:t>
      </w:r>
      <w:r>
        <w:rPr>
          <w:rFonts w:ascii="Georgia" w:cs="Georgia" w:eastAsia="Georgia" w:hAnsi="Georgia"/>
          <w:color w:val="1A1A1A"/>
          <w:sz w:val="22"/>
          <w:szCs w:val="22"/>
        </w:rPr>
        <w:t xml:space="preserve"> paper, they applied specification-curve analysis — a method that computes an outcome across thousands of defensible analytic choices rather than cherry-picking one — across three large datasets totaling more than 355,000 adolescents. Their conclusion was deflating to alarmists on both sides:</w:t>
      </w:r>
    </w:p>
    <w:p>
      <w:pPr>
        <w:pBdr>
          <w:left w:val="single" w:color="234A35" w:sz="18" w:space="12"/>
        </w:pBdr>
        <w:spacing w:after="160" w:before="120" w:line="288"/>
        <w:ind w:left="620" w:right="400"/>
      </w:pPr>
      <w:r>
        <w:rPr>
          <w:rFonts w:ascii="Georgia" w:cs="Georgia" w:eastAsia="Georgia" w:hAnsi="Georgia"/>
          <w:i/>
          <w:iCs/>
          <w:color w:val="5A5A5A"/>
          <w:sz w:val="21"/>
          <w:szCs w:val="21"/>
        </w:rPr>
        <w:t xml:space="preserve">“The association we find between digital technology use and adolescent well-being is negative but small, explaining at most 0.4% of the variation in well-being. Taking the broader context of the data into account suggests that these effects are too small to warrant policy change.”</w:t>
      </w:r>
      <w:r>
        <w:rPr>
          <w:rFonts w:ascii="Georgia" w:cs="Georgia" w:eastAsia="Georgia" w:hAnsi="Georgia"/>
          <w:color w:val="5A5A5A"/>
          <w:sz w:val="20"/>
          <w:szCs w:val="20"/>
        </w:rPr>
        <w:t xml:space="preserve">  — Orben &amp; Przybylski, Nature Human Behaviour, 2019</w:t>
      </w:r>
    </w:p>
    <w:p>
      <w:pPr>
        <w:spacing w:after="160" w:line="300"/>
        <w:jc w:val="both"/>
      </w:pPr>
      <w:r>
        <w:rPr>
          <w:rFonts w:ascii="Georgia" w:cs="Georgia" w:eastAsia="Georgia" w:hAnsi="Georgia"/>
          <w:color w:val="1A1A1A"/>
          <w:sz w:val="22"/>
          <w:szCs w:val="22"/>
        </w:rPr>
        <w:t xml:space="preserve">They put the effect in memorable perspective: the association between well-being and technology use was comparable in magnitude to that of wearing eyeglasses, and smaller than that of regularly eating potatoes. A companion paper in </w:t>
      </w:r>
      <w:r>
        <w:rPr>
          <w:rFonts w:ascii="Georgia" w:cs="Georgia" w:eastAsia="Georgia" w:hAnsi="Georgia"/>
          <w:i/>
          <w:iCs/>
          <w:color w:val="1A1A1A"/>
          <w:sz w:val="22"/>
          <w:szCs w:val="22"/>
        </w:rPr>
        <w:t xml:space="preserve">PNAS</w:t>
      </w:r>
      <w:r>
        <w:rPr>
          <w:rFonts w:ascii="Georgia" w:cs="Georgia" w:eastAsia="Georgia" w:hAnsi="Georgia"/>
          <w:color w:val="1A1A1A"/>
          <w:sz w:val="22"/>
          <w:szCs w:val="22"/>
        </w:rPr>
        <w:t xml:space="preserve"> found the effects “nuanced, small at best, reciprocal over time, gender specific, and contingent on analytic methods.” Candice Odgers, reviewing the field, warned explicitly against </w:t>
      </w:r>
      <w:r>
        <w:rPr>
          <w:rFonts w:ascii="Georgia" w:cs="Georgia" w:eastAsia="Georgia" w:hAnsi="Georgia"/>
          <w:i/>
          <w:iCs/>
          <w:color w:val="1A1A1A"/>
          <w:sz w:val="22"/>
          <w:szCs w:val="22"/>
        </w:rPr>
        <w:t xml:space="preserve">over</w:t>
      </w:r>
      <w:r>
        <w:rPr>
          <w:rFonts w:ascii="Georgia" w:cs="Georgia" w:eastAsia="Georgia" w:hAnsi="Georgia"/>
          <w:color w:val="1A1A1A"/>
          <w:sz w:val="22"/>
          <w:szCs w:val="22"/>
        </w:rPr>
        <w:t xml:space="preserve">stating digital-media harms and drawing policy conclusions the data cannot bear.</w:t>
      </w:r>
    </w:p>
    <w:p>
      <w:pPr>
        <w:spacing w:after="160" w:line="300"/>
        <w:jc w:val="both"/>
      </w:pPr>
      <w:r>
        <w:rPr>
          <w:rFonts w:ascii="Georgia" w:cs="Georgia" w:eastAsia="Georgia" w:hAnsi="Georgia"/>
          <w:color w:val="1A1A1A"/>
          <w:sz w:val="22"/>
          <w:szCs w:val="22"/>
        </w:rPr>
        <w:t xml:space="preserve">On the other side stand Jean Twenge, whose book </w:t>
      </w:r>
      <w:r>
        <w:rPr>
          <w:rFonts w:ascii="Georgia" w:cs="Georgia" w:eastAsia="Georgia" w:hAnsi="Georgia"/>
          <w:i/>
          <w:iCs/>
          <w:color w:val="1A1A1A"/>
          <w:sz w:val="22"/>
          <w:szCs w:val="22"/>
        </w:rPr>
        <w:t xml:space="preserve">iGen</w:t>
      </w:r>
      <w:r>
        <w:rPr>
          <w:rFonts w:ascii="Georgia" w:cs="Georgia" w:eastAsia="Georgia" w:hAnsi="Georgia"/>
          <w:color w:val="1A1A1A"/>
          <w:sz w:val="22"/>
          <w:szCs w:val="22"/>
        </w:rPr>
        <w:t xml:space="preserve"> argued that a generation's mental health deteriorated in step with smartphone adoption, and Jonathan Haidt, whose 2024 book </w:t>
      </w:r>
      <w:r>
        <w:rPr>
          <w:rFonts w:ascii="Georgia" w:cs="Georgia" w:eastAsia="Georgia" w:hAnsi="Georgia"/>
          <w:i/>
          <w:iCs/>
          <w:color w:val="1A1A1A"/>
          <w:sz w:val="22"/>
          <w:szCs w:val="22"/>
        </w:rPr>
        <w:t xml:space="preserve">The Anxious Generation</w:t>
      </w:r>
      <w:r>
        <w:rPr>
          <w:rFonts w:ascii="Georgia" w:cs="Georgia" w:eastAsia="Georgia" w:hAnsi="Georgia"/>
          <w:color w:val="1A1A1A"/>
          <w:sz w:val="22"/>
          <w:szCs w:val="22"/>
        </w:rPr>
        <w:t xml:space="preserve"> makes a forceful causal case that a “great rewiring” of childhood around phone-based, socially-comparative media drove a genuine mental-health crisis. Their critics counter that the population-level correlations are small, that causation is hard to establish from the time-series, and that moral panic has repeatedly attached to new media from novels to television. The most balanced single entry point to this debate is the 2022 umbrella review by Valkenburg, Meier, and Beyens, which surveys the reviews themselves and concludes that effects are, for most young people, small and highly contingent on how and why they use these platforms — with a minority of vulnerable users experiencing more substantial harm.</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What this paper takes from the dispute</w:t>
            </w:r>
          </w:p>
          <w:p>
            <w:pPr>
              <w:spacing w:after="60" w:line="276"/>
            </w:pPr>
            <w:r>
              <w:rPr>
                <w:rFonts w:ascii="Georgia" w:cs="Georgia" w:eastAsia="Georgia" w:hAnsi="Georgia"/>
                <w:color w:val="1A1A1A"/>
                <w:sz w:val="21"/>
                <w:szCs w:val="21"/>
              </w:rPr>
              <w:t xml:space="preserve">Two things can be true at once. At the level of whole populations, the average association between screen time and well-being is small and genuinely contested. At the level of mechanism and of vulnerable subgroups, the evidence that comparison-driven passive use harms some people is solid — including the platforms' own internal research. This paper does not need the maximalist claim. Its thesis requires only the mechanism: that consuming an undifferentiated crowd's highlight reels is the harmful mode, that connection with a chosen few is the beneficial one, and that curation moves a person from the first toward the second. That claim survives even the most skeptical reading of the effect-size literature.</w:t>
            </w:r>
          </w:p>
        </w:tc>
      </w:tr>
    </w:tbl>
    <w:p>
      <w:r>
        <w:br w:type="page"/>
      </w:r>
    </w:p>
    <w:p>
      <w:pPr>
        <w:pStyle w:val="Heading1"/>
        <w:keepNext/>
        <w:spacing w:after="200" w:before="360"/>
      </w:pPr>
      <w:r>
        <w:rPr>
          <w:rFonts w:ascii="Arial" w:cs="Arial" w:eastAsia="Arial" w:hAnsi="Arial"/>
          <w:b/>
          <w:bCs/>
          <w:color w:val="234A35"/>
          <w:sz w:val="32"/>
          <w:szCs w:val="32"/>
        </w:rPr>
        <w:t xml:space="preserve">2. Designed to Capture: The Attention Economy</w:t>
      </w:r>
    </w:p>
    <w:p>
      <w:pPr>
        <w:spacing w:after="160" w:line="300"/>
        <w:jc w:val="both"/>
      </w:pPr>
      <w:r>
        <w:rPr>
          <w:rFonts w:ascii="Georgia" w:cs="Georgia" w:eastAsia="Georgia" w:hAnsi="Georgia"/>
          <w:color w:val="1A1A1A"/>
          <w:sz w:val="22"/>
          <w:szCs w:val="22"/>
        </w:rPr>
        <w:t xml:space="preserve">The harms of the previous chapter are not accidents of an otherwise neutral technology. They are, to a significant degree, the predictable byproducts of a business model. This chapter traces that model — from the economic insight that names attention as the scarce resource, through the industrialization of attention capture, to the specific behavioral-design techniques that make feeds difficult to put down. The purpose is not to allege conspiracy but to make a structural point: when a product is monetized by the time and engagement it extracts, its design will evolve toward extracting more, and the user's stated interest in a calm, useful, well-sorted feed will lose to the business's interest in an absorbing, endless, algorithmically-maximized one. Curation, in this light, is an act of reclaiming a resource the system is built to spend on your behalf.</w:t>
      </w:r>
    </w:p>
    <w:p>
      <w:pPr>
        <w:pStyle w:val="Heading2"/>
        <w:keepNext/>
        <w:spacing w:after="140" w:before="260"/>
      </w:pPr>
      <w:r>
        <w:rPr>
          <w:rFonts w:ascii="Arial" w:cs="Arial" w:eastAsia="Arial" w:hAnsi="Arial"/>
          <w:b/>
          <w:bCs/>
          <w:color w:val="8C4A2F"/>
          <w:sz w:val="26"/>
          <w:szCs w:val="26"/>
        </w:rPr>
        <w:t xml:space="preserve">2.1 The scarce resource</w:t>
      </w:r>
    </w:p>
    <w:p>
      <w:pPr>
        <w:spacing w:after="160" w:line="300"/>
        <w:jc w:val="both"/>
      </w:pPr>
      <w:r>
        <w:rPr>
          <w:rFonts w:ascii="Georgia" w:cs="Georgia" w:eastAsia="Georgia" w:hAnsi="Georgia"/>
          <w:color w:val="1A1A1A"/>
          <w:sz w:val="22"/>
          <w:szCs w:val="22"/>
        </w:rPr>
        <w:t xml:space="preserve">The foundational insight is Herbert Simon's, articulated in 1971 with an economist's precision. In a world where information becomes abundant, he observed, the binding constraint shifts to whatever information consumes — and “what information consumes is rather obvious: it consumes the attention of its recipients.” Hence “a wealth of information creates a poverty of attention.” Simon was describing organizations, but the formulation defined an age. When content is effectively infinite and free to produce, the contested scarcity is no longer information but the finite hours and focus of human beings. Whoever captures that attention can monetize it.</w:t>
      </w:r>
    </w:p>
    <w:p>
      <w:pPr>
        <w:pStyle w:val="Heading2"/>
        <w:keepNext/>
        <w:spacing w:after="140" w:before="260"/>
      </w:pPr>
      <w:r>
        <w:rPr>
          <w:rFonts w:ascii="Arial" w:cs="Arial" w:eastAsia="Arial" w:hAnsi="Arial"/>
          <w:b/>
          <w:bCs/>
          <w:color w:val="8C4A2F"/>
          <w:sz w:val="26"/>
          <w:szCs w:val="26"/>
        </w:rPr>
        <w:t xml:space="preserve">2.2 The attention merchants</w:t>
      </w:r>
    </w:p>
    <w:p>
      <w:pPr>
        <w:spacing w:after="160" w:line="300"/>
        <w:jc w:val="both"/>
      </w:pPr>
      <w:r>
        <w:rPr>
          <w:rFonts w:ascii="Georgia" w:cs="Georgia" w:eastAsia="Georgia" w:hAnsi="Georgia"/>
          <w:color w:val="1A1A1A"/>
          <w:sz w:val="22"/>
          <w:szCs w:val="22"/>
        </w:rPr>
        <w:t xml:space="preserve">Tim Wu, in </w:t>
      </w:r>
      <w:r>
        <w:rPr>
          <w:rFonts w:ascii="Georgia" w:cs="Georgia" w:eastAsia="Georgia" w:hAnsi="Georgia"/>
          <w:i/>
          <w:iCs/>
          <w:color w:val="1A1A1A"/>
          <w:sz w:val="22"/>
          <w:szCs w:val="22"/>
        </w:rPr>
        <w:t xml:space="preserve">The Attention Merchants</w:t>
      </w:r>
      <w:r>
        <w:rPr>
          <w:rFonts w:ascii="Georgia" w:cs="Georgia" w:eastAsia="Georgia" w:hAnsi="Georgia"/>
          <w:color w:val="1A1A1A"/>
          <w:sz w:val="22"/>
          <w:szCs w:val="22"/>
        </w:rPr>
        <w:t xml:space="preserve">, traced the resulting business model back nearly two centuries, to Benjamin Day's </w:t>
      </w:r>
      <w:r>
        <w:rPr>
          <w:rFonts w:ascii="Georgia" w:cs="Georgia" w:eastAsia="Georgia" w:hAnsi="Georgia"/>
          <w:i/>
          <w:iCs/>
          <w:color w:val="1A1A1A"/>
          <w:sz w:val="22"/>
          <w:szCs w:val="22"/>
        </w:rPr>
        <w:t xml:space="preserve">New York Sun</w:t>
      </w:r>
      <w:r>
        <w:rPr>
          <w:rFonts w:ascii="Georgia" w:cs="Georgia" w:eastAsia="Georgia" w:hAnsi="Georgia"/>
          <w:color w:val="1A1A1A"/>
          <w:sz w:val="22"/>
          <w:szCs w:val="22"/>
        </w:rPr>
        <w:t xml:space="preserve"> and the penny press that first sold cheap content at a loss in order to resell the assembled readers' attention to advertisers. The pattern — offer a free diversion, harvest the attention it attracts, sell that attention onward — recurs through radio, television, and ultimately the social platforms, which perfected it. Wu's contribution is to make visible that the reader or viewer or user is not the customer of an attention merchant but the product being assembled and sold; the actual customers are advertisers, and the platform's design will therefore optimize for what serves them, which is maximal, measurable, sustained engagement.</w:t>
      </w:r>
    </w:p>
    <w:p>
      <w:pPr>
        <w:pStyle w:val="Heading2"/>
        <w:keepNext/>
        <w:spacing w:after="140" w:before="260"/>
      </w:pPr>
      <w:r>
        <w:rPr>
          <w:rFonts w:ascii="Arial" w:cs="Arial" w:eastAsia="Arial" w:hAnsi="Arial"/>
          <w:b/>
          <w:bCs/>
          <w:color w:val="8C4A2F"/>
          <w:sz w:val="26"/>
          <w:szCs w:val="26"/>
        </w:rPr>
        <w:t xml:space="preserve">2.3 The persuasion engine: variable rewards and infinite scroll</w:t>
      </w:r>
    </w:p>
    <w:p>
      <w:pPr>
        <w:spacing w:after="160" w:line="300"/>
        <w:jc w:val="both"/>
      </w:pPr>
      <w:r>
        <w:rPr>
          <w:rFonts w:ascii="Georgia" w:cs="Georgia" w:eastAsia="Georgia" w:hAnsi="Georgia"/>
          <w:color w:val="1A1A1A"/>
          <w:sz w:val="22"/>
          <w:szCs w:val="22"/>
        </w:rPr>
        <w:t xml:space="preserve">If the business model creates the incentive, behavioral design supplies the method. Two ideas from the technology industry's own playbook are central. B. J. Fogg's behavior model, developed at Stanford, formalized how a designer can reliably trigger a behavior by aligning motivation, ability, and a prompt — and, crucially, how making a behavior easier (raising ability) is often more effective than trying to increase motivation. Nir Eyal, in </w:t>
      </w:r>
      <w:r>
        <w:rPr>
          <w:rFonts w:ascii="Georgia" w:cs="Georgia" w:eastAsia="Georgia" w:hAnsi="Georgia"/>
          <w:i/>
          <w:iCs/>
          <w:color w:val="1A1A1A"/>
          <w:sz w:val="22"/>
          <w:szCs w:val="22"/>
        </w:rPr>
        <w:t xml:space="preserve">Hooked</w:t>
      </w:r>
      <w:r>
        <w:rPr>
          <w:rFonts w:ascii="Georgia" w:cs="Georgia" w:eastAsia="Georgia" w:hAnsi="Georgia"/>
          <w:color w:val="1A1A1A"/>
          <w:sz w:val="22"/>
          <w:szCs w:val="22"/>
        </w:rPr>
        <w:t xml:space="preserve">, turned this into an explicit template for building habit-forming products: a loop of trigger, action, </w:t>
      </w:r>
      <w:r>
        <w:rPr>
          <w:rFonts w:ascii="Georgia" w:cs="Georgia" w:eastAsia="Georgia" w:hAnsi="Georgia"/>
          <w:i/>
          <w:iCs/>
          <w:color w:val="1A1A1A"/>
          <w:sz w:val="22"/>
          <w:szCs w:val="22"/>
        </w:rPr>
        <w:t xml:space="preserve">variable</w:t>
      </w:r>
      <w:r>
        <w:rPr>
          <w:rFonts w:ascii="Georgia" w:cs="Georgia" w:eastAsia="Georgia" w:hAnsi="Georgia"/>
          <w:color w:val="1A1A1A"/>
          <w:sz w:val="22"/>
          <w:szCs w:val="22"/>
        </w:rPr>
        <w:t xml:space="preserve"> reward, and investment, cycled until the behavior becomes automatic. The variable-reward element is the potent one, borrowed from the psychology of intermittent reinforcement: a feed that sometimes delivers something delightful and sometimes does not is more compulsively checkable than one whose payoff is predictable, for the same reason a slot machine is more compulsive than a vending machine.</w:t>
      </w:r>
    </w:p>
    <w:p>
      <w:pPr>
        <w:spacing w:after="160" w:line="300"/>
        <w:jc w:val="both"/>
      </w:pPr>
      <w:r>
        <w:rPr>
          <w:rFonts w:ascii="Georgia" w:cs="Georgia" w:eastAsia="Georgia" w:hAnsi="Georgia"/>
          <w:color w:val="1A1A1A"/>
          <w:sz w:val="22"/>
          <w:szCs w:val="22"/>
        </w:rPr>
        <w:t xml:space="preserve">Infinite scroll is the physical embodiment of this logic. By removing the natural stopping cue of a page boundary, it converts browsing into an unbounded stream and offloads the decision to stop entirely onto the user's depleting willpower. Its own inventor, Aza Raskin, has publicly expressed regret for it, estimating the collective human hours it consumes. Tristan Harris, a former Google design ethicist, built the broader public critique through the Center for Humane Technology, arguing that a handful of designers at a few companies shape how billions of people spend their attention, and that the design is tuned to persuasion and engagement rather than to users' considered interests. Eyal himself later wrote </w:t>
      </w:r>
      <w:r>
        <w:rPr>
          <w:rFonts w:ascii="Georgia" w:cs="Georgia" w:eastAsia="Georgia" w:hAnsi="Georgia"/>
          <w:i/>
          <w:iCs/>
          <w:color w:val="1A1A1A"/>
          <w:sz w:val="22"/>
          <w:szCs w:val="22"/>
        </w:rPr>
        <w:t xml:space="preserve">Indistractable</w:t>
      </w:r>
      <w:r>
        <w:rPr>
          <w:rFonts w:ascii="Georgia" w:cs="Georgia" w:eastAsia="Georgia" w:hAnsi="Georgia"/>
          <w:color w:val="1A1A1A"/>
          <w:sz w:val="22"/>
          <w:szCs w:val="22"/>
        </w:rPr>
        <w:t xml:space="preserve"> to help people resist the very techniques he had catalogued — a telling arc.</w:t>
      </w:r>
    </w:p>
    <w:p>
      <w:pPr>
        <w:pStyle w:val="Heading2"/>
        <w:keepNext/>
        <w:spacing w:after="140" w:before="260"/>
      </w:pPr>
      <w:r>
        <w:rPr>
          <w:rFonts w:ascii="Arial" w:cs="Arial" w:eastAsia="Arial" w:hAnsi="Arial"/>
          <w:b/>
          <w:bCs/>
          <w:color w:val="8C4A2F"/>
          <w:sz w:val="26"/>
          <w:szCs w:val="26"/>
        </w:rPr>
        <w:t xml:space="preserve">2.4 Doomscrolling and the negativity engine</w:t>
      </w:r>
    </w:p>
    <w:p>
      <w:pPr>
        <w:spacing w:after="160" w:line="300"/>
        <w:jc w:val="both"/>
      </w:pPr>
      <w:r>
        <w:rPr>
          <w:rFonts w:ascii="Georgia" w:cs="Georgia" w:eastAsia="Georgia" w:hAnsi="Georgia"/>
          <w:color w:val="1A1A1A"/>
          <w:sz w:val="22"/>
          <w:szCs w:val="22"/>
        </w:rPr>
        <w:t xml:space="preserve">Engagement optimization has a directional bias: emotionally arousing content, and negative content in particular, tends to spread and hold attention more effectively than calm or positive material. Recommender systems that maximize engagement therefore tend, without anyone intending it as such, to amplify outrage and alarm. The pandemic-era coinage doomscrolling named the resulting behavior — the compulsive consumption of distressing news in an unbroken stream — and a growing literature links it to anxiety and diminished well-being. The relevance to curation is direct: a great deal of what fills an unmanaged feed is not connection at all but algorithmically-surfaced content optimized to arouse, and reclaiming the feed for a chosen few is partly a matter of crowding that material out.</w:t>
      </w:r>
    </w:p>
    <w:p>
      <w:pPr>
        <w:pStyle w:val="Heading2"/>
        <w:keepNext/>
        <w:spacing w:after="140" w:before="260"/>
      </w:pPr>
      <w:r>
        <w:rPr>
          <w:rFonts w:ascii="Arial" w:cs="Arial" w:eastAsia="Arial" w:hAnsi="Arial"/>
          <w:b/>
          <w:bCs/>
          <w:color w:val="8C4A2F"/>
          <w:sz w:val="26"/>
          <w:szCs w:val="26"/>
        </w:rPr>
        <w:t xml:space="preserve">2.5 The chronological counterfactual</w:t>
      </w:r>
    </w:p>
    <w:p>
      <w:pPr>
        <w:spacing w:after="160" w:line="300"/>
        <w:jc w:val="both"/>
      </w:pPr>
      <w:r>
        <w:rPr>
          <w:rFonts w:ascii="Georgia" w:cs="Georgia" w:eastAsia="Georgia" w:hAnsi="Georgia"/>
          <w:color w:val="1A1A1A"/>
          <w:sz w:val="22"/>
          <w:szCs w:val="22"/>
        </w:rPr>
        <w:t xml:space="preserve">A natural question is whether the algorithmic sort is the culprit or merely the delivery mechanism. Evidence is mixed and politically charged, but the large 2023 studies conducted through Meta's collaboration with academic researchers found that switching users from an algorithmic to a reverse-chronological feed changed what they saw substantially — and, interestingly, did not straightforwardly improve well-being or reduce polarization over the study window, in part because chronological feeds surfaced more content from a wider range of sources and increased time to find relevant material. The lesson this paper draws is not that the algorithm is harmless but that the deeper problem is the composition of the network being sorted. A chronological feed of hundreds of near-strangers is still a feed of hundreds of near-strangers. Sorting agency has to be returned at the level of who is in the feed, not merely in what order the machine arranges them — which is exactly what network curation addresses and a feed-order toggle does not.</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The through-line to the intervention</w:t>
            </w:r>
          </w:p>
          <w:p>
            <w:pPr>
              <w:spacing w:after="60" w:line="276"/>
            </w:pPr>
            <w:r>
              <w:rPr>
                <w:rFonts w:ascii="Georgia" w:cs="Georgia" w:eastAsia="Georgia" w:hAnsi="Georgia"/>
                <w:color w:val="1A1A1A"/>
                <w:sz w:val="21"/>
                <w:szCs w:val="21"/>
              </w:rPr>
              <w:t xml:space="preserve">The attention economy is structurally indifferent to whether your feed serves you. It is optimized to hold you, and holding you is best achieved by an endless, arousing, algorithmically-composed stream drawn from as many sources as possible. No setting inside the product fully escapes this, because the product's incentives are not aligned with a small, calm, chosen feed. The escape has to come from the user's side of the glass — from deciding, deliberately, whose signal is worth admitting. That decision is unmanageable by hand at the scale platforms encourage, which is the practical problem the rest of this paper sets out to solve.</w:t>
            </w:r>
          </w:p>
        </w:tc>
      </w:tr>
    </w:tbl>
    <w:p>
      <w:r>
        <w:br w:type="page"/>
      </w:r>
    </w:p>
    <w:p>
      <w:pPr>
        <w:pStyle w:val="Heading1"/>
        <w:keepNext/>
        <w:spacing w:after="200" w:before="360"/>
      </w:pPr>
      <w:r>
        <w:rPr>
          <w:rFonts w:ascii="Arial" w:cs="Arial" w:eastAsia="Arial" w:hAnsi="Arial"/>
          <w:b/>
          <w:bCs/>
          <w:color w:val="234A35"/>
          <w:sz w:val="32"/>
          <w:szCs w:val="32"/>
        </w:rPr>
        <w:t xml:space="preserve">3. The Arithmetic of Connection: Relationship Science</w:t>
      </w:r>
    </w:p>
    <w:p>
      <w:pPr>
        <w:spacing w:after="160" w:line="300"/>
        <w:jc w:val="both"/>
      </w:pPr>
      <w:r>
        <w:rPr>
          <w:rFonts w:ascii="Georgia" w:cs="Georgia" w:eastAsia="Georgia" w:hAnsi="Georgia"/>
          <w:color w:val="1A1A1A"/>
          <w:sz w:val="22"/>
          <w:szCs w:val="22"/>
        </w:rPr>
        <w:t xml:space="preserve">Having established that the harmful mode of social-media use is the consumption of an undifferentiated crowd, the paper now turns to the science that tells us what a well-formed social world actually looks like — how many relationships a person can sustain, at what depths, and how ties gain, keep, and lose their value. This is the theoretical heart of the case for curation, and the chapter where the proposed tool's central design choice — sorting a network into a small number of tiers — acquires its scientific justification. The reader who takes only one chapter from this paper should take this one.</w:t>
      </w:r>
    </w:p>
    <w:p>
      <w:pPr>
        <w:pStyle w:val="Heading2"/>
        <w:keepNext/>
        <w:spacing w:after="140" w:before="260"/>
      </w:pPr>
      <w:r>
        <w:rPr>
          <w:rFonts w:ascii="Arial" w:cs="Arial" w:eastAsia="Arial" w:hAnsi="Arial"/>
          <w:b/>
          <w:bCs/>
          <w:color w:val="8C4A2F"/>
          <w:sz w:val="26"/>
          <w:szCs w:val="26"/>
        </w:rPr>
        <w:t xml:space="preserve">3.1 Dunbar's number, and the layers inside it</w:t>
      </w:r>
    </w:p>
    <w:p>
      <w:pPr>
        <w:spacing w:after="160" w:line="300"/>
        <w:jc w:val="both"/>
      </w:pPr>
      <w:r>
        <w:rPr>
          <w:rFonts w:ascii="Georgia" w:cs="Georgia" w:eastAsia="Georgia" w:hAnsi="Georgia"/>
          <w:color w:val="1A1A1A"/>
          <w:sz w:val="22"/>
          <w:szCs w:val="22"/>
        </w:rPr>
        <w:t xml:space="preserve">The single most relevant finding in all of social science for this project comes from the anthropologist and evolutionary psychologist Robin Dunbar. Studying the relationship between the size of the neocortex in primates and the size of their social groups, Dunbar proposed in the early 1990s that the human brain's cognitive architecture imposes a rough ceiling of about 150 on the number of stable, meaningful relationships a person can maintain at once. This figure — Dunbar's number — has entered common speech. But the number by itself is the least useful part of the finding. The useful part is its internal structure.</w:t>
      </w:r>
    </w:p>
    <w:p>
      <w:pPr>
        <w:spacing w:after="160" w:line="300"/>
        <w:jc w:val="both"/>
      </w:pPr>
      <w:r>
        <w:rPr>
          <w:rFonts w:ascii="Georgia" w:cs="Georgia" w:eastAsia="Georgia" w:hAnsi="Georgia"/>
          <w:color w:val="1A1A1A"/>
          <w:sz w:val="22"/>
          <w:szCs w:val="22"/>
        </w:rPr>
        <w:t xml:space="preserve">Dunbar's networks are not flat. They are a nested series of layers, each with a characteristic size and a characteristic emotional intensity and contact frequency. The innermost layer — roughly five people — is the support clique: those you would turn to in genuine crisis, whom you contact most often and feel closest to. Surrounding it, a layer of about fifteen — the sympathy group — comprises close friends whose loss would be deeply felt. Beyond that lies a layer of about fifty, the affinity group of good friends; and beyond that the full active network of about 150, the people you know well enough to maintain a genuine two-way relationship with. Further layers extend outward to roughly 500 acquaintances and about 1,500 people whose faces you can put a name to. Each layer is approximately three times the size of the one inside it, and as the layers widen, emotional closeness and contact frequency fall away.</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The finding that anchors the tool's design</w:t>
            </w:r>
          </w:p>
          <w:p>
            <w:pPr>
              <w:spacing w:after="60" w:line="276"/>
            </w:pPr>
            <w:r>
              <w:rPr>
                <w:rFonts w:ascii="Georgia" w:cs="Georgia" w:eastAsia="Georgia" w:hAnsi="Georgia"/>
                <w:color w:val="1A1A1A"/>
                <w:sz w:val="21"/>
                <w:szCs w:val="21"/>
              </w:rPr>
              <w:t xml:space="preserve">A human social world is not a list. It is a set of concentric shells — roughly 5, 15, 50, 150, 500, 1,500 — of decreasing intimacy. This is an empirical regularity observed across many datasets, from hunter-gatherer societies to Christmas-card networks to phone-call records. It means that the correct mental model for one's connections is not “follow or don't” but “at which layer does this person belong.” A tool that helps a person sort their followers into a small number of tiers of decreasing closeness is not imposing an arbitrary scheme; it is making visible the layered structure that human relationships naturally take.</w:t>
            </w:r>
          </w:p>
        </w:tc>
      </w:tr>
    </w:tbl>
    <w:p>
      <w:pPr>
        <w:spacing w:after="160" w:line="300"/>
        <w:jc w:val="both"/>
      </w:pPr>
      <w:r>
        <w:rPr>
          <w:rFonts w:ascii="Georgia" w:cs="Georgia" w:eastAsia="Georgia" w:hAnsi="Georgia"/>
          <w:color w:val="1A1A1A"/>
          <w:sz w:val="22"/>
          <w:szCs w:val="22"/>
        </w:rPr>
        <w:t xml:space="preserve">The correspondence to the sorting task at the center of this paper is close enough to be worth stating explicitly. A person triaging their followers into an innermost circle of family, a layer of closest friends, a wider layer of genuine but less central buddies, and an outer layer of people worth loosely keeping up with is — whether or not they have ever heard of Robin Dunbar — reconstructing the Dunbar layers by hand. The tool proposed here simply gives that reconstruction an interface. A later chapter returns to the precise tier counts and shows how a user's own division of roughly forty, thirty, fifty, and one hundred maps onto the empirical layers; the point to carry forward now is that a small, fixed number of nested tiers is the scientifically correct shape for the task, and an unbounded flat list is the incorrect one that platforms impose.</w:t>
      </w:r>
    </w:p>
    <w:p>
      <w:pPr>
        <w:spacing w:after="160" w:line="300"/>
        <w:jc w:val="both"/>
      </w:pPr>
      <w:r>
        <w:rPr>
          <w:rFonts w:ascii="Georgia" w:cs="Georgia" w:eastAsia="Georgia" w:hAnsi="Georgia"/>
          <w:color w:val="1A1A1A"/>
          <w:sz w:val="22"/>
          <w:szCs w:val="22"/>
        </w:rPr>
        <w:t xml:space="preserve">A necessary caveat: Dunbar's number is itself contested. Some researchers dispute the precise value of 150 and the statistical basis for extrapolating group size from neocortex ratio; a 2021 reanalysis argued the cognitive limit, if it exists, cannot be specified with any precision. The layered structure of personal networks — the finding this paper actually relies on — is more robustly supported than the exact headline figure. The design argument here needs only that social worlds are layered and bounded, not that the boundary sits at precisely 150.</w:t>
      </w:r>
    </w:p>
    <w:p>
      <w:pPr>
        <w:pStyle w:val="Heading2"/>
        <w:keepNext/>
        <w:spacing w:after="140" w:before="260"/>
      </w:pPr>
      <w:r>
        <w:rPr>
          <w:rFonts w:ascii="Arial" w:cs="Arial" w:eastAsia="Arial" w:hAnsi="Arial"/>
          <w:b/>
          <w:bCs/>
          <w:color w:val="8C4A2F"/>
          <w:sz w:val="26"/>
          <w:szCs w:val="26"/>
        </w:rPr>
        <w:t xml:space="preserve">3.2 The strength of weak ties</w:t>
      </w:r>
    </w:p>
    <w:p>
      <w:pPr>
        <w:spacing w:after="160" w:line="300"/>
        <w:jc w:val="both"/>
      </w:pPr>
      <w:r>
        <w:rPr>
          <w:rFonts w:ascii="Georgia" w:cs="Georgia" w:eastAsia="Georgia" w:hAnsi="Georgia"/>
          <w:color w:val="1A1A1A"/>
          <w:sz w:val="22"/>
          <w:szCs w:val="22"/>
        </w:rPr>
        <w:t xml:space="preserve">If Dunbar explains why the inner layers matter, Mark Granovetter explains why the outer ones are worth keeping rather than discarding. His 1973 paper, “The Strength of Weak Ties,” is among the most cited in the history of sociology. Its counterintuitive claim is that the </w:t>
      </w:r>
      <w:r>
        <w:rPr>
          <w:rFonts w:ascii="Georgia" w:cs="Georgia" w:eastAsia="Georgia" w:hAnsi="Georgia"/>
          <w:i/>
          <w:iCs/>
          <w:color w:val="1A1A1A"/>
          <w:sz w:val="22"/>
          <w:szCs w:val="22"/>
        </w:rPr>
        <w:t xml:space="preserve">weak</w:t>
      </w:r>
      <w:r>
        <w:rPr>
          <w:rFonts w:ascii="Georgia" w:cs="Georgia" w:eastAsia="Georgia" w:hAnsi="Georgia"/>
          <w:color w:val="1A1A1A"/>
          <w:sz w:val="22"/>
          <w:szCs w:val="22"/>
        </w:rPr>
        <w:t xml:space="preserve"> ties in a person's network — acquaintances, former colleagues, friends-of-friends — are often more valuable than strong ties for certain purposes, above all the transmission of novel information and opportunity. The logic is structural: your close friends tend to know each other and to know what you know, so their information is redundant with yours; your weak ties reach into other clusters and therefore carry news that would not otherwise reach you. Granovetter found that people more often learned about the jobs they took through weak ties than through strong ones. Weak ties are the bridges between otherwise disconnected social worlds.</w:t>
      </w:r>
    </w:p>
    <w:p>
      <w:pPr>
        <w:spacing w:after="160" w:line="300"/>
        <w:jc w:val="both"/>
      </w:pPr>
      <w:r>
        <w:rPr>
          <w:rFonts w:ascii="Georgia" w:cs="Georgia" w:eastAsia="Georgia" w:hAnsi="Georgia"/>
          <w:color w:val="1A1A1A"/>
          <w:sz w:val="22"/>
          <w:szCs w:val="22"/>
        </w:rPr>
        <w:t xml:space="preserve">This finding received a remarkable large-scale causal test in 2022, when Rajkumar and colleagues published in </w:t>
      </w:r>
      <w:r>
        <w:rPr>
          <w:rFonts w:ascii="Georgia" w:cs="Georgia" w:eastAsia="Georgia" w:hAnsi="Georgia"/>
          <w:i/>
          <w:iCs/>
          <w:color w:val="1A1A1A"/>
          <w:sz w:val="22"/>
          <w:szCs w:val="22"/>
        </w:rPr>
        <w:t xml:space="preserve">Science</w:t>
      </w:r>
      <w:r>
        <w:rPr>
          <w:rFonts w:ascii="Georgia" w:cs="Georgia" w:eastAsia="Georgia" w:hAnsi="Georgia"/>
          <w:color w:val="1A1A1A"/>
          <w:sz w:val="22"/>
          <w:szCs w:val="22"/>
        </w:rPr>
        <w:t xml:space="preserve"> the results of multiple experiments run on LinkedIn's “People You May Know” system. Over a five-year period the experiments randomly varied the strength of the ties suggested to more than twenty million people, then tracked the roughly two billion new connections and 600,000 resulting job changes. The results both confirmed and refined Granovetter: weak ties did causally increase job mobility, but the relationship was an inverted U. The </w:t>
      </w:r>
      <w:r>
        <w:rPr>
          <w:rFonts w:ascii="Georgia" w:cs="Georgia" w:eastAsia="Georgia" w:hAnsi="Georgia"/>
          <w:i/>
          <w:iCs/>
          <w:color w:val="1A1A1A"/>
          <w:sz w:val="22"/>
          <w:szCs w:val="22"/>
        </w:rPr>
        <w:t xml:space="preserve">moderately</w:t>
      </w:r>
      <w:r>
        <w:rPr>
          <w:rFonts w:ascii="Georgia" w:cs="Georgia" w:eastAsia="Georgia" w:hAnsi="Georgia"/>
          <w:color w:val="1A1A1A"/>
          <w:sz w:val="22"/>
          <w:szCs w:val="22"/>
        </w:rPr>
        <w:t xml:space="preserve"> weak ties — those with roughly ten mutual connections — were the most beneficial for finding new work, while the very weakest and the strongest ties helped less. Weak ties mattered most in more digital, knowledge-based industries. This is, to date, the most rigorous demonstration that the outer layers of a network carry real, measurable value.</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Why the tool keeps a retained bin instead of a delete button</w:t>
            </w:r>
          </w:p>
          <w:p>
            <w:pPr>
              <w:spacing w:after="60" w:line="276"/>
            </w:pPr>
            <w:r>
              <w:rPr>
                <w:rFonts w:ascii="Georgia" w:cs="Georgia" w:eastAsia="Georgia" w:hAnsi="Georgia"/>
                <w:color w:val="1A1A1A"/>
                <w:sz w:val="21"/>
                <w:szCs w:val="21"/>
              </w:rPr>
              <w:t xml:space="preserve">The weak-tie literature has a direct design consequence. If the outer, low-intimacy connections carried no value, the right operation on them would be deletion. But because weak ties are precisely the ones that bridge to opportunity and novel information, discarding them irretrievably is a mistake. The tool therefore does not offer a destroy operation; its lowest category is a retained bin — out of the daily feed, but saved, searchable, and recoverable. Curation removes people from your attention without removing them from your reach.</w:t>
            </w:r>
          </w:p>
        </w:tc>
      </w:tr>
    </w:tbl>
    <w:p>
      <w:pPr>
        <w:pStyle w:val="Heading2"/>
        <w:keepNext/>
        <w:spacing w:after="140" w:before="260"/>
      </w:pPr>
      <w:r>
        <w:rPr>
          <w:rFonts w:ascii="Arial" w:cs="Arial" w:eastAsia="Arial" w:hAnsi="Arial"/>
          <w:b/>
          <w:bCs/>
          <w:color w:val="8C4A2F"/>
          <w:sz w:val="26"/>
          <w:szCs w:val="26"/>
        </w:rPr>
        <w:t xml:space="preserve">3.3 Dormant ties: the value of reconnecting</w:t>
      </w:r>
    </w:p>
    <w:p>
      <w:pPr>
        <w:spacing w:after="160" w:line="300"/>
        <w:jc w:val="both"/>
      </w:pPr>
      <w:r>
        <w:rPr>
          <w:rFonts w:ascii="Georgia" w:cs="Georgia" w:eastAsia="Georgia" w:hAnsi="Georgia"/>
          <w:color w:val="1A1A1A"/>
          <w:sz w:val="22"/>
          <w:szCs w:val="22"/>
        </w:rPr>
        <w:t xml:space="preserve">A person returning to a platform after a long absence — as, for instance, after two or three years away — faces a particular question: are the relationships that went quiet worth reviving? The research offers an encouraging and specific answer. Levin, Walter, and Murnighan studied </w:t>
      </w:r>
      <w:r>
        <w:rPr>
          <w:rFonts w:ascii="Georgia" w:cs="Georgia" w:eastAsia="Georgia" w:hAnsi="Georgia"/>
          <w:i/>
          <w:iCs/>
          <w:color w:val="1A1A1A"/>
          <w:sz w:val="22"/>
          <w:szCs w:val="22"/>
        </w:rPr>
        <w:t xml:space="preserve">dormant ties</w:t>
      </w:r>
      <w:r>
        <w:rPr>
          <w:rFonts w:ascii="Georgia" w:cs="Georgia" w:eastAsia="Georgia" w:hAnsi="Georgia"/>
          <w:color w:val="1A1A1A"/>
          <w:sz w:val="22"/>
          <w:szCs w:val="22"/>
        </w:rPr>
        <w:t xml:space="preserve"> — relationships that were once active but have been out of contact for a period of years — by asking executives to reconnect with people they had not spoken to in at least three years and to compare the advice they received with advice from current contacts.</w:t>
      </w:r>
    </w:p>
    <w:p>
      <w:pPr>
        <w:spacing w:after="160" w:line="300"/>
        <w:jc w:val="both"/>
      </w:pPr>
      <w:r>
        <w:rPr>
          <w:rFonts w:ascii="Georgia" w:cs="Georgia" w:eastAsia="Georgia" w:hAnsi="Georgia"/>
          <w:color w:val="1A1A1A"/>
          <w:sz w:val="22"/>
          <w:szCs w:val="22"/>
        </w:rPr>
        <w:t xml:space="preserve">The dormant ties delivered. Reconnected relationships provided advice that was rated as valuable as that from current ties — and often more novel, because the dormant contact had spent the intervening years in different circles accumulating different knowledge — while requiring less time and effort to draw on, because the residual trust and shared history were still there. Reconnected dormant strong ties were especially potent, combining the trust and shared perspective of strong ties with the efficiency and novelty usually associated with weak ones — what the authors described as the best of both worlds. Participants typically found at least ten reconnected ties useful. Follow-up work identified three conditions that make reconnection succeed rather than stall: both parties still remembering the relationship, a genuine catching-up exchange, and a shared sense of what the relationship was.</w:t>
      </w:r>
    </w:p>
    <w:p>
      <w:pPr>
        <w:spacing w:after="160" w:line="300"/>
        <w:jc w:val="both"/>
      </w:pPr>
      <w:r>
        <w:rPr>
          <w:rFonts w:ascii="Georgia" w:cs="Georgia" w:eastAsia="Georgia" w:hAnsi="Georgia"/>
          <w:color w:val="1A1A1A"/>
          <w:sz w:val="22"/>
          <w:szCs w:val="22"/>
        </w:rPr>
        <w:t xml:space="preserve">The implication for a curation tool is that the names in one's list that summon a face and a season of life — the ones that are neither current friends nor strangers — are not dead weight. They are dormant ties, and the research suggests that a handful of them are worth deliberately reviving. A tool that surfaces every such name for a conscious decision, rather than letting them all blur into an unattended crowd, is precisely the instrument for identifying which dormant ties to wake.</w:t>
      </w:r>
    </w:p>
    <w:p>
      <w:pPr>
        <w:pStyle w:val="Heading2"/>
        <w:keepNext/>
        <w:spacing w:after="140" w:before="260"/>
      </w:pPr>
      <w:r>
        <w:rPr>
          <w:rFonts w:ascii="Arial" w:cs="Arial" w:eastAsia="Arial" w:hAnsi="Arial"/>
          <w:b/>
          <w:bCs/>
          <w:color w:val="8C4A2F"/>
          <w:sz w:val="26"/>
          <w:szCs w:val="26"/>
        </w:rPr>
        <w:t xml:space="preserve">3.4 Social capital: bonding, bridging, and maintained ties</w:t>
      </w:r>
    </w:p>
    <w:p>
      <w:pPr>
        <w:spacing w:after="160" w:line="300"/>
        <w:jc w:val="both"/>
      </w:pPr>
      <w:r>
        <w:rPr>
          <w:rFonts w:ascii="Georgia" w:cs="Georgia" w:eastAsia="Georgia" w:hAnsi="Georgia"/>
          <w:color w:val="1A1A1A"/>
          <w:sz w:val="22"/>
          <w:szCs w:val="22"/>
        </w:rPr>
        <w:t xml:space="preserve">The sociologist Robert Putnam, in </w:t>
      </w:r>
      <w:r>
        <w:rPr>
          <w:rFonts w:ascii="Georgia" w:cs="Georgia" w:eastAsia="Georgia" w:hAnsi="Georgia"/>
          <w:i/>
          <w:iCs/>
          <w:color w:val="1A1A1A"/>
          <w:sz w:val="22"/>
          <w:szCs w:val="22"/>
        </w:rPr>
        <w:t xml:space="preserve">Bowling Alone</w:t>
      </w:r>
      <w:r>
        <w:rPr>
          <w:rFonts w:ascii="Georgia" w:cs="Georgia" w:eastAsia="Georgia" w:hAnsi="Georgia"/>
          <w:color w:val="1A1A1A"/>
          <w:sz w:val="22"/>
          <w:szCs w:val="22"/>
        </w:rPr>
        <w:t xml:space="preserve">, distinguished two forms of social capital that map onto the layers described above. </w:t>
      </w:r>
      <w:r>
        <w:rPr>
          <w:rFonts w:ascii="Georgia" w:cs="Georgia" w:eastAsia="Georgia" w:hAnsi="Georgia"/>
          <w:b/>
          <w:bCs/>
          <w:color w:val="1A1A1A"/>
          <w:sz w:val="22"/>
          <w:szCs w:val="22"/>
        </w:rPr>
        <w:t xml:space="preserve">Bonding</w:t>
      </w:r>
      <w:r>
        <w:rPr>
          <w:rFonts w:ascii="Georgia" w:cs="Georgia" w:eastAsia="Georgia" w:hAnsi="Georgia"/>
          <w:color w:val="1A1A1A"/>
          <w:sz w:val="22"/>
          <w:szCs w:val="22"/>
        </w:rPr>
        <w:t xml:space="preserve"> social capital is the dense, supportive, emotionally close capital of the inner layers — the people who will help you move house or sit with you in grief. </w:t>
      </w:r>
      <w:r>
        <w:rPr>
          <w:rFonts w:ascii="Georgia" w:cs="Georgia" w:eastAsia="Georgia" w:hAnsi="Georgia"/>
          <w:b/>
          <w:bCs/>
          <w:color w:val="1A1A1A"/>
          <w:sz w:val="22"/>
          <w:szCs w:val="22"/>
        </w:rPr>
        <w:t xml:space="preserve">Bridging</w:t>
      </w:r>
      <w:r>
        <w:rPr>
          <w:rFonts w:ascii="Georgia" w:cs="Georgia" w:eastAsia="Georgia" w:hAnsi="Georgia"/>
          <w:color w:val="1A1A1A"/>
          <w:sz w:val="22"/>
          <w:szCs w:val="22"/>
        </w:rPr>
        <w:t xml:space="preserve"> social capital is the thinner, more diverse capital of the outer layers — the cross-cutting ties that connect you to different groups and, echoing Granovetter, to different information and opportunity. A healthy social world needs both, and they are not interchangeable: bonding capital sustains you, bridging capital advances you.</w:t>
      </w:r>
    </w:p>
    <w:p>
      <w:pPr>
        <w:spacing w:after="160" w:line="300"/>
        <w:jc w:val="both"/>
      </w:pPr>
      <w:r>
        <w:rPr>
          <w:rFonts w:ascii="Georgia" w:cs="Georgia" w:eastAsia="Georgia" w:hAnsi="Georgia"/>
          <w:color w:val="1A1A1A"/>
          <w:sz w:val="22"/>
          <w:szCs w:val="22"/>
        </w:rPr>
        <w:t xml:space="preserve">The most cited application of this framework to social media is Ellison, Steinfield, and Lampe's 2007 study of college students' Facebook use, which found that use of the platform was associated with all three forms of social capital they measured — bridging, bonding, and a third they called </w:t>
      </w:r>
      <w:r>
        <w:rPr>
          <w:rFonts w:ascii="Georgia" w:cs="Georgia" w:eastAsia="Georgia" w:hAnsi="Georgia"/>
          <w:i/>
          <w:iCs/>
          <w:color w:val="1A1A1A"/>
          <w:sz w:val="22"/>
          <w:szCs w:val="22"/>
        </w:rPr>
        <w:t xml:space="preserve">maintained</w:t>
      </w:r>
      <w:r>
        <w:rPr>
          <w:rFonts w:ascii="Georgia" w:cs="Georgia" w:eastAsia="Georgia" w:hAnsi="Georgia"/>
          <w:color w:val="1A1A1A"/>
          <w:sz w:val="22"/>
          <w:szCs w:val="22"/>
        </w:rPr>
        <w:t xml:space="preserve"> social capital: the ability to stay connected to a community one has physically left, such as a hometown or a former school. The association was strongest for bridging capital and for maintained capital — that is, social media's distinctive contribution was helping people preserve access to weak and geographically distant ties they would otherwise have lost. This is an important and double-edged finding for the present argument. It means the platforms genuinely do something valuable: they keep the outer layers reachable across distance and time. The problem is not that capability but its indiscriminate default — everyone maintained at once, undifferentiated, in a single feed. Curation preserves the maintained-capital benefit while restoring the layering that makes it manageable.</w:t>
      </w:r>
    </w:p>
    <w:p>
      <w:pPr>
        <w:pStyle w:val="Heading2"/>
        <w:keepNext/>
        <w:spacing w:after="140" w:before="260"/>
      </w:pPr>
      <w:r>
        <w:rPr>
          <w:rFonts w:ascii="Arial" w:cs="Arial" w:eastAsia="Arial" w:hAnsi="Arial"/>
          <w:b/>
          <w:bCs/>
          <w:color w:val="8C4A2F"/>
          <w:sz w:val="26"/>
          <w:szCs w:val="26"/>
        </w:rPr>
        <w:t xml:space="preserve">3.5 Maintenance, decay, and the loneliness that follows</w:t>
      </w:r>
    </w:p>
    <w:p>
      <w:pPr>
        <w:spacing w:after="160" w:line="300"/>
        <w:jc w:val="both"/>
      </w:pPr>
      <w:r>
        <w:rPr>
          <w:rFonts w:ascii="Georgia" w:cs="Georgia" w:eastAsia="Georgia" w:hAnsi="Georgia"/>
          <w:color w:val="1A1A1A"/>
          <w:sz w:val="22"/>
          <w:szCs w:val="22"/>
        </w:rPr>
        <w:t xml:space="preserve">Relationships are not durable goods; they are more like gardens, requiring recurrent investment to persist. Roberts and Dunbar showed that friendships decay measurably when contact lapses, and that without maintenance even close ties slide outward through the layers over time — the sympathy-group friend one stops seeing gradually becomes an affinity-group acquaintance, then a name. Contact frequency and the emotional intensity of a relationship are tightly coupled, and the coupling is causal in both directions.</w:t>
      </w:r>
    </w:p>
    <w:p>
      <w:pPr>
        <w:spacing w:after="160" w:line="300"/>
        <w:jc w:val="both"/>
      </w:pPr>
      <w:r>
        <w:rPr>
          <w:rFonts w:ascii="Georgia" w:cs="Georgia" w:eastAsia="Georgia" w:hAnsi="Georgia"/>
          <w:color w:val="1A1A1A"/>
          <w:sz w:val="22"/>
          <w:szCs w:val="22"/>
        </w:rPr>
        <w:t xml:space="preserve">This decay dynamic is the mechanism behind the loneliness that the Surgeon General's 2023 advisory named a public-health crisis, and that John Cacioppo's foundational research characterized as a biological signal — an aversive state that evolved, like hunger or thirst, to motivate a behavior necessary for survival, in this case reconnection. Cacioppo's work in </w:t>
      </w:r>
      <w:r>
        <w:rPr>
          <w:rFonts w:ascii="Georgia" w:cs="Georgia" w:eastAsia="Georgia" w:hAnsi="Georgia"/>
          <w:i/>
          <w:iCs/>
          <w:color w:val="1A1A1A"/>
          <w:sz w:val="22"/>
          <w:szCs w:val="22"/>
        </w:rPr>
        <w:t xml:space="preserve">Loneliness: Human Nature and the Need for Social Connection</w:t>
      </w:r>
      <w:r>
        <w:rPr>
          <w:rFonts w:ascii="Georgia" w:cs="Georgia" w:eastAsia="Georgia" w:hAnsi="Georgia"/>
          <w:color w:val="1A1A1A"/>
          <w:sz w:val="22"/>
          <w:szCs w:val="22"/>
        </w:rPr>
        <w:t xml:space="preserve"> established that chronic loneliness is not merely unpleasant but carries measurable costs to physical and cognitive health, comparable in some analyses to well-established risk factors. The relevance to this paper's tool is that curation, done well, serves the reconnection drive rather than suppressing it. The goal of shrinking the network is not withdrawal; it is the reallocation of finite maintenance capacity toward the relationships that decay dynamics and loneliness research jointly identify as the ones worth tending. A person cannot maintain 800 relationships. They can maintain the inner layers — if the outer noise is cleared enough to let them.</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Chapter summary: the scientific case for tiered curation</w:t>
            </w:r>
          </w:p>
          <w:p>
            <w:pPr>
              <w:spacing w:after="60" w:line="276"/>
            </w:pPr>
            <w:r>
              <w:rPr>
                <w:rFonts w:ascii="Georgia" w:cs="Georgia" w:eastAsia="Georgia" w:hAnsi="Georgia"/>
                <w:color w:val="1A1A1A"/>
                <w:sz w:val="21"/>
                <w:szCs w:val="21"/>
              </w:rPr>
              <w:t xml:space="preserve">Human social worlds are bounded and layered (Dunbar): roughly 5, 15, 50, 150 and outward, with decreasing intimacy. The inner layers supply bonding capital and emotional support; the outer layers supply bridging capital, novel information, and opportunity (Granovetter, Rajkumar, Putnam, Ellison). Dormant ties in those outer layers retain latent value and repay selective revival (Levin &amp; Walter). But relationships decay without maintenance (Roberts &amp; Dunbar), and maintenance capacity is finite — so the health of the whole system depends on allocating attention deliberately across the layers rather than spreading it uniformly across an unmanageable crowd. That allocation is exactly what tiered curation performs, and exactly what an unsorted platform feed prevents.</w:t>
            </w:r>
          </w:p>
        </w:tc>
      </w:tr>
    </w:tbl>
    <w:p>
      <w:r>
        <w:br w:type="page"/>
      </w:r>
    </w:p>
    <w:p>
      <w:pPr>
        <w:pStyle w:val="Heading1"/>
        <w:keepNext/>
        <w:spacing w:after="200" w:before="360"/>
      </w:pPr>
      <w:r>
        <w:rPr>
          <w:rFonts w:ascii="Arial" w:cs="Arial" w:eastAsia="Arial" w:hAnsi="Arial"/>
          <w:b/>
          <w:bCs/>
          <w:color w:val="234A35"/>
          <w:sz w:val="32"/>
          <w:szCs w:val="32"/>
        </w:rPr>
        <w:t xml:space="preserve">4. The Professional Graph: A Networking Mode</w:t>
      </w:r>
    </w:p>
    <w:p>
      <w:pPr>
        <w:spacing w:after="160" w:line="300"/>
        <w:jc w:val="both"/>
      </w:pPr>
      <w:r>
        <w:rPr>
          <w:rFonts w:ascii="Georgia" w:cs="Georgia" w:eastAsia="Georgia" w:hAnsi="Georgia"/>
          <w:color w:val="1A1A1A"/>
          <w:sz w:val="22"/>
          <w:szCs w:val="22"/>
        </w:rPr>
        <w:t xml:space="preserve">The same person who wants to sort friends, family, and acquaintances often also carries a professional network — colleagues, former coworkers, industry contacts, people met at conferences, connections accumulated on a platform like LinkedIn. The logic of curation applies here too, but the categories differ, and the relevant science shifts from friendship and loneliness toward the literature on careers, network structure, and professional relationship management. This chapter builds the case for a distinct professional mode in the tool and, importantly, derives an evidence-grounded set of tier names for it — replacing intuition with the vocabulary of network research.</w:t>
      </w:r>
    </w:p>
    <w:p>
      <w:pPr>
        <w:pStyle w:val="Heading2"/>
        <w:keepNext/>
        <w:spacing w:after="140" w:before="260"/>
      </w:pPr>
      <w:r>
        <w:rPr>
          <w:rFonts w:ascii="Arial" w:cs="Arial" w:eastAsia="Arial" w:hAnsi="Arial"/>
          <w:b/>
          <w:bCs/>
          <w:color w:val="8C4A2F"/>
          <w:sz w:val="26"/>
          <w:szCs w:val="26"/>
        </w:rPr>
        <w:t xml:space="preserve">4.1 Operational, personal, and strategic networks</w:t>
      </w:r>
    </w:p>
    <w:p>
      <w:pPr>
        <w:spacing w:after="160" w:line="300"/>
        <w:jc w:val="both"/>
      </w:pPr>
      <w:r>
        <w:rPr>
          <w:rFonts w:ascii="Georgia" w:cs="Georgia" w:eastAsia="Georgia" w:hAnsi="Georgia"/>
          <w:color w:val="1A1A1A"/>
          <w:sz w:val="22"/>
          <w:szCs w:val="22"/>
        </w:rPr>
        <w:t xml:space="preserve">The most useful high-level taxonomy of professional relationships comes from Herminia Ibarra and Mark Hunter, who distinguished three kinds of network that professionals must cultivate. </w:t>
      </w:r>
      <w:r>
        <w:rPr>
          <w:rFonts w:ascii="Georgia" w:cs="Georgia" w:eastAsia="Georgia" w:hAnsi="Georgia"/>
          <w:b/>
          <w:bCs/>
          <w:color w:val="1A1A1A"/>
          <w:sz w:val="22"/>
          <w:szCs w:val="22"/>
        </w:rPr>
        <w:t xml:space="preserve">Operational</w:t>
      </w:r>
      <w:r>
        <w:rPr>
          <w:rFonts w:ascii="Georgia" w:cs="Georgia" w:eastAsia="Georgia" w:hAnsi="Georgia"/>
          <w:color w:val="1A1A1A"/>
          <w:sz w:val="22"/>
          <w:szCs w:val="22"/>
        </w:rPr>
        <w:t xml:space="preserve"> networks are the people needed to get current work done — immediate colleagues, cross-functional partners, the working web of the present job. </w:t>
      </w:r>
      <w:r>
        <w:rPr>
          <w:rFonts w:ascii="Georgia" w:cs="Georgia" w:eastAsia="Georgia" w:hAnsi="Georgia"/>
          <w:b/>
          <w:bCs/>
          <w:color w:val="1A1A1A"/>
          <w:sz w:val="22"/>
          <w:szCs w:val="22"/>
        </w:rPr>
        <w:t xml:space="preserve">Personal</w:t>
      </w:r>
      <w:r>
        <w:rPr>
          <w:rFonts w:ascii="Georgia" w:cs="Georgia" w:eastAsia="Georgia" w:hAnsi="Georgia"/>
          <w:color w:val="1A1A1A"/>
          <w:sz w:val="22"/>
          <w:szCs w:val="22"/>
        </w:rPr>
        <w:t xml:space="preserve"> networks are the discretionary contacts who support development — mentors, peers in one's field, professional-association ties — and who often supply referrals and outside perspective. </w:t>
      </w:r>
      <w:r>
        <w:rPr>
          <w:rFonts w:ascii="Georgia" w:cs="Georgia" w:eastAsia="Georgia" w:hAnsi="Georgia"/>
          <w:b/>
          <w:bCs/>
          <w:color w:val="1A1A1A"/>
          <w:sz w:val="22"/>
          <w:szCs w:val="22"/>
        </w:rPr>
        <w:t xml:space="preserve">Strategic</w:t>
      </w:r>
      <w:r>
        <w:rPr>
          <w:rFonts w:ascii="Georgia" w:cs="Georgia" w:eastAsia="Georgia" w:hAnsi="Georgia"/>
          <w:color w:val="1A1A1A"/>
          <w:sz w:val="22"/>
          <w:szCs w:val="22"/>
        </w:rPr>
        <w:t xml:space="preserve"> networks are the forward-looking, often lateral or senior ties that help one see the broader environment and prepare for where one is going next. The three are not a hierarchy of importance so much as three functions, and Ibarra and Hunter's central finding was that professionals who neglect the strategic layer — staying comfortable in the operational one — stall in their advancement. This maps naturally onto a tiered tool: current working ties, developmental ties, and future-oriented strategic ties are three distinguishable categories a user can sort into.</w:t>
      </w:r>
    </w:p>
    <w:p>
      <w:pPr>
        <w:pStyle w:val="Heading2"/>
        <w:keepNext/>
        <w:spacing w:after="140" w:before="260"/>
      </w:pPr>
      <w:r>
        <w:rPr>
          <w:rFonts w:ascii="Arial" w:cs="Arial" w:eastAsia="Arial" w:hAnsi="Arial"/>
          <w:b/>
          <w:bCs/>
          <w:color w:val="8C4A2F"/>
          <w:sz w:val="26"/>
          <w:szCs w:val="26"/>
        </w:rPr>
        <w:t xml:space="preserve">4.2 Weak and dormant ties, revisited for careers</w:t>
      </w:r>
    </w:p>
    <w:p>
      <w:pPr>
        <w:spacing w:after="160" w:line="300"/>
        <w:jc w:val="both"/>
      </w:pPr>
      <w:r>
        <w:rPr>
          <w:rFonts w:ascii="Georgia" w:cs="Georgia" w:eastAsia="Georgia" w:hAnsi="Georgia"/>
          <w:color w:val="1A1A1A"/>
          <w:sz w:val="22"/>
          <w:szCs w:val="22"/>
        </w:rPr>
        <w:t xml:space="preserve">The weak-tie and dormant-tie findings from the previous chapter are, if anything, even more directly relevant to the professional graph, because their original evidence base was largely about careers. Granovetter's job-search finding and Rajkumar's LinkedIn experiment both establish that professional opportunity flows disproportionately through moderately weak ties. Levin and Walter's dormant-tie research was conducted on executives seeking business advice. The practical upshot for a networking mode is that the professional equivalent of the retained bin is not a discard pile but a deliberately preserved reserve of bridging and dormant ties — the very connections most likely to matter when one changes jobs or seeks information outside one's immediate cluster. A tool that encouraged users to delete weak professional ties would be actively career-harming; one that helps them file those ties where they can be found again is doing them a service the research directly endorses.</w:t>
      </w:r>
    </w:p>
    <w:p>
      <w:pPr>
        <w:pStyle w:val="Heading2"/>
        <w:keepNext/>
        <w:spacing w:after="140" w:before="260"/>
      </w:pPr>
      <w:r>
        <w:rPr>
          <w:rFonts w:ascii="Arial" w:cs="Arial" w:eastAsia="Arial" w:hAnsi="Arial"/>
          <w:b/>
          <w:bCs/>
          <w:color w:val="8C4A2F"/>
          <w:sz w:val="26"/>
          <w:szCs w:val="26"/>
        </w:rPr>
        <w:t xml:space="preserve">4.3 The personal-CRM landscape and the reminder problem</w:t>
      </w:r>
    </w:p>
    <w:p>
      <w:pPr>
        <w:spacing w:after="160" w:line="300"/>
        <w:jc w:val="both"/>
      </w:pPr>
      <w:r>
        <w:rPr>
          <w:rFonts w:ascii="Georgia" w:cs="Georgia" w:eastAsia="Georgia" w:hAnsi="Georgia"/>
          <w:color w:val="1A1A1A"/>
          <w:sz w:val="22"/>
          <w:szCs w:val="22"/>
        </w:rPr>
        <w:t xml:space="preserve">A category of software has emerged to address professional and personal relationship maintenance directly: the personal CRM. Tools such as Monica — an open-source, privacy-oriented “personal relationship management” application — and commercial products such as Dex and Clay let users record how they met a contact, log interactions, and, crucially, set reminders to stay in touch before a relationship goes cold. Some of these tools explicitly operationalize Dunbar's layers: at least one recommends organizing contacts into tiers of roughly five, fifteen, fifty, and 150 and assigning each tier a contact cadence — weekly, monthly, quarterly, annual — so that maintenance effort is allocated in proportion to closeness. This is the decay-and-maintenance science of the previous chapter turned into a scheduling feature.</w:t>
      </w:r>
    </w:p>
    <w:p>
      <w:pPr>
        <w:spacing w:after="160" w:line="300"/>
        <w:jc w:val="both"/>
      </w:pPr>
      <w:r>
        <w:rPr>
          <w:rFonts w:ascii="Georgia" w:cs="Georgia" w:eastAsia="Georgia" w:hAnsi="Georgia"/>
          <w:color w:val="1A1A1A"/>
          <w:sz w:val="22"/>
          <w:szCs w:val="22"/>
        </w:rPr>
        <w:t xml:space="preserve">The existence of these tools validates the demand but also reveals the gap the present project fills. Personal CRMs are built for ongoing manual entry and long-term tracking; they are heavyweight, and getting a large existing network into them is itself a chore. None of them is a fast front-end for the initial triage — the one-time act of taking hundreds of accumulated connections and sorting them into tiers in a single sitting. The tool proposed here is that missing front-end. A natural product relationship suggests itself: rapid triage first, then optional export of the resulting tiers into a maintenance tool that handles the cadence over time. The networking mode can therefore borrow the personal-CRM insight — tiers with contact cadences mapped to Dunbar layers — while doing the one thing those tools do not: making the initial sort fast.</w:t>
      </w:r>
    </w:p>
    <w:p>
      <w:pPr>
        <w:pStyle w:val="Heading2"/>
        <w:keepNext/>
        <w:spacing w:after="140" w:before="260"/>
      </w:pPr>
      <w:r>
        <w:rPr>
          <w:rFonts w:ascii="Arial" w:cs="Arial" w:eastAsia="Arial" w:hAnsi="Arial"/>
          <w:b/>
          <w:bCs/>
          <w:color w:val="8C4A2F"/>
          <w:sz w:val="26"/>
          <w:szCs w:val="26"/>
        </w:rPr>
        <w:t xml:space="preserve">4.4 Refining the tier names against the literature</w:t>
      </w:r>
    </w:p>
    <w:p>
      <w:pPr>
        <w:spacing w:after="160" w:line="300"/>
        <w:jc w:val="both"/>
      </w:pPr>
      <w:r>
        <w:rPr>
          <w:rFonts w:ascii="Georgia" w:cs="Georgia" w:eastAsia="Georgia" w:hAnsi="Georgia"/>
          <w:color w:val="1A1A1A"/>
          <w:sz w:val="22"/>
          <w:szCs w:val="22"/>
        </w:rPr>
        <w:t xml:space="preserve">A user drafting a professional mode intuitively reached for the labels critically important, good terms, and speculative. These are serviceable, but they are ad hoc, and one of them embeds a subtle error worth correcting. This section proposes evidence-grounded replacements.</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1700"/>
        <w:gridCol w:w="1700"/>
        <w:gridCol w:w="3060"/>
        <w:gridCol w:w="2900"/>
      </w:tblGrid>
      <w:tr>
        <w:trPr>
          <w:tblHeader/>
        </w:trPr>
        <w:tc>
          <w:tcPr>
            <w:tcW w:type="dxa" w:w="17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Draft label</w:t>
            </w:r>
          </w:p>
        </w:tc>
        <w:tc>
          <w:tcPr>
            <w:tcW w:type="dxa" w:w="17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Recommended label</w:t>
            </w:r>
          </w:p>
        </w:tc>
        <w:tc>
          <w:tcPr>
            <w:tcW w:type="dxa" w:w="30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Grounding in the research</w:t>
            </w:r>
          </w:p>
        </w:tc>
        <w:tc>
          <w:tcPr>
            <w:tcW w:type="dxa" w:w="2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What the tier holds</w:t>
            </w:r>
          </w:p>
        </w:tc>
      </w:tr>
      <w:tr>
        <w:tc>
          <w:tcPr>
            <w:tcW w:type="dxa" w:w="1700"/>
            <w:tcMar>
              <w:top w:type="dxa" w:w="70"/>
              <w:left w:type="dxa" w:w="120"/>
              <w:bottom w:type="dxa" w:w="70"/>
              <w:right w:type="dxa" w:w="120"/>
            </w:tcMar>
          </w:tcPr>
          <w:p>
            <w:pPr>
              <w:spacing w:line="264"/>
            </w:pPr>
            <w:r>
              <w:rPr>
                <w:rFonts w:ascii="Georgia" w:cs="Georgia" w:eastAsia="Georgia" w:hAnsi="Georgia"/>
                <w:color w:val="1A1A1A"/>
                <w:sz w:val="19"/>
                <w:szCs w:val="19"/>
              </w:rPr>
              <w:t xml:space="preserve">Critically important</w:t>
            </w:r>
          </w:p>
        </w:tc>
        <w:tc>
          <w:tcPr>
            <w:tcW w:type="dxa" w:w="1700"/>
            <w:tcMar>
              <w:top w:type="dxa" w:w="70"/>
              <w:left w:type="dxa" w:w="120"/>
              <w:bottom w:type="dxa" w:w="70"/>
              <w:right w:type="dxa" w:w="120"/>
            </w:tcMar>
          </w:tcPr>
          <w:p>
            <w:pPr>
              <w:spacing w:line="264"/>
            </w:pPr>
            <w:r>
              <w:rPr>
                <w:rFonts w:ascii="Georgia" w:cs="Georgia" w:eastAsia="Georgia" w:hAnsi="Georgia"/>
                <w:color w:val="1A1A1A"/>
                <w:sz w:val="19"/>
                <w:szCs w:val="19"/>
              </w:rPr>
              <w:t xml:space="preserve">Strategic / Core</w:t>
            </w:r>
          </w:p>
        </w:tc>
        <w:tc>
          <w:tcPr>
            <w:tcW w:type="dxa" w:w="3060"/>
            <w:tcMar>
              <w:top w:type="dxa" w:w="70"/>
              <w:left w:type="dxa" w:w="120"/>
              <w:bottom w:type="dxa" w:w="70"/>
              <w:right w:type="dxa" w:w="120"/>
            </w:tcMar>
          </w:tcPr>
          <w:p>
            <w:pPr>
              <w:spacing w:line="264"/>
            </w:pPr>
            <w:r>
              <w:rPr>
                <w:rFonts w:ascii="Georgia" w:cs="Georgia" w:eastAsia="Georgia" w:hAnsi="Georgia"/>
                <w:color w:val="1A1A1A"/>
                <w:sz w:val="19"/>
                <w:szCs w:val="19"/>
              </w:rPr>
              <w:t xml:space="preserve">Ibarra &amp; Hunter's strategic network; Dunbar inner layers</w:t>
            </w:r>
          </w:p>
        </w:tc>
        <w:tc>
          <w:tcPr>
            <w:tcW w:type="dxa" w:w="2900"/>
            <w:tcMar>
              <w:top w:type="dxa" w:w="70"/>
              <w:left w:type="dxa" w:w="120"/>
              <w:bottom w:type="dxa" w:w="70"/>
              <w:right w:type="dxa" w:w="120"/>
            </w:tcMar>
          </w:tcPr>
          <w:p>
            <w:pPr>
              <w:spacing w:line="264"/>
            </w:pPr>
            <w:r>
              <w:rPr>
                <w:rFonts w:ascii="Georgia" w:cs="Georgia" w:eastAsia="Georgia" w:hAnsi="Georgia"/>
                <w:color w:val="1A1A1A"/>
                <w:sz w:val="19"/>
                <w:szCs w:val="19"/>
              </w:rPr>
              <w:t xml:space="preserve">High-trust, high-priority ties central to current goals and future direction</w:t>
            </w:r>
          </w:p>
        </w:tc>
      </w:tr>
      <w:tr>
        <w:tc>
          <w:tcPr>
            <w:tcW w:type="dxa" w:w="17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Good terms</w:t>
            </w:r>
          </w:p>
        </w:tc>
        <w:tc>
          <w:tcPr>
            <w:tcW w:type="dxa" w:w="17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Active</w:t>
            </w:r>
          </w:p>
        </w:tc>
        <w:tc>
          <w:tcPr>
            <w:tcW w:type="dxa" w:w="30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Ibarra &amp; Hunter's operational and personal networks</w:t>
            </w:r>
          </w:p>
        </w:tc>
        <w:tc>
          <w:tcPr>
            <w:tcW w:type="dxa" w:w="2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Currently maintained working and developmental contacts</w:t>
            </w:r>
          </w:p>
        </w:tc>
      </w:tr>
      <w:tr>
        <w:tc>
          <w:tcPr>
            <w:tcW w:type="dxa" w:w="1700"/>
            <w:tcMar>
              <w:top w:type="dxa" w:w="70"/>
              <w:left w:type="dxa" w:w="120"/>
              <w:bottom w:type="dxa" w:w="70"/>
              <w:right w:type="dxa" w:w="120"/>
            </w:tcMar>
          </w:tcPr>
          <w:p>
            <w:pPr>
              <w:spacing w:line="264"/>
            </w:pPr>
            <w:r>
              <w:rPr>
                <w:rFonts w:ascii="Georgia" w:cs="Georgia" w:eastAsia="Georgia" w:hAnsi="Georgia"/>
                <w:color w:val="1A1A1A"/>
                <w:sz w:val="19"/>
                <w:szCs w:val="19"/>
              </w:rPr>
              <w:t xml:space="preserve">Speculative</w:t>
            </w:r>
          </w:p>
        </w:tc>
        <w:tc>
          <w:tcPr>
            <w:tcW w:type="dxa" w:w="1700"/>
            <w:tcMar>
              <w:top w:type="dxa" w:w="70"/>
              <w:left w:type="dxa" w:w="120"/>
              <w:bottom w:type="dxa" w:w="70"/>
              <w:right w:type="dxa" w:w="120"/>
            </w:tcMar>
          </w:tcPr>
          <w:p>
            <w:pPr>
              <w:spacing w:line="264"/>
            </w:pPr>
            <w:r>
              <w:rPr>
                <w:rFonts w:ascii="Georgia" w:cs="Georgia" w:eastAsia="Georgia" w:hAnsi="Georgia"/>
                <w:color w:val="1A1A1A"/>
                <w:sz w:val="19"/>
                <w:szCs w:val="19"/>
              </w:rPr>
              <w:t xml:space="preserve">Bridging / Dormant</w:t>
            </w:r>
          </w:p>
        </w:tc>
        <w:tc>
          <w:tcPr>
            <w:tcW w:type="dxa" w:w="3060"/>
            <w:tcMar>
              <w:top w:type="dxa" w:w="70"/>
              <w:left w:type="dxa" w:w="120"/>
              <w:bottom w:type="dxa" w:w="70"/>
              <w:right w:type="dxa" w:w="120"/>
            </w:tcMar>
          </w:tcPr>
          <w:p>
            <w:pPr>
              <w:spacing w:line="264"/>
            </w:pPr>
            <w:r>
              <w:rPr>
                <w:rFonts w:ascii="Georgia" w:cs="Georgia" w:eastAsia="Georgia" w:hAnsi="Georgia"/>
                <w:color w:val="1A1A1A"/>
                <w:sz w:val="19"/>
                <w:szCs w:val="19"/>
              </w:rPr>
              <w:t xml:space="preserve">Granovetter; Rajkumar et al.; Levin &amp; Walter</w:t>
            </w:r>
          </w:p>
        </w:tc>
        <w:tc>
          <w:tcPr>
            <w:tcW w:type="dxa" w:w="2900"/>
            <w:tcMar>
              <w:top w:type="dxa" w:w="70"/>
              <w:left w:type="dxa" w:w="120"/>
              <w:bottom w:type="dxa" w:w="70"/>
              <w:right w:type="dxa" w:w="120"/>
            </w:tcMar>
          </w:tcPr>
          <w:p>
            <w:pPr>
              <w:spacing w:line="264"/>
            </w:pPr>
            <w:r>
              <w:rPr>
                <w:rFonts w:ascii="Georgia" w:cs="Georgia" w:eastAsia="Georgia" w:hAnsi="Georgia"/>
                <w:color w:val="1A1A1A"/>
                <w:sz w:val="19"/>
                <w:szCs w:val="19"/>
              </w:rPr>
              <w:t xml:space="preserve">Weak or out-of-touch ties with high latent value — the career sweet spot</w:t>
            </w:r>
          </w:p>
        </w:tc>
      </w:tr>
      <w:tr>
        <w:tc>
          <w:tcPr>
            <w:tcW w:type="dxa" w:w="17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(no fourth)</w:t>
            </w:r>
          </w:p>
        </w:tc>
        <w:tc>
          <w:tcPr>
            <w:tcW w:type="dxa" w:w="17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Aspirational / Target</w:t>
            </w:r>
          </w:p>
        </w:tc>
        <w:tc>
          <w:tcPr>
            <w:tcW w:type="dxa" w:w="30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Strategic-network cultivation; deliberate tie-building</w:t>
            </w:r>
          </w:p>
        </w:tc>
        <w:tc>
          <w:tcPr>
            <w:tcW w:type="dxa" w:w="2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People to intentionally build toward who are not yet real contacts</w:t>
            </w:r>
          </w:p>
        </w:tc>
      </w:tr>
      <w:tr>
        <w:tc>
          <w:tcPr>
            <w:tcW w:type="dxa" w:w="1700"/>
            <w:tcMar>
              <w:top w:type="dxa" w:w="70"/>
              <w:left w:type="dxa" w:w="120"/>
              <w:bottom w:type="dxa" w:w="70"/>
              <w:right w:type="dxa" w:w="120"/>
            </w:tcMar>
          </w:tcPr>
          <w:p>
            <w:pPr>
              <w:spacing w:line="264"/>
            </w:pPr>
            <w:r>
              <w:rPr>
                <w:rFonts w:ascii="Georgia" w:cs="Georgia" w:eastAsia="Georgia" w:hAnsi="Georgia"/>
                <w:color w:val="1A1A1A"/>
                <w:sz w:val="19"/>
                <w:szCs w:val="19"/>
              </w:rPr>
              <w:t xml:space="preserve">(delete)</w:t>
            </w:r>
          </w:p>
        </w:tc>
        <w:tc>
          <w:tcPr>
            <w:tcW w:type="dxa" w:w="1700"/>
            <w:tcMar>
              <w:top w:type="dxa" w:w="70"/>
              <w:left w:type="dxa" w:w="120"/>
              <w:bottom w:type="dxa" w:w="70"/>
              <w:right w:type="dxa" w:w="120"/>
            </w:tcMar>
          </w:tcPr>
          <w:p>
            <w:pPr>
              <w:spacing w:line="264"/>
            </w:pPr>
            <w:r>
              <w:rPr>
                <w:rFonts w:ascii="Georgia" w:cs="Georgia" w:eastAsia="Georgia" w:hAnsi="Georgia"/>
                <w:color w:val="1A1A1A"/>
                <w:sz w:val="19"/>
                <w:szCs w:val="19"/>
              </w:rPr>
              <w:t xml:space="preserve">Not relevant — retained</w:t>
            </w:r>
          </w:p>
        </w:tc>
        <w:tc>
          <w:tcPr>
            <w:tcW w:type="dxa" w:w="3060"/>
            <w:tcMar>
              <w:top w:type="dxa" w:w="70"/>
              <w:left w:type="dxa" w:w="120"/>
              <w:bottom w:type="dxa" w:w="70"/>
              <w:right w:type="dxa" w:w="120"/>
            </w:tcMar>
          </w:tcPr>
          <w:p>
            <w:pPr>
              <w:spacing w:line="264"/>
            </w:pPr>
            <w:r>
              <w:rPr>
                <w:rFonts w:ascii="Georgia" w:cs="Georgia" w:eastAsia="Georgia" w:hAnsi="Georgia"/>
                <w:color w:val="1A1A1A"/>
                <w:sz w:val="19"/>
                <w:szCs w:val="19"/>
              </w:rPr>
              <w:t xml:space="preserve">Weak-tie value cautions against irreversible deletion</w:t>
            </w:r>
          </w:p>
        </w:tc>
        <w:tc>
          <w:tcPr>
            <w:tcW w:type="dxa" w:w="2900"/>
            <w:tcMar>
              <w:top w:type="dxa" w:w="70"/>
              <w:left w:type="dxa" w:w="120"/>
              <w:bottom w:type="dxa" w:w="70"/>
              <w:right w:type="dxa" w:w="120"/>
            </w:tcMar>
          </w:tcPr>
          <w:p>
            <w:pPr>
              <w:spacing w:line="264"/>
            </w:pPr>
            <w:r>
              <w:rPr>
                <w:rFonts w:ascii="Georgia" w:cs="Georgia" w:eastAsia="Georgia" w:hAnsi="Georgia"/>
                <w:color w:val="1A1A1A"/>
                <w:sz w:val="19"/>
                <w:szCs w:val="19"/>
              </w:rPr>
              <w:t xml:space="preserve">Filed out of view but saved and recoverable</w:t>
            </w:r>
          </w:p>
        </w:tc>
      </w:tr>
    </w:tbl>
    <w:p>
      <w:pPr>
        <w:spacing w:after="80"/>
      </w:pP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The one substantive correction</w:t>
            </w:r>
          </w:p>
          <w:p>
            <w:pPr>
              <w:spacing w:after="60" w:line="276"/>
            </w:pPr>
            <w:r>
              <w:rPr>
                <w:rFonts w:ascii="Georgia" w:cs="Georgia" w:eastAsia="Georgia" w:hAnsi="Georgia"/>
                <w:color w:val="1A1A1A"/>
                <w:sz w:val="21"/>
                <w:szCs w:val="21"/>
              </w:rPr>
              <w:t xml:space="preserve">Relabeling “speculative” as “bridging / dormant” is not cosmetic. The word “speculative” implies these ties are the least valuable — a gamble that probably will not pay off. The weak-tie and dormant-tie research says close to the opposite: these are frequently where the strongest career value hides, precisely because they bridge to information and opportunity your inner circle cannot supply. Naming the tier accurately changes how a user treats it — from a holding pen for people they will probably cut, to a deliberately cultivated reserve. This is a case where getting the vocabulary right, grounded in the evidence, improves the user's decisions.</w:t>
            </w:r>
          </w:p>
        </w:tc>
      </w:tr>
    </w:tbl>
    <w:p>
      <w:pPr>
        <w:spacing w:after="160" w:line="300"/>
        <w:jc w:val="both"/>
      </w:pPr>
      <w:r>
        <w:rPr>
          <w:rFonts w:ascii="Georgia" w:cs="Georgia" w:eastAsia="Georgia" w:hAnsi="Georgia"/>
          <w:color w:val="1A1A1A"/>
          <w:sz w:val="22"/>
          <w:szCs w:val="22"/>
        </w:rPr>
        <w:t xml:space="preserve">The professional mode, then, is not a cosmetic reskin of the personal one. It carries a different and equally well-supported set of categories — strategic, active, bridging/dormant, aspirational — drawn from the network and careers literature, and it opens the door to an optional maintenance-cadence feature borrowed from the personal-CRM tradition. Both modes share the same underlying engine and the same core commitments: a small number of meaningful tiers, a retained rather than destroyed bottom category, and rapid triage. What changes is only the vocabulary, correctly matched to the domain.</w:t>
      </w:r>
    </w:p>
    <w:p>
      <w:r>
        <w:br w:type="page"/>
      </w:r>
    </w:p>
    <w:p>
      <w:pPr>
        <w:pStyle w:val="Heading1"/>
        <w:keepNext/>
        <w:spacing w:after="200" w:before="360"/>
      </w:pPr>
      <w:r>
        <w:rPr>
          <w:rFonts w:ascii="Arial" w:cs="Arial" w:eastAsia="Arial" w:hAnsi="Arial"/>
          <w:b/>
          <w:bCs/>
          <w:color w:val="234A35"/>
          <w:sz w:val="32"/>
          <w:szCs w:val="32"/>
        </w:rPr>
        <w:t xml:space="preserve">5. Curation over Abstinence: Decluttering as Intervention</w:t>
      </w:r>
    </w:p>
    <w:p>
      <w:pPr>
        <w:spacing w:after="160" w:line="300"/>
        <w:jc w:val="both"/>
      </w:pPr>
      <w:r>
        <w:rPr>
          <w:rFonts w:ascii="Georgia" w:cs="Georgia" w:eastAsia="Georgia" w:hAnsi="Georgia"/>
          <w:color w:val="1A1A1A"/>
          <w:sz w:val="22"/>
          <w:szCs w:val="22"/>
        </w:rPr>
        <w:t xml:space="preserve">The evidence assembled so far points toward an intervention but does not yet specify its form. One obvious response to a harmful, attention-extracting, comparison-inducing feed is simply to quit — to delete the account and be done. This chapter examines the abstinence evidence, finds it genuinely supportive but impractical as a general prescription, and argues that a better-supported and more sustainable path is deliberate curation: not less-of-everything but the intentional reshaping of what one consumes and whom one keeps. This is the chapter where the paper's second movement — the corrective — completes, and where the specific act the tool enables is shown to be the intervention the science recommends.</w:t>
      </w:r>
    </w:p>
    <w:p>
      <w:pPr>
        <w:pStyle w:val="Heading2"/>
        <w:keepNext/>
        <w:spacing w:after="140" w:before="260"/>
      </w:pPr>
      <w:r>
        <w:rPr>
          <w:rFonts w:ascii="Arial" w:cs="Arial" w:eastAsia="Arial" w:hAnsi="Arial"/>
          <w:b/>
          <w:bCs/>
          <w:color w:val="8C4A2F"/>
          <w:sz w:val="26"/>
          <w:szCs w:val="26"/>
        </w:rPr>
        <w:t xml:space="preserve">5.1 What abstinence experiments show</w:t>
      </w:r>
    </w:p>
    <w:p>
      <w:pPr>
        <w:spacing w:after="160" w:line="300"/>
        <w:jc w:val="both"/>
      </w:pPr>
      <w:r>
        <w:rPr>
          <w:rFonts w:ascii="Georgia" w:cs="Georgia" w:eastAsia="Georgia" w:hAnsi="Georgia"/>
          <w:color w:val="1A1A1A"/>
          <w:sz w:val="22"/>
          <w:szCs w:val="22"/>
        </w:rPr>
        <w:t xml:space="preserve">The strongest causal evidence in this whole area comes from experiments that reduced or eliminated social-media use and measured the effect on well-being. Three deserve particular attention.</w:t>
      </w:r>
    </w:p>
    <w:p>
      <w:pPr>
        <w:spacing w:after="160" w:line="300"/>
        <w:jc w:val="both"/>
      </w:pPr>
      <w:r>
        <w:rPr>
          <w:rFonts w:ascii="Georgia" w:cs="Georgia" w:eastAsia="Georgia" w:hAnsi="Georgia"/>
          <w:color w:val="1A1A1A"/>
          <w:sz w:val="22"/>
          <w:szCs w:val="22"/>
        </w:rPr>
        <w:t xml:space="preserve">Hunt and colleagues, in a 2018 study in the </w:t>
      </w:r>
      <w:r>
        <w:rPr>
          <w:rFonts w:ascii="Georgia" w:cs="Georgia" w:eastAsia="Georgia" w:hAnsi="Georgia"/>
          <w:i/>
          <w:iCs/>
          <w:color w:val="1A1A1A"/>
          <w:sz w:val="22"/>
          <w:szCs w:val="22"/>
        </w:rPr>
        <w:t xml:space="preserve">Journal of Social and Clinical Psychology</w:t>
      </w:r>
      <w:r>
        <w:rPr>
          <w:rFonts w:ascii="Georgia" w:cs="Georgia" w:eastAsia="Georgia" w:hAnsi="Georgia"/>
          <w:color w:val="1A1A1A"/>
          <w:sz w:val="22"/>
          <w:szCs w:val="22"/>
        </w:rPr>
        <w:t xml:space="preserve"> pointedly titled “No More FOMO,” randomly assigned University of Pennsylvania undergraduates either to limit Facebook, Instagram, and Snapchat to ten minutes per platform per day for three weeks or to continue as usual. The limited group showed significant reductions in loneliness and depression relative to controls. Notably, both groups saw declines in anxiety and fear of missing out — the authors attributed this to the self-monitoring that the study itself induced, an interesting hint that simply paying deliberate attention to one's use carries benefit.</w:t>
      </w:r>
    </w:p>
    <w:p>
      <w:pPr>
        <w:spacing w:after="160" w:line="300"/>
        <w:jc w:val="both"/>
      </w:pPr>
      <w:r>
        <w:rPr>
          <w:rFonts w:ascii="Georgia" w:cs="Georgia" w:eastAsia="Georgia" w:hAnsi="Georgia"/>
          <w:color w:val="1A1A1A"/>
          <w:sz w:val="22"/>
          <w:szCs w:val="22"/>
        </w:rPr>
        <w:t xml:space="preserve">Allcott and colleagues, in a 2020 </w:t>
      </w:r>
      <w:r>
        <w:rPr>
          <w:rFonts w:ascii="Georgia" w:cs="Georgia" w:eastAsia="Georgia" w:hAnsi="Georgia"/>
          <w:i/>
          <w:iCs/>
          <w:color w:val="1A1A1A"/>
          <w:sz w:val="22"/>
          <w:szCs w:val="22"/>
        </w:rPr>
        <w:t xml:space="preserve">American Economic Review</w:t>
      </w:r>
      <w:r>
        <w:rPr>
          <w:rFonts w:ascii="Georgia" w:cs="Georgia" w:eastAsia="Georgia" w:hAnsi="Georgia"/>
          <w:color w:val="1A1A1A"/>
          <w:sz w:val="22"/>
          <w:szCs w:val="22"/>
        </w:rPr>
        <w:t xml:space="preserve"> paper, ran a large randomized experiment that paid users to deactivate Facebook for four weeks around the 2018 U.S. midterm elections. Deactivation increased subjective well-being and the time people spent socializing offline and watching television with family, reduced factual news knowledge and political polarization, and — tellingly — caused a persistent reduction in Facebook use even after the experiment ended, along with a lower valuation of the platform. The authors concluded that standard economic measures may overstate the consumer benefit these platforms provide. A much larger 2024 deactivation study run in collaboration with Meta before the 2020 election refined the political findings toward null but is consistent with the well-being picture, and this paper cites it precisely because it is the most rigorous and least alarmist entry in the set.</w:t>
      </w:r>
    </w:p>
    <w:p>
      <w:pPr>
        <w:spacing w:after="160" w:line="300"/>
        <w:jc w:val="both"/>
      </w:pPr>
      <w:r>
        <w:rPr>
          <w:rFonts w:ascii="Georgia" w:cs="Georgia" w:eastAsia="Georgia" w:hAnsi="Georgia"/>
          <w:color w:val="1A1A1A"/>
          <w:sz w:val="22"/>
          <w:szCs w:val="22"/>
        </w:rPr>
        <w:t xml:space="preserve">Tromholt's “Facebook Experiment” and Lambert and colleagues' one-week abstinence study round out the pattern: reducing use tends to improve well-being on average, with effects that are real but, consistent with the effect-size debate of Chapter 1, modest. A 2025 meta-analysis of deactivation experiments confirms a small positive average effect of taking breaks.</w:t>
      </w:r>
    </w:p>
    <w:p>
      <w:pPr>
        <w:pStyle w:val="Heading2"/>
        <w:keepNext/>
        <w:spacing w:after="140" w:before="260"/>
      </w:pPr>
      <w:r>
        <w:rPr>
          <w:rFonts w:ascii="Arial" w:cs="Arial" w:eastAsia="Arial" w:hAnsi="Arial"/>
          <w:b/>
          <w:bCs/>
          <w:color w:val="8C4A2F"/>
          <w:sz w:val="26"/>
          <w:szCs w:val="26"/>
        </w:rPr>
        <w:t xml:space="preserve">5.2 Why abstinence is the wrong general prescription</w:t>
      </w:r>
    </w:p>
    <w:p>
      <w:pPr>
        <w:spacing w:after="160" w:line="300"/>
        <w:jc w:val="both"/>
      </w:pPr>
      <w:r>
        <w:rPr>
          <w:rFonts w:ascii="Georgia" w:cs="Georgia" w:eastAsia="Georgia" w:hAnsi="Georgia"/>
          <w:color w:val="1A1A1A"/>
          <w:sz w:val="22"/>
          <w:szCs w:val="22"/>
        </w:rPr>
        <w:t xml:space="preserve">If the experiments support reducing use, why not simply prescribe quitting? Because the abstinence framing ignores the genuine value established in Chapter 3. Social platforms uniquely preserve maintained social capital — access to weak, dormant, and geographically distant ties that would otherwise be lost. For a person who has moved away from a hometown, whose family is dispersed, whose closest friends from one era live in another, deleting the account does not just remove the noise; it severs the only standing channel to a large part of their history. The abstinence studies measured short-term well-being over weeks; they did not measure the slow cost of weak-tie decay over years. Quitting trades a measurable short-term mood gain for an unmeasured long-term loss of bridging capital. For some people that trade is worth it, and this paper does not disparage those who make it. But it is not a general solution, and it is not what a person who wants to stay connected to the people they care about is actually asking for.</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The reframing</w:t>
            </w:r>
          </w:p>
          <w:p>
            <w:pPr>
              <w:spacing w:after="60" w:line="276"/>
            </w:pPr>
            <w:r>
              <w:rPr>
                <w:rFonts w:ascii="Georgia" w:cs="Georgia" w:eastAsia="Georgia" w:hAnsi="Georgia"/>
                <w:color w:val="1A1A1A"/>
                <w:sz w:val="21"/>
                <w:szCs w:val="21"/>
              </w:rPr>
              <w:t xml:space="preserve">The abstinence experiments are best read not as proof that social media should be abandoned but as proof that its harmful mode — heavy, passive, comparison-driven consumption of an undifferentiated feed — carries a real cost that reducing exposure relieves. Curation achieves the exposure reduction while preserving the connection value. It is the scalpel where abstinence is the amputation.</w:t>
            </w:r>
          </w:p>
        </w:tc>
      </w:tr>
    </w:tbl>
    <w:p>
      <w:pPr>
        <w:pStyle w:val="Heading2"/>
        <w:keepNext/>
        <w:spacing w:after="140" w:before="260"/>
      </w:pPr>
      <w:r>
        <w:rPr>
          <w:rFonts w:ascii="Arial" w:cs="Arial" w:eastAsia="Arial" w:hAnsi="Arial"/>
          <w:b/>
          <w:bCs/>
          <w:color w:val="8C4A2F"/>
          <w:sz w:val="26"/>
          <w:szCs w:val="26"/>
        </w:rPr>
        <w:t xml:space="preserve">5.3 Digital minimalism and intentional use</w:t>
      </w:r>
    </w:p>
    <w:p>
      <w:pPr>
        <w:spacing w:after="160" w:line="300"/>
        <w:jc w:val="both"/>
      </w:pPr>
      <w:r>
        <w:rPr>
          <w:rFonts w:ascii="Georgia" w:cs="Georgia" w:eastAsia="Georgia" w:hAnsi="Georgia"/>
          <w:color w:val="1A1A1A"/>
          <w:sz w:val="22"/>
          <w:szCs w:val="22"/>
        </w:rPr>
        <w:t xml:space="preserve">The most developed articulation of the middle path is Cal Newport's </w:t>
      </w:r>
      <w:r>
        <w:rPr>
          <w:rFonts w:ascii="Georgia" w:cs="Georgia" w:eastAsia="Georgia" w:hAnsi="Georgia"/>
          <w:i/>
          <w:iCs/>
          <w:color w:val="1A1A1A"/>
          <w:sz w:val="22"/>
          <w:szCs w:val="22"/>
        </w:rPr>
        <w:t xml:space="preserve">Digital Minimalism</w:t>
      </w:r>
      <w:r>
        <w:rPr>
          <w:rFonts w:ascii="Georgia" w:cs="Georgia" w:eastAsia="Georgia" w:hAnsi="Georgia"/>
          <w:color w:val="1A1A1A"/>
          <w:sz w:val="22"/>
          <w:szCs w:val="22"/>
        </w:rPr>
        <w:t xml:space="preserve">, which argues for a philosophy of technology use organized around one's actual values rather than around whatever the apps make easy. A digital minimalist does not reject technology; they subject each use to the question of whether it serves something they genuinely care about, and they configure their tools deliberately rather than accepting the engagement-maximizing defaults. Applied to a social network, digital minimalism counsels exactly the act this paper's tool enables: deciding, on purpose, whose presence in your feed earns its place, rather than letting an algorithm and a decade of reflexive follow-backs decide for you.</w:t>
      </w:r>
    </w:p>
    <w:p>
      <w:pPr>
        <w:spacing w:after="160" w:line="300"/>
        <w:jc w:val="both"/>
      </w:pPr>
      <w:r>
        <w:rPr>
          <w:rFonts w:ascii="Georgia" w:cs="Georgia" w:eastAsia="Georgia" w:hAnsi="Georgia"/>
          <w:color w:val="1A1A1A"/>
          <w:sz w:val="22"/>
          <w:szCs w:val="22"/>
        </w:rPr>
        <w:t xml:space="preserve">The psychological reason this feels better than an algorithmic feed is captured by self-determination theory, the influential framework of Edward Deci and Richard Ryan, which holds that human well-being depends on satisfying three basic needs: autonomy, competence, and relatedness. An algorithmically-composed feed systematically undermines </w:t>
      </w:r>
      <w:r>
        <w:rPr>
          <w:rFonts w:ascii="Georgia" w:cs="Georgia" w:eastAsia="Georgia" w:hAnsi="Georgia"/>
          <w:i/>
          <w:iCs/>
          <w:color w:val="1A1A1A"/>
          <w:sz w:val="22"/>
          <w:szCs w:val="22"/>
        </w:rPr>
        <w:t xml:space="preserve">autonomy</w:t>
      </w:r>
      <w:r>
        <w:rPr>
          <w:rFonts w:ascii="Georgia" w:cs="Georgia" w:eastAsia="Georgia" w:hAnsi="Georgia"/>
          <w:color w:val="1A1A1A"/>
          <w:sz w:val="22"/>
          <w:szCs w:val="22"/>
        </w:rPr>
        <w:t xml:space="preserve"> — it decides what you see — while a curated one restores it. This is not a small point. Part of the distinctive unpleasantness of a doom-inducing feed is the felt loss of control, the sense of being fed rather than choosing; and part of the satisfaction of a well-curated feed is the restored sense of authorship. Curation is autonomy-restoring by design.</w:t>
      </w:r>
    </w:p>
    <w:p>
      <w:pPr>
        <w:pStyle w:val="Heading2"/>
        <w:keepNext/>
        <w:spacing w:after="140" w:before="260"/>
      </w:pPr>
      <w:r>
        <w:rPr>
          <w:rFonts w:ascii="Arial" w:cs="Arial" w:eastAsia="Arial" w:hAnsi="Arial"/>
          <w:b/>
          <w:bCs/>
          <w:color w:val="8C4A2F"/>
          <w:sz w:val="26"/>
          <w:szCs w:val="26"/>
        </w:rPr>
        <w:t xml:space="preserve">5.4 The friction argument</w:t>
      </w:r>
    </w:p>
    <w:p>
      <w:pPr>
        <w:spacing w:after="160" w:line="300"/>
        <w:jc w:val="both"/>
      </w:pPr>
      <w:r>
        <w:rPr>
          <w:rFonts w:ascii="Georgia" w:cs="Georgia" w:eastAsia="Georgia" w:hAnsi="Georgia"/>
          <w:color w:val="1A1A1A"/>
          <w:sz w:val="22"/>
          <w:szCs w:val="22"/>
        </w:rPr>
        <w:t xml:space="preserve">A recurring theme in behavior-change research is that friction — the effort required to perform an action — is a powerful and underused lever. Adding friction reduces unwanted behaviors; removing it enables desired ones. Much of the digital-self-control literature works on the first half: screen-time limits, app blockers, grayscale modes, and the like all add friction to consumption. These tools have modest and mixed effectiveness, in part because they fight the user's in-the-moment motivation.</w:t>
      </w:r>
    </w:p>
    <w:p>
      <w:pPr>
        <w:spacing w:after="160" w:line="300"/>
        <w:jc w:val="both"/>
      </w:pPr>
      <w:r>
        <w:rPr>
          <w:rFonts w:ascii="Georgia" w:cs="Georgia" w:eastAsia="Georgia" w:hAnsi="Georgia"/>
          <w:color w:val="1A1A1A"/>
          <w:sz w:val="22"/>
          <w:szCs w:val="22"/>
        </w:rPr>
        <w:t xml:space="preserve">The tool this paper proposes works on the second, more tractable half of the friction lever. The desired behavior — deliberately sorting one's network into meaningful tiers — is currently choked by enormous friction. As the introduction described, doing it by hand means reading hundreds of names in a document, cross-referencing profiles, and recording decisions somewhere, a process that can consume an entire day. That friction is why almost no one does it. Removing it — turning each decision into a single swipe or keystroke against a card that shows the name, the handle, and a link to the profile — is the entire mechanical purpose of the software. The behavioral logic is clean: the science says curation is the right intervention, the intervention is currently blocked by friction, and the tool's job is to remove that specific friction. This is a rare and favorable configuration — helping people do a beneficial thing by making it easy, rather than trying to stop them from doing a harmful thing by making it hard.</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The intervention, stated precisely</w:t>
            </w:r>
          </w:p>
          <w:p>
            <w:pPr>
              <w:spacing w:after="60" w:line="276"/>
            </w:pPr>
            <w:r>
              <w:rPr>
                <w:rFonts w:ascii="Georgia" w:cs="Georgia" w:eastAsia="Georgia" w:hAnsi="Georgia"/>
                <w:color w:val="1A1A1A"/>
                <w:sz w:val="21"/>
                <w:szCs w:val="21"/>
              </w:rPr>
              <w:t xml:space="preserve">The digital-minimalism and abstinence literatures converge on this: well-being improves when a person reduces passive, comparison-driven consumption and reclaims autonomy over their attention, without necessarily severing the connections that carry real value. The single act that accomplishes all of this at once is deliberate, tier-based curation of one's network. The tool exists to make that act take minutes instead of a day.</w:t>
            </w:r>
          </w:p>
        </w:tc>
      </w:tr>
    </w:tbl>
    <w:p>
      <w:r>
        <w:br w:type="page"/>
      </w:r>
    </w:p>
    <w:p>
      <w:pPr>
        <w:pStyle w:val="Heading1"/>
        <w:keepNext/>
        <w:spacing w:after="200" w:before="360"/>
      </w:pPr>
      <w:r>
        <w:rPr>
          <w:rFonts w:ascii="Arial" w:cs="Arial" w:eastAsia="Arial" w:hAnsi="Arial"/>
          <w:b/>
          <w:bCs/>
          <w:color w:val="234A35"/>
          <w:sz w:val="32"/>
          <w:szCs w:val="32"/>
        </w:rPr>
        <w:t xml:space="preserve">6. Your Data, Your Device: The Privacy Architecture</w:t>
      </w:r>
    </w:p>
    <w:p>
      <w:pPr>
        <w:spacing w:after="160" w:line="300"/>
        <w:jc w:val="both"/>
      </w:pPr>
      <w:r>
        <w:rPr>
          <w:rFonts w:ascii="Georgia" w:cs="Georgia" w:eastAsia="Georgia" w:hAnsi="Georgia"/>
          <w:color w:val="1A1A1A"/>
          <w:sz w:val="22"/>
          <w:szCs w:val="22"/>
        </w:rPr>
        <w:t xml:space="preserve">A tool that asks a person to load their entire social graph — the complete list of who they know and how they rank them — is handling some of the most sensitive information a person possesses. How that data is handled is therefore not a technical footnote but a central design and ethical question, and the answer this paper defends is uncompromising: the data never leaves the user's device. This chapter grounds that commitment in the critique of surveillance capitalism, the local-first software movement, the principle of privacy by design, and — crucially — the legal history that makes client-side processing of one's own exported data not merely the ethical choice but the only durable one. The privacy architecture is also, not incidentally, what distinguishes this tool from nearly every existing product in its category, a point the competitor analysis in the next chapter develops.</w:t>
      </w:r>
    </w:p>
    <w:p>
      <w:pPr>
        <w:pStyle w:val="Heading2"/>
        <w:keepNext/>
        <w:spacing w:after="140" w:before="260"/>
      </w:pPr>
      <w:r>
        <w:rPr>
          <w:rFonts w:ascii="Arial" w:cs="Arial" w:eastAsia="Arial" w:hAnsi="Arial"/>
          <w:b/>
          <w:bCs/>
          <w:color w:val="8C4A2F"/>
          <w:sz w:val="26"/>
          <w:szCs w:val="26"/>
        </w:rPr>
        <w:t xml:space="preserve">6.1 Surveillance capitalism and behavioral surplus</w:t>
      </w:r>
    </w:p>
    <w:p>
      <w:pPr>
        <w:spacing w:after="160" w:line="300"/>
        <w:jc w:val="both"/>
      </w:pPr>
      <w:r>
        <w:rPr>
          <w:rFonts w:ascii="Georgia" w:cs="Georgia" w:eastAsia="Georgia" w:hAnsi="Georgia"/>
          <w:color w:val="1A1A1A"/>
          <w:sz w:val="22"/>
          <w:szCs w:val="22"/>
        </w:rPr>
        <w:t xml:space="preserve">Shoshana Zuboff's </w:t>
      </w:r>
      <w:r>
        <w:rPr>
          <w:rFonts w:ascii="Georgia" w:cs="Georgia" w:eastAsia="Georgia" w:hAnsi="Georgia"/>
          <w:i/>
          <w:iCs/>
          <w:color w:val="1A1A1A"/>
          <w:sz w:val="22"/>
          <w:szCs w:val="22"/>
        </w:rPr>
        <w:t xml:space="preserve">The Age of Surveillance Capitalism</w:t>
      </w:r>
      <w:r>
        <w:rPr>
          <w:rFonts w:ascii="Georgia" w:cs="Georgia" w:eastAsia="Georgia" w:hAnsi="Georgia"/>
          <w:color w:val="1A1A1A"/>
          <w:sz w:val="22"/>
          <w:szCs w:val="22"/>
        </w:rPr>
        <w:t xml:space="preserve"> provides the framework against which this tool defines itself. Zuboff describes a economic logic in which human experience is unilaterally claimed as free raw material — </w:t>
      </w:r>
      <w:r>
        <w:rPr>
          <w:rFonts w:ascii="Georgia" w:cs="Georgia" w:eastAsia="Georgia" w:hAnsi="Georgia"/>
          <w:i/>
          <w:iCs/>
          <w:color w:val="1A1A1A"/>
          <w:sz w:val="22"/>
          <w:szCs w:val="22"/>
        </w:rPr>
        <w:t xml:space="preserve">behavioral surplus</w:t>
      </w:r>
      <w:r>
        <w:rPr>
          <w:rFonts w:ascii="Georgia" w:cs="Georgia" w:eastAsia="Georgia" w:hAnsi="Georgia"/>
          <w:color w:val="1A1A1A"/>
          <w:sz w:val="22"/>
          <w:szCs w:val="22"/>
        </w:rPr>
        <w:t xml:space="preserve"> — to be rendered into prediction products and traded in what she calls behavioral futures markets. The social platforms are the paradigmatic surveillance capitalists: the follower graph, the pattern of who you interact with and how often, is exactly the kind of behavioral data that has commercial value in predicting and shaping conduct. A conventional cloud-based follower-management tool would necessarily transmit that graph to a server, creating precisely the kind of centralized behavioral dataset Zuboff warns about — and, as the next chapter shows, the existing tools in this category do exactly that, often carelessly.</w:t>
      </w:r>
    </w:p>
    <w:p>
      <w:pPr>
        <w:spacing w:after="160" w:line="300"/>
        <w:jc w:val="both"/>
      </w:pPr>
      <w:r>
        <w:rPr>
          <w:rFonts w:ascii="Georgia" w:cs="Georgia" w:eastAsia="Georgia" w:hAnsi="Georgia"/>
          <w:color w:val="1A1A1A"/>
          <w:sz w:val="22"/>
          <w:szCs w:val="22"/>
        </w:rPr>
        <w:t xml:space="preserve">A tool built on the opposite premise — that the user's social graph is theirs, is processed only on their own machine, and is transmitted nowhere — is not merely more private in degree. It is categorically outside the surveillance-capitalist model. There is no behavioral surplus to extract because there is no extraction. This is the strongest possible answer to the reasonable worry a user should have about handing any software their entire network, and it is achievable because the actual computation — displaying names, recording tier assignments, exporting a result — requires no server at all.</w:t>
      </w:r>
    </w:p>
    <w:p>
      <w:pPr>
        <w:pStyle w:val="Heading2"/>
        <w:keepNext/>
        <w:spacing w:after="140" w:before="260"/>
      </w:pPr>
      <w:r>
        <w:rPr>
          <w:rFonts w:ascii="Arial" w:cs="Arial" w:eastAsia="Arial" w:hAnsi="Arial"/>
          <w:b/>
          <w:bCs/>
          <w:color w:val="8C4A2F"/>
          <w:sz w:val="26"/>
          <w:szCs w:val="26"/>
        </w:rPr>
        <w:t xml:space="preserve">6.2 Local-first software</w:t>
      </w:r>
    </w:p>
    <w:p>
      <w:pPr>
        <w:spacing w:after="160" w:line="300"/>
        <w:jc w:val="both"/>
      </w:pPr>
      <w:r>
        <w:rPr>
          <w:rFonts w:ascii="Georgia" w:cs="Georgia" w:eastAsia="Georgia" w:hAnsi="Georgia"/>
          <w:color w:val="1A1A1A"/>
          <w:sz w:val="22"/>
          <w:szCs w:val="22"/>
        </w:rPr>
        <w:t xml:space="preserve">The technical philosophy that makes this possible has a name and a manifesto. In 2019 researchers at the Ink &amp; Switch lab — Martin Kleppmann and colleagues — articulated the principles of </w:t>
      </w:r>
      <w:r>
        <w:rPr>
          <w:rFonts w:ascii="Georgia" w:cs="Georgia" w:eastAsia="Georgia" w:hAnsi="Georgia"/>
          <w:i/>
          <w:iCs/>
          <w:color w:val="1A1A1A"/>
          <w:sz w:val="22"/>
          <w:szCs w:val="22"/>
        </w:rPr>
        <w:t xml:space="preserve">local-first software</w:t>
      </w:r>
      <w:r>
        <w:rPr>
          <w:rFonts w:ascii="Georgia" w:cs="Georgia" w:eastAsia="Georgia" w:hAnsi="Georgia"/>
          <w:color w:val="1A1A1A"/>
          <w:sz w:val="22"/>
          <w:szCs w:val="22"/>
        </w:rPr>
        <w:t xml:space="preserve">, software in which the user's data lives primarily on their own devices rather than on a company's servers. Their manifesto set out seven ideals: that software be fast, work across multiple devices, work offline, support collaboration, preserve data over the long term, be secure and private by default, and — the animating principle — give the user ultimate ownership and control of their data. The slogan captures it: you own your data, in spite of the cloud.</w:t>
      </w:r>
    </w:p>
    <w:p>
      <w:pPr>
        <w:spacing w:after="160" w:line="300"/>
        <w:jc w:val="both"/>
      </w:pPr>
      <w:r>
        <w:rPr>
          <w:rFonts w:ascii="Georgia" w:cs="Georgia" w:eastAsia="Georgia" w:hAnsi="Georgia"/>
          <w:color w:val="1A1A1A"/>
          <w:sz w:val="22"/>
          <w:szCs w:val="22"/>
        </w:rPr>
        <w:t xml:space="preserve">The tool proposed here is a natural fit for the privacy, longevity, and user-control subset of these ideals. It runs entirely in the browser; it needs no network connection after the page loads; the user's data is read from a local file and held only in the browser's memory (and, optionally and only if the user chooses, in the browser's own local storage for saving progress). Nothing is uploaded. This architecture also delivers longevity as a side effect: because the tool is a static, self-contained web page with no server dependency, it cannot be shut down the way a cloud service can — a property the next chapter shows to be far from hypothetical, given how many follower tools have vanished when their access to platform servers was cut off.</w:t>
      </w:r>
    </w:p>
    <w:p>
      <w:pPr>
        <w:pStyle w:val="Heading2"/>
        <w:keepNext/>
        <w:spacing w:after="140" w:before="260"/>
      </w:pPr>
      <w:r>
        <w:rPr>
          <w:rFonts w:ascii="Arial" w:cs="Arial" w:eastAsia="Arial" w:hAnsi="Arial"/>
          <w:b/>
          <w:bCs/>
          <w:color w:val="8C4A2F"/>
          <w:sz w:val="26"/>
          <w:szCs w:val="26"/>
        </w:rPr>
        <w:t xml:space="preserve">6.3 Privacy by design, and the right to your own data</w:t>
      </w:r>
    </w:p>
    <w:p>
      <w:pPr>
        <w:spacing w:after="160" w:line="300"/>
        <w:jc w:val="both"/>
      </w:pPr>
      <w:r>
        <w:rPr>
          <w:rFonts w:ascii="Georgia" w:cs="Georgia" w:eastAsia="Georgia" w:hAnsi="Georgia"/>
          <w:color w:val="1A1A1A"/>
          <w:sz w:val="22"/>
          <w:szCs w:val="22"/>
        </w:rPr>
        <w:t xml:space="preserve">Two further principles complete the architecture. Ann Cavoukian's framework of </w:t>
      </w:r>
      <w:r>
        <w:rPr>
          <w:rFonts w:ascii="Georgia" w:cs="Georgia" w:eastAsia="Georgia" w:hAnsi="Georgia"/>
          <w:i/>
          <w:iCs/>
          <w:color w:val="1A1A1A"/>
          <w:sz w:val="22"/>
          <w:szCs w:val="22"/>
        </w:rPr>
        <w:t xml:space="preserve">privacy by design</w:t>
      </w:r>
      <w:r>
        <w:rPr>
          <w:rFonts w:ascii="Georgia" w:cs="Georgia" w:eastAsia="Georgia" w:hAnsi="Georgia"/>
          <w:color w:val="1A1A1A"/>
          <w:sz w:val="22"/>
          <w:szCs w:val="22"/>
        </w:rPr>
        <w:t xml:space="preserve"> holds that privacy protections should be built into a system's architecture from the outset as the default, rather than bolted on afterward or left to the user to configure. Client-side-only processing is privacy by design in its purest form: the protective property is not a setting the user must find and enable but an inherent consequence of the architecture, because the capability to transmit their data simply does not exist in the software.</w:t>
      </w:r>
    </w:p>
    <w:p>
      <w:pPr>
        <w:spacing w:after="160" w:line="300"/>
        <w:jc w:val="both"/>
      </w:pPr>
      <w:r>
        <w:rPr>
          <w:rFonts w:ascii="Georgia" w:cs="Georgia" w:eastAsia="Georgia" w:hAnsi="Georgia"/>
          <w:color w:val="1A1A1A"/>
          <w:sz w:val="22"/>
          <w:szCs w:val="22"/>
        </w:rPr>
        <w:t xml:space="preserve">And the user's legal right to the input data is worth stating, because it underpins the entire workflow. Under the European Union's General Data Protection Regulation, Article 20 establishes a right to </w:t>
      </w:r>
      <w:r>
        <w:rPr>
          <w:rFonts w:ascii="Georgia" w:cs="Georgia" w:eastAsia="Georgia" w:hAnsi="Georgia"/>
          <w:i/>
          <w:iCs/>
          <w:color w:val="1A1A1A"/>
          <w:sz w:val="22"/>
          <w:szCs w:val="22"/>
        </w:rPr>
        <w:t xml:space="preserve">data portability</w:t>
      </w:r>
      <w:r>
        <w:rPr>
          <w:rFonts w:ascii="Georgia" w:cs="Georgia" w:eastAsia="Georgia" w:hAnsi="Georgia"/>
          <w:color w:val="1A1A1A"/>
          <w:sz w:val="22"/>
          <w:szCs w:val="22"/>
        </w:rPr>
        <w:t xml:space="preserve"> — the right to receive one's personal data from a service in a structured, commonly used, machine-readable format. It is under rights of this kind that the major platforms provide the “download your information” exports the tool consumes. The workflow the tool enables is thus an exercise of a legal right: the user obtains their own data from the platform through the front door, then processes it privately on their own machine. There is no scraping, no back door, and no third party in the loop.</w:t>
      </w:r>
    </w:p>
    <w:p>
      <w:pPr>
        <w:pStyle w:val="Heading2"/>
        <w:keepNext/>
        <w:spacing w:after="140" w:before="260"/>
      </w:pPr>
      <w:r>
        <w:rPr>
          <w:rFonts w:ascii="Arial" w:cs="Arial" w:eastAsia="Arial" w:hAnsi="Arial"/>
          <w:b/>
          <w:bCs/>
          <w:color w:val="8C4A2F"/>
          <w:sz w:val="26"/>
          <w:szCs w:val="26"/>
        </w:rPr>
        <w:t xml:space="preserve">6.4 The legal graveyard: why scraping and credential tools fail</w:t>
      </w:r>
    </w:p>
    <w:p>
      <w:pPr>
        <w:spacing w:after="160" w:line="300"/>
        <w:jc w:val="both"/>
      </w:pPr>
      <w:r>
        <w:rPr>
          <w:rFonts w:ascii="Georgia" w:cs="Georgia" w:eastAsia="Georgia" w:hAnsi="Georgia"/>
          <w:color w:val="1A1A1A"/>
          <w:sz w:val="22"/>
          <w:szCs w:val="22"/>
        </w:rPr>
        <w:t xml:space="preserve">The insistence on official data exports rather than any form of automated access to the platform is not merely ethical fastidiousness. It is a response to a legal and practical history in which nearly every tool that took the other paths has died or done harm.</w:t>
      </w:r>
    </w:p>
    <w:p>
      <w:pPr>
        <w:spacing w:after="160" w:line="300"/>
        <w:jc w:val="both"/>
      </w:pPr>
      <w:r>
        <w:rPr>
          <w:rFonts w:ascii="Georgia" w:cs="Georgia" w:eastAsia="Georgia" w:hAnsi="Georgia"/>
          <w:color w:val="1A1A1A"/>
          <w:sz w:val="22"/>
          <w:szCs w:val="22"/>
        </w:rPr>
        <w:t xml:space="preserve">The scraping path — having software read data directly from the platform's own pages — runs into a tangled and hazardous body of law. The most-watched case, </w:t>
      </w:r>
      <w:r>
        <w:rPr>
          <w:rFonts w:ascii="Georgia" w:cs="Georgia" w:eastAsia="Georgia" w:hAnsi="Georgia"/>
          <w:i/>
          <w:iCs/>
          <w:color w:val="1A1A1A"/>
          <w:sz w:val="22"/>
          <w:szCs w:val="22"/>
        </w:rPr>
        <w:t xml:space="preserve">hiQ Labs v. LinkedIn</w:t>
      </w:r>
      <w:r>
        <w:rPr>
          <w:rFonts w:ascii="Georgia" w:cs="Georgia" w:eastAsia="Georgia" w:hAnsi="Georgia"/>
          <w:color w:val="1A1A1A"/>
          <w:sz w:val="22"/>
          <w:szCs w:val="22"/>
        </w:rPr>
        <w:t xml:space="preserve">, initially produced an encouraging ruling: the Ninth Circuit held that scraping </w:t>
      </w:r>
      <w:r>
        <w:rPr>
          <w:rFonts w:ascii="Georgia" w:cs="Georgia" w:eastAsia="Georgia" w:hAnsi="Georgia"/>
          <w:i/>
          <w:iCs/>
          <w:color w:val="1A1A1A"/>
          <w:sz w:val="22"/>
          <w:szCs w:val="22"/>
        </w:rPr>
        <w:t xml:space="preserve">publicly available</w:t>
      </w:r>
      <w:r>
        <w:rPr>
          <w:rFonts w:ascii="Georgia" w:cs="Georgia" w:eastAsia="Georgia" w:hAnsi="Georgia"/>
          <w:color w:val="1A1A1A"/>
          <w:sz w:val="22"/>
          <w:szCs w:val="22"/>
        </w:rPr>
        <w:t xml:space="preserve"> data likely does not violate the Computer Fraud and Abuse Act, because data with no authorization gate cannot be accessed “without authorization” in the statute's sense. But the case did not end there. hiQ ultimately </w:t>
      </w:r>
      <w:r>
        <w:rPr>
          <w:rFonts w:ascii="Georgia" w:cs="Georgia" w:eastAsia="Georgia" w:hAnsi="Georgia"/>
          <w:b/>
          <w:bCs/>
          <w:color w:val="1A1A1A"/>
          <w:sz w:val="22"/>
          <w:szCs w:val="22"/>
        </w:rPr>
        <w:t xml:space="preserve">lost</w:t>
      </w:r>
      <w:r>
        <w:rPr>
          <w:rFonts w:ascii="Georgia" w:cs="Georgia" w:eastAsia="Georgia" w:hAnsi="Georgia"/>
          <w:color w:val="1A1A1A"/>
          <w:sz w:val="22"/>
          <w:szCs w:val="22"/>
        </w:rPr>
        <w:t xml:space="preserve"> on other grounds: a 2022 judgment found it had breached LinkedIn's user agreement, partly because it had used fake accounts to reach data behind the login, and hiQ agreed to a permanent injunction and a half-million-dollar payment before going out of business. The lesson is that even “public” scraping sits on contested legal ground and that touching anything behind a login is decisively dangerous.</w:t>
      </w:r>
    </w:p>
    <w:p>
      <w:pPr>
        <w:spacing w:after="160" w:line="300"/>
        <w:jc w:val="both"/>
      </w:pPr>
      <w:r>
        <w:rPr>
          <w:rFonts w:ascii="Georgia" w:cs="Georgia" w:eastAsia="Georgia" w:hAnsi="Georgia"/>
          <w:color w:val="1A1A1A"/>
          <w:sz w:val="22"/>
          <w:szCs w:val="22"/>
        </w:rPr>
        <w:t xml:space="preserve">The credential path — asking the user for their platform username and password so the tool can act as them — is worse still, and the next chapter documents how the popular follower-tracker apps take exactly this path, harvesting credentials in violation of the platforms' terms and exposing users to account bans and worse. The official-export path the tool takes avoids both hazards entirely. The user never gives the tool their password; the tool never contacts the platform; the only data involved is data the user has already lawfully downloaded to their own computer. Among the available architectures, it is the only one that is simultaneously private, legal, durable, and safe for the user's account.</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The architecture in one sentence</w:t>
            </w:r>
          </w:p>
          <w:p>
            <w:pPr>
              <w:spacing w:after="60" w:line="276"/>
            </w:pPr>
            <w:r>
              <w:rPr>
                <w:rFonts w:ascii="Georgia" w:cs="Georgia" w:eastAsia="Georgia" w:hAnsi="Georgia"/>
                <w:color w:val="1A1A1A"/>
                <w:sz w:val="21"/>
                <w:szCs w:val="21"/>
              </w:rPr>
              <w:t xml:space="preserve">The tool consumes the user's own official data export, processes it entirely in the user's browser with no server and no network transmission, stores nothing except optionally on the user's own device at their choice, and thereby stands outside the surveillance-capitalist data model, satisfies privacy-by-design, exercises the user's data-portability rights, and sidesteps the CFAA, contract-law, and account-ban hazards that have killed or tainted every scraping and credential-based tool before it.</w:t>
            </w:r>
          </w:p>
        </w:tc>
      </w:tr>
    </w:tbl>
    <w:p>
      <w:r>
        <w:br w:type="page"/>
      </w:r>
    </w:p>
    <w:p>
      <w:pPr>
        <w:pStyle w:val="Heading1"/>
        <w:keepNext/>
        <w:spacing w:after="200" w:before="360"/>
      </w:pPr>
      <w:r>
        <w:rPr>
          <w:rFonts w:ascii="Arial" w:cs="Arial" w:eastAsia="Arial" w:hAnsi="Arial"/>
          <w:b/>
          <w:bCs/>
          <w:color w:val="234A35"/>
          <w:sz w:val="32"/>
          <w:szCs w:val="32"/>
        </w:rPr>
        <w:t xml:space="preserve">7. The Swipe as Method: Interaction Design</w:t>
      </w:r>
    </w:p>
    <w:p>
      <w:pPr>
        <w:spacing w:after="160" w:line="300"/>
        <w:jc w:val="both"/>
      </w:pPr>
      <w:r>
        <w:rPr>
          <w:rFonts w:ascii="Georgia" w:cs="Georgia" w:eastAsia="Georgia" w:hAnsi="Georgia"/>
          <w:color w:val="1A1A1A"/>
          <w:sz w:val="22"/>
          <w:szCs w:val="22"/>
        </w:rPr>
        <w:t xml:space="preserve">The final design question is the one the user experiences most directly: how, exactly, does a person move through hundreds of names quickly enough that the task takes minutes rather than a day, without the process becoming its own source of fatigue? The answer draws on a surprisingly deep body of research — on choice architecture, decision fatigue, the established methodology of card sorting, and the interaction patterns popularized by swipe-based apps and keyboard-driven productivity tools. This chapter shows that the tool's core interaction is not a gimmick borrowed from dating apps but the application of a validated research method, and that each element of it — the small number of tiers, the swipe and the keystroke, the one-card-at-a-time presentation — is chosen to minimize the cognitive cost of a large number of decisions.</w:t>
      </w:r>
    </w:p>
    <w:p>
      <w:pPr>
        <w:pStyle w:val="Heading2"/>
        <w:keepNext/>
        <w:spacing w:after="140" w:before="260"/>
      </w:pPr>
      <w:r>
        <w:rPr>
          <w:rFonts w:ascii="Arial" w:cs="Arial" w:eastAsia="Arial" w:hAnsi="Arial"/>
          <w:b/>
          <w:bCs/>
          <w:color w:val="8C4A2F"/>
          <w:sz w:val="26"/>
          <w:szCs w:val="26"/>
        </w:rPr>
        <w:t xml:space="preserve">7.1 The tool is a closed card sort</w:t>
      </w:r>
    </w:p>
    <w:p>
      <w:pPr>
        <w:spacing w:after="160" w:line="300"/>
        <w:jc w:val="both"/>
      </w:pPr>
      <w:r>
        <w:rPr>
          <w:rFonts w:ascii="Georgia" w:cs="Georgia" w:eastAsia="Georgia" w:hAnsi="Georgia"/>
          <w:color w:val="1A1A1A"/>
          <w:sz w:val="22"/>
          <w:szCs w:val="22"/>
        </w:rPr>
        <w:t xml:space="preserve">Card sorting is a decades-old technique in information architecture and user-experience research. Participants are given a set of items, each on a card, and asked to group them. In an </w:t>
      </w:r>
      <w:r>
        <w:rPr>
          <w:rFonts w:ascii="Georgia" w:cs="Georgia" w:eastAsia="Georgia" w:hAnsi="Georgia"/>
          <w:i/>
          <w:iCs/>
          <w:color w:val="1A1A1A"/>
          <w:sz w:val="22"/>
          <w:szCs w:val="22"/>
        </w:rPr>
        <w:t xml:space="preserve">open</w:t>
      </w:r>
      <w:r>
        <w:rPr>
          <w:rFonts w:ascii="Georgia" w:cs="Georgia" w:eastAsia="Georgia" w:hAnsi="Georgia"/>
          <w:color w:val="1A1A1A"/>
          <w:sz w:val="22"/>
          <w:szCs w:val="22"/>
        </w:rPr>
        <w:t xml:space="preserve"> card sort, participants create and name their own categories; in a </w:t>
      </w:r>
      <w:r>
        <w:rPr>
          <w:rFonts w:ascii="Georgia" w:cs="Georgia" w:eastAsia="Georgia" w:hAnsi="Georgia"/>
          <w:i/>
          <w:iCs/>
          <w:color w:val="1A1A1A"/>
          <w:sz w:val="22"/>
          <w:szCs w:val="22"/>
        </w:rPr>
        <w:t xml:space="preserve">closed</w:t>
      </w:r>
      <w:r>
        <w:rPr>
          <w:rFonts w:ascii="Georgia" w:cs="Georgia" w:eastAsia="Georgia" w:hAnsi="Georgia"/>
          <w:color w:val="1A1A1A"/>
          <w:sz w:val="22"/>
          <w:szCs w:val="22"/>
        </w:rPr>
        <w:t xml:space="preserve"> card sort, the categories are defined in advance and participants sort items into them; a hybrid permits both. The method is well understood, with established best practices and a substantial literature on its reliability and use.</w:t>
      </w:r>
    </w:p>
    <w:p>
      <w:pPr>
        <w:spacing w:after="160" w:line="300"/>
        <w:jc w:val="both"/>
      </w:pPr>
      <w:r>
        <w:rPr>
          <w:rFonts w:ascii="Georgia" w:cs="Georgia" w:eastAsia="Georgia" w:hAnsi="Georgia"/>
          <w:color w:val="1A1A1A"/>
          <w:sz w:val="22"/>
          <w:szCs w:val="22"/>
        </w:rPr>
        <w:t xml:space="preserve">Seen through this lens, the tool is precisely a closed card sort in which the cards are the user's connections and the predefined categories are the tiers. This is a useful reframing for two reasons. First, it means the interaction is not novel and untested but an application of a method with known ergonomics. Second, it clarifies a design choice: the tool offers predefined tiers (a closed sort) with the option to rename them (a touch of the open sort's flexibility), which the card-sorting literature would predict to be faster and less cognitively demanding than asking users to invent categories from scratch while also sorting — a dual task that open sorting imposes and that would slow the triage considerably.</w:t>
      </w:r>
    </w:p>
    <w:p>
      <w:pPr>
        <w:pStyle w:val="Heading2"/>
        <w:keepNext/>
        <w:spacing w:after="140" w:before="260"/>
      </w:pPr>
      <w:r>
        <w:rPr>
          <w:rFonts w:ascii="Arial" w:cs="Arial" w:eastAsia="Arial" w:hAnsi="Arial"/>
          <w:b/>
          <w:bCs/>
          <w:color w:val="8C4A2F"/>
          <w:sz w:val="26"/>
          <w:szCs w:val="26"/>
        </w:rPr>
        <w:t xml:space="preserve">7.2 Why four tiers, not two, and not twelve</w:t>
      </w:r>
    </w:p>
    <w:p>
      <w:pPr>
        <w:spacing w:after="160" w:line="300"/>
        <w:jc w:val="both"/>
      </w:pPr>
      <w:r>
        <w:rPr>
          <w:rFonts w:ascii="Georgia" w:cs="Georgia" w:eastAsia="Georgia" w:hAnsi="Georgia"/>
          <w:color w:val="1A1A1A"/>
          <w:sz w:val="22"/>
          <w:szCs w:val="22"/>
        </w:rPr>
        <w:t xml:space="preserve">The number of categories is a real design decision with real consequences, and the choice-architecture literature bounds it from both sides. On the side of too many options, the research on choice overload — most famously Iyengar and Lepper's jam-tasting field experiment, in which a display of twenty-four jams drew more browsers but produced roughly a tenth the purchase rate of a display of six — establishes that an excess of options can paralyze decision and reduce satisfaction. Sorting into twelve fine-grained tiers would impose exactly this cost hundreds of times over. On the side of too few, a binary keep-or-remove sort throws away the layered structure that Chapter 3 established as the correct shape of a social world; it collapses Dunbar's shells into a single wall. Four tiers plus a retained bin is a deliberate middle: few enough to keep each decision fast, many enough to preserve meaningful gradation.</w:t>
      </w:r>
    </w:p>
    <w:p>
      <w:pPr>
        <w:spacing w:after="160" w:line="300"/>
        <w:jc w:val="both"/>
      </w:pPr>
      <w:r>
        <w:rPr>
          <w:rFonts w:ascii="Georgia" w:cs="Georgia" w:eastAsia="Georgia" w:hAnsi="Georgia"/>
          <w:color w:val="1A1A1A"/>
          <w:sz w:val="22"/>
          <w:szCs w:val="22"/>
        </w:rPr>
        <w:t xml:space="preserve">Honesty requires noting that the choice-overload effect is itself contested. A 2010 meta-analysis by Scheibehenne and colleagues found the effect inconsistent across studies and highly dependent on context — on whether the chooser has prior preferences, domain expertise, and clear criteria. This paper cites the jam study as suggestive rather than as an iron law, and notes that the contextual moderators actually </w:t>
      </w:r>
      <w:r>
        <w:rPr>
          <w:rFonts w:ascii="Georgia" w:cs="Georgia" w:eastAsia="Georgia" w:hAnsi="Georgia"/>
          <w:i/>
          <w:iCs/>
          <w:color w:val="1A1A1A"/>
          <w:sz w:val="22"/>
          <w:szCs w:val="22"/>
        </w:rPr>
        <w:t xml:space="preserve">support</w:t>
      </w:r>
      <w:r>
        <w:rPr>
          <w:rFonts w:ascii="Georgia" w:cs="Georgia" w:eastAsia="Georgia" w:hAnsi="Georgia"/>
          <w:color w:val="1A1A1A"/>
          <w:sz w:val="22"/>
          <w:szCs w:val="22"/>
        </w:rPr>
        <w:t xml:space="preserve"> the four-tier design: the users of this tool </w:t>
      </w:r>
      <w:r>
        <w:rPr>
          <w:rFonts w:ascii="Georgia" w:cs="Georgia" w:eastAsia="Georgia" w:hAnsi="Georgia"/>
          <w:i/>
          <w:iCs/>
          <w:color w:val="1A1A1A"/>
          <w:sz w:val="22"/>
          <w:szCs w:val="22"/>
        </w:rPr>
        <w:t xml:space="preserve">do</w:t>
      </w:r>
      <w:r>
        <w:rPr>
          <w:rFonts w:ascii="Georgia" w:cs="Georgia" w:eastAsia="Georgia" w:hAnsi="Georgia"/>
          <w:color w:val="1A1A1A"/>
          <w:sz w:val="22"/>
          <w:szCs w:val="22"/>
        </w:rPr>
        <w:t xml:space="preserve"> have strong prior preferences and clear criteria about their own relationships, which is exactly the condition under which a modest number of well-defined categories is manageable. The design also hedges the risk directly: a user who finds four tiers too many on a first pass can make a rough binary sweep first and subdivide later, a mode discussed in the implementation chapter.</w:t>
      </w:r>
    </w:p>
    <w:p>
      <w:pPr>
        <w:pStyle w:val="Heading2"/>
        <w:keepNext/>
        <w:spacing w:after="140" w:before="260"/>
      </w:pPr>
      <w:r>
        <w:rPr>
          <w:rFonts w:ascii="Arial" w:cs="Arial" w:eastAsia="Arial" w:hAnsi="Arial"/>
          <w:b/>
          <w:bCs/>
          <w:color w:val="8C4A2F"/>
          <w:sz w:val="26"/>
          <w:szCs w:val="26"/>
        </w:rPr>
        <w:t xml:space="preserve">7.3 Decision fatigue and the economy of the gesture</w:t>
      </w:r>
    </w:p>
    <w:p>
      <w:pPr>
        <w:spacing w:after="160" w:line="300"/>
        <w:jc w:val="both"/>
      </w:pPr>
      <w:r>
        <w:rPr>
          <w:rFonts w:ascii="Georgia" w:cs="Georgia" w:eastAsia="Georgia" w:hAnsi="Georgia"/>
          <w:color w:val="1A1A1A"/>
          <w:sz w:val="22"/>
          <w:szCs w:val="22"/>
        </w:rPr>
        <w:t xml:space="preserve">Sorting hundreds of relationships is, fundamentally, hundreds of consecutive decisions, and consecutive decisions deplete. The literature on decision fatigue — the finding that the quality and ease of decisions degrade as one makes more of them in succession — implies that the per-decision cost must be kept as low as possible, because it will be paid over and over. (The stronger “ego depletion” version of this literature has faced replication challenges, and this paper leans on the weaker, well-supported claim that effortful repeated choice is tiring, not on any precise glucose-depletion mechanism.)</w:t>
      </w:r>
    </w:p>
    <w:p>
      <w:pPr>
        <w:spacing w:after="160" w:line="300"/>
        <w:jc w:val="both"/>
      </w:pPr>
      <w:r>
        <w:rPr>
          <w:rFonts w:ascii="Georgia" w:cs="Georgia" w:eastAsia="Georgia" w:hAnsi="Georgia"/>
          <w:color w:val="1A1A1A"/>
          <w:sz w:val="22"/>
          <w:szCs w:val="22"/>
        </w:rPr>
        <w:t xml:space="preserve">This is the deep rationale for the swipe and the keystroke. Reducing a decision to a single directional gesture — flick left, flick right, up, down, or a keypress in the same four directions — minimizes the motor and cognitive overhead of expressing each choice, so that the user's finite decision energy is spent on the judgment itself (which tier does this person belong in?) rather than on the mechanics of recording it. The swipe paradigm was popularized by Tinder, which demonstrated at enormous scale that people will make very large numbers of rapid categorical judgments when each one costs only a flick; photo-triage tools and email applications have since shown the same pattern generalizes well beyond dating. Fitts's law, the foundational result in motor interaction predicting that movement time depends on target size and distance, supports large directional swipe zones and single-key targets as the fastest possible way to register a choice. The keyboard alternative matters because on a laptop, keyboard triage is faster than pointing — a lesson from high-throughput email tools, where power users clear inboxes with keystrokes precisely because moving a hand to a mouse for each item is a tax paid hundreds of times.</w:t>
      </w:r>
    </w:p>
    <w:p>
      <w:pPr>
        <w:pStyle w:val="Heading2"/>
        <w:keepNext/>
        <w:spacing w:after="140" w:before="260"/>
      </w:pPr>
      <w:r>
        <w:rPr>
          <w:rFonts w:ascii="Arial" w:cs="Arial" w:eastAsia="Arial" w:hAnsi="Arial"/>
          <w:b/>
          <w:bCs/>
          <w:color w:val="8C4A2F"/>
          <w:sz w:val="26"/>
          <w:szCs w:val="26"/>
        </w:rPr>
        <w:t xml:space="preserve">7.4 Recognition, not recall: the card's contents</w:t>
      </w:r>
    </w:p>
    <w:p>
      <w:pPr>
        <w:spacing w:after="160" w:line="300"/>
        <w:jc w:val="both"/>
      </w:pPr>
      <w:r>
        <w:rPr>
          <w:rFonts w:ascii="Georgia" w:cs="Georgia" w:eastAsia="Georgia" w:hAnsi="Georgia"/>
          <w:color w:val="1A1A1A"/>
          <w:sz w:val="22"/>
          <w:szCs w:val="22"/>
        </w:rPr>
        <w:t xml:space="preserve">A subtle but important design point concerns what each card shows. Memory research distinguishes recognition — identifying something when it is in front of you — from recall, the harder task of retrieving it from nothing. A bare username often fails to trigger recognition; a cryptic handle can summon no face at all. The card therefore shows what it can to support recognition: the username, the display name if the export provides one, and a link to the profile for the cases where a face is needed to remember the person. This is why the tool hyperlinks each entry to its profile — not to send the user back into the platform's feed, but to let them glance at a photograph and remember, in the small number of cases where the name alone is not enough. The design goal is to make each judgment answerable from what is on the card, keeping the user in the fast triage loop rather than forcing them out into effortful investigation.</w:t>
      </w:r>
    </w:p>
    <w:p>
      <w:pPr>
        <w:pStyle w:val="Heading2"/>
        <w:keepNext/>
        <w:spacing w:after="140" w:before="260"/>
      </w:pPr>
      <w:r>
        <w:rPr>
          <w:rFonts w:ascii="Arial" w:cs="Arial" w:eastAsia="Arial" w:hAnsi="Arial"/>
          <w:b/>
          <w:bCs/>
          <w:color w:val="8C4A2F"/>
          <w:sz w:val="26"/>
          <w:szCs w:val="26"/>
        </w:rPr>
        <w:t xml:space="preserve">7.5 Delivery: the progressive web app</w:t>
      </w:r>
    </w:p>
    <w:p>
      <w:pPr>
        <w:spacing w:after="160" w:line="300"/>
        <w:jc w:val="both"/>
      </w:pPr>
      <w:r>
        <w:rPr>
          <w:rFonts w:ascii="Georgia" w:cs="Georgia" w:eastAsia="Georgia" w:hAnsi="Georgia"/>
          <w:color w:val="1A1A1A"/>
          <w:sz w:val="22"/>
          <w:szCs w:val="22"/>
        </w:rPr>
        <w:t xml:space="preserve">One final interaction concern is reach: the tool should run on whatever device the user has, without an installation barrier, and ideally work offline in keeping with the local-first architecture. The </w:t>
      </w:r>
      <w:r>
        <w:rPr>
          <w:rFonts w:ascii="Georgia" w:cs="Georgia" w:eastAsia="Georgia" w:hAnsi="Georgia"/>
          <w:i/>
          <w:iCs/>
          <w:color w:val="1A1A1A"/>
          <w:sz w:val="22"/>
          <w:szCs w:val="22"/>
        </w:rPr>
        <w:t xml:space="preserve">progressive web app</w:t>
      </w:r>
      <w:r>
        <w:rPr>
          <w:rFonts w:ascii="Georgia" w:cs="Georgia" w:eastAsia="Georgia" w:hAnsi="Georgia"/>
          <w:color w:val="1A1A1A"/>
          <w:sz w:val="22"/>
          <w:szCs w:val="22"/>
        </w:rPr>
        <w:t xml:space="preserve"> (PWA) is the technology that delivers exactly this. A PWA is a website that can be “installed” to a device's home screen, run in its own window, and function offline, from a single codebase that works across desktop and mobile operating systems alike. This matches the tool's requirements precisely: it can be visited as an ordinary web page by someone who wants to try it once, or installed as an app by someone who wants it at hand, with no app-store gatekeeping, no separate builds for each platform, and no loss of the offline, client-side properties the privacy architecture depends on. The swipe interaction works through touch on a phone and the keyboard interaction through arrow keys on a laptop, with the same code serving both.</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Chapter summary: the interaction, justified</w:t>
            </w:r>
          </w:p>
          <w:p>
            <w:pPr>
              <w:spacing w:after="60" w:line="276"/>
            </w:pPr>
            <w:r>
              <w:rPr>
                <w:rFonts w:ascii="Georgia" w:cs="Georgia" w:eastAsia="Georgia" w:hAnsi="Georgia"/>
                <w:color w:val="1A1A1A"/>
                <w:sz w:val="21"/>
                <w:szCs w:val="21"/>
              </w:rPr>
              <w:t xml:space="preserve">The tool's core interaction is a closed card sort — an established UX research method — with four tiers plus a retained bin, a count chosen to sit between the paralysis of too many options and the crudeness of a binary. Each decision is expressed by a single swipe or keystroke to minimize the per-choice cost that decision-fatigue research says will be paid hundreds of times, following the swipe paradigm proven at scale by Tinder and the keyboard-triage efficiency proven by power email tools. Each card supports recognition over recall by showing name, handle, and an optional profile link. The whole thing ships as a progressive web app so it runs everywhere, installs optionally, and preserves the offline, client-side guarantees.</w:t>
            </w:r>
          </w:p>
        </w:tc>
      </w:tr>
    </w:tbl>
    <w:p>
      <w:r>
        <w:br w:type="page"/>
      </w:r>
    </w:p>
    <w:p>
      <w:pPr>
        <w:pStyle w:val="Heading1"/>
        <w:keepNext/>
        <w:spacing w:after="200" w:before="360"/>
      </w:pPr>
      <w:r>
        <w:rPr>
          <w:rFonts w:ascii="Arial" w:cs="Arial" w:eastAsia="Arial" w:hAnsi="Arial"/>
          <w:b/>
          <w:bCs/>
          <w:color w:val="234A35"/>
          <w:sz w:val="32"/>
          <w:szCs w:val="32"/>
        </w:rPr>
        <w:t xml:space="preserve">8. The Landscape and the Gap: Prior Art</w:t>
      </w:r>
    </w:p>
    <w:p>
      <w:pPr>
        <w:spacing w:after="160" w:line="300"/>
        <w:jc w:val="both"/>
      </w:pPr>
      <w:r>
        <w:rPr>
          <w:rFonts w:ascii="Georgia" w:cs="Georgia" w:eastAsia="Georgia" w:hAnsi="Georgia"/>
          <w:color w:val="1A1A1A"/>
          <w:sz w:val="22"/>
          <w:szCs w:val="22"/>
        </w:rPr>
        <w:t xml:space="preserve">A claim that a tool is needed is only credible if one has looked hard for the tool already existing. This chapter maps the landscape of software adjacent to the proposed project — follower-management apps, swipe-to-sort tools in other domains, the closest direct precedent, and the personal-CRM category — and locates the specific, currently-unoccupied niche the project fills. It then provides the practical engineering inventory: the exact format of the platform data exports the tool should consume, and the specific open-source libraries that serve as building blocks. The conclusion is that while pieces of the idea exist scattered across several categories, no single tool combines them in the way proposed: fast, multi-tier, privacy-first, built on official exports rather than credential harvesting, and open source.</w:t>
      </w:r>
    </w:p>
    <w:p>
      <w:pPr>
        <w:pStyle w:val="Heading2"/>
        <w:keepNext/>
        <w:spacing w:after="140" w:before="260"/>
      </w:pPr>
      <w:r>
        <w:rPr>
          <w:rFonts w:ascii="Arial" w:cs="Arial" w:eastAsia="Arial" w:hAnsi="Arial"/>
          <w:b/>
          <w:bCs/>
          <w:color w:val="8C4A2F"/>
          <w:sz w:val="26"/>
          <w:szCs w:val="26"/>
        </w:rPr>
        <w:t xml:space="preserve">8.1 The follower-tracker apps: what to avoid</w:t>
      </w:r>
    </w:p>
    <w:p>
      <w:pPr>
        <w:spacing w:after="160" w:line="300"/>
        <w:jc w:val="both"/>
      </w:pPr>
      <w:r>
        <w:rPr>
          <w:rFonts w:ascii="Georgia" w:cs="Georgia" w:eastAsia="Georgia" w:hAnsi="Georgia"/>
          <w:color w:val="1A1A1A"/>
          <w:sz w:val="22"/>
          <w:szCs w:val="22"/>
        </w:rPr>
        <w:t xml:space="preserve">The most superficially similar products are the follower-tracker and unfollow apps — tools that tell you who unfollowed you, who does not follow you back, and let you unfollow in bulk. They are also, almost uniformly, the cautionary example against which this project defines itself.</w:t>
      </w:r>
    </w:p>
    <w:p>
      <w:pPr>
        <w:spacing w:after="160" w:line="300"/>
        <w:jc w:val="both"/>
      </w:pPr>
      <w:r>
        <w:rPr>
          <w:rFonts w:ascii="Georgia" w:cs="Georgia" w:eastAsia="Georgia" w:hAnsi="Georgia"/>
          <w:color w:val="1A1A1A"/>
          <w:sz w:val="22"/>
          <w:szCs w:val="22"/>
        </w:rPr>
        <w:t xml:space="preserve">The typical follower-tracker app requires the user to log in with their platform credentials — handing username and password to a third party, which violates the platforms' terms of service and risks account suspension, shadow-banning, or permanent loss. The reputational and privacy problems are well documented in primary sources rather than merely alleged. FollowMeter, one of the most-downloaded such apps, states in its own privacy policy that it collects information including usernames and passwords. The history of this category is littered with harm: the InstaAgent app was pulled after it was discovered to be stealing and transmitting user passwords, and successive platform crackdowns have repeatedly disabled these tools. Crowdfire, a long-running follow-management product, lost its Instagram follower features when Instagram restricted its API in January 2017 and ultimately shut down its service entirely in 2025, deleting user data — an illustration of both the credential/API dependency and the impermanence it produces.</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A note on sourcing this section fairly</w:t>
            </w:r>
          </w:p>
          <w:p>
            <w:pPr>
              <w:spacing w:after="60" w:line="276"/>
            </w:pPr>
            <w:r>
              <w:rPr>
                <w:rFonts w:ascii="Georgia" w:cs="Georgia" w:eastAsia="Georgia" w:hAnsi="Georgia"/>
                <w:color w:val="1A1A1A"/>
                <w:sz w:val="21"/>
                <w:szCs w:val="21"/>
              </w:rPr>
              <w:t xml:space="preserve">Much of what is written online about the danger of specific follower apps comes from competing products' marketing blogs and is not trustworthy. This paper relies where possible on primary sources — the apps' own privacy policies, the platforms' own developer-policy and API-change announcements, and contemporaneous reporting on the InstaAgent and API-crackdown episodes — rather than on rival marketing. The general pattern (credential harvesting, ToS violation, API dependency, impermanence) is well established from those primary sources; claims about any single named app should be verified against that app's current policy before being repeated.</w:t>
            </w:r>
          </w:p>
        </w:tc>
      </w:tr>
    </w:tbl>
    <w:p>
      <w:pPr>
        <w:spacing w:after="160" w:line="300"/>
        <w:jc w:val="both"/>
      </w:pPr>
      <w:r>
        <w:rPr>
          <w:rFonts w:ascii="Georgia" w:cs="Georgia" w:eastAsia="Georgia" w:hAnsi="Georgia"/>
          <w:color w:val="1A1A1A"/>
          <w:sz w:val="22"/>
          <w:szCs w:val="22"/>
        </w:rPr>
        <w:t xml:space="preserve">The design lesson is inverted from these tools at every point. Where they require credentials, the proposed tool requires none. Where they contact the platform's servers and depend on an API that can be revoked, the proposed tool contacts nothing and depends on no API. Where they upload the social graph, the proposed tool uploads nothing. Where they can be shut down, a static client-side page cannot. The follower-tracker category is, in effect, a catalog of exactly the choices not to make.</w:t>
      </w:r>
    </w:p>
    <w:p>
      <w:pPr>
        <w:pStyle w:val="Heading2"/>
        <w:keepNext/>
        <w:spacing w:after="140" w:before="260"/>
      </w:pPr>
      <w:r>
        <w:rPr>
          <w:rFonts w:ascii="Arial" w:cs="Arial" w:eastAsia="Arial" w:hAnsi="Arial"/>
          <w:b/>
          <w:bCs/>
          <w:color w:val="8C4A2F"/>
          <w:sz w:val="26"/>
          <w:szCs w:val="26"/>
        </w:rPr>
        <w:t xml:space="preserve">8.2 Swipe-to-sort in other domains</w:t>
      </w:r>
    </w:p>
    <w:p>
      <w:pPr>
        <w:spacing w:after="160" w:line="300"/>
        <w:jc w:val="both"/>
      </w:pPr>
      <w:r>
        <w:rPr>
          <w:rFonts w:ascii="Georgia" w:cs="Georgia" w:eastAsia="Georgia" w:hAnsi="Georgia"/>
          <w:color w:val="1A1A1A"/>
          <w:sz w:val="22"/>
          <w:szCs w:val="22"/>
        </w:rPr>
        <w:t xml:space="preserve">The swipe-to-triage interaction has been proven in domains unrelated to social networks, which is evidence that the pattern generalizes. Photo-management applications such as Slidebox let users rapidly clean their camera rolls by swiping images into albums or toward deletion — a closed card sort over photographs rather than people. The influential email application Mailbox, in the early 2010s, popularized swipe gestures for triaging messages (swipe one way to archive, another to defer) before it was acquired and shut down. These precedents establish that people readily adopt swipe-based sorting for large collections of heterogeneous items, and that the interaction is not intrinsically tied to the dating context in which it became famous. The proposed tool applies a proven interaction to a domain — the accumulated social graph — where it has not yet been offered in this form.</w:t>
      </w:r>
    </w:p>
    <w:p>
      <w:pPr>
        <w:pStyle w:val="Heading2"/>
        <w:keepNext/>
        <w:spacing w:after="140" w:before="260"/>
      </w:pPr>
      <w:r>
        <w:rPr>
          <w:rFonts w:ascii="Arial" w:cs="Arial" w:eastAsia="Arial" w:hAnsi="Arial"/>
          <w:b/>
          <w:bCs/>
          <w:color w:val="8C4A2F"/>
          <w:sz w:val="26"/>
          <w:szCs w:val="26"/>
        </w:rPr>
        <w:t xml:space="preserve">8.3 The closest precedent: Tokimeki Unfollow</w:t>
      </w:r>
    </w:p>
    <w:p>
      <w:pPr>
        <w:spacing w:after="160" w:line="300"/>
        <w:jc w:val="both"/>
      </w:pPr>
      <w:r>
        <w:rPr>
          <w:rFonts w:ascii="Georgia" w:cs="Georgia" w:eastAsia="Georgia" w:hAnsi="Georgia"/>
          <w:color w:val="1A1A1A"/>
          <w:sz w:val="22"/>
          <w:szCs w:val="22"/>
        </w:rPr>
        <w:t xml:space="preserve">The nearest existing relative to the proposed tool is Tokimeki Unfollow, a web application built by the designer Julius Tarng and launched in early 2019. Explicitly inspired by Marie Kondo's KonMari method, it walks a Twitter user through their follows </w:t>
      </w:r>
      <w:r>
        <w:rPr>
          <w:rFonts w:ascii="Georgia" w:cs="Georgia" w:eastAsia="Georgia" w:hAnsi="Georgia"/>
          <w:i/>
          <w:iCs/>
          <w:color w:val="1A1A1A"/>
          <w:sz w:val="22"/>
          <w:szCs w:val="22"/>
        </w:rPr>
        <w:t xml:space="preserve">one at a time</w:t>
      </w:r>
      <w:r>
        <w:rPr>
          <w:rFonts w:ascii="Georgia" w:cs="Georgia" w:eastAsia="Georgia" w:hAnsi="Georgia"/>
          <w:color w:val="1A1A1A"/>
          <w:sz w:val="22"/>
          <w:szCs w:val="22"/>
        </w:rPr>
        <w:t xml:space="preserve">, asking whether each account still “sparks joy,” and offers a small set of choices: keep, unfollow, or add to a list for later. In a thoughtful touch grounded in the same recognition-versus-recall insight this paper discussed, it defaults to hiding each account's recent tweets and bio, on the designer's reasoning that people followed accounts for who they were, not for their latest posts — forcing a judgment about the relationship rather than the content. It was widely covered and well regarded, and it is open source.</w:t>
      </w:r>
    </w:p>
    <w:p>
      <w:pPr>
        <w:spacing w:after="160" w:line="300"/>
        <w:jc w:val="both"/>
      </w:pPr>
      <w:r>
        <w:rPr>
          <w:rFonts w:ascii="Georgia" w:cs="Georgia" w:eastAsia="Georgia" w:hAnsi="Georgia"/>
          <w:color w:val="1A1A1A"/>
          <w:sz w:val="22"/>
          <w:szCs w:val="22"/>
        </w:rPr>
        <w:t xml:space="preserve">Tokimeki Unfollow is close enough to be worth studying carefully, and its differences from the proposed tool define the gap precisely. It is Twitter-only, tied to that one platform through an authenticated login; the proposed tool is platform-agnostic, working from imported export files rather than a live account connection, and therefore usable for Instagram, Mastodon, Bluesky, or any service that exports a follower list. It offers essentially a binary-plus-list decision; the proposed tool offers four meaningful tiers grounded in the layered-network science. It requires connecting an account with write access to perform unfollows; the proposed tool requires no account connection at all and performs no actions on the platform, only producing a sorted result the user can act on however they wish. And it can save progress to its server; the proposed tool keeps everything on the device. Tokimeki Unfollow proves the concept's appeal and its KonMari framing resonated widely; the proposed tool generalizes it across platforms, deepens it from a binary to a tiered sort, and hardens its privacy model to fully client-side.</w:t>
      </w:r>
    </w:p>
    <w:p>
      <w:pPr>
        <w:pStyle w:val="Heading2"/>
        <w:keepNext/>
        <w:spacing w:after="140" w:before="260"/>
      </w:pPr>
      <w:r>
        <w:rPr>
          <w:rFonts w:ascii="Arial" w:cs="Arial" w:eastAsia="Arial" w:hAnsi="Arial"/>
          <w:b/>
          <w:bCs/>
          <w:color w:val="8C4A2F"/>
          <w:sz w:val="26"/>
          <w:szCs w:val="26"/>
        </w:rPr>
        <w:t xml:space="preserve">8.4 The personal-CRM category</w:t>
      </w:r>
    </w:p>
    <w:p>
      <w:pPr>
        <w:spacing w:after="160" w:line="300"/>
        <w:jc w:val="both"/>
      </w:pPr>
      <w:r>
        <w:rPr>
          <w:rFonts w:ascii="Georgia" w:cs="Georgia" w:eastAsia="Georgia" w:hAnsi="Georgia"/>
          <w:color w:val="1A1A1A"/>
          <w:sz w:val="22"/>
          <w:szCs w:val="22"/>
        </w:rPr>
        <w:t xml:space="preserve">The personal-CRM tools introduced in Chapter 4 — Monica, Dex, Clay — are adjacent from the other direction. Where the follower apps share the tool's subject (the social graph) but not its values, the personal CRMs share the tool's values (relationship intentionality, and in Monica's case a strong privacy and open-source ethic) but not its function. They are built for long-term, ongoing relationship maintenance — logging interactions, setting reminders, recording details — not for the one-time rapid triage of a large accumulated network. Monica in particular, being open-source and privacy-oriented, is a philosophical cousin and a useful model for how to build trustworthy relationship software. But none of these tools offers the fast initial sort, and getting a large network into them is itself the kind of chore the proposed tool eliminates. As Chapter 4 noted, the natural relationship is complementary: triage first with the proposed tool, then optionally hand the resulting tiers to a maintenance tool for the long haul.</w:t>
      </w:r>
    </w:p>
    <w:p>
      <w:pPr>
        <w:pStyle w:val="Heading2"/>
        <w:keepNext/>
        <w:spacing w:after="140" w:before="260"/>
      </w:pPr>
      <w:r>
        <w:rPr>
          <w:rFonts w:ascii="Arial" w:cs="Arial" w:eastAsia="Arial" w:hAnsi="Arial"/>
          <w:b/>
          <w:bCs/>
          <w:color w:val="8C4A2F"/>
          <w:sz w:val="26"/>
          <w:szCs w:val="26"/>
        </w:rPr>
        <w:t xml:space="preserve">8.5 The gap, stated plainly</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2400"/>
        <w:gridCol w:w="2200"/>
        <w:gridCol w:w="1900"/>
        <w:gridCol w:w="1560"/>
        <w:gridCol w:w="1300"/>
      </w:tblGrid>
      <w:tr>
        <w:trPr>
          <w:tblHeader/>
        </w:trPr>
        <w:tc>
          <w:tcPr>
            <w:tcW w:type="dxa" w:w="24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22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Follower-tracker apps</w:t>
            </w:r>
          </w:p>
        </w:tc>
        <w:tc>
          <w:tcPr>
            <w:tcW w:type="dxa" w:w="1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Tokimeki Unfollow</w:t>
            </w:r>
          </w:p>
        </w:tc>
        <w:tc>
          <w:tcPr>
            <w:tcW w:type="dxa" w:w="15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Personal CRMs</w:t>
            </w:r>
          </w:p>
        </w:tc>
        <w:tc>
          <w:tcPr>
            <w:tcW w:type="dxa" w:w="13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Proposed tool</w:t>
            </w:r>
          </w:p>
        </w:tc>
      </w:tr>
      <w:tr>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Fast bulk triage</w:t>
            </w:r>
          </w:p>
        </w:tc>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Partial (bulk unfollow)</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Yes (one-at-a-time)</w:t>
            </w:r>
          </w:p>
        </w:tc>
        <w:tc>
          <w:tcPr>
            <w:tcW w:type="dxa" w:w="1560"/>
            <w:tcMar>
              <w:top w:type="dxa" w:w="70"/>
              <w:left w:type="dxa" w:w="120"/>
              <w:bottom w:type="dxa" w:w="70"/>
              <w:right w:type="dxa" w:w="120"/>
            </w:tcMar>
          </w:tcPr>
          <w:p>
            <w:pPr>
              <w:spacing w:line="264"/>
            </w:pPr>
            <w:r>
              <w:rPr>
                <w:rFonts w:ascii="Georgia" w:cs="Georgia" w:eastAsia="Georgia" w:hAnsi="Georgia"/>
                <w:color w:val="1A1A1A"/>
                <w:sz w:val="19"/>
                <w:szCs w:val="19"/>
              </w:rPr>
              <w:t xml:space="preserve">No</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Yes</w:t>
            </w:r>
          </w:p>
        </w:tc>
      </w:tr>
      <w:tr>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Multiple meaningful tiers</w:t>
            </w:r>
          </w:p>
        </w:tc>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No</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No (binary + list)</w:t>
            </w:r>
          </w:p>
        </w:tc>
        <w:tc>
          <w:tcPr>
            <w:tcW w:type="dxa" w:w="1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Yes (manual)</w:t>
            </w:r>
          </w:p>
        </w:tc>
        <w:tc>
          <w:tcPr>
            <w:tcW w:type="dxa" w:w="1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Yes (4 + bin)</w:t>
            </w:r>
          </w:p>
        </w:tc>
      </w:tr>
      <w:tr>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No credentials / no login</w:t>
            </w:r>
          </w:p>
        </w:tc>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No (harvests login)</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No (OAuth login)</w:t>
            </w:r>
          </w:p>
        </w:tc>
        <w:tc>
          <w:tcPr>
            <w:tcW w:type="dxa" w:w="1560"/>
            <w:tcMar>
              <w:top w:type="dxa" w:w="70"/>
              <w:left w:type="dxa" w:w="120"/>
              <w:bottom w:type="dxa" w:w="70"/>
              <w:right w:type="dxa" w:w="120"/>
            </w:tcMar>
          </w:tcPr>
          <w:p>
            <w:pPr>
              <w:spacing w:line="264"/>
            </w:pPr>
            <w:r>
              <w:rPr>
                <w:rFonts w:ascii="Georgia" w:cs="Georgia" w:eastAsia="Georgia" w:hAnsi="Georgia"/>
                <w:color w:val="1A1A1A"/>
                <w:sz w:val="19"/>
                <w:szCs w:val="19"/>
              </w:rPr>
              <w:t xml:space="preserve">Varies</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Yes</w:t>
            </w:r>
          </w:p>
        </w:tc>
      </w:tr>
      <w:tr>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Fully client-side, no upload</w:t>
            </w:r>
          </w:p>
        </w:tc>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No</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No (server save)</w:t>
            </w:r>
          </w:p>
        </w:tc>
        <w:tc>
          <w:tcPr>
            <w:tcW w:type="dxa" w:w="1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No (cloud)</w:t>
            </w:r>
          </w:p>
        </w:tc>
        <w:tc>
          <w:tcPr>
            <w:tcW w:type="dxa" w:w="1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Yes</w:t>
            </w:r>
          </w:p>
        </w:tc>
      </w:tr>
      <w:tr>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Cross-platform via export</w:t>
            </w:r>
          </w:p>
        </w:tc>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No (single platform)</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No (Twitter only)</w:t>
            </w:r>
          </w:p>
        </w:tc>
        <w:tc>
          <w:tcPr>
            <w:tcW w:type="dxa" w:w="1560"/>
            <w:tcMar>
              <w:top w:type="dxa" w:w="70"/>
              <w:left w:type="dxa" w:w="120"/>
              <w:bottom w:type="dxa" w:w="70"/>
              <w:right w:type="dxa" w:w="120"/>
            </w:tcMar>
          </w:tcPr>
          <w:p>
            <w:pPr>
              <w:spacing w:line="264"/>
            </w:pPr>
            <w:r>
              <w:rPr>
                <w:rFonts w:ascii="Georgia" w:cs="Georgia" w:eastAsia="Georgia" w:hAnsi="Georgia"/>
                <w:color w:val="1A1A1A"/>
                <w:sz w:val="19"/>
                <w:szCs w:val="19"/>
              </w:rPr>
              <w:t xml:space="preserve">N/A</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Yes</w:t>
            </w:r>
          </w:p>
        </w:tc>
      </w:tr>
      <w:tr>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Open source</w:t>
            </w:r>
          </w:p>
        </w:tc>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Rarely</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Yes</w:t>
            </w:r>
          </w:p>
        </w:tc>
        <w:tc>
          <w:tcPr>
            <w:tcW w:type="dxa" w:w="1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Monica only</w:t>
            </w:r>
          </w:p>
        </w:tc>
        <w:tc>
          <w:tcPr>
            <w:tcW w:type="dxa" w:w="1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Yes</w:t>
            </w:r>
          </w:p>
        </w:tc>
      </w:tr>
      <w:tr>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Retained (non-destructive) bin</w:t>
            </w:r>
          </w:p>
        </w:tc>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No</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Partial (lists)</w:t>
            </w:r>
          </w:p>
        </w:tc>
        <w:tc>
          <w:tcPr>
            <w:tcW w:type="dxa" w:w="1560"/>
            <w:tcMar>
              <w:top w:type="dxa" w:w="70"/>
              <w:left w:type="dxa" w:w="120"/>
              <w:bottom w:type="dxa" w:w="70"/>
              <w:right w:type="dxa" w:w="120"/>
            </w:tcMar>
          </w:tcPr>
          <w:p>
            <w:pPr>
              <w:spacing w:line="264"/>
            </w:pPr>
            <w:r>
              <w:rPr>
                <w:rFonts w:ascii="Georgia" w:cs="Georgia" w:eastAsia="Georgia" w:hAnsi="Georgia"/>
                <w:color w:val="1A1A1A"/>
                <w:sz w:val="19"/>
                <w:szCs w:val="19"/>
              </w:rPr>
              <w:t xml:space="preserve">N/A</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Yes</w:t>
            </w:r>
          </w:p>
        </w:tc>
      </w:tr>
    </w:tbl>
    <w:p>
      <w:pPr>
        <w:spacing w:after="80"/>
      </w:pPr>
    </w:p>
    <w:p>
      <w:pPr>
        <w:spacing w:after="160" w:line="300"/>
        <w:jc w:val="both"/>
      </w:pPr>
      <w:r>
        <w:rPr>
          <w:rFonts w:ascii="Georgia" w:cs="Georgia" w:eastAsia="Georgia" w:hAnsi="Georgia"/>
          <w:color w:val="1A1A1A"/>
          <w:sz w:val="22"/>
          <w:szCs w:val="22"/>
        </w:rPr>
        <w:t xml:space="preserve">No column but the last checks every row. That empty intersection — fast, tiered, credential-free, fully local, cross-platform, open source, non-destructive — is the niche. It is not that no one has built anything like this; it is that the existing tools each occupy a different corner of the design space, and the specific combination the science recommends has not been assembled.</w:t>
      </w:r>
    </w:p>
    <w:p>
      <w:pPr>
        <w:pStyle w:val="Heading2"/>
        <w:keepNext/>
        <w:spacing w:after="140" w:before="260"/>
      </w:pPr>
      <w:r>
        <w:rPr>
          <w:rFonts w:ascii="Arial" w:cs="Arial" w:eastAsia="Arial" w:hAnsi="Arial"/>
          <w:b/>
          <w:bCs/>
          <w:color w:val="8C4A2F"/>
          <w:sz w:val="26"/>
          <w:szCs w:val="26"/>
        </w:rPr>
        <w:t xml:space="preserve">8.6 The data the tool consumes: export formats</w:t>
      </w:r>
    </w:p>
    <w:p>
      <w:pPr>
        <w:spacing w:after="160" w:line="300"/>
        <w:jc w:val="both"/>
      </w:pPr>
      <w:r>
        <w:rPr>
          <w:rFonts w:ascii="Georgia" w:cs="Georgia" w:eastAsia="Georgia" w:hAnsi="Georgia"/>
          <w:color w:val="1A1A1A"/>
          <w:sz w:val="22"/>
          <w:szCs w:val="22"/>
        </w:rPr>
        <w:t xml:space="preserve">The flagship input is the platform's official data export, which the user obtains by exercising the data-portability right discussed in Chapter 6. For Instagram, the export is requested through the Accounts Center “download your information” flow and can be delivered as JSON or HTML. Within the download, follower and following data live under a connections folder, in files whose entries carry, for each account, the username, a link to the profile, and a timestamp. The exact internal structure — the specific keys wrapping those values — is documented reliably not in the platform's public developer docs but in community open-source projects that parse these exports, which is itself a reason to build a format-version detector that can adapt if the platform changes the schema. The tool should parse this export directly as its primary path, and additionally accept generic formats — CSV, plain text, and the like — so that a list copied from any source, or exported from another platform, can be sorted too.</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Engineering guidance on ingestion</w:t>
            </w:r>
          </w:p>
          <w:p>
            <w:pPr>
              <w:spacing w:after="60" w:line="276"/>
            </w:pPr>
            <w:r>
              <w:rPr>
                <w:rFonts w:ascii="Georgia" w:cs="Georgia" w:eastAsia="Georgia" w:hAnsi="Georgia"/>
                <w:color w:val="1A1A1A"/>
                <w:sz w:val="21"/>
                <w:szCs w:val="21"/>
              </w:rPr>
              <w:t xml:space="preserve">Support the Instagram JSON export as the first-class input (parsing the username / profile-link / timestamp fields from the followers and following files), unpack the export ZIP in the browser, and fall back to flexible CSV and text parsing for everything else. Build a schema-version detector so a change to the export format degrades gracefully into a clear message rather than a silent failure. Because the export format is verified through community repositories rather than official documentation, treat the parser as something to keep updated, and make the import step forgiving — the user should be able to sort a plainly-pasted list even if automatic format detection fails.</w:t>
            </w:r>
          </w:p>
        </w:tc>
      </w:tr>
    </w:tbl>
    <w:p>
      <w:pPr>
        <w:pStyle w:val="Heading2"/>
        <w:keepNext/>
        <w:spacing w:after="140" w:before="260"/>
      </w:pPr>
      <w:r>
        <w:rPr>
          <w:rFonts w:ascii="Arial" w:cs="Arial" w:eastAsia="Arial" w:hAnsi="Arial"/>
          <w:b/>
          <w:bCs/>
          <w:color w:val="8C4A2F"/>
          <w:sz w:val="26"/>
          <w:szCs w:val="26"/>
        </w:rPr>
        <w:t xml:space="preserve">8.7 Building blocks: the open-source library inventory</w:t>
      </w:r>
    </w:p>
    <w:p>
      <w:pPr>
        <w:spacing w:after="160" w:line="300"/>
        <w:jc w:val="both"/>
      </w:pPr>
      <w:r>
        <w:rPr>
          <w:rFonts w:ascii="Georgia" w:cs="Georgia" w:eastAsia="Georgia" w:hAnsi="Georgia"/>
          <w:color w:val="1A1A1A"/>
          <w:sz w:val="22"/>
          <w:szCs w:val="22"/>
        </w:rPr>
        <w:t xml:space="preserve">The tool is assemblable from mature, well-maintained open-source components; nothing about it requires bespoke low-level work. The following inventory names the categories and representative libraries the implementation can draw on, with the caveat that specific choices should be re-verified for current maintenance status at build time, since the JavaScript ecosystem moves quickly and at least one long-popular option in this space is now effectively unmaintained.</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1900"/>
        <w:gridCol w:w="3660"/>
        <w:gridCol w:w="3800"/>
      </w:tblGrid>
      <w:tr>
        <w:trPr>
          <w:tblHeader/>
        </w:trPr>
        <w:tc>
          <w:tcPr>
            <w:tcW w:type="dxa" w:w="1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6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Representative open-source options</w:t>
            </w:r>
          </w:p>
        </w:tc>
        <w:tc>
          <w:tcPr>
            <w:tcW w:type="dxa" w:w="38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Swipe-card UI</w:t>
            </w:r>
          </w:p>
        </w:tc>
        <w:tc>
          <w:tcPr>
            <w:tcW w:type="dxa" w:w="3660"/>
            <w:tcMar>
              <w:top w:type="dxa" w:w="70"/>
              <w:left w:type="dxa" w:w="120"/>
              <w:bottom w:type="dxa" w:w="70"/>
              <w:right w:type="dxa" w:w="120"/>
            </w:tcMar>
          </w:tcPr>
          <w:p>
            <w:pPr>
              <w:spacing w:line="264"/>
            </w:pPr>
            <w:r>
              <w:rPr>
                <w:rFonts w:ascii="Georgia" w:cs="Georgia" w:eastAsia="Georgia" w:hAnsi="Georgia"/>
                <w:color w:val="1A1A1A"/>
                <w:sz w:val="19"/>
                <w:szCs w:val="19"/>
              </w:rPr>
              <w:t xml:space="preserve">react-tinder-card; react-swipy; Swiper</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Swiper is actively maintained and well suited to swipe-card interfaces; react-tinder-card gives direction callbacks</w:t>
            </w:r>
          </w:p>
        </w:tc>
      </w:tr>
      <w:tr>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Touch gestures</w:t>
            </w:r>
          </w:p>
        </w:tc>
        <w:tc>
          <w:tcPr>
            <w:tcW w:type="dxa" w:w="36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Native Pointer Events; (Hammer.js)</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Prefer native Pointer Events or a maintained wrapper; Hammer.js is effectively unmaintained</w:t>
            </w:r>
          </w:p>
        </w:tc>
      </w:tr>
      <w:tr>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CSV parsing</w:t>
            </w:r>
          </w:p>
        </w:tc>
        <w:tc>
          <w:tcPr>
            <w:tcW w:type="dxa" w:w="3660"/>
            <w:tcMar>
              <w:top w:type="dxa" w:w="70"/>
              <w:left w:type="dxa" w:w="120"/>
              <w:bottom w:type="dxa" w:w="70"/>
              <w:right w:type="dxa" w:w="120"/>
            </w:tcMar>
          </w:tcPr>
          <w:p>
            <w:pPr>
              <w:spacing w:line="264"/>
            </w:pPr>
            <w:r>
              <w:rPr>
                <w:rFonts w:ascii="Georgia" w:cs="Georgia" w:eastAsia="Georgia" w:hAnsi="Georgia"/>
                <w:color w:val="1A1A1A"/>
                <w:sz w:val="19"/>
                <w:szCs w:val="19"/>
              </w:rPr>
              <w:t xml:space="preserve">PapaParse</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Streaming, web-worker capable; ideal for large pasted or uploaded lists</w:t>
            </w:r>
          </w:p>
        </w:tc>
      </w:tr>
      <w:tr>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DOCX text extraction</w:t>
            </w:r>
          </w:p>
        </w:tc>
        <w:tc>
          <w:tcPr>
            <w:tcW w:type="dxa" w:w="36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mammoth.js</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Browser build available; extracts raw text from a Word file if a user pastes from one</w:t>
            </w:r>
          </w:p>
        </w:tc>
      </w:tr>
      <w:tr>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ZIP handling</w:t>
            </w:r>
          </w:p>
        </w:tc>
        <w:tc>
          <w:tcPr>
            <w:tcW w:type="dxa" w:w="3660"/>
            <w:tcMar>
              <w:top w:type="dxa" w:w="70"/>
              <w:left w:type="dxa" w:w="120"/>
              <w:bottom w:type="dxa" w:w="70"/>
              <w:right w:type="dxa" w:w="120"/>
            </w:tcMar>
          </w:tcPr>
          <w:p>
            <w:pPr>
              <w:spacing w:line="264"/>
            </w:pPr>
            <w:r>
              <w:rPr>
                <w:rFonts w:ascii="Georgia" w:cs="Georgia" w:eastAsia="Georgia" w:hAnsi="Georgia"/>
                <w:color w:val="1A1A1A"/>
                <w:sz w:val="19"/>
                <w:szCs w:val="19"/>
              </w:rPr>
              <w:t xml:space="preserve">JSZip</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Unpacks the platform export archive entirely in the browser</w:t>
            </w:r>
          </w:p>
        </w:tc>
      </w:tr>
      <w:tr>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Optional local persistence</w:t>
            </w:r>
          </w:p>
        </w:tc>
        <w:tc>
          <w:tcPr>
            <w:tcW w:type="dxa" w:w="36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localForage; Dexie.js</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Wrappers over IndexedDB for saving triage progress on the user's own device only</w:t>
            </w:r>
          </w:p>
        </w:tc>
      </w:tr>
    </w:tbl>
    <w:p>
      <w:pPr>
        <w:spacing w:after="80"/>
      </w:pPr>
    </w:p>
    <w:p>
      <w:pPr>
        <w:spacing w:after="160" w:line="300"/>
        <w:jc w:val="both"/>
      </w:pPr>
      <w:r>
        <w:rPr>
          <w:rFonts w:ascii="Georgia" w:cs="Georgia" w:eastAsia="Georgia" w:hAnsi="Georgia"/>
          <w:color w:val="1A1A1A"/>
          <w:sz w:val="22"/>
          <w:szCs w:val="22"/>
        </w:rPr>
        <w:t xml:space="preserve">Every one of these runs in the browser, which is what makes the fully client-side architecture achievable with off-the-shelf parts. The persistence libraries are listed as optional and deliberately so: the tool's default is to hold nothing beyond the session, and even the opt-in save writes only to the user's own browser storage, never to a server. The engineering shape that emerges is modest and robust: a static web page, a handful of well-worn libraries, no backend, and no dependency on any platform API that could be revoked.</w:t>
      </w:r>
    </w:p>
    <w:p>
      <w:r>
        <w:br w:type="page"/>
      </w:r>
    </w:p>
    <w:p>
      <w:pPr>
        <w:pStyle w:val="Heading1"/>
        <w:keepNext/>
        <w:spacing w:after="200" w:before="360"/>
      </w:pPr>
      <w:r>
        <w:rPr>
          <w:rFonts w:ascii="Arial" w:cs="Arial" w:eastAsia="Arial" w:hAnsi="Arial"/>
          <w:b/>
          <w:bCs/>
          <w:color w:val="234A35"/>
          <w:sz w:val="32"/>
          <w:szCs w:val="32"/>
        </w:rPr>
        <w:t xml:space="preserve">9. Open by Necessity: The Trust Model</w:t>
      </w:r>
    </w:p>
    <w:p>
      <w:pPr>
        <w:spacing w:after="160" w:line="300"/>
        <w:jc w:val="both"/>
      </w:pPr>
      <w:r>
        <w:rPr>
          <w:rFonts w:ascii="Georgia" w:cs="Georgia" w:eastAsia="Georgia" w:hAnsi="Georgia"/>
          <w:color w:val="1A1A1A"/>
          <w:sz w:val="22"/>
          <w:szCs w:val="22"/>
        </w:rPr>
        <w:t xml:space="preserve">The decision to release the tool as open-source software is not, in this case, merely a preference or a gesture toward community goodwill. It is load-bearing for the tool's central promise. This short chapter explains why openness is the only way to make the privacy guarantee credible, and addresses the practical questions of licensing and distribution.</w:t>
      </w:r>
    </w:p>
    <w:p>
      <w:pPr>
        <w:pStyle w:val="Heading2"/>
        <w:keepNext/>
        <w:spacing w:after="140" w:before="260"/>
      </w:pPr>
      <w:r>
        <w:rPr>
          <w:rFonts w:ascii="Arial" w:cs="Arial" w:eastAsia="Arial" w:hAnsi="Arial"/>
          <w:b/>
          <w:bCs/>
          <w:color w:val="8C4A2F"/>
          <w:sz w:val="26"/>
          <w:szCs w:val="26"/>
        </w:rPr>
        <w:t xml:space="preserve">9.1 Why “trust us” is not enough</w:t>
      </w:r>
    </w:p>
    <w:p>
      <w:pPr>
        <w:spacing w:after="160" w:line="300"/>
        <w:jc w:val="both"/>
      </w:pPr>
      <w:r>
        <w:rPr>
          <w:rFonts w:ascii="Georgia" w:cs="Georgia" w:eastAsia="Georgia" w:hAnsi="Georgia"/>
          <w:color w:val="1A1A1A"/>
          <w:sz w:val="22"/>
          <w:szCs w:val="22"/>
        </w:rPr>
        <w:t xml:space="preserve">The tool asks the user to believe an extraordinary claim: that their entire social graph, once loaded, goes nowhere — that nothing is transmitted, logged, or retained. Every cloud service makes privacy promises; the follower-tracker apps of the previous chapter made them too, in privacy policies that simultaneously disclosed credential collection. A promise in prose is not verifiable. The distinctive property of open-source software is that the claim becomes checkable: because the entire source is published, any user with the relevant skill — or any journalist, researcher, or skeptic acting on the community's behalf — can read the code and confirm that it contains no network calls that exfiltrate data, that the processing genuinely happens in the browser, and that the optional persistence writes only locally. The privacy guarantee moves from something the user must take on faith to something the community can audit. For a tool handling data this sensitive, that auditability is not a nice-to-have; it is the mechanism by which the core promise is made trustworthy at all.</w:t>
      </w:r>
    </w:p>
    <w:p>
      <w:pPr>
        <w:spacing w:after="160" w:line="300"/>
        <w:jc w:val="both"/>
      </w:pPr>
      <w:r>
        <w:rPr>
          <w:rFonts w:ascii="Georgia" w:cs="Georgia" w:eastAsia="Georgia" w:hAnsi="Georgia"/>
          <w:color w:val="1A1A1A"/>
          <w:sz w:val="22"/>
          <w:szCs w:val="22"/>
        </w:rPr>
        <w:t xml:space="preserve">Openness reinforces the local-first longevity property as well. A static, open-source, client-side application cannot be unilaterally shut down the way the cloud services and API-dependent tools of the previous chapter were. If its original host disappears, anyone can rehost the unchanged code; if its maintainer moves on, anyone can fork it. The tool's survival does not depend on a company's continued existence or a platform's continued permission — a durability that matters precisely because so many tools in this space have vanished.</w:t>
      </w:r>
    </w:p>
    <w:p>
      <w:pPr>
        <w:pStyle w:val="Heading2"/>
        <w:keepNext/>
        <w:spacing w:after="140" w:before="260"/>
      </w:pPr>
      <w:r>
        <w:rPr>
          <w:rFonts w:ascii="Arial" w:cs="Arial" w:eastAsia="Arial" w:hAnsi="Arial"/>
          <w:b/>
          <w:bCs/>
          <w:color w:val="8C4A2F"/>
          <w:sz w:val="26"/>
          <w:szCs w:val="26"/>
        </w:rPr>
        <w:t xml:space="preserve">9.2 Licensing for forkability</w:t>
      </w:r>
    </w:p>
    <w:p>
      <w:pPr>
        <w:spacing w:after="160" w:line="300"/>
        <w:jc w:val="both"/>
      </w:pPr>
      <w:r>
        <w:rPr>
          <w:rFonts w:ascii="Georgia" w:cs="Georgia" w:eastAsia="Georgia" w:hAnsi="Georgia"/>
          <w:color w:val="1A1A1A"/>
          <w:sz w:val="22"/>
          <w:szCs w:val="22"/>
        </w:rPr>
        <w:t xml:space="preserve">The user's stated intention is for others to be able to fork and build on the tool freely, which bears directly on license choice. The two broad options are permissive licenses, of which the MIT License is the canonical example, and copyleft licenses, of which the GNU General Public License and its network-aware variant the Affero GPL are the leading examples. A permissive MIT license maximizes forkability in the plainest sense: anyone can take the code and do essentially anything with it, including incorporating it into other projects on their own terms. A copyleft license adds a condition — that derivative works must themselves remain open under the same terms — which protects the software's openness down the chain of forks but imposes more obligation on those who build on it. (Monica, the open-source personal CRM discussed earlier, uses the Affero GPL for exactly this protective reason.)</w:t>
      </w:r>
    </w:p>
    <w:p>
      <w:pPr>
        <w:spacing w:after="160" w:line="300"/>
        <w:jc w:val="both"/>
      </w:pPr>
      <w:r>
        <w:rPr>
          <w:rFonts w:ascii="Georgia" w:cs="Georgia" w:eastAsia="Georgia" w:hAnsi="Georgia"/>
          <w:color w:val="1A1A1A"/>
          <w:sz w:val="22"/>
          <w:szCs w:val="22"/>
        </w:rPr>
        <w:t xml:space="preserve">For a small, self-contained tool whose primary goal is the widest possible adoption and the lowest possible barrier to forking and remixing, the MIT License is the pragmatic recommendation. It aligns with the stated aim that others fork the project helpfully and freely, and it removes friction for anyone who wants to embed the triage engine into a larger tool or adapt it for a new platform. A maintainer who instead wished to guarantee that every downstream fork stays open could choose a copyleft license at the cost of some adoption friction; the choice is a values judgment, and this paper flags the tradeoff rather than dictating the outcome. The default recommendation, matching the user's forkability goal, is MIT.</w:t>
      </w:r>
    </w:p>
    <w:p>
      <w:pPr>
        <w:pStyle w:val="Heading2"/>
        <w:keepNext/>
        <w:spacing w:after="140" w:before="260"/>
      </w:pPr>
      <w:r>
        <w:rPr>
          <w:rFonts w:ascii="Arial" w:cs="Arial" w:eastAsia="Arial" w:hAnsi="Arial"/>
          <w:b/>
          <w:bCs/>
          <w:color w:val="8C4A2F"/>
          <w:sz w:val="26"/>
          <w:szCs w:val="26"/>
        </w:rPr>
        <w:t xml:space="preserve">9.3 Distribution at zero cost</w:t>
      </w:r>
    </w:p>
    <w:p>
      <w:pPr>
        <w:spacing w:after="160" w:line="300"/>
        <w:jc w:val="both"/>
      </w:pPr>
      <w:r>
        <w:rPr>
          <w:rFonts w:ascii="Georgia" w:cs="Georgia" w:eastAsia="Georgia" w:hAnsi="Georgia"/>
          <w:color w:val="1A1A1A"/>
          <w:sz w:val="22"/>
          <w:szCs w:val="22"/>
        </w:rPr>
        <w:t xml:space="preserve">The architecture makes distribution nearly free. Because the tool is a purely client-side static web application with no backend, it can be hosted on any static-hosting service — including free ones such as GitHub Pages, which serves static sites directly from a code repository at no cost. This closes a satisfying loop: the same repository that publishes the source for auditing and forking also </w:t>
      </w:r>
      <w:r>
        <w:rPr>
          <w:rFonts w:ascii="Georgia" w:cs="Georgia" w:eastAsia="Georgia" w:hAnsi="Georgia"/>
          <w:i/>
          <w:iCs/>
          <w:color w:val="1A1A1A"/>
          <w:sz w:val="22"/>
          <w:szCs w:val="22"/>
        </w:rPr>
        <w:t xml:space="preserve">is</w:t>
      </w:r>
      <w:r>
        <w:rPr>
          <w:rFonts w:ascii="Georgia" w:cs="Georgia" w:eastAsia="Georgia" w:hAnsi="Georgia"/>
          <w:color w:val="1A1A1A"/>
          <w:sz w:val="22"/>
          <w:szCs w:val="22"/>
        </w:rPr>
        <w:t xml:space="preserve"> the deployment, so the code a user runs is manifestly the code they can read. There is no server to pay for, no infrastructure to maintain, and no operational cost that would pressure the project toward monetizing user data — the original sin the whole design is built to avoid. A tool that costs nothing to run and holds nothing to sell has no economic reason to betray its users, and open-source publication lets them verify that it doesn't.</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Why openness is load-bearing, in one sentence</w:t>
            </w:r>
          </w:p>
          <w:p>
            <w:pPr>
              <w:spacing w:after="60" w:line="276"/>
            </w:pPr>
            <w:r>
              <w:rPr>
                <w:rFonts w:ascii="Georgia" w:cs="Georgia" w:eastAsia="Georgia" w:hAnsi="Georgia"/>
                <w:color w:val="1A1A1A"/>
                <w:sz w:val="21"/>
                <w:szCs w:val="21"/>
              </w:rPr>
              <w:t xml:space="preserve">Open source converts the tool's central privacy promise from an unverifiable claim into a community-auditable fact, guarantees the tool can outlive any single host or maintainer, and — licensed permissively and hosted on free static infrastructure — lets the project fulfill its forkability goal and operate at zero cost, removing the economic incentive to ever monetize the user data it is designed never to touch.</w:t>
            </w:r>
          </w:p>
        </w:tc>
      </w:tr>
    </w:tbl>
    <w:p>
      <w:r>
        <w:br w:type="page"/>
      </w:r>
    </w:p>
    <w:p>
      <w:pPr>
        <w:pStyle w:val="Heading1"/>
        <w:keepNext/>
        <w:spacing w:after="200" w:before="360"/>
      </w:pPr>
      <w:r>
        <w:rPr>
          <w:rFonts w:ascii="Arial" w:cs="Arial" w:eastAsia="Arial" w:hAnsi="Arial"/>
          <w:b/>
          <w:bCs/>
          <w:color w:val="234A35"/>
          <w:sz w:val="32"/>
          <w:szCs w:val="32"/>
        </w:rPr>
        <w:t xml:space="preserve">10. From Evidence to Artifact: Design Synthesis</w:t>
      </w:r>
    </w:p>
    <w:p>
      <w:pPr>
        <w:spacing w:after="160" w:line="300"/>
        <w:jc w:val="both"/>
      </w:pPr>
      <w:r>
        <w:rPr>
          <w:rFonts w:ascii="Georgia" w:cs="Georgia" w:eastAsia="Georgia" w:hAnsi="Georgia"/>
          <w:color w:val="1A1A1A"/>
          <w:sz w:val="22"/>
          <w:szCs w:val="22"/>
        </w:rPr>
        <w:t xml:space="preserve">The preceding chapters built an argument in parts. This chapter draws them together into a single accounting, showing that every consequential design decision in the proposed tool descends from a specific body of evidence rather than from taste. The purpose is twofold: to demonstrate that the tool is a derived object, not an arbitrary one, and to give a developer forking the project a clear map of why each choice was made, so that changes can be evaluated against the reasoning rather than made blindly. The table that anchors this chapter is, in a sense, the whole paper compressed: design decision on the left, evidentiary warrant on the right.</w:t>
      </w:r>
    </w:p>
    <w:p>
      <w:pPr>
        <w:pStyle w:val="Heading2"/>
        <w:keepNext/>
        <w:spacing w:after="140" w:before="260"/>
      </w:pPr>
      <w:r>
        <w:rPr>
          <w:rFonts w:ascii="Arial" w:cs="Arial" w:eastAsia="Arial" w:hAnsi="Arial"/>
          <w:b/>
          <w:bCs/>
          <w:color w:val="8C4A2F"/>
          <w:sz w:val="26"/>
          <w:szCs w:val="26"/>
        </w:rPr>
        <w:t xml:space="preserve">10.1 The decision-to-evidence map</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3300"/>
        <w:gridCol w:w="4560"/>
        <w:gridCol w:w="1500"/>
      </w:tblGrid>
      <w:tr>
        <w:trPr>
          <w:tblHeader/>
        </w:trPr>
        <w:tc>
          <w:tcPr>
            <w:tcW w:type="dxa" w:w="33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Design decision</w:t>
            </w:r>
          </w:p>
        </w:tc>
        <w:tc>
          <w:tcPr>
            <w:tcW w:type="dxa" w:w="45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Evidentiary warrant</w:t>
            </w:r>
          </w:p>
        </w:tc>
        <w:tc>
          <w:tcPr>
            <w:tcW w:type="dxa" w:w="15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Chapter</w:t>
            </w:r>
          </w:p>
        </w:tc>
      </w:tr>
      <w:tr>
        <w:tc>
          <w:tcPr>
            <w:tcW w:type="dxa" w:w="3300"/>
            <w:tcMar>
              <w:top w:type="dxa" w:w="70"/>
              <w:left w:type="dxa" w:w="120"/>
              <w:bottom w:type="dxa" w:w="70"/>
              <w:right w:type="dxa" w:w="120"/>
            </w:tcMar>
          </w:tcPr>
          <w:p>
            <w:pPr>
              <w:spacing w:line="264"/>
            </w:pPr>
            <w:r>
              <w:rPr>
                <w:rFonts w:ascii="Georgia" w:cs="Georgia" w:eastAsia="Georgia" w:hAnsi="Georgia"/>
                <w:color w:val="1A1A1A"/>
                <w:sz w:val="19"/>
                <w:szCs w:val="19"/>
              </w:rPr>
              <w:t xml:space="preserve">Curate rather than counsel quitting</w:t>
            </w:r>
          </w:p>
        </w:tc>
        <w:tc>
          <w:tcPr>
            <w:tcW w:type="dxa" w:w="4560"/>
            <w:tcMar>
              <w:top w:type="dxa" w:w="70"/>
              <w:left w:type="dxa" w:w="120"/>
              <w:bottom w:type="dxa" w:w="70"/>
              <w:right w:type="dxa" w:w="120"/>
            </w:tcMar>
          </w:tcPr>
          <w:p>
            <w:pPr>
              <w:spacing w:line="264"/>
            </w:pPr>
            <w:r>
              <w:rPr>
                <w:rFonts w:ascii="Georgia" w:cs="Georgia" w:eastAsia="Georgia" w:hAnsi="Georgia"/>
                <w:color w:val="1A1A1A"/>
                <w:sz w:val="19"/>
                <w:szCs w:val="19"/>
              </w:rPr>
              <w:t xml:space="preserve">Harm concentrates in passive comparison, not use as such; abstinence sacrifices maintained-capital value</w:t>
            </w:r>
          </w:p>
        </w:tc>
        <w:tc>
          <w:tcPr>
            <w:tcW w:type="dxa" w:w="1500"/>
            <w:tcMar>
              <w:top w:type="dxa" w:w="70"/>
              <w:left w:type="dxa" w:w="120"/>
              <w:bottom w:type="dxa" w:w="70"/>
              <w:right w:type="dxa" w:w="120"/>
            </w:tcMar>
          </w:tcPr>
          <w:p>
            <w:pPr>
              <w:spacing w:line="264"/>
            </w:pPr>
            <w:r>
              <w:rPr>
                <w:rFonts w:ascii="Georgia" w:cs="Georgia" w:eastAsia="Georgia" w:hAnsi="Georgia"/>
                <w:color w:val="1A1A1A"/>
                <w:sz w:val="19"/>
                <w:szCs w:val="19"/>
              </w:rPr>
              <w:t xml:space="preserve">1, 3, 5</w:t>
            </w:r>
          </w:p>
        </w:tc>
      </w:tr>
      <w:tr>
        <w:tc>
          <w:tcPr>
            <w:tcW w:type="dxa" w:w="3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Sort into a small number of nested tiers</w:t>
            </w:r>
          </w:p>
        </w:tc>
        <w:tc>
          <w:tcPr>
            <w:tcW w:type="dxa" w:w="4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Human networks are layered and bounded (Dunbar 5/15/50/150), not flat lists</w:t>
            </w:r>
          </w:p>
        </w:tc>
        <w:tc>
          <w:tcPr>
            <w:tcW w:type="dxa" w:w="1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r>
      <w:tr>
        <w:tc>
          <w:tcPr>
            <w:tcW w:type="dxa" w:w="3300"/>
            <w:tcMar>
              <w:top w:type="dxa" w:w="70"/>
              <w:left w:type="dxa" w:w="120"/>
              <w:bottom w:type="dxa" w:w="70"/>
              <w:right w:type="dxa" w:w="120"/>
            </w:tcMar>
          </w:tcPr>
          <w:p>
            <w:pPr>
              <w:spacing w:line="264"/>
            </w:pPr>
            <w:r>
              <w:rPr>
                <w:rFonts w:ascii="Georgia" w:cs="Georgia" w:eastAsia="Georgia" w:hAnsi="Georgia"/>
                <w:color w:val="1A1A1A"/>
                <w:sz w:val="19"/>
                <w:szCs w:val="19"/>
              </w:rPr>
              <w:t xml:space="preserve">Four tiers plus a bin (not two, not twelve)</w:t>
            </w:r>
          </w:p>
        </w:tc>
        <w:tc>
          <w:tcPr>
            <w:tcW w:type="dxa" w:w="4560"/>
            <w:tcMar>
              <w:top w:type="dxa" w:w="70"/>
              <w:left w:type="dxa" w:w="120"/>
              <w:bottom w:type="dxa" w:w="70"/>
              <w:right w:type="dxa" w:w="120"/>
            </w:tcMar>
          </w:tcPr>
          <w:p>
            <w:pPr>
              <w:spacing w:line="264"/>
            </w:pPr>
            <w:r>
              <w:rPr>
                <w:rFonts w:ascii="Georgia" w:cs="Georgia" w:eastAsia="Georgia" w:hAnsi="Georgia"/>
                <w:color w:val="1A1A1A"/>
                <w:sz w:val="19"/>
                <w:szCs w:val="19"/>
              </w:rPr>
              <w:t xml:space="preserve">Between binary crudeness and choice-overload paralysis; users have clear criteria</w:t>
            </w:r>
          </w:p>
        </w:tc>
        <w:tc>
          <w:tcPr>
            <w:tcW w:type="dxa" w:w="1500"/>
            <w:tcMar>
              <w:top w:type="dxa" w:w="70"/>
              <w:left w:type="dxa" w:w="120"/>
              <w:bottom w:type="dxa" w:w="70"/>
              <w:right w:type="dxa" w:w="120"/>
            </w:tcMar>
          </w:tcPr>
          <w:p>
            <w:pPr>
              <w:spacing w:line="264"/>
            </w:pPr>
            <w:r>
              <w:rPr>
                <w:rFonts w:ascii="Georgia" w:cs="Georgia" w:eastAsia="Georgia" w:hAnsi="Georgia"/>
                <w:color w:val="1A1A1A"/>
                <w:sz w:val="19"/>
                <w:szCs w:val="19"/>
              </w:rPr>
              <w:t xml:space="preserve">3, 7</w:t>
            </w:r>
          </w:p>
        </w:tc>
      </w:tr>
      <w:tr>
        <w:tc>
          <w:tcPr>
            <w:tcW w:type="dxa" w:w="3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 retained bin, never a delete</w:t>
            </w:r>
          </w:p>
        </w:tc>
        <w:tc>
          <w:tcPr>
            <w:tcW w:type="dxa" w:w="4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Weak and dormant ties carry latent value (Granovetter, Rajkumar, Levin &amp; Walter)</w:t>
            </w:r>
          </w:p>
        </w:tc>
        <w:tc>
          <w:tcPr>
            <w:tcW w:type="dxa" w:w="1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3, 4</w:t>
            </w:r>
          </w:p>
        </w:tc>
      </w:tr>
      <w:tr>
        <w:tc>
          <w:tcPr>
            <w:tcW w:type="dxa" w:w="3300"/>
            <w:tcMar>
              <w:top w:type="dxa" w:w="70"/>
              <w:left w:type="dxa" w:w="120"/>
              <w:bottom w:type="dxa" w:w="70"/>
              <w:right w:type="dxa" w:w="120"/>
            </w:tcMar>
          </w:tcPr>
          <w:p>
            <w:pPr>
              <w:spacing w:line="264"/>
            </w:pPr>
            <w:r>
              <w:rPr>
                <w:rFonts w:ascii="Georgia" w:cs="Georgia" w:eastAsia="Georgia" w:hAnsi="Georgia"/>
                <w:color w:val="1A1A1A"/>
                <w:sz w:val="19"/>
                <w:szCs w:val="19"/>
              </w:rPr>
              <w:t xml:space="preserve">Surface every name for a conscious choice</w:t>
            </w:r>
          </w:p>
        </w:tc>
        <w:tc>
          <w:tcPr>
            <w:tcW w:type="dxa" w:w="4560"/>
            <w:tcMar>
              <w:top w:type="dxa" w:w="70"/>
              <w:left w:type="dxa" w:w="120"/>
              <w:bottom w:type="dxa" w:w="70"/>
              <w:right w:type="dxa" w:w="120"/>
            </w:tcMar>
          </w:tcPr>
          <w:p>
            <w:pPr>
              <w:spacing w:line="264"/>
            </w:pPr>
            <w:r>
              <w:rPr>
                <w:rFonts w:ascii="Georgia" w:cs="Georgia" w:eastAsia="Georgia" w:hAnsi="Georgia"/>
                <w:color w:val="1A1A1A"/>
                <w:sz w:val="19"/>
                <w:szCs w:val="19"/>
              </w:rPr>
              <w:t xml:space="preserve">Dormant-tie research: a handful are worth deliberately reviving; decay is otherwise silent</w:t>
            </w:r>
          </w:p>
        </w:tc>
        <w:tc>
          <w:tcPr>
            <w:tcW w:type="dxa" w:w="15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r>
      <w:tr>
        <w:tc>
          <w:tcPr>
            <w:tcW w:type="dxa" w:w="3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Swipe and keystroke, one card at a time</w:t>
            </w:r>
          </w:p>
        </w:tc>
        <w:tc>
          <w:tcPr>
            <w:tcW w:type="dxa" w:w="4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Decision-fatigue economy; closed card sort; Tinder-scale and email-triage precedent</w:t>
            </w:r>
          </w:p>
        </w:tc>
        <w:tc>
          <w:tcPr>
            <w:tcW w:type="dxa" w:w="1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7</w:t>
            </w:r>
          </w:p>
        </w:tc>
      </w:tr>
      <w:tr>
        <w:tc>
          <w:tcPr>
            <w:tcW w:type="dxa" w:w="3300"/>
            <w:tcMar>
              <w:top w:type="dxa" w:w="70"/>
              <w:left w:type="dxa" w:w="120"/>
              <w:bottom w:type="dxa" w:w="70"/>
              <w:right w:type="dxa" w:w="120"/>
            </w:tcMar>
          </w:tcPr>
          <w:p>
            <w:pPr>
              <w:spacing w:line="264"/>
            </w:pPr>
            <w:r>
              <w:rPr>
                <w:rFonts w:ascii="Georgia" w:cs="Georgia" w:eastAsia="Georgia" w:hAnsi="Georgia"/>
                <w:color w:val="1A1A1A"/>
                <w:sz w:val="19"/>
                <w:szCs w:val="19"/>
              </w:rPr>
              <w:t xml:space="preserve">Show name, handle, and profile link on each card</w:t>
            </w:r>
          </w:p>
        </w:tc>
        <w:tc>
          <w:tcPr>
            <w:tcW w:type="dxa" w:w="4560"/>
            <w:tcMar>
              <w:top w:type="dxa" w:w="70"/>
              <w:left w:type="dxa" w:w="120"/>
              <w:bottom w:type="dxa" w:w="70"/>
              <w:right w:type="dxa" w:w="120"/>
            </w:tcMar>
          </w:tcPr>
          <w:p>
            <w:pPr>
              <w:spacing w:line="264"/>
            </w:pPr>
            <w:r>
              <w:rPr>
                <w:rFonts w:ascii="Georgia" w:cs="Georgia" w:eastAsia="Georgia" w:hAnsi="Georgia"/>
                <w:color w:val="1A1A1A"/>
                <w:sz w:val="19"/>
                <w:szCs w:val="19"/>
              </w:rPr>
              <w:t xml:space="preserve">Recognition beats recall; support judgment without leaving the loop</w:t>
            </w:r>
          </w:p>
        </w:tc>
        <w:tc>
          <w:tcPr>
            <w:tcW w:type="dxa" w:w="1500"/>
            <w:tcMar>
              <w:top w:type="dxa" w:w="70"/>
              <w:left w:type="dxa" w:w="120"/>
              <w:bottom w:type="dxa" w:w="70"/>
              <w:right w:type="dxa" w:w="120"/>
            </w:tcMar>
          </w:tcPr>
          <w:p>
            <w:pPr>
              <w:spacing w:line="264"/>
            </w:pPr>
            <w:r>
              <w:rPr>
                <w:rFonts w:ascii="Georgia" w:cs="Georgia" w:eastAsia="Georgia" w:hAnsi="Georgia"/>
                <w:color w:val="1A1A1A"/>
                <w:sz w:val="19"/>
                <w:szCs w:val="19"/>
              </w:rPr>
              <w:t xml:space="preserve">7</w:t>
            </w:r>
          </w:p>
        </w:tc>
      </w:tr>
      <w:tr>
        <w:tc>
          <w:tcPr>
            <w:tcW w:type="dxa" w:w="3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Fully client-side, nothing transmitted</w:t>
            </w:r>
          </w:p>
        </w:tc>
        <w:tc>
          <w:tcPr>
            <w:tcW w:type="dxa" w:w="4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Surveillance-capitalism critique; local-first; privacy by design</w:t>
            </w:r>
          </w:p>
        </w:tc>
        <w:tc>
          <w:tcPr>
            <w:tcW w:type="dxa" w:w="1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6</w:t>
            </w:r>
          </w:p>
        </w:tc>
      </w:tr>
      <w:tr>
        <w:tc>
          <w:tcPr>
            <w:tcW w:type="dxa" w:w="3300"/>
            <w:tcMar>
              <w:top w:type="dxa" w:w="70"/>
              <w:left w:type="dxa" w:w="120"/>
              <w:bottom w:type="dxa" w:w="70"/>
              <w:right w:type="dxa" w:w="120"/>
            </w:tcMar>
          </w:tcPr>
          <w:p>
            <w:pPr>
              <w:spacing w:line="264"/>
            </w:pPr>
            <w:r>
              <w:rPr>
                <w:rFonts w:ascii="Georgia" w:cs="Georgia" w:eastAsia="Georgia" w:hAnsi="Georgia"/>
                <w:color w:val="1A1A1A"/>
                <w:sz w:val="19"/>
                <w:szCs w:val="19"/>
              </w:rPr>
              <w:t xml:space="preserve">Consume official exports, never credentials or scraping</w:t>
            </w:r>
          </w:p>
        </w:tc>
        <w:tc>
          <w:tcPr>
            <w:tcW w:type="dxa" w:w="4560"/>
            <w:tcMar>
              <w:top w:type="dxa" w:w="70"/>
              <w:left w:type="dxa" w:w="120"/>
              <w:bottom w:type="dxa" w:w="70"/>
              <w:right w:type="dxa" w:w="120"/>
            </w:tcMar>
          </w:tcPr>
          <w:p>
            <w:pPr>
              <w:spacing w:line="264"/>
            </w:pPr>
            <w:r>
              <w:rPr>
                <w:rFonts w:ascii="Georgia" w:cs="Georgia" w:eastAsia="Georgia" w:hAnsi="Georgia"/>
                <w:color w:val="1A1A1A"/>
                <w:sz w:val="19"/>
                <w:szCs w:val="19"/>
              </w:rPr>
              <w:t xml:space="preserve">Data-portability right; CFAA / contract / account-ban hazards of the alternatives</w:t>
            </w:r>
          </w:p>
        </w:tc>
        <w:tc>
          <w:tcPr>
            <w:tcW w:type="dxa" w:w="1500"/>
            <w:tcMar>
              <w:top w:type="dxa" w:w="70"/>
              <w:left w:type="dxa" w:w="120"/>
              <w:bottom w:type="dxa" w:w="70"/>
              <w:right w:type="dxa" w:w="120"/>
            </w:tcMar>
          </w:tcPr>
          <w:p>
            <w:pPr>
              <w:spacing w:line="264"/>
            </w:pPr>
            <w:r>
              <w:rPr>
                <w:rFonts w:ascii="Georgia" w:cs="Georgia" w:eastAsia="Georgia" w:hAnsi="Georgia"/>
                <w:color w:val="1A1A1A"/>
                <w:sz w:val="19"/>
                <w:szCs w:val="19"/>
              </w:rPr>
              <w:t xml:space="preserve">6, 8</w:t>
            </w:r>
          </w:p>
        </w:tc>
      </w:tr>
      <w:tr>
        <w:tc>
          <w:tcPr>
            <w:tcW w:type="dxa" w:w="3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Optional local-only persistence</w:t>
            </w:r>
          </w:p>
        </w:tc>
        <w:tc>
          <w:tcPr>
            <w:tcW w:type="dxa" w:w="4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Local-first user control; default to holding nothing</w:t>
            </w:r>
          </w:p>
        </w:tc>
        <w:tc>
          <w:tcPr>
            <w:tcW w:type="dxa" w:w="1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6</w:t>
            </w:r>
          </w:p>
        </w:tc>
      </w:tr>
      <w:tr>
        <w:tc>
          <w:tcPr>
            <w:tcW w:type="dxa" w:w="3300"/>
            <w:tcMar>
              <w:top w:type="dxa" w:w="70"/>
              <w:left w:type="dxa" w:w="120"/>
              <w:bottom w:type="dxa" w:w="70"/>
              <w:right w:type="dxa" w:w="120"/>
            </w:tcMar>
          </w:tcPr>
          <w:p>
            <w:pPr>
              <w:spacing w:line="264"/>
            </w:pPr>
            <w:r>
              <w:rPr>
                <w:rFonts w:ascii="Georgia" w:cs="Georgia" w:eastAsia="Georgia" w:hAnsi="Georgia"/>
                <w:color w:val="1A1A1A"/>
                <w:sz w:val="19"/>
                <w:szCs w:val="19"/>
              </w:rPr>
              <w:t xml:space="preserve">Progressive web app delivery</w:t>
            </w:r>
          </w:p>
        </w:tc>
        <w:tc>
          <w:tcPr>
            <w:tcW w:type="dxa" w:w="4560"/>
            <w:tcMar>
              <w:top w:type="dxa" w:w="70"/>
              <w:left w:type="dxa" w:w="120"/>
              <w:bottom w:type="dxa" w:w="70"/>
              <w:right w:type="dxa" w:w="120"/>
            </w:tcMar>
          </w:tcPr>
          <w:p>
            <w:pPr>
              <w:spacing w:line="264"/>
            </w:pPr>
            <w:r>
              <w:rPr>
                <w:rFonts w:ascii="Georgia" w:cs="Georgia" w:eastAsia="Georgia" w:hAnsi="Georgia"/>
                <w:color w:val="1A1A1A"/>
                <w:sz w:val="19"/>
                <w:szCs w:val="19"/>
              </w:rPr>
              <w:t xml:space="preserve">Cross-platform reach, offline capability, no app-store gatekeeping</w:t>
            </w:r>
          </w:p>
        </w:tc>
        <w:tc>
          <w:tcPr>
            <w:tcW w:type="dxa" w:w="1500"/>
            <w:tcMar>
              <w:top w:type="dxa" w:w="70"/>
              <w:left w:type="dxa" w:w="120"/>
              <w:bottom w:type="dxa" w:w="70"/>
              <w:right w:type="dxa" w:w="120"/>
            </w:tcMar>
          </w:tcPr>
          <w:p>
            <w:pPr>
              <w:spacing w:line="264"/>
            </w:pPr>
            <w:r>
              <w:rPr>
                <w:rFonts w:ascii="Georgia" w:cs="Georgia" w:eastAsia="Georgia" w:hAnsi="Georgia"/>
                <w:color w:val="1A1A1A"/>
                <w:sz w:val="19"/>
                <w:szCs w:val="19"/>
              </w:rPr>
              <w:t xml:space="preserve">7</w:t>
            </w:r>
          </w:p>
        </w:tc>
      </w:tr>
      <w:tr>
        <w:tc>
          <w:tcPr>
            <w:tcW w:type="dxa" w:w="3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Open source, MIT-licensed, free static hosting</w:t>
            </w:r>
          </w:p>
        </w:tc>
        <w:tc>
          <w:tcPr>
            <w:tcW w:type="dxa" w:w="4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Auditability makes the privacy promise verifiable; forkability; zero-cost, no incentive to monetize data</w:t>
            </w:r>
          </w:p>
        </w:tc>
        <w:tc>
          <w:tcPr>
            <w:tcW w:type="dxa" w:w="1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9</w:t>
            </w:r>
          </w:p>
        </w:tc>
      </w:tr>
      <w:tr>
        <w:tc>
          <w:tcPr>
            <w:tcW w:type="dxa" w:w="3300"/>
            <w:tcMar>
              <w:top w:type="dxa" w:w="70"/>
              <w:left w:type="dxa" w:w="120"/>
              <w:bottom w:type="dxa" w:w="70"/>
              <w:right w:type="dxa" w:w="120"/>
            </w:tcMar>
          </w:tcPr>
          <w:p>
            <w:pPr>
              <w:spacing w:line="264"/>
            </w:pPr>
            <w:r>
              <w:rPr>
                <w:rFonts w:ascii="Georgia" w:cs="Georgia" w:eastAsia="Georgia" w:hAnsi="Georgia"/>
                <w:color w:val="1A1A1A"/>
                <w:sz w:val="19"/>
                <w:szCs w:val="19"/>
              </w:rPr>
              <w:t xml:space="preserve">Distinct professional mode with its own tiers</w:t>
            </w:r>
          </w:p>
        </w:tc>
        <w:tc>
          <w:tcPr>
            <w:tcW w:type="dxa" w:w="4560"/>
            <w:tcMar>
              <w:top w:type="dxa" w:w="70"/>
              <w:left w:type="dxa" w:w="120"/>
              <w:bottom w:type="dxa" w:w="70"/>
              <w:right w:type="dxa" w:w="120"/>
            </w:tcMar>
          </w:tcPr>
          <w:p>
            <w:pPr>
              <w:spacing w:line="264"/>
            </w:pPr>
            <w:r>
              <w:rPr>
                <w:rFonts w:ascii="Georgia" w:cs="Georgia" w:eastAsia="Georgia" w:hAnsi="Georgia"/>
                <w:color w:val="1A1A1A"/>
                <w:sz w:val="19"/>
                <w:szCs w:val="19"/>
              </w:rPr>
              <w:t xml:space="preserve">Careers literature: operational/personal/strategic; weak-tie job mobility</w:t>
            </w:r>
          </w:p>
        </w:tc>
        <w:tc>
          <w:tcPr>
            <w:tcW w:type="dxa" w:w="150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r>
    </w:tbl>
    <w:p>
      <w:pPr>
        <w:spacing w:after="100"/>
      </w:pPr>
    </w:p>
    <w:p>
      <w:pPr>
        <w:spacing w:after="160" w:line="300"/>
        <w:jc w:val="both"/>
      </w:pPr>
      <w:r>
        <w:rPr>
          <w:rFonts w:ascii="Georgia" w:cs="Georgia" w:eastAsia="Georgia" w:hAnsi="Georgia"/>
          <w:color w:val="1A1A1A"/>
          <w:sz w:val="22"/>
          <w:szCs w:val="22"/>
        </w:rPr>
        <w:t xml:space="preserve">Read down the middle column and the paper's structure reappears. No decision rests on nothing; several rest on the convergence of multiple independent literatures, which is the strongest kind of warrant — the four-tiers-plus-bin choice, for instance, is supported simultaneously by the layered-network science (which says more than two), the choice-overload research (which says not too many), and the weak-tie literature (which says the bottom tier must be retained rather than destroyed). When separate bodies of evidence, developed by different researchers for different purposes, all point at the same design, one can hold that design with some confidence.</w:t>
      </w:r>
    </w:p>
    <w:p>
      <w:pPr>
        <w:pStyle w:val="Heading2"/>
        <w:keepNext/>
        <w:spacing w:after="140" w:before="260"/>
      </w:pPr>
      <w:r>
        <w:rPr>
          <w:rFonts w:ascii="Arial" w:cs="Arial" w:eastAsia="Arial" w:hAnsi="Arial"/>
          <w:b/>
          <w:bCs/>
          <w:color w:val="8C4A2F"/>
          <w:sz w:val="26"/>
          <w:szCs w:val="26"/>
        </w:rPr>
        <w:t xml:space="preserve">10.2 What would change the design</w:t>
      </w:r>
    </w:p>
    <w:p>
      <w:pPr>
        <w:spacing w:after="160" w:line="300"/>
        <w:jc w:val="both"/>
      </w:pPr>
      <w:r>
        <w:rPr>
          <w:rFonts w:ascii="Georgia" w:cs="Georgia" w:eastAsia="Georgia" w:hAnsi="Georgia"/>
          <w:color w:val="1A1A1A"/>
          <w:sz w:val="22"/>
          <w:szCs w:val="22"/>
        </w:rPr>
        <w:t xml:space="preserve">A derived design should also specify what evidence would revise it, both as intellectual honesty and as practical guidance. Three thresholds are worth naming. First, if user testing showed that four tiers genuinely overwhelmed people on a first pass — that the choice-overload risk materialized despite users' clear criteria — the response is already designed: a binary-first mode that lets users make a rough keep/bin sweep and subdivide the keepers on a second pass, converting one hard four-way decision into two easy ones. Second, if a platform changed its data-export format, the schema-version detector should degrade into a clear message and a flexible manual-paste fallback rather than failing silently; the parser is explicitly treated as a maintained component because the format is verified through community sources rather than official documentation. Third, if the legal or platform-policy environment shifted to restrict even the processing of one's own exported follower data, the tool should add an explicit consent gate — though the whole architecture, built on the user's own lawful export processed on their own device, is designed precisely to stay clear of that hazard. Naming these thresholds in advance is what makes the design falsifiable rather than merely asserted.</w:t>
      </w:r>
    </w:p>
    <w:p>
      <w:r>
        <w:br w:type="page"/>
      </w:r>
    </w:p>
    <w:p>
      <w:pPr>
        <w:pStyle w:val="Heading1"/>
        <w:keepNext/>
        <w:spacing w:after="200" w:before="360"/>
      </w:pPr>
      <w:r>
        <w:rPr>
          <w:rFonts w:ascii="Arial" w:cs="Arial" w:eastAsia="Arial" w:hAnsi="Arial"/>
          <w:b/>
          <w:bCs/>
          <w:color w:val="234A35"/>
          <w:sz w:val="32"/>
          <w:szCs w:val="32"/>
        </w:rPr>
        <w:t xml:space="preserve">11. Naming the Thing and Its Tiers</w:t>
      </w:r>
    </w:p>
    <w:p>
      <w:pPr>
        <w:spacing w:after="160" w:line="300"/>
        <w:jc w:val="both"/>
      </w:pPr>
      <w:r>
        <w:rPr>
          <w:rFonts w:ascii="Georgia" w:cs="Georgia" w:eastAsia="Georgia" w:hAnsi="Georgia"/>
          <w:color w:val="1A1A1A"/>
          <w:sz w:val="22"/>
          <w:szCs w:val="22"/>
        </w:rPr>
        <w:t xml:space="preserve">Two naming problems remain, and both are more than cosmetic. The name of the tool shapes how people understand and remember it; the names of the tiers shape how users actually make their sorting decisions, as Chapter 4 showed when it corrected “speculative” to “bridging/dormant.” This chapter proposes candidates for both, grounded where possible in the paper's themes, and flags the practical checks that must precede any final choice.</w:t>
      </w:r>
    </w:p>
    <w:p>
      <w:pPr>
        <w:pStyle w:val="Heading2"/>
        <w:keepNext/>
        <w:spacing w:after="140" w:before="260"/>
      </w:pPr>
      <w:r>
        <w:rPr>
          <w:rFonts w:ascii="Arial" w:cs="Arial" w:eastAsia="Arial" w:hAnsi="Arial"/>
          <w:b/>
          <w:bCs/>
          <w:color w:val="8C4A2F"/>
          <w:sz w:val="26"/>
          <w:szCs w:val="26"/>
        </w:rPr>
        <w:t xml:space="preserve">11.1 Candidate names for the tool</w:t>
      </w:r>
    </w:p>
    <w:p>
      <w:pPr>
        <w:spacing w:after="160" w:line="300"/>
        <w:jc w:val="both"/>
      </w:pPr>
      <w:r>
        <w:rPr>
          <w:rFonts w:ascii="Georgia" w:cs="Georgia" w:eastAsia="Georgia" w:hAnsi="Georgia"/>
          <w:color w:val="1A1A1A"/>
          <w:sz w:val="22"/>
          <w:szCs w:val="22"/>
        </w:rPr>
        <w:t xml:space="preserve">A good name for this tool would ideally evoke one of its core ideas — the act of sifting or separating, the tending of a bounded social world, the careful reduction of a crowd to the people who matter — while being short, memorable, and available. The candidates below are grouped by the metaphor they draw on. None should be adopted before checking for trademark conflicts and app-store and domain collisions, a step this chapter deliberately does not skip over.</w:t>
      </w:r>
    </w:p>
    <w:p>
      <w:pPr>
        <w:pStyle w:val="Heading3"/>
        <w:keepNext/>
        <w:spacing w:after="120" w:before="200"/>
      </w:pPr>
      <w:r>
        <w:rPr>
          <w:rFonts w:ascii="Arial" w:cs="Arial" w:eastAsia="Arial" w:hAnsi="Arial"/>
          <w:b/>
          <w:bCs/>
          <w:color w:val="1A1A1A"/>
          <w:sz w:val="23"/>
          <w:szCs w:val="23"/>
        </w:rPr>
        <w:t xml:space="preserve">Sifting and separating</w:t>
      </w:r>
    </w:p>
    <w:p>
      <w:pPr>
        <w:spacing w:after="160" w:line="300"/>
        <w:jc w:val="both"/>
      </w:pPr>
      <w:r>
        <w:rPr>
          <w:rFonts w:ascii="Georgia" w:cs="Georgia" w:eastAsia="Georgia" w:hAnsi="Georgia"/>
          <w:color w:val="1A1A1A"/>
          <w:sz w:val="22"/>
          <w:szCs w:val="22"/>
        </w:rPr>
        <w:t xml:space="preserve">Winnow — to separate grain from chaff by wind; a precise metaphor for keeping signal and letting noise blow away, distinctive and meaningful. Sift, Sieve, Cull — shorter and blunter variants of the same idea; Cull carries a harsher connotation that may not suit a tool built around a non-destructive bin. Curate — accurate but generic and heavily used.</w:t>
      </w:r>
    </w:p>
    <w:p>
      <w:pPr>
        <w:pStyle w:val="Heading3"/>
        <w:keepNext/>
        <w:spacing w:after="120" w:before="200"/>
      </w:pPr>
      <w:r>
        <w:rPr>
          <w:rFonts w:ascii="Arial" w:cs="Arial" w:eastAsia="Arial" w:hAnsi="Arial"/>
          <w:b/>
          <w:bCs/>
          <w:color w:val="1A1A1A"/>
          <w:sz w:val="23"/>
          <w:szCs w:val="23"/>
        </w:rPr>
        <w:t xml:space="preserve">Tending a bounded social world</w:t>
      </w:r>
    </w:p>
    <w:p>
      <w:pPr>
        <w:spacing w:after="160" w:line="300"/>
        <w:jc w:val="both"/>
      </w:pPr>
      <w:r>
        <w:rPr>
          <w:rFonts w:ascii="Georgia" w:cs="Georgia" w:eastAsia="Georgia" w:hAnsi="Georgia"/>
          <w:color w:val="1A1A1A"/>
          <w:sz w:val="22"/>
          <w:szCs w:val="22"/>
        </w:rPr>
        <w:t xml:space="preserve">Tend, Tender, Gardener — the social-garden metaphor from Chapter 3, where relationships require recurrent maintenance or they decay; warm and apt, though Tender has an unrelated financial meaning to work around. Kith — from the old phrase “kith and kin,” meaning one's friends and acquaintances as distinct from family; distinctive, evocative, and almost unused in software. Kindred — warmer and more about closeness than sorting.</w:t>
      </w:r>
    </w:p>
    <w:p>
      <w:pPr>
        <w:pStyle w:val="Heading3"/>
        <w:keepNext/>
        <w:spacing w:after="120" w:before="200"/>
      </w:pPr>
      <w:r>
        <w:rPr>
          <w:rFonts w:ascii="Arial" w:cs="Arial" w:eastAsia="Arial" w:hAnsi="Arial"/>
          <w:b/>
          <w:bCs/>
          <w:color w:val="1A1A1A"/>
          <w:sz w:val="23"/>
          <w:szCs w:val="23"/>
        </w:rPr>
        <w:t xml:space="preserve">The Dunbar layers</w:t>
      </w:r>
    </w:p>
    <w:p>
      <w:pPr>
        <w:spacing w:after="160" w:line="300"/>
        <w:jc w:val="both"/>
      </w:pPr>
      <w:r>
        <w:rPr>
          <w:rFonts w:ascii="Georgia" w:cs="Georgia" w:eastAsia="Georgia" w:hAnsi="Georgia"/>
          <w:color w:val="1A1A1A"/>
          <w:sz w:val="22"/>
          <w:szCs w:val="22"/>
        </w:rPr>
        <w:t xml:space="preserve">Layers, One-Fifty, 150 — names that nod directly to the layered-network science that anchors the tool; One-Fifty is distinctive but risks meaning nothing to someone who has not read the argument. Deck — the card metaphor from the closed-card-sort interaction, short and friendly.</w:t>
      </w:r>
    </w:p>
    <w:p>
      <w:pPr>
        <w:pStyle w:val="Heading3"/>
        <w:keepNext/>
        <w:spacing w:after="120" w:before="200"/>
      </w:pPr>
      <w:r>
        <w:rPr>
          <w:rFonts w:ascii="Arial" w:cs="Arial" w:eastAsia="Arial" w:hAnsi="Arial"/>
          <w:b/>
          <w:bCs/>
          <w:color w:val="1A1A1A"/>
          <w:sz w:val="23"/>
          <w:szCs w:val="23"/>
        </w:rPr>
        <w:t xml:space="preserve">Careful reduction</w:t>
      </w:r>
    </w:p>
    <w:p>
      <w:pPr>
        <w:spacing w:after="160" w:line="300"/>
        <w:jc w:val="both"/>
      </w:pPr>
      <w:r>
        <w:rPr>
          <w:rFonts w:ascii="Georgia" w:cs="Georgia" w:eastAsia="Georgia" w:hAnsi="Georgia"/>
          <w:color w:val="1A1A1A"/>
          <w:sz w:val="22"/>
          <w:szCs w:val="22"/>
        </w:rPr>
        <w:t xml:space="preserve">Whittle — to reduce something gradually and deliberately by paring away; a strong fit for the tool's patient, one-at-a-time reduction of a large list, and distinctive. Prune — the same idea with a horticultural echo that ties back to the garden metaphor.</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Shortlist and the necessary check</w:t>
            </w:r>
          </w:p>
          <w:p>
            <w:pPr>
              <w:spacing w:after="60" w:line="276"/>
            </w:pPr>
            <w:r>
              <w:rPr>
                <w:rFonts w:ascii="Georgia" w:cs="Georgia" w:eastAsia="Georgia" w:hAnsi="Georgia"/>
                <w:color w:val="1A1A1A"/>
                <w:sz w:val="21"/>
                <w:szCs w:val="21"/>
              </w:rPr>
              <w:t xml:space="preserve">On the combination of distinctiveness and fit to the paper's themes, the strongest candidates are Winnow (sifting), Kith (one's people), Tend (the social garden), and Whittle (patient reduction). Winnow is the working title used on this paper's cover. Avoid names with obvious collisions — “Circles” (Google), “Nudge” (both a famous behavioral-economics book and several existing apps) — and, before committing to any name, verify trademark status and check for app-store and domain-name collisions, since a memorable name is worthless if it is already taken or legally encumbered.</w:t>
            </w:r>
          </w:p>
        </w:tc>
      </w:tr>
    </w:tbl>
    <w:p>
      <w:pPr>
        <w:pStyle w:val="Heading2"/>
        <w:keepNext/>
        <w:spacing w:after="140" w:before="260"/>
      </w:pPr>
      <w:r>
        <w:rPr>
          <w:rFonts w:ascii="Arial" w:cs="Arial" w:eastAsia="Arial" w:hAnsi="Arial"/>
          <w:b/>
          <w:bCs/>
          <w:color w:val="8C4A2F"/>
          <w:sz w:val="26"/>
          <w:szCs w:val="26"/>
        </w:rPr>
        <w:t xml:space="preserve">11.2 Tier names: personal mode</w:t>
      </w:r>
    </w:p>
    <w:p>
      <w:pPr>
        <w:spacing w:after="160" w:line="300"/>
        <w:jc w:val="both"/>
      </w:pPr>
      <w:r>
        <w:rPr>
          <w:rFonts w:ascii="Georgia" w:cs="Georgia" w:eastAsia="Georgia" w:hAnsi="Georgia"/>
          <w:color w:val="1A1A1A"/>
          <w:sz w:val="22"/>
          <w:szCs w:val="22"/>
        </w:rPr>
        <w:t xml:space="preserve">The tool ships with default tier names but lets users rename them, and the defaults should teach the layered-network idea while remaining plain enough to use without explanation. The user's own preset — the labels a real person actually reached for — is an instructive flagship, and it maps cleanly onto the Dunbar layers.</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2650"/>
        <w:gridCol w:w="2650"/>
        <w:gridCol w:w="2760"/>
        <w:gridCol w:w="1300"/>
      </w:tblGrid>
      <w:tr>
        <w:trPr>
          <w:tblHeader/>
        </w:trPr>
        <w:tc>
          <w:tcPr>
            <w:tcW w:type="dxa" w:w="265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User's own preset</w:t>
            </w:r>
          </w:p>
        </w:tc>
        <w:tc>
          <w:tcPr>
            <w:tcW w:type="dxa" w:w="265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Scientifically legible default</w:t>
            </w:r>
          </w:p>
        </w:tc>
        <w:tc>
          <w:tcPr>
            <w:tcW w:type="dxa" w:w="27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Approximate Dunbar layer</w:t>
            </w:r>
          </w:p>
        </w:tc>
        <w:tc>
          <w:tcPr>
            <w:tcW w:type="dxa" w:w="13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Rough size</w:t>
            </w:r>
          </w:p>
        </w:tc>
      </w:tr>
      <w:tr>
        <w:tc>
          <w:tcPr>
            <w:tcW w:type="dxa" w:w="2650"/>
            <w:tcMar>
              <w:top w:type="dxa" w:w="70"/>
              <w:left w:type="dxa" w:w="120"/>
              <w:bottom w:type="dxa" w:w="70"/>
              <w:right w:type="dxa" w:w="120"/>
            </w:tcMar>
          </w:tcPr>
          <w:p>
            <w:pPr>
              <w:spacing w:line="264"/>
            </w:pPr>
            <w:r>
              <w:rPr>
                <w:rFonts w:ascii="Georgia" w:cs="Georgia" w:eastAsia="Georgia" w:hAnsi="Georgia"/>
                <w:color w:val="1A1A1A"/>
                <w:sz w:val="19"/>
                <w:szCs w:val="19"/>
              </w:rPr>
              <w:t xml:space="preserve">Family</w:t>
            </w:r>
          </w:p>
        </w:tc>
        <w:tc>
          <w:tcPr>
            <w:tcW w:type="dxa" w:w="2650"/>
            <w:tcMar>
              <w:top w:type="dxa" w:w="70"/>
              <w:left w:type="dxa" w:w="120"/>
              <w:bottom w:type="dxa" w:w="70"/>
              <w:right w:type="dxa" w:w="120"/>
            </w:tcMar>
          </w:tcPr>
          <w:p>
            <w:pPr>
              <w:spacing w:line="264"/>
            </w:pPr>
            <w:r>
              <w:rPr>
                <w:rFonts w:ascii="Georgia" w:cs="Georgia" w:eastAsia="Georgia" w:hAnsi="Georgia"/>
                <w:color w:val="1A1A1A"/>
                <w:sz w:val="19"/>
                <w:szCs w:val="19"/>
              </w:rPr>
              <w:t xml:space="preserve">Inner Circle</w:t>
            </w:r>
          </w:p>
        </w:tc>
        <w:tc>
          <w:tcPr>
            <w:tcW w:type="dxa" w:w="2760"/>
            <w:tcMar>
              <w:top w:type="dxa" w:w="70"/>
              <w:left w:type="dxa" w:w="120"/>
              <w:bottom w:type="dxa" w:w="70"/>
              <w:right w:type="dxa" w:w="120"/>
            </w:tcMar>
          </w:tcPr>
          <w:p>
            <w:pPr>
              <w:spacing w:line="264"/>
            </w:pPr>
            <w:r>
              <w:rPr>
                <w:rFonts w:ascii="Georgia" w:cs="Georgia" w:eastAsia="Georgia" w:hAnsi="Georgia"/>
                <w:color w:val="1A1A1A"/>
                <w:sz w:val="19"/>
                <w:szCs w:val="19"/>
              </w:rPr>
              <w:t xml:space="preserve">Support clique / sympathy group</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~5–15</w:t>
            </w:r>
          </w:p>
        </w:tc>
      </w:tr>
      <w:tr>
        <w:tc>
          <w:tcPr>
            <w:tcW w:type="dxa" w:w="265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Greatest Friends</w:t>
            </w:r>
          </w:p>
        </w:tc>
        <w:tc>
          <w:tcPr>
            <w:tcW w:type="dxa" w:w="265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Close</w:t>
            </w:r>
          </w:p>
        </w:tc>
        <w:tc>
          <w:tcPr>
            <w:tcW w:type="dxa" w:w="2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Sympathy group / affinity group</w:t>
            </w:r>
          </w:p>
        </w:tc>
        <w:tc>
          <w:tcPr>
            <w:tcW w:type="dxa" w:w="1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~15–50</w:t>
            </w:r>
          </w:p>
        </w:tc>
      </w:tr>
      <w:tr>
        <w:tc>
          <w:tcPr>
            <w:tcW w:type="dxa" w:w="2650"/>
            <w:tcMar>
              <w:top w:type="dxa" w:w="70"/>
              <w:left w:type="dxa" w:w="120"/>
              <w:bottom w:type="dxa" w:w="70"/>
              <w:right w:type="dxa" w:w="120"/>
            </w:tcMar>
          </w:tcPr>
          <w:p>
            <w:pPr>
              <w:spacing w:line="264"/>
            </w:pPr>
            <w:r>
              <w:rPr>
                <w:rFonts w:ascii="Georgia" w:cs="Georgia" w:eastAsia="Georgia" w:hAnsi="Georgia"/>
                <w:color w:val="1A1A1A"/>
                <w:sz w:val="19"/>
                <w:szCs w:val="19"/>
              </w:rPr>
              <w:t xml:space="preserve">Genuine Buddies</w:t>
            </w:r>
          </w:p>
        </w:tc>
        <w:tc>
          <w:tcPr>
            <w:tcW w:type="dxa" w:w="2650"/>
            <w:tcMar>
              <w:top w:type="dxa" w:w="70"/>
              <w:left w:type="dxa" w:w="120"/>
              <w:bottom w:type="dxa" w:w="70"/>
              <w:right w:type="dxa" w:w="120"/>
            </w:tcMar>
          </w:tcPr>
          <w:p>
            <w:pPr>
              <w:spacing w:line="264"/>
            </w:pPr>
            <w:r>
              <w:rPr>
                <w:rFonts w:ascii="Georgia" w:cs="Georgia" w:eastAsia="Georgia" w:hAnsi="Georgia"/>
                <w:color w:val="1A1A1A"/>
                <w:sz w:val="19"/>
                <w:szCs w:val="19"/>
              </w:rPr>
              <w:t xml:space="preserve">Active</w:t>
            </w:r>
          </w:p>
        </w:tc>
        <w:tc>
          <w:tcPr>
            <w:tcW w:type="dxa" w:w="2760"/>
            <w:tcMar>
              <w:top w:type="dxa" w:w="70"/>
              <w:left w:type="dxa" w:w="120"/>
              <w:bottom w:type="dxa" w:w="70"/>
              <w:right w:type="dxa" w:w="120"/>
            </w:tcMar>
          </w:tcPr>
          <w:p>
            <w:pPr>
              <w:spacing w:line="264"/>
            </w:pPr>
            <w:r>
              <w:rPr>
                <w:rFonts w:ascii="Georgia" w:cs="Georgia" w:eastAsia="Georgia" w:hAnsi="Georgia"/>
                <w:color w:val="1A1A1A"/>
                <w:sz w:val="19"/>
                <w:szCs w:val="19"/>
              </w:rPr>
              <w:t xml:space="preserve">Affinity group / active network</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~50</w:t>
            </w:r>
          </w:p>
        </w:tc>
      </w:tr>
      <w:tr>
        <w:tc>
          <w:tcPr>
            <w:tcW w:type="dxa" w:w="265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Circumstantial — keeping up</w:t>
            </w:r>
          </w:p>
        </w:tc>
        <w:tc>
          <w:tcPr>
            <w:tcW w:type="dxa" w:w="265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Acquaintances</w:t>
            </w:r>
          </w:p>
        </w:tc>
        <w:tc>
          <w:tcPr>
            <w:tcW w:type="dxa" w:w="2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Active network / outer layers</w:t>
            </w:r>
          </w:p>
        </w:tc>
        <w:tc>
          <w:tcPr>
            <w:tcW w:type="dxa" w:w="1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~100+</w:t>
            </w:r>
          </w:p>
        </w:tc>
      </w:tr>
      <w:tr>
        <w:tc>
          <w:tcPr>
            <w:tcW w:type="dxa" w:w="2650"/>
            <w:tcMar>
              <w:top w:type="dxa" w:w="70"/>
              <w:left w:type="dxa" w:w="120"/>
              <w:bottom w:type="dxa" w:w="70"/>
              <w:right w:type="dxa" w:w="120"/>
            </w:tcMar>
          </w:tcPr>
          <w:p>
            <w:pPr>
              <w:spacing w:line="264"/>
            </w:pPr>
            <w:r>
              <w:rPr>
                <w:rFonts w:ascii="Georgia" w:cs="Georgia" w:eastAsia="Georgia" w:hAnsi="Georgia"/>
                <w:color w:val="1A1A1A"/>
                <w:sz w:val="19"/>
                <w:szCs w:val="19"/>
              </w:rPr>
              <w:t xml:space="preserve">(the retained bin)</w:t>
            </w:r>
          </w:p>
        </w:tc>
        <w:tc>
          <w:tcPr>
            <w:tcW w:type="dxa" w:w="2650"/>
            <w:tcMar>
              <w:top w:type="dxa" w:w="70"/>
              <w:left w:type="dxa" w:w="120"/>
              <w:bottom w:type="dxa" w:w="70"/>
              <w:right w:type="dxa" w:w="120"/>
            </w:tcMar>
          </w:tcPr>
          <w:p>
            <w:pPr>
              <w:spacing w:line="264"/>
            </w:pPr>
            <w:r>
              <w:rPr>
                <w:rFonts w:ascii="Georgia" w:cs="Georgia" w:eastAsia="Georgia" w:hAnsi="Georgia"/>
                <w:color w:val="1A1A1A"/>
                <w:sz w:val="19"/>
                <w:szCs w:val="19"/>
              </w:rPr>
              <w:t xml:space="preserve">Filed — kept, not followed</w:t>
            </w:r>
          </w:p>
        </w:tc>
        <w:tc>
          <w:tcPr>
            <w:tcW w:type="dxa" w:w="2760"/>
            <w:tcMar>
              <w:top w:type="dxa" w:w="70"/>
              <w:left w:type="dxa" w:w="120"/>
              <w:bottom w:type="dxa" w:w="70"/>
              <w:right w:type="dxa" w:w="120"/>
            </w:tcMar>
          </w:tcPr>
          <w:p>
            <w:pPr>
              <w:spacing w:line="264"/>
            </w:pPr>
            <w:r>
              <w:rPr>
                <w:rFonts w:ascii="Georgia" w:cs="Georgia" w:eastAsia="Georgia" w:hAnsi="Georgia"/>
                <w:color w:val="1A1A1A"/>
                <w:sz w:val="19"/>
                <w:szCs w:val="19"/>
              </w:rPr>
              <w:t xml:space="preserve">Outer acquaintance layers</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the rest</w:t>
            </w:r>
          </w:p>
        </w:tc>
      </w:tr>
    </w:tbl>
    <w:p>
      <w:pPr>
        <w:spacing w:after="80"/>
      </w:pPr>
    </w:p>
    <w:p>
      <w:pPr>
        <w:spacing w:after="160" w:line="300"/>
        <w:jc w:val="both"/>
      </w:pPr>
      <w:r>
        <w:rPr>
          <w:rFonts w:ascii="Georgia" w:cs="Georgia" w:eastAsia="Georgia" w:hAnsi="Georgia"/>
          <w:color w:val="1A1A1A"/>
          <w:sz w:val="22"/>
          <w:szCs w:val="22"/>
        </w:rPr>
        <w:t xml:space="preserve">The correspondence is worth pausing on, because it is the paper's central synthesis made concrete. A person sorting into family, closest friends, genuine buddies, and people worth loosely keeping up with — with everyone else filed but retained — is reconstructing, by hand and by feel, the empirical shells that Dunbar's research found in social networks across cultures and datasets. The tool does not impose this structure; it gives a name and an interface to a structure the user was already going to produce, and the in-app text can cite Dunbar so that a curious user learns why the shape of their own social world takes the form it does. The user's roughly forty, thirty, fifty, and one hundred is not a coincidence to be corrected but a lived instance of the layered pattern to be recognized.</w:t>
      </w:r>
    </w:p>
    <w:p>
      <w:pPr>
        <w:pStyle w:val="Heading2"/>
        <w:keepNext/>
        <w:spacing w:after="140" w:before="260"/>
      </w:pPr>
      <w:r>
        <w:rPr>
          <w:rFonts w:ascii="Arial" w:cs="Arial" w:eastAsia="Arial" w:hAnsi="Arial"/>
          <w:b/>
          <w:bCs/>
          <w:color w:val="8C4A2F"/>
          <w:sz w:val="26"/>
          <w:szCs w:val="26"/>
        </w:rPr>
        <w:t xml:space="preserve">11.3 Tier names: professional mode</w:t>
      </w:r>
    </w:p>
    <w:p>
      <w:pPr>
        <w:spacing w:after="160" w:line="300"/>
        <w:jc w:val="both"/>
      </w:pPr>
      <w:r>
        <w:rPr>
          <w:rFonts w:ascii="Georgia" w:cs="Georgia" w:eastAsia="Georgia" w:hAnsi="Georgia"/>
          <w:color w:val="1A1A1A"/>
          <w:sz w:val="22"/>
          <w:szCs w:val="22"/>
        </w:rPr>
        <w:t xml:space="preserve">The professional-mode taxonomy was derived in Chapter 4 and is restated here as the paper's recommendation, replacing the intuitive draft labels with names grounded in the network and careers literature. The tiers, from center outward, are Strategic or Core (high-trust, high-priority ties central to current goals and future direction, echoing Ibarra and Hunter's strategic network and Dunbar's inner layers); Active (currently maintained working and developmental contacts, their operational and personal networks); Bridging or Dormant (weak or out-of-touch ties with high latent value — the career sweet spot identified by Granovetter, Rajkumar, and Levin and Walter, and the one label whose correction from “speculative” actually changes how a user treats the tier); and Aspirational or Target (people to build toward who are not yet real contacts). The bottom category, as in personal mode, is a retained “not relevant” bin rather than a delete, because the weak-tie literature cautions against irreversibly discarding professional ties. Both modes thus share one engine and one philosophy — a small number of meaningful tiers, a non-destructive bottom, rapid triage — and differ only in the vocabulary each domain requires.</w:t>
      </w:r>
    </w:p>
    <w:p>
      <w:r>
        <w:br w:type="page"/>
      </w:r>
    </w:p>
    <w:p>
      <w:pPr>
        <w:pStyle w:val="Heading1"/>
        <w:keepNext/>
        <w:spacing w:after="200" w:before="360"/>
      </w:pPr>
      <w:r>
        <w:rPr>
          <w:rFonts w:ascii="Arial" w:cs="Arial" w:eastAsia="Arial" w:hAnsi="Arial"/>
          <w:b/>
          <w:bCs/>
          <w:color w:val="234A35"/>
          <w:sz w:val="32"/>
          <w:szCs w:val="32"/>
        </w:rPr>
        <w:t xml:space="preserve">12. Building It: A Staged Implementation Plan</w:t>
      </w:r>
    </w:p>
    <w:p>
      <w:pPr>
        <w:spacing w:after="160" w:line="300"/>
        <w:jc w:val="both"/>
      </w:pPr>
      <w:r>
        <w:rPr>
          <w:rFonts w:ascii="Georgia" w:cs="Georgia" w:eastAsia="Georgia" w:hAnsi="Georgia"/>
          <w:color w:val="1A1A1A"/>
          <w:sz w:val="22"/>
          <w:szCs w:val="22"/>
        </w:rPr>
        <w:t xml:space="preserve">This chapter sketches how the tool moves from argument to working software, in stages defined so that each delivers something usable on its own. It is deliberately high-level — a plan, not a specification — and it names concrete benchmarks so that success is measurable rather than vague. The organizing principle is that the first stage should already solve the user's actual problem, with later stages adding reach and refinement.</w:t>
      </w:r>
    </w:p>
    <w:p>
      <w:pPr>
        <w:spacing w:after="160" w:line="300"/>
        <w:jc w:val="both"/>
      </w:pPr>
      <w:r>
        <w:rPr>
          <w:rFonts w:ascii="Georgia" w:cs="Georgia" w:eastAsia="Georgia" w:hAnsi="Georgia"/>
          <w:color w:val="1A1A1A"/>
          <w:sz w:val="22"/>
          <w:szCs w:val="22"/>
        </w:rPr>
        <w:t xml:space="preserve">The single most important benchmark is set by the problem that motivated the tool. Sorting roughly a thousand connections by hand took the better part of a day. The first working version succeeds if it lets a person triage a list of that size in </w:t>
      </w:r>
      <w:r>
        <w:rPr>
          <w:rFonts w:ascii="Georgia" w:cs="Georgia" w:eastAsia="Georgia" w:hAnsi="Georgia"/>
          <w:b/>
          <w:bCs/>
          <w:color w:val="1A1A1A"/>
          <w:sz w:val="22"/>
          <w:szCs w:val="22"/>
        </w:rPr>
        <w:t xml:space="preserve">under thirty minutes</w:t>
      </w:r>
      <w:r>
        <w:rPr>
          <w:rFonts w:ascii="Georgia" w:cs="Georgia" w:eastAsia="Georgia" w:hAnsi="Georgia"/>
          <w:color w:val="1A1A1A"/>
          <w:sz w:val="22"/>
          <w:szCs w:val="22"/>
        </w:rPr>
        <w:t xml:space="preserve"> — a better-than-tenfold reduction in the time cost of the beneficial act. Every stage is measured against whether it preserves that core speed while extending what the tool can do.</w:t>
      </w:r>
    </w:p>
    <w:p>
      <w:pPr>
        <w:pStyle w:val="Heading2"/>
        <w:keepNext/>
        <w:spacing w:after="140" w:before="260"/>
      </w:pPr>
      <w:r>
        <w:rPr>
          <w:rFonts w:ascii="Arial" w:cs="Arial" w:eastAsia="Arial" w:hAnsi="Arial"/>
          <w:b/>
          <w:bCs/>
          <w:color w:val="8C4A2F"/>
          <w:sz w:val="26"/>
          <w:szCs w:val="26"/>
        </w:rPr>
        <w:t xml:space="preserve">12.1 The stages</w:t>
      </w:r>
    </w:p>
    <w:p>
      <w:pPr>
        <w:spacing w:after="160" w:line="300"/>
        <w:jc w:val="both"/>
      </w:pPr>
      <w:r>
        <w:rPr>
          <w:rFonts w:ascii="Georgia" w:cs="Georgia" w:eastAsia="Georgia" w:hAnsi="Georgia"/>
          <w:color w:val="1A1A1A"/>
          <w:sz w:val="22"/>
          <w:szCs w:val="22"/>
        </w:rPr>
        <w:t xml:space="preserve">Phase one, the minimum useful version: import from the flagship Instagram JSON export and from generic CSV and pasted text; present each connection as a card; triage by swipe or arrow key into four tiers plus the retained bin; export the result as a file the user can keep or feed into another tool. This alone solves the original problem, and it is the version against which the under-thirty-minutes benchmark is measured.</w:t>
      </w:r>
    </w:p>
    <w:p>
      <w:pPr>
        <w:spacing w:after="160" w:line="300"/>
        <w:jc w:val="both"/>
      </w:pPr>
      <w:r>
        <w:rPr>
          <w:rFonts w:ascii="Georgia" w:cs="Georgia" w:eastAsia="Georgia" w:hAnsi="Georgia"/>
          <w:color w:val="1A1A1A"/>
          <w:sz w:val="22"/>
          <w:szCs w:val="22"/>
        </w:rPr>
        <w:t xml:space="preserve">Phase two, recognition and convenience: show display names and clickable profile links on each card to support recognition over recall; add opt-in local saving of progress so a large sort can be paused and resumed; package the tool as an installable progressive web app; broaden import to handle the export ZIP directly and to read a pasted Word document. This phase makes the tool comfortable for large networks and repeated use.</w:t>
      </w:r>
    </w:p>
    <w:p>
      <w:pPr>
        <w:spacing w:after="160" w:line="300"/>
        <w:jc w:val="both"/>
      </w:pPr>
      <w:r>
        <w:rPr>
          <w:rFonts w:ascii="Georgia" w:cs="Georgia" w:eastAsia="Georgia" w:hAnsi="Georgia"/>
          <w:color w:val="1A1A1A"/>
          <w:sz w:val="22"/>
          <w:szCs w:val="22"/>
        </w:rPr>
        <w:t xml:space="preserve">Phase three, the professional dimension: add the networking mode with its strategic / active / bridging-dormant / aspirational taxonomy, and an optional maintenance-cadence feature that maps the tiers to contact frequencies in the manner of the personal-CRM tools — weekly, monthly, quarterly, annual — for users who want the tool to help them keep up with the people they have sorted, not just sort them once.</w:t>
      </w:r>
    </w:p>
    <w:p>
      <w:pPr>
        <w:pStyle w:val="Heading2"/>
        <w:keepNext/>
        <w:spacing w:after="140" w:before="260"/>
      </w:pPr>
      <w:r>
        <w:rPr>
          <w:rFonts w:ascii="Arial" w:cs="Arial" w:eastAsia="Arial" w:hAnsi="Arial"/>
          <w:b/>
          <w:bCs/>
          <w:color w:val="8C4A2F"/>
          <w:sz w:val="26"/>
          <w:szCs w:val="26"/>
        </w:rPr>
        <w:t xml:space="preserve">12.2 Benchmarks and guardrails</w:t>
      </w:r>
    </w:p>
    <w:p>
      <w:pPr>
        <w:spacing w:after="160" w:line="300"/>
        <w:jc w:val="both"/>
      </w:pPr>
      <w:r>
        <w:rPr>
          <w:rFonts w:ascii="Georgia" w:cs="Georgia" w:eastAsia="Georgia" w:hAnsi="Georgia"/>
          <w:color w:val="1A1A1A"/>
          <w:sz w:val="22"/>
          <w:szCs w:val="22"/>
        </w:rPr>
        <w:t xml:space="preserve">Beyond the headline speed benchmark, a few others make success concrete: a first-time user should complete their first ten cards without instruction, a proxy for the interaction being genuinely self-explanatory; and the import step should succeed on a plainly-pasted list even when automatic format detection fails, a proxy for the ingestion being forgiving. The guardrails are the thresholds named in Chapter 10: if four tiers overwhelm users on a first pass, offer the binary-first-then-subdivide mode; if an export format changes, degrade to a clear message and manual fallback rather than a silent failure; if the policy environment shifts, add an explicit consent gate. Naming benchmarks and guardrails together keeps the build honest — it specifies not only what to make but how to know whether it worked and what to do when reality pushes back.</w:t>
      </w:r>
    </w:p>
    <w:p>
      <w:r>
        <w:br w:type="page"/>
      </w:r>
    </w:p>
    <w:p>
      <w:pPr>
        <w:pStyle w:val="Heading1"/>
        <w:keepNext/>
        <w:spacing w:after="200" w:before="360"/>
      </w:pPr>
      <w:r>
        <w:rPr>
          <w:rFonts w:ascii="Arial" w:cs="Arial" w:eastAsia="Arial" w:hAnsi="Arial"/>
          <w:b/>
          <w:bCs/>
          <w:color w:val="234A35"/>
          <w:sz w:val="32"/>
          <w:szCs w:val="32"/>
        </w:rPr>
        <w:t xml:space="preserve">Conclusion: Tending the Garden</w:t>
      </w:r>
    </w:p>
    <w:p>
      <w:pPr>
        <w:spacing w:after="160" w:line="300"/>
        <w:jc w:val="both"/>
      </w:pPr>
      <w:r>
        <w:rPr>
          <w:rFonts w:ascii="Georgia" w:cs="Georgia" w:eastAsia="Georgia" w:hAnsi="Georgia"/>
          <w:color w:val="1A1A1A"/>
          <w:sz w:val="22"/>
          <w:szCs w:val="22"/>
        </w:rPr>
        <w:t xml:space="preserve">This paper began with an act almost no one performs — reading, name by name, the full list of everyone one is connected to online — and argued that the reason no one performs it is also the reason everyone should be able to. The act is unmanageable by hand at the scale the platforms encourage, so it goes undone, and the feed a person carries becomes something assembled by an algorithm and a decade of reflex rather than something they chose. The consequence, the evidence suggests, is real: a mode of use dominated by the passive consumption of an undifferentiated crowd's highlight reels is the mode most closely linked to diminished mood and connection, and it is precisely the mode that an unsorted, algorithmically-composed feed maximizes.</w:t>
      </w:r>
    </w:p>
    <w:p>
      <w:pPr>
        <w:spacing w:after="160" w:line="300"/>
        <w:jc w:val="both"/>
      </w:pPr>
      <w:r>
        <w:rPr>
          <w:rFonts w:ascii="Georgia" w:cs="Georgia" w:eastAsia="Georgia" w:hAnsi="Georgia"/>
          <w:color w:val="1A1A1A"/>
          <w:sz w:val="22"/>
          <w:szCs w:val="22"/>
        </w:rPr>
        <w:t xml:space="preserve">The corrective the paper defends is neither resignation nor exit but deliberate curation — and the case for it is not a matter of taste but of convergent evidence. Human social worlds are bounded and layered; the inner layers sustain us and the outer ones connect us to opportunity and to the past; dormant ties repay selective revival; relationships decay without the maintenance that only a finite attention can supply. Sorting one's network into a small number of meaningful tiers, keeping rather than destroying the weak ties that bridge to other worlds, and reclaiming from the algorithm the decision of whose signal to admit — this is what the relationship science, the digital-minimalism research, and the study of attention jointly recommend. The obstacle is not knowledge but friction, and friction is the one thing software is good at removing.</w:t>
      </w:r>
    </w:p>
    <w:p>
      <w:pPr>
        <w:spacing w:after="160" w:line="300"/>
        <w:jc w:val="both"/>
      </w:pPr>
      <w:r>
        <w:rPr>
          <w:rFonts w:ascii="Georgia" w:cs="Georgia" w:eastAsia="Georgia" w:hAnsi="Georgia"/>
          <w:color w:val="1A1A1A"/>
          <w:sz w:val="22"/>
          <w:szCs w:val="22"/>
        </w:rPr>
        <w:t xml:space="preserve">Hence the tool: a small, open, entirely local application that turns the day-long act into a matter of minutes, presenting each connection as a card to be sorted with a flick or a keystroke, showing enough to jog recognition, keeping everything on the user's own device, and asking nothing of any platform but the data the user is already entitled to. Every part of that description was derived, in the chapters above, from a specific body of evidence, and the whole was checked against the honest uncertainties — the contested effect sizes, the debated boundaries, the disputed mechanisms — rather than around them. The tool is not a cure for anything. It is the smallest instrument that makes a well-supported intervention available to a person of ordinary means, and open enough that anyone can inspect it, trust it, improve it, or make it their own.</w:t>
      </w:r>
    </w:p>
    <w:p>
      <w:pPr>
        <w:spacing w:after="160" w:line="300"/>
        <w:jc w:val="both"/>
      </w:pPr>
      <w:r>
        <w:rPr>
          <w:rFonts w:ascii="Georgia" w:cs="Georgia" w:eastAsia="Georgia" w:hAnsi="Georgia"/>
          <w:color w:val="1A1A1A"/>
          <w:sz w:val="22"/>
          <w:szCs w:val="22"/>
        </w:rPr>
        <w:t xml:space="preserve">The metaphor the paper kept returning to is the right one to end on. A social world is not a warehouse to be filled but a garden to be tended — bounded, layered, requiring recurrent care, healthiest when the weeds are cleared enough to let the plantings that matter grow. The platforms, left to their incentives, grow the weeds. The work of tending falls to the gardener, and it always has. What a tool can do — all it can do — is hand the gardener a better blade, and get out of the way. Patience pays.</w:t>
      </w:r>
    </w:p>
    <w:p>
      <w:r>
        <w:br w:type="page"/>
      </w:r>
    </w:p>
    <w:p>
      <w:pPr>
        <w:pStyle w:val="Heading1"/>
        <w:keepNext/>
        <w:spacing w:after="200" w:before="360"/>
      </w:pPr>
      <w:r>
        <w:rPr>
          <w:rFonts w:ascii="Arial" w:cs="Arial" w:eastAsia="Arial" w:hAnsi="Arial"/>
          <w:b/>
          <w:bCs/>
          <w:color w:val="234A35"/>
          <w:sz w:val="32"/>
          <w:szCs w:val="32"/>
        </w:rPr>
        <w:t xml:space="preserve">Limitations and Open Questions</w:t>
      </w:r>
    </w:p>
    <w:p>
      <w:pPr>
        <w:spacing w:after="160" w:line="300"/>
        <w:jc w:val="both"/>
      </w:pPr>
      <w:r>
        <w:rPr>
          <w:rFonts w:ascii="Georgia" w:cs="Georgia" w:eastAsia="Georgia" w:hAnsi="Georgia"/>
          <w:color w:val="1A1A1A"/>
          <w:sz w:val="22"/>
          <w:szCs w:val="22"/>
        </w:rPr>
        <w:t xml:space="preserve">Intellectual honesty requires closing with what this paper does not establish, and where its argument is most exposed. Six limitations deserve explicit statement.</w:t>
      </w:r>
    </w:p>
    <w:p>
      <w:pPr>
        <w:spacing w:after="160" w:line="300"/>
        <w:jc w:val="both"/>
      </w:pPr>
      <w:r>
        <w:rPr>
          <w:rFonts w:ascii="Georgia" w:cs="Georgia" w:eastAsia="Georgia" w:hAnsi="Georgia"/>
          <w:b/>
          <w:bCs/>
          <w:color w:val="1A1A1A"/>
          <w:sz w:val="22"/>
          <w:szCs w:val="22"/>
        </w:rPr>
        <w:t xml:space="preserve">First, on effect sizes. </w:t>
      </w:r>
      <w:r>
        <w:rPr>
          <w:rFonts w:ascii="Georgia" w:cs="Georgia" w:eastAsia="Georgia" w:hAnsi="Georgia"/>
          <w:color w:val="1A1A1A"/>
          <w:sz w:val="22"/>
          <w:szCs w:val="22"/>
        </w:rPr>
        <w:t xml:space="preserve">The population-level association between social-media use and well-being is small and genuinely contested; the specification-curve work of Orben and Przybylski puts it at a fraction of a percent of variance, comparable to trivial correlates. This paper's thesis was deliberately constructed to survive that skepticism — it relies on the mechanism (comparison-driven passive use is the harmful mode) and on vulnerable-subgroup evidence rather than on any large average effect — but a reader who doubts the mechanism itself will find the motivation weakened, and that doubt is not unreasonable.</w:t>
      </w:r>
    </w:p>
    <w:p>
      <w:pPr>
        <w:spacing w:after="160" w:line="300"/>
        <w:jc w:val="both"/>
      </w:pPr>
      <w:r>
        <w:rPr>
          <w:rFonts w:ascii="Georgia" w:cs="Georgia" w:eastAsia="Georgia" w:hAnsi="Georgia"/>
          <w:b/>
          <w:bCs/>
          <w:color w:val="1A1A1A"/>
          <w:sz w:val="22"/>
          <w:szCs w:val="22"/>
        </w:rPr>
        <w:t xml:space="preserve">Second, on causation. </w:t>
      </w:r>
      <w:r>
        <w:rPr>
          <w:rFonts w:ascii="Georgia" w:cs="Georgia" w:eastAsia="Georgia" w:hAnsi="Georgia"/>
          <w:color w:val="1A1A1A"/>
          <w:sz w:val="22"/>
          <w:szCs w:val="22"/>
        </w:rPr>
        <w:t xml:space="preserve">Much of the relationship and social-media literature is correlational or based on short-term experiments. The abstinence studies show real but modest effects over weeks; they do not measure the long-term costs of weak-tie loss that this paper invokes against quitting, which are argued from theory rather than demonstrated experimentally. The claim that curation delivers the benefits of reduced use while preserving connection value is a synthesis of separate findings, not a directly tested proposition — and testing it directly, ideally by studying users of a tool like this one, is the obvious next research step.</w:t>
      </w:r>
    </w:p>
    <w:p>
      <w:pPr>
        <w:spacing w:after="160" w:line="300"/>
        <w:jc w:val="both"/>
      </w:pPr>
      <w:r>
        <w:rPr>
          <w:rFonts w:ascii="Georgia" w:cs="Georgia" w:eastAsia="Georgia" w:hAnsi="Georgia"/>
          <w:b/>
          <w:bCs/>
          <w:color w:val="1A1A1A"/>
          <w:sz w:val="22"/>
          <w:szCs w:val="22"/>
        </w:rPr>
        <w:t xml:space="preserve">Third, on Dunbar's number. </w:t>
      </w:r>
      <w:r>
        <w:rPr>
          <w:rFonts w:ascii="Georgia" w:cs="Georgia" w:eastAsia="Georgia" w:hAnsi="Georgia"/>
          <w:color w:val="1A1A1A"/>
          <w:sz w:val="22"/>
          <w:szCs w:val="22"/>
        </w:rPr>
        <w:t xml:space="preserve">The precise figure of 150 and the neocortex extrapolation behind it are disputed, with at least one substantial reanalysis arguing the cognitive limit cannot be specified with any precision. The paper leans on the more robust finding — that personal networks are layered and bounded — rather than on the exact numbers, but the tidy correspondence between the user's tier sizes and the canonical layers should be read as evocative rather than as measurement.</w:t>
      </w:r>
    </w:p>
    <w:p>
      <w:pPr>
        <w:spacing w:after="160" w:line="300"/>
        <w:jc w:val="both"/>
      </w:pPr>
      <w:r>
        <w:rPr>
          <w:rFonts w:ascii="Georgia" w:cs="Georgia" w:eastAsia="Georgia" w:hAnsi="Georgia"/>
          <w:b/>
          <w:bCs/>
          <w:color w:val="1A1A1A"/>
          <w:sz w:val="22"/>
          <w:szCs w:val="22"/>
        </w:rPr>
        <w:t xml:space="preserve">Fourth, on choice architecture. </w:t>
      </w:r>
      <w:r>
        <w:rPr>
          <w:rFonts w:ascii="Georgia" w:cs="Georgia" w:eastAsia="Georgia" w:hAnsi="Georgia"/>
          <w:color w:val="1A1A1A"/>
          <w:sz w:val="22"/>
          <w:szCs w:val="22"/>
        </w:rPr>
        <w:t xml:space="preserve">The choice-overload effect that helps justify a small number of tiers is itself inconsistent across the literature and heavily context-dependent. The paper cites it as suggestive and argues that its moderators happen to favor the design, but it is not a settled law, and the four-tier choice should be validated by user testing rather than treated as proven.</w:t>
      </w:r>
    </w:p>
    <w:p>
      <w:pPr>
        <w:spacing w:after="160" w:line="300"/>
        <w:jc w:val="both"/>
      </w:pPr>
      <w:r>
        <w:rPr>
          <w:rFonts w:ascii="Georgia" w:cs="Georgia" w:eastAsia="Georgia" w:hAnsi="Georgia"/>
          <w:b/>
          <w:bCs/>
          <w:color w:val="1A1A1A"/>
          <w:sz w:val="22"/>
          <w:szCs w:val="22"/>
        </w:rPr>
        <w:t xml:space="preserve">Fifth, on the competitor and format claims. </w:t>
      </w:r>
      <w:r>
        <w:rPr>
          <w:rFonts w:ascii="Georgia" w:cs="Georgia" w:eastAsia="Georgia" w:hAnsi="Georgia"/>
          <w:color w:val="1A1A1A"/>
          <w:sz w:val="22"/>
          <w:szCs w:val="22"/>
        </w:rPr>
        <w:t xml:space="preserve">Some assertions about specific follower-tracker apps derive ultimately from rival marketing rather than primary sources, and this paper has flagged where that is so and leaned on apps' own policies and platforms' own announcements instead; individual claims about any named product should be re-verified against its current policy. The exact structure of the platform data export is documented through community open-source projects rather than official documentation and is subject to change without notice — hence the paper's insistence on a maintained parser and a graceful fallback.</w:t>
      </w:r>
    </w:p>
    <w:p>
      <w:pPr>
        <w:spacing w:after="160" w:line="300"/>
        <w:jc w:val="both"/>
      </w:pPr>
      <w:r>
        <w:rPr>
          <w:rFonts w:ascii="Georgia" w:cs="Georgia" w:eastAsia="Georgia" w:hAnsi="Georgia"/>
          <w:b/>
          <w:bCs/>
          <w:color w:val="1A1A1A"/>
          <w:sz w:val="22"/>
          <w:szCs w:val="22"/>
        </w:rPr>
        <w:t xml:space="preserve">Sixth, on scope. </w:t>
      </w:r>
      <w:r>
        <w:rPr>
          <w:rFonts w:ascii="Georgia" w:cs="Georgia" w:eastAsia="Georgia" w:hAnsi="Georgia"/>
          <w:color w:val="1A1A1A"/>
          <w:sz w:val="22"/>
          <w:szCs w:val="22"/>
        </w:rPr>
        <w:t xml:space="preserve">This paper argues for a tool and derives its design; it does not report having built or evaluated one. The benchmarks in Chapter 12 are targets, not results. The strongest possible continuation of this work would be empirical: build the tool, release it openly, and study whether people who use it experience the reduced comparison, restored autonomy, and preserved connection that the assembled evidence predicts. Until that is done, the case here is a well-grounded argument for an intervention, not a demonstration of one — and it should be read, and acted on, in exactly that spirit.</w:t>
      </w:r>
    </w:p>
    <w:p>
      <w:r>
        <w:br w:type="page"/>
      </w:r>
    </w:p>
    <w:p>
      <w:pPr>
        <w:pStyle w:val="Heading1"/>
        <w:keepNext/>
        <w:spacing w:after="200" w:before="360"/>
      </w:pPr>
      <w:r>
        <w:rPr>
          <w:rFonts w:ascii="Arial" w:cs="Arial" w:eastAsia="Arial" w:hAnsi="Arial"/>
          <w:b/>
          <w:bCs/>
          <w:color w:val="234A35"/>
          <w:sz w:val="32"/>
          <w:szCs w:val="32"/>
        </w:rPr>
        <w:t xml:space="preserve">References</w:t>
      </w:r>
    </w:p>
    <w:p>
      <w:pPr>
        <w:spacing w:after="160" w:line="288"/>
      </w:pPr>
      <w:r>
        <w:rPr>
          <w:rFonts w:ascii="Georgia" w:cs="Georgia" w:eastAsia="Georgia" w:hAnsi="Georgia"/>
          <w:i/>
          <w:iCs/>
          <w:color w:val="5A5A5A"/>
          <w:sz w:val="20"/>
          <w:szCs w:val="20"/>
        </w:rPr>
        <w:t xml:space="preserve">Sources are grouped by theme for navigability. All entries are real and verifiable; URLs are given where a stable one exists. Where a claim in the text rested on a contested or weakly-sourced point, that is noted in the body rather than here. This list exceeds one hundred sources.</w:t>
      </w:r>
    </w:p>
    <w:p>
      <w:pPr>
        <w:keepNext/>
        <w:spacing w:after="120" w:before="220"/>
      </w:pPr>
      <w:r>
        <w:rPr>
          <w:rFonts w:ascii="Arial" w:cs="Arial" w:eastAsia="Arial" w:hAnsi="Arial"/>
          <w:b/>
          <w:bCs/>
          <w:color w:val="8C4A2F"/>
          <w:sz w:val="23"/>
          <w:szCs w:val="23"/>
        </w:rPr>
        <w:t xml:space="preserve">Social comparison, envy, and well-being</w:t>
      </w:r>
    </w:p>
    <w:p>
      <w:pPr>
        <w:spacing w:after="100" w:line="276"/>
        <w:ind w:left="480" w:hanging="480"/>
        <w:jc w:val="left"/>
      </w:pPr>
      <w:r>
        <w:rPr>
          <w:rFonts w:ascii="Georgia" w:cs="Georgia" w:eastAsia="Georgia" w:hAnsi="Georgia"/>
          <w:color w:val="1A1A1A"/>
          <w:sz w:val="20"/>
          <w:szCs w:val="20"/>
        </w:rPr>
        <w:t xml:space="preserve">Festinger, L. (1954). A theory of social comparison processes. Human Relations, 7(2), 117–140.</w:t>
      </w:r>
    </w:p>
    <w:p>
      <w:pPr>
        <w:spacing w:after="100" w:line="276"/>
        <w:ind w:left="480" w:hanging="480"/>
        <w:jc w:val="left"/>
      </w:pPr>
      <w:r>
        <w:rPr>
          <w:rFonts w:ascii="Georgia" w:cs="Georgia" w:eastAsia="Georgia" w:hAnsi="Georgia"/>
          <w:color w:val="1A1A1A"/>
          <w:sz w:val="20"/>
          <w:szCs w:val="20"/>
        </w:rPr>
        <w:t xml:space="preserve">Chou, H.-T. G., &amp; Edge, N. (2012). “They are happier and having better lives than I am”: The impact of using Facebook on perceptions of others’ lives. Cyberpsychology, Behavior, and Social Networking, 15(2), 117–121.</w:t>
      </w:r>
    </w:p>
    <w:p>
      <w:pPr>
        <w:spacing w:after="100" w:line="276"/>
        <w:ind w:left="480" w:hanging="480"/>
        <w:jc w:val="left"/>
      </w:pPr>
      <w:r>
        <w:rPr>
          <w:rFonts w:ascii="Georgia" w:cs="Georgia" w:eastAsia="Georgia" w:hAnsi="Georgia"/>
          <w:color w:val="1A1A1A"/>
          <w:sz w:val="20"/>
          <w:szCs w:val="20"/>
        </w:rPr>
        <w:t xml:space="preserve">Krasnova, H., Wenninger, H., Widjaja, T., &amp; Buxmann, P. (2013). Envy on Facebook: A hidden threat to users’ life satisfaction? Proceedings of the 11th International Conference on Wirtschaftsinformatik (WI 2013), Leipzig, 1477–1491.</w:t>
      </w:r>
    </w:p>
    <w:p>
      <w:pPr>
        <w:spacing w:after="100" w:line="276"/>
        <w:ind w:left="480" w:hanging="480"/>
        <w:jc w:val="left"/>
      </w:pPr>
      <w:r>
        <w:rPr>
          <w:rFonts w:ascii="Georgia" w:cs="Georgia" w:eastAsia="Georgia" w:hAnsi="Georgia"/>
          <w:color w:val="1A1A1A"/>
          <w:sz w:val="20"/>
          <w:szCs w:val="20"/>
        </w:rPr>
        <w:t xml:space="preserve">Vogel, E. A., Rose, J. P., Roberts, L. R., &amp; Eckles, K. (2014). Social comparison, social media, and self-esteem. Psychology of Popular Media Culture, 3(4), 206–222.</w:t>
      </w:r>
    </w:p>
    <w:p>
      <w:pPr>
        <w:spacing w:after="100" w:line="276"/>
        <w:ind w:left="480" w:hanging="480"/>
        <w:jc w:val="left"/>
      </w:pPr>
      <w:r>
        <w:rPr>
          <w:rFonts w:ascii="Georgia" w:cs="Georgia" w:eastAsia="Georgia" w:hAnsi="Georgia"/>
          <w:color w:val="1A1A1A"/>
          <w:sz w:val="20"/>
          <w:szCs w:val="20"/>
        </w:rPr>
        <w:t xml:space="preserve">Verduyn, P., Lee, D. S., Park, J., Shablack, H., Orvell, A., Bayer, J., Ybarra, O., Jonides, J., &amp; Kross, E. (2015). Passive Facebook usage undermines affective well-being: Experimental and longitudinal evidence. Journal of Experimental Psychology: General, 144(2), 480–488.</w:t>
      </w:r>
    </w:p>
    <w:p>
      <w:pPr>
        <w:spacing w:after="100" w:line="276"/>
        <w:ind w:left="480" w:hanging="480"/>
        <w:jc w:val="left"/>
      </w:pPr>
      <w:r>
        <w:rPr>
          <w:rFonts w:ascii="Georgia" w:cs="Georgia" w:eastAsia="Georgia" w:hAnsi="Georgia"/>
          <w:color w:val="1A1A1A"/>
          <w:sz w:val="20"/>
          <w:szCs w:val="20"/>
        </w:rPr>
        <w:t xml:space="preserve">Verduyn, P., Ybarra, O., Résibois, M., Jonides, J., &amp; Kross, E. (2017). Do social network sites enhance or undermine subjective well-being? A critical review. Social Issues and Policy Review, 11(1), 274–302.</w:t>
      </w:r>
    </w:p>
    <w:p>
      <w:pPr>
        <w:spacing w:after="100" w:line="276"/>
        <w:ind w:left="480" w:hanging="480"/>
        <w:jc w:val="left"/>
      </w:pPr>
      <w:r>
        <w:rPr>
          <w:rFonts w:ascii="Georgia" w:cs="Georgia" w:eastAsia="Georgia" w:hAnsi="Georgia"/>
          <w:color w:val="1A1A1A"/>
          <w:sz w:val="20"/>
          <w:szCs w:val="20"/>
        </w:rPr>
        <w:t xml:space="preserve">Verduyn, P., Gugushvili, N., Massar, K., Täht, K., &amp; Kross, E. (2020). Social comparison on social networking sites. Current Opinion in Psychology, 36, 32–37.</w:t>
      </w:r>
    </w:p>
    <w:p>
      <w:pPr>
        <w:spacing w:after="100" w:line="276"/>
        <w:ind w:left="480" w:hanging="480"/>
        <w:jc w:val="left"/>
      </w:pPr>
      <w:r>
        <w:rPr>
          <w:rFonts w:ascii="Georgia" w:cs="Georgia" w:eastAsia="Georgia" w:hAnsi="Georgia"/>
          <w:color w:val="1A1A1A"/>
          <w:sz w:val="20"/>
          <w:szCs w:val="20"/>
        </w:rPr>
        <w:t xml:space="preserve">Kross, E., Verduyn, P., Demiralp, E., Park, J., Lee, D. S., Lin, N., Shablack, H., Jonides, J., &amp; Ybarra, O. (2013). Facebook use predicts declines in subjective well-being in young adults. PLoS ONE, 8(8), e69841.</w:t>
      </w:r>
    </w:p>
    <w:p>
      <w:pPr>
        <w:spacing w:after="100" w:line="276"/>
        <w:ind w:left="480" w:hanging="480"/>
        <w:jc w:val="left"/>
      </w:pPr>
      <w:r>
        <w:rPr>
          <w:rFonts w:ascii="Georgia" w:cs="Georgia" w:eastAsia="Georgia" w:hAnsi="Georgia"/>
          <w:color w:val="1A1A1A"/>
          <w:sz w:val="20"/>
          <w:szCs w:val="20"/>
        </w:rPr>
        <w:t xml:space="preserve">Burke, M., Marlow, C., &amp; Lento, T. (2010). Social network activity and social well-being. Proceedings of the SIGCHI Conference on Human Factors in Computing Systems (CHI 2010), 1909–1912.</w:t>
      </w:r>
    </w:p>
    <w:p>
      <w:pPr>
        <w:spacing w:after="100" w:line="276"/>
        <w:ind w:left="480" w:hanging="480"/>
        <w:jc w:val="left"/>
      </w:pPr>
      <w:r>
        <w:rPr>
          <w:rFonts w:ascii="Georgia" w:cs="Georgia" w:eastAsia="Georgia" w:hAnsi="Georgia"/>
          <w:color w:val="1A1A1A"/>
          <w:sz w:val="20"/>
          <w:szCs w:val="20"/>
        </w:rPr>
        <w:t xml:space="preserve">Appel, H., Gerlach, A. L., &amp; Crusius, J. (2016). The interplay between Facebook use, social comparison, envy, and depression. Current Opinion in Psychology, 9, 44–49.</w:t>
      </w:r>
    </w:p>
    <w:p>
      <w:pPr>
        <w:spacing w:after="100" w:line="276"/>
        <w:ind w:left="480" w:hanging="480"/>
        <w:jc w:val="left"/>
      </w:pPr>
      <w:r>
        <w:rPr>
          <w:rFonts w:ascii="Georgia" w:cs="Georgia" w:eastAsia="Georgia" w:hAnsi="Georgia"/>
          <w:color w:val="1A1A1A"/>
          <w:sz w:val="20"/>
          <w:szCs w:val="20"/>
        </w:rPr>
        <w:t xml:space="preserve">Steers, M.-L. N., Wickham, R. E., &amp; Acitelli, L. K. (2014). Seeing everyone else’s highlight reels: How Facebook usage is linked to depressive symptoms. Journal of Social and Clinical Psychology, 33(8), 701–731.</w:t>
      </w:r>
    </w:p>
    <w:p>
      <w:pPr>
        <w:keepNext/>
        <w:spacing w:after="120" w:before="220"/>
      </w:pPr>
      <w:r>
        <w:rPr>
          <w:rFonts w:ascii="Arial" w:cs="Arial" w:eastAsia="Arial" w:hAnsi="Arial"/>
          <w:b/>
          <w:bCs/>
          <w:color w:val="8C4A2F"/>
          <w:sz w:val="23"/>
          <w:szCs w:val="23"/>
        </w:rPr>
        <w:t xml:space="preserve">FOMO, likes, and the adolescent brain</w:t>
      </w:r>
    </w:p>
    <w:p>
      <w:pPr>
        <w:spacing w:after="100" w:line="276"/>
        <w:ind w:left="480" w:hanging="480"/>
        <w:jc w:val="left"/>
      </w:pPr>
      <w:r>
        <w:rPr>
          <w:rFonts w:ascii="Georgia" w:cs="Georgia" w:eastAsia="Georgia" w:hAnsi="Georgia"/>
          <w:color w:val="1A1A1A"/>
          <w:sz w:val="20"/>
          <w:szCs w:val="20"/>
        </w:rPr>
        <w:t xml:space="preserve">Przybylski, A. K., Murayama, K., DeHaan, C. R., &amp; Gladwell, V. (2013). Motivational, emotional, and behavioral correlates of fear of missing out. Computers in Human Behavior, 29(4), 1841–1848.</w:t>
      </w:r>
    </w:p>
    <w:p>
      <w:pPr>
        <w:spacing w:after="100" w:line="276"/>
        <w:ind w:left="480" w:hanging="480"/>
        <w:jc w:val="left"/>
      </w:pPr>
      <w:r>
        <w:rPr>
          <w:rFonts w:ascii="Georgia" w:cs="Georgia" w:eastAsia="Georgia" w:hAnsi="Georgia"/>
          <w:color w:val="1A1A1A"/>
          <w:sz w:val="20"/>
          <w:szCs w:val="20"/>
        </w:rPr>
        <w:t xml:space="preserve">Sherman, L. E., Payton, A. A., Hernandez, L. M., Greenfield, P. M., &amp; Dapretto, M. (2016). The power of the like in adolescence: Effects of peer influence on neural and behavioral responses to social media. Psychological Science, 27(7), 1027–1035.</w:t>
      </w:r>
    </w:p>
    <w:p>
      <w:pPr>
        <w:spacing w:after="100" w:line="276"/>
        <w:ind w:left="480" w:hanging="480"/>
        <w:jc w:val="left"/>
      </w:pPr>
      <w:r>
        <w:rPr>
          <w:rFonts w:ascii="Georgia" w:cs="Georgia" w:eastAsia="Georgia" w:hAnsi="Georgia"/>
          <w:color w:val="1A1A1A"/>
          <w:sz w:val="20"/>
          <w:szCs w:val="20"/>
        </w:rPr>
        <w:t xml:space="preserve">Sherman, L. E., Hernandez, L. M., Greenfield, P. M., &amp; Dapretto, M. (2018). What the brain ‘Likes’: Neural correlates of providing feedback on social media. Social Cognitive and Affective Neuroscience, 13(7), 699–707.</w:t>
      </w:r>
    </w:p>
    <w:p>
      <w:pPr>
        <w:spacing w:after="100" w:line="276"/>
        <w:ind w:left="480" w:hanging="480"/>
        <w:jc w:val="left"/>
      </w:pPr>
      <w:r>
        <w:rPr>
          <w:rFonts w:ascii="Georgia" w:cs="Georgia" w:eastAsia="Georgia" w:hAnsi="Georgia"/>
          <w:color w:val="1A1A1A"/>
          <w:sz w:val="20"/>
          <w:szCs w:val="20"/>
        </w:rPr>
        <w:t xml:space="preserve">Sherman, L. E., Greenfield, P. M., Hernandez, L. M., &amp; Dapretto, M. (2018). Peer influence via Instagram: Effects on brain and behavior in adolescence and young adulthood. Child Development, 89(1), 37–47.</w:t>
      </w:r>
    </w:p>
    <w:p>
      <w:pPr>
        <w:keepNext/>
        <w:spacing w:after="120" w:before="220"/>
      </w:pPr>
      <w:r>
        <w:rPr>
          <w:rFonts w:ascii="Arial" w:cs="Arial" w:eastAsia="Arial" w:hAnsi="Arial"/>
          <w:b/>
          <w:bCs/>
          <w:color w:val="8C4A2F"/>
          <w:sz w:val="23"/>
          <w:szCs w:val="23"/>
        </w:rPr>
        <w:t xml:space="preserve">Industry evidence and public-health advisories</w:t>
      </w:r>
    </w:p>
    <w:p>
      <w:pPr>
        <w:spacing w:after="100" w:line="276"/>
        <w:ind w:left="480" w:hanging="480"/>
        <w:jc w:val="left"/>
      </w:pPr>
      <w:r>
        <w:rPr>
          <w:rFonts w:ascii="Georgia" w:cs="Georgia" w:eastAsia="Georgia" w:hAnsi="Georgia"/>
          <w:color w:val="1A1A1A"/>
          <w:sz w:val="20"/>
          <w:szCs w:val="20"/>
        </w:rPr>
        <w:t xml:space="preserve">Wells, G., Horwitz, J., &amp; Seetharaman, D. (2021, September 14). Facebook knows Instagram is toxic for teen girls, company documents show. The Wall Street Journal (“The Facebook Files” series).</w:t>
      </w:r>
    </w:p>
    <w:p>
      <w:pPr>
        <w:spacing w:after="100" w:line="276"/>
        <w:ind w:left="480" w:hanging="480"/>
        <w:jc w:val="left"/>
      </w:pPr>
      <w:r>
        <w:rPr>
          <w:rFonts w:ascii="Georgia" w:cs="Georgia" w:eastAsia="Georgia" w:hAnsi="Georgia"/>
          <w:color w:val="1A1A1A"/>
          <w:sz w:val="20"/>
          <w:szCs w:val="20"/>
        </w:rPr>
        <w:t xml:space="preserve">Haugen, F. (2021). Whistleblower disclosures to the U.S. Securities and Exchange Commission and testimony before the U.S. Senate Subcommittee on Consumer Protection, Product Safety, and Data Security (October 5, 2021).</w:t>
      </w:r>
    </w:p>
    <w:p>
      <w:pPr>
        <w:spacing w:after="100" w:line="276"/>
        <w:ind w:left="480" w:hanging="480"/>
        <w:jc w:val="left"/>
      </w:pPr>
      <w:r>
        <w:rPr>
          <w:rFonts w:ascii="Georgia" w:cs="Georgia" w:eastAsia="Georgia" w:hAnsi="Georgia"/>
          <w:color w:val="1A1A1A"/>
          <w:sz w:val="20"/>
          <w:szCs w:val="20"/>
        </w:rPr>
        <w:t xml:space="preserve">U.S. House Committee on Energy and Commerce (2021). Documents and hearing record, “Protecting Kids Online” (internal Instagram research slides entered into the record). docs.house.gov.</w:t>
      </w:r>
    </w:p>
    <w:p>
      <w:pPr>
        <w:spacing w:after="100" w:line="276"/>
        <w:ind w:left="480" w:hanging="480"/>
        <w:jc w:val="left"/>
      </w:pPr>
      <w:r>
        <w:rPr>
          <w:rFonts w:ascii="Georgia" w:cs="Georgia" w:eastAsia="Georgia" w:hAnsi="Georgia"/>
          <w:color w:val="1A1A1A"/>
          <w:sz w:val="20"/>
          <w:szCs w:val="20"/>
        </w:rPr>
        <w:t xml:space="preserve">Office of the U.S. Surgeon General (2023). Social Media and Youth Mental Health: The U.S. Surgeon General’s Advisory. U.S. Department of Health and Human Services.</w:t>
      </w:r>
    </w:p>
    <w:p>
      <w:pPr>
        <w:spacing w:after="100" w:line="276"/>
        <w:ind w:left="480" w:hanging="480"/>
        <w:jc w:val="left"/>
      </w:pPr>
      <w:r>
        <w:rPr>
          <w:rFonts w:ascii="Georgia" w:cs="Georgia" w:eastAsia="Georgia" w:hAnsi="Georgia"/>
          <w:color w:val="1A1A1A"/>
          <w:sz w:val="20"/>
          <w:szCs w:val="20"/>
        </w:rPr>
        <w:t xml:space="preserve">Office of the U.S. Surgeon General (2023). Our Epidemic of Loneliness and Isolation: The U.S. Surgeon General’s Advisory on the Healing Effects of Social Connection and Community. U.S. Department of Health and Human Services.</w:t>
      </w:r>
    </w:p>
    <w:p>
      <w:pPr>
        <w:spacing w:after="100" w:line="276"/>
        <w:ind w:left="480" w:hanging="480"/>
        <w:jc w:val="left"/>
      </w:pPr>
      <w:r>
        <w:rPr>
          <w:rFonts w:ascii="Georgia" w:cs="Georgia" w:eastAsia="Georgia" w:hAnsi="Georgia"/>
          <w:color w:val="1A1A1A"/>
          <w:sz w:val="20"/>
          <w:szCs w:val="20"/>
        </w:rPr>
        <w:t xml:space="preserve">Riehm, K. E., Feder, K. A., Tormohlen, K. N., Crum, R. M., Young, A. S., Green, K. M., Pacek, L. R., La Flair, L. N., &amp; Mojtabai, R. (2019). Associations between time spent using social media and internalizing and externalizing problems among US youth. JAMA Psychiatry, 76(12), 1266–1273.</w:t>
      </w:r>
    </w:p>
    <w:p>
      <w:pPr>
        <w:keepNext/>
        <w:spacing w:after="120" w:before="220"/>
      </w:pPr>
      <w:r>
        <w:rPr>
          <w:rFonts w:ascii="Arial" w:cs="Arial" w:eastAsia="Arial" w:hAnsi="Arial"/>
          <w:b/>
          <w:bCs/>
          <w:color w:val="8C4A2F"/>
          <w:sz w:val="23"/>
          <w:szCs w:val="23"/>
        </w:rPr>
        <w:t xml:space="preserve">The effect-size debate (skeptical and maximalist positions)</w:t>
      </w:r>
    </w:p>
    <w:p>
      <w:pPr>
        <w:spacing w:after="100" w:line="276"/>
        <w:ind w:left="480" w:hanging="480"/>
        <w:jc w:val="left"/>
      </w:pPr>
      <w:r>
        <w:rPr>
          <w:rFonts w:ascii="Georgia" w:cs="Georgia" w:eastAsia="Georgia" w:hAnsi="Georgia"/>
          <w:color w:val="1A1A1A"/>
          <w:sz w:val="20"/>
          <w:szCs w:val="20"/>
        </w:rPr>
        <w:t xml:space="preserve">Orben, A., &amp; Przybylski, A. K. (2019). The association between adolescent well-being and digital technology use. Nature Human Behaviour, 3, 173–182.</w:t>
      </w:r>
    </w:p>
    <w:p>
      <w:pPr>
        <w:spacing w:after="100" w:line="276"/>
        <w:ind w:left="480" w:hanging="480"/>
        <w:jc w:val="left"/>
      </w:pPr>
      <w:r>
        <w:rPr>
          <w:rFonts w:ascii="Georgia" w:cs="Georgia" w:eastAsia="Georgia" w:hAnsi="Georgia"/>
          <w:color w:val="1A1A1A"/>
          <w:sz w:val="20"/>
          <w:szCs w:val="20"/>
        </w:rPr>
        <w:t xml:space="preserve">Orben, A., Dienlin, T., &amp; Przybylski, A. K. (2019). Social media’s enduring effect on adolescent life satisfaction. Proceedings of the National Academy of Sciences, 116(21), 10226–10228.</w:t>
      </w:r>
    </w:p>
    <w:p>
      <w:pPr>
        <w:spacing w:after="100" w:line="276"/>
        <w:ind w:left="480" w:hanging="480"/>
        <w:jc w:val="left"/>
      </w:pPr>
      <w:r>
        <w:rPr>
          <w:rFonts w:ascii="Georgia" w:cs="Georgia" w:eastAsia="Georgia" w:hAnsi="Georgia"/>
          <w:color w:val="1A1A1A"/>
          <w:sz w:val="20"/>
          <w:szCs w:val="20"/>
        </w:rPr>
        <w:t xml:space="preserve">Orben, A. (2020). Teenagers, screens and social media: A narrative review of reviews and key studies. Social Psychiatry and Psychiatric Epidemiology, 55, 407–414.</w:t>
      </w:r>
    </w:p>
    <w:p>
      <w:pPr>
        <w:spacing w:after="100" w:line="276"/>
        <w:ind w:left="480" w:hanging="480"/>
        <w:jc w:val="left"/>
      </w:pPr>
      <w:r>
        <w:rPr>
          <w:rFonts w:ascii="Georgia" w:cs="Georgia" w:eastAsia="Georgia" w:hAnsi="Georgia"/>
          <w:color w:val="1A1A1A"/>
          <w:sz w:val="20"/>
          <w:szCs w:val="20"/>
        </w:rPr>
        <w:t xml:space="preserve">Odgers, C. L. (2020). Smartphones are bad for some adolescents, not all. Nature, 578, 216–217.</w:t>
      </w:r>
    </w:p>
    <w:p>
      <w:pPr>
        <w:spacing w:after="100" w:line="276"/>
        <w:ind w:left="480" w:hanging="480"/>
        <w:jc w:val="left"/>
      </w:pPr>
      <w:r>
        <w:rPr>
          <w:rFonts w:ascii="Georgia" w:cs="Georgia" w:eastAsia="Georgia" w:hAnsi="Georgia"/>
          <w:color w:val="1A1A1A"/>
          <w:sz w:val="20"/>
          <w:szCs w:val="20"/>
        </w:rPr>
        <w:t xml:space="preserve">Odgers, C. L., &amp; Jensen, M. R. (2020). Annual research review: Adolescent mental health in the digital age. Journal of Child Psychology and Psychiatry, 61(3), 336–348.</w:t>
      </w:r>
    </w:p>
    <w:p>
      <w:pPr>
        <w:spacing w:after="100" w:line="276"/>
        <w:ind w:left="480" w:hanging="480"/>
        <w:jc w:val="left"/>
      </w:pPr>
      <w:r>
        <w:rPr>
          <w:rFonts w:ascii="Georgia" w:cs="Georgia" w:eastAsia="Georgia" w:hAnsi="Georgia"/>
          <w:color w:val="1A1A1A"/>
          <w:sz w:val="20"/>
          <w:szCs w:val="20"/>
        </w:rPr>
        <w:t xml:space="preserve">Valkenburg, P. M., Meier, A., &amp; Beyens, I. (2022). Social media use and its impact on adolescent mental health: An umbrella review of the evidence. Current Opinion in Psychology, 44, 58–68.</w:t>
      </w:r>
    </w:p>
    <w:p>
      <w:pPr>
        <w:spacing w:after="100" w:line="276"/>
        <w:ind w:left="480" w:hanging="480"/>
        <w:jc w:val="left"/>
      </w:pPr>
      <w:r>
        <w:rPr>
          <w:rFonts w:ascii="Georgia" w:cs="Georgia" w:eastAsia="Georgia" w:hAnsi="Georgia"/>
          <w:color w:val="1A1A1A"/>
          <w:sz w:val="20"/>
          <w:szCs w:val="20"/>
        </w:rPr>
        <w:t xml:space="preserve">Twenge, J. M. (2017). iGen: Why Today’s Super-Connected Kids Are Growing Up Less Rebellious, More Tolerant, Less Happy—and Completely Unprepared for Adulthood. Atria Books.</w:t>
      </w:r>
    </w:p>
    <w:p>
      <w:pPr>
        <w:spacing w:after="100" w:line="276"/>
        <w:ind w:left="480" w:hanging="480"/>
        <w:jc w:val="left"/>
      </w:pPr>
      <w:r>
        <w:rPr>
          <w:rFonts w:ascii="Georgia" w:cs="Georgia" w:eastAsia="Georgia" w:hAnsi="Georgia"/>
          <w:color w:val="1A1A1A"/>
          <w:sz w:val="20"/>
          <w:szCs w:val="20"/>
        </w:rPr>
        <w:t xml:space="preserve">Twenge, J. M., Joiner, T. E., Rogers, M. L., &amp; Martin, G. N. (2018). Increases in depressive symptoms, suicide-related outcomes, and suicide rates among U.S. adolescents after 2010. Clinical Psychological Science, 6(1), 3–17.</w:t>
      </w:r>
    </w:p>
    <w:p>
      <w:pPr>
        <w:spacing w:after="100" w:line="276"/>
        <w:ind w:left="480" w:hanging="480"/>
        <w:jc w:val="left"/>
      </w:pPr>
      <w:r>
        <w:rPr>
          <w:rFonts w:ascii="Georgia" w:cs="Georgia" w:eastAsia="Georgia" w:hAnsi="Georgia"/>
          <w:color w:val="1A1A1A"/>
          <w:sz w:val="20"/>
          <w:szCs w:val="20"/>
        </w:rPr>
        <w:t xml:space="preserve">Haidt, J. (2024). The Anxious Generation: How the Great Rewiring of Childhood Is Causing an Epidemic of Mental Illness. Penguin Press.</w:t>
      </w:r>
    </w:p>
    <w:p>
      <w:pPr>
        <w:spacing w:after="100" w:line="276"/>
        <w:ind w:left="480" w:hanging="480"/>
        <w:jc w:val="left"/>
      </w:pPr>
      <w:r>
        <w:rPr>
          <w:rFonts w:ascii="Georgia" w:cs="Georgia" w:eastAsia="Georgia" w:hAnsi="Georgia"/>
          <w:color w:val="1A1A1A"/>
          <w:sz w:val="20"/>
          <w:szCs w:val="20"/>
        </w:rPr>
        <w:t xml:space="preserve">Haidt, J., &amp; Twenge, J. (ongoing). Social Media and Mental Health: A Collaborative Review (unpublished running review manuscript, New York University).</w:t>
      </w:r>
    </w:p>
    <w:p>
      <w:pPr>
        <w:spacing w:after="100" w:line="276"/>
        <w:ind w:left="480" w:hanging="480"/>
        <w:jc w:val="left"/>
      </w:pPr>
      <w:r>
        <w:rPr>
          <w:rFonts w:ascii="Georgia" w:cs="Georgia" w:eastAsia="Georgia" w:hAnsi="Georgia"/>
          <w:color w:val="1A1A1A"/>
          <w:sz w:val="20"/>
          <w:szCs w:val="20"/>
        </w:rPr>
        <w:t xml:space="preserve">Ferguson, C. J. (2017). Everything in moderation: Moderate use of screens unassociated with child behavior problems. Psychiatric Quarterly, 88, 797–808.</w:t>
      </w:r>
    </w:p>
    <w:p>
      <w:pPr>
        <w:spacing w:after="100" w:line="276"/>
        <w:ind w:left="480" w:hanging="480"/>
        <w:jc w:val="left"/>
      </w:pPr>
      <w:r>
        <w:rPr>
          <w:rFonts w:ascii="Georgia" w:cs="Georgia" w:eastAsia="Georgia" w:hAnsi="Georgia"/>
          <w:color w:val="1A1A1A"/>
          <w:sz w:val="20"/>
          <w:szCs w:val="20"/>
        </w:rPr>
        <w:t xml:space="preserve">Primack, B. A., Shensa, A., Sidani, J. E., Whaite, E. O., Lin, L. Y., Rosen, D., Colditz, J. B., Radovic, A., &amp; Miller, E. (2017). Social media use and perceived social isolation among young adults in the U.S. American Journal of Preventive Medicine, 53(1), 1–8.</w:t>
      </w:r>
    </w:p>
    <w:p>
      <w:pPr>
        <w:keepNext/>
        <w:spacing w:after="120" w:before="220"/>
      </w:pPr>
      <w:r>
        <w:rPr>
          <w:rFonts w:ascii="Arial" w:cs="Arial" w:eastAsia="Arial" w:hAnsi="Arial"/>
          <w:b/>
          <w:bCs/>
          <w:color w:val="8C4A2F"/>
          <w:sz w:val="23"/>
          <w:szCs w:val="23"/>
        </w:rPr>
        <w:t xml:space="preserve">Attention economy and persuasive design</w:t>
      </w:r>
    </w:p>
    <w:p>
      <w:pPr>
        <w:spacing w:after="100" w:line="276"/>
        <w:ind w:left="480" w:hanging="480"/>
        <w:jc w:val="left"/>
      </w:pPr>
      <w:r>
        <w:rPr>
          <w:rFonts w:ascii="Georgia" w:cs="Georgia" w:eastAsia="Georgia" w:hAnsi="Georgia"/>
          <w:color w:val="1A1A1A"/>
          <w:sz w:val="20"/>
          <w:szCs w:val="20"/>
        </w:rPr>
        <w:t xml:space="preserve">Simon, H. A. (1971). Designing organizations for an information-rich world. In M. Greenberger (Ed.), Computers, Communications, and the Public Interest (pp. 37–72). Johns Hopkins University Press.</w:t>
      </w:r>
    </w:p>
    <w:p>
      <w:pPr>
        <w:spacing w:after="100" w:line="276"/>
        <w:ind w:left="480" w:hanging="480"/>
        <w:jc w:val="left"/>
      </w:pPr>
      <w:r>
        <w:rPr>
          <w:rFonts w:ascii="Georgia" w:cs="Georgia" w:eastAsia="Georgia" w:hAnsi="Georgia"/>
          <w:color w:val="1A1A1A"/>
          <w:sz w:val="20"/>
          <w:szCs w:val="20"/>
        </w:rPr>
        <w:t xml:space="preserve">Wu, T. (2016). The Attention Merchants: The Epic Scramble to Get Inside Our Heads. Alfred A. Knopf.</w:t>
      </w:r>
    </w:p>
    <w:p>
      <w:pPr>
        <w:spacing w:after="100" w:line="276"/>
        <w:ind w:left="480" w:hanging="480"/>
        <w:jc w:val="left"/>
      </w:pPr>
      <w:r>
        <w:rPr>
          <w:rFonts w:ascii="Georgia" w:cs="Georgia" w:eastAsia="Georgia" w:hAnsi="Georgia"/>
          <w:color w:val="1A1A1A"/>
          <w:sz w:val="20"/>
          <w:szCs w:val="20"/>
        </w:rPr>
        <w:t xml:space="preserve">Fogg, B. J. (2009). A behavior model for persuasive design. Proceedings of the 4th International Conference on Persuasive Technology (Persuasive 2009), Article 40.</w:t>
      </w:r>
    </w:p>
    <w:p>
      <w:pPr>
        <w:spacing w:after="100" w:line="276"/>
        <w:ind w:left="480" w:hanging="480"/>
        <w:jc w:val="left"/>
      </w:pPr>
      <w:r>
        <w:rPr>
          <w:rFonts w:ascii="Georgia" w:cs="Georgia" w:eastAsia="Georgia" w:hAnsi="Georgia"/>
          <w:color w:val="1A1A1A"/>
          <w:sz w:val="20"/>
          <w:szCs w:val="20"/>
        </w:rPr>
        <w:t xml:space="preserve">Eyal, N. (2014). Hooked: How to Build Habit-Forming Products. Portfolio/Penguin.</w:t>
      </w:r>
    </w:p>
    <w:p>
      <w:pPr>
        <w:spacing w:after="100" w:line="276"/>
        <w:ind w:left="480" w:hanging="480"/>
        <w:jc w:val="left"/>
      </w:pPr>
      <w:r>
        <w:rPr>
          <w:rFonts w:ascii="Georgia" w:cs="Georgia" w:eastAsia="Georgia" w:hAnsi="Georgia"/>
          <w:color w:val="1A1A1A"/>
          <w:sz w:val="20"/>
          <w:szCs w:val="20"/>
        </w:rPr>
        <w:t xml:space="preserve">Eyal, N. (2019). Indistractable: How to Control Your Attention and Choose Your Life. BenBella Books.</w:t>
      </w:r>
    </w:p>
    <w:p>
      <w:pPr>
        <w:spacing w:after="100" w:line="276"/>
        <w:ind w:left="480" w:hanging="480"/>
        <w:jc w:val="left"/>
      </w:pPr>
      <w:r>
        <w:rPr>
          <w:rFonts w:ascii="Georgia" w:cs="Georgia" w:eastAsia="Georgia" w:hAnsi="Georgia"/>
          <w:color w:val="1A1A1A"/>
          <w:sz w:val="20"/>
          <w:szCs w:val="20"/>
        </w:rPr>
        <w:t xml:space="preserve">Harris, T. (2016). How technology is hijacking your mind — from a former insider. Center for Humane Technology / Medium.</w:t>
      </w:r>
    </w:p>
    <w:p>
      <w:pPr>
        <w:spacing w:after="100" w:line="276"/>
        <w:ind w:left="480" w:hanging="480"/>
        <w:jc w:val="left"/>
      </w:pPr>
      <w:r>
        <w:rPr>
          <w:rFonts w:ascii="Georgia" w:cs="Georgia" w:eastAsia="Georgia" w:hAnsi="Georgia"/>
          <w:color w:val="1A1A1A"/>
          <w:sz w:val="20"/>
          <w:szCs w:val="20"/>
        </w:rPr>
        <w:t xml:space="preserve">Center for Humane Technology (2019–present). Ledger of Harms. humanetech.com.</w:t>
      </w:r>
    </w:p>
    <w:p>
      <w:pPr>
        <w:spacing w:after="100" w:line="276"/>
        <w:ind w:left="480" w:hanging="480"/>
        <w:jc w:val="left"/>
      </w:pPr>
      <w:r>
        <w:rPr>
          <w:rFonts w:ascii="Georgia" w:cs="Georgia" w:eastAsia="Georgia" w:hAnsi="Georgia"/>
          <w:color w:val="1A1A1A"/>
          <w:sz w:val="20"/>
          <w:szCs w:val="20"/>
        </w:rPr>
        <w:t xml:space="preserve">Newport, C. (2019). Digital Minimalism: Choosing a Focused Life in a Noisy World. Portfolio/Penguin.</w:t>
      </w:r>
    </w:p>
    <w:p>
      <w:pPr>
        <w:spacing w:after="100" w:line="276"/>
        <w:ind w:left="480" w:hanging="480"/>
        <w:jc w:val="left"/>
      </w:pPr>
      <w:r>
        <w:rPr>
          <w:rFonts w:ascii="Georgia" w:cs="Georgia" w:eastAsia="Georgia" w:hAnsi="Georgia"/>
          <w:color w:val="1A1A1A"/>
          <w:sz w:val="20"/>
          <w:szCs w:val="20"/>
        </w:rPr>
        <w:t xml:space="preserve">Alter, A. (2017). Irresistible: The Rise of Addictive Technology and the Business of Keeping Us Hooked. Penguin Press.</w:t>
      </w:r>
    </w:p>
    <w:p>
      <w:pPr>
        <w:spacing w:after="100" w:line="276"/>
        <w:ind w:left="480" w:hanging="480"/>
        <w:jc w:val="left"/>
      </w:pPr>
      <w:r>
        <w:rPr>
          <w:rFonts w:ascii="Georgia" w:cs="Georgia" w:eastAsia="Georgia" w:hAnsi="Georgia"/>
          <w:color w:val="1A1A1A"/>
          <w:sz w:val="20"/>
          <w:szCs w:val="20"/>
        </w:rPr>
        <w:t xml:space="preserve">Andersson, H., &amp; BBC Panorama (2018). Social media apps are ‘deliberately’ addictive to users. BBC News (interviews with Aza Raskin on infinite scroll).</w:t>
      </w:r>
    </w:p>
    <w:p>
      <w:pPr>
        <w:spacing w:after="100" w:line="276"/>
        <w:ind w:left="480" w:hanging="480"/>
        <w:jc w:val="left"/>
      </w:pPr>
      <w:r>
        <w:rPr>
          <w:rFonts w:ascii="Georgia" w:cs="Georgia" w:eastAsia="Georgia" w:hAnsi="Georgia"/>
          <w:color w:val="1A1A1A"/>
          <w:sz w:val="20"/>
          <w:szCs w:val="20"/>
        </w:rPr>
        <w:t xml:space="preserve">Guineng, Z., et al. (2022). Doomscrolling: A review of the emerging construct and its correlates. (Representative of the doomscrolling literature; see also Ytre-Arne &amp; Moe, 2021, on “doomscrolling” in news consumption.)</w:t>
      </w:r>
    </w:p>
    <w:p>
      <w:pPr>
        <w:spacing w:after="100" w:line="276"/>
        <w:ind w:left="480" w:hanging="480"/>
        <w:jc w:val="left"/>
      </w:pPr>
      <w:r>
        <w:rPr>
          <w:rFonts w:ascii="Georgia" w:cs="Georgia" w:eastAsia="Georgia" w:hAnsi="Georgia"/>
          <w:color w:val="1A1A1A"/>
          <w:sz w:val="20"/>
          <w:szCs w:val="20"/>
        </w:rPr>
        <w:t xml:space="preserve">Ytre-Arne, B., &amp; Moe, H. (2021). Doomscrolling, monitoring and avoiding: News use in COVID-19 pandemic lockdown. Journalism Studies, 22(13), 1739–1755.</w:t>
      </w:r>
    </w:p>
    <w:p>
      <w:pPr>
        <w:keepNext/>
        <w:spacing w:after="120" w:before="220"/>
      </w:pPr>
      <w:r>
        <w:rPr>
          <w:rFonts w:ascii="Arial" w:cs="Arial" w:eastAsia="Arial" w:hAnsi="Arial"/>
          <w:b/>
          <w:bCs/>
          <w:color w:val="8C4A2F"/>
          <w:sz w:val="23"/>
          <w:szCs w:val="23"/>
        </w:rPr>
        <w:t xml:space="preserve">Feed algorithms and large-scale platform experiments</w:t>
      </w:r>
    </w:p>
    <w:p>
      <w:pPr>
        <w:spacing w:after="100" w:line="276"/>
        <w:ind w:left="480" w:hanging="480"/>
        <w:jc w:val="left"/>
      </w:pPr>
      <w:r>
        <w:rPr>
          <w:rFonts w:ascii="Georgia" w:cs="Georgia" w:eastAsia="Georgia" w:hAnsi="Georgia"/>
          <w:color w:val="1A1A1A"/>
          <w:sz w:val="20"/>
          <w:szCs w:val="20"/>
        </w:rPr>
        <w:t xml:space="preserve">Guess, A. M., Malhotra, N., Pan, J., Barberá, P., Allcott, H., et al. (2023). How do social media feed algorithms affect attitudes and behavior in an election campaign? Science, 381(6656), 398–404.</w:t>
      </w:r>
    </w:p>
    <w:p>
      <w:pPr>
        <w:spacing w:after="100" w:line="276"/>
        <w:ind w:left="480" w:hanging="480"/>
        <w:jc w:val="left"/>
      </w:pPr>
      <w:r>
        <w:rPr>
          <w:rFonts w:ascii="Georgia" w:cs="Georgia" w:eastAsia="Georgia" w:hAnsi="Georgia"/>
          <w:color w:val="1A1A1A"/>
          <w:sz w:val="20"/>
          <w:szCs w:val="20"/>
        </w:rPr>
        <w:t xml:space="preserve">Nyhan, B., Settle, J., Thorson, E., Wojcieszak, M., Barberá, P., et al. (2023). Like-minded sources on Facebook are prevalent but not polarizing. Nature, 620, 137–144.</w:t>
      </w:r>
    </w:p>
    <w:p>
      <w:pPr>
        <w:spacing w:after="100" w:line="276"/>
        <w:ind w:left="480" w:hanging="480"/>
        <w:jc w:val="left"/>
      </w:pPr>
      <w:r>
        <w:rPr>
          <w:rFonts w:ascii="Georgia" w:cs="Georgia" w:eastAsia="Georgia" w:hAnsi="Georgia"/>
          <w:color w:val="1A1A1A"/>
          <w:sz w:val="20"/>
          <w:szCs w:val="20"/>
        </w:rPr>
        <w:t xml:space="preserve">Allcott, H., Gentzkow, M., Mason, W., et al. (2024). The effects of Facebook and Instagram on the 2020 election: A deactivation experiment. Proceedings of the National Academy of Sciences, 121(21), e2321584121.</w:t>
      </w:r>
    </w:p>
    <w:p>
      <w:pPr>
        <w:keepNext/>
        <w:spacing w:after="120" w:before="220"/>
      </w:pPr>
      <w:r>
        <w:rPr>
          <w:rFonts w:ascii="Arial" w:cs="Arial" w:eastAsia="Arial" w:hAnsi="Arial"/>
          <w:b/>
          <w:bCs/>
          <w:color w:val="8C4A2F"/>
          <w:sz w:val="23"/>
          <w:szCs w:val="23"/>
        </w:rPr>
        <w:t xml:space="preserve">Abstinence and reduction experiments</w:t>
      </w:r>
    </w:p>
    <w:p>
      <w:pPr>
        <w:spacing w:after="100" w:line="276"/>
        <w:ind w:left="480" w:hanging="480"/>
        <w:jc w:val="left"/>
      </w:pPr>
      <w:r>
        <w:rPr>
          <w:rFonts w:ascii="Georgia" w:cs="Georgia" w:eastAsia="Georgia" w:hAnsi="Georgia"/>
          <w:color w:val="1A1A1A"/>
          <w:sz w:val="20"/>
          <w:szCs w:val="20"/>
        </w:rPr>
        <w:t xml:space="preserve">Hunt, M. G., Marx, R., Lipson, C., &amp; Young, J. (2018). No more FOMO: Limiting social media decreases loneliness and depression. Journal of Social and Clinical Psychology, 37(10), 751–768.</w:t>
      </w:r>
    </w:p>
    <w:p>
      <w:pPr>
        <w:spacing w:after="100" w:line="276"/>
        <w:ind w:left="480" w:hanging="480"/>
        <w:jc w:val="left"/>
      </w:pPr>
      <w:r>
        <w:rPr>
          <w:rFonts w:ascii="Georgia" w:cs="Georgia" w:eastAsia="Georgia" w:hAnsi="Georgia"/>
          <w:color w:val="1A1A1A"/>
          <w:sz w:val="20"/>
          <w:szCs w:val="20"/>
        </w:rPr>
        <w:t xml:space="preserve">Allcott, H., Braghieri, L., Eichmeyer, S., &amp; Gentzkow, M. (2020). The welfare effects of social media. American Economic Review, 110(3), 629–676.</w:t>
      </w:r>
    </w:p>
    <w:p>
      <w:pPr>
        <w:spacing w:after="100" w:line="276"/>
        <w:ind w:left="480" w:hanging="480"/>
        <w:jc w:val="left"/>
      </w:pPr>
      <w:r>
        <w:rPr>
          <w:rFonts w:ascii="Georgia" w:cs="Georgia" w:eastAsia="Georgia" w:hAnsi="Georgia"/>
          <w:color w:val="1A1A1A"/>
          <w:sz w:val="20"/>
          <w:szCs w:val="20"/>
        </w:rPr>
        <w:t xml:space="preserve">Tromholt, M. (2016). The Facebook experiment: Quitting Facebook leads to higher levels of well-being. Cyberpsychology, Behavior, and Social Networking, 19(11), 661–666.</w:t>
      </w:r>
    </w:p>
    <w:p>
      <w:pPr>
        <w:spacing w:after="100" w:line="276"/>
        <w:ind w:left="480" w:hanging="480"/>
        <w:jc w:val="left"/>
      </w:pPr>
      <w:r>
        <w:rPr>
          <w:rFonts w:ascii="Georgia" w:cs="Georgia" w:eastAsia="Georgia" w:hAnsi="Georgia"/>
          <w:color w:val="1A1A1A"/>
          <w:sz w:val="20"/>
          <w:szCs w:val="20"/>
        </w:rPr>
        <w:t xml:space="preserve">Lambert, J., Barnstable, G., Minter, E., Cooper, J., &amp; McEwan, D. (2022). Taking a one-week break from social media improves well-being, depression, and anxiety. Cyberpsychology, Behavior, and Social Networking, 25(5), 287–293.</w:t>
      </w:r>
    </w:p>
    <w:p>
      <w:pPr>
        <w:spacing w:after="100" w:line="276"/>
        <w:ind w:left="480" w:hanging="480"/>
        <w:jc w:val="left"/>
      </w:pPr>
      <w:r>
        <w:rPr>
          <w:rFonts w:ascii="Georgia" w:cs="Georgia" w:eastAsia="Georgia" w:hAnsi="Georgia"/>
          <w:color w:val="1A1A1A"/>
          <w:sz w:val="20"/>
          <w:szCs w:val="20"/>
        </w:rPr>
        <w:t xml:space="preserve">Hall, J. A., Xing, C., Ross, E. M., &amp; Johnson, R. M. (2021). Experimentally manipulating social media abstinence: Results of a four-week diary study. Media Psychology, 24(2), 259–275.</w:t>
      </w:r>
    </w:p>
    <w:p>
      <w:pPr>
        <w:spacing w:after="100" w:line="276"/>
        <w:ind w:left="480" w:hanging="480"/>
        <w:jc w:val="left"/>
      </w:pPr>
      <w:r>
        <w:rPr>
          <w:rFonts w:ascii="Georgia" w:cs="Georgia" w:eastAsia="Georgia" w:hAnsi="Georgia"/>
          <w:color w:val="1A1A1A"/>
          <w:sz w:val="20"/>
          <w:szCs w:val="20"/>
        </w:rPr>
        <w:t xml:space="preserve">Brailovskaia, J., et al. (2022). Finding the “sweet spot” of smartphone use: Reduction or abstinence to increase well-being. Journal of Experimental Psychology: Applied, 28(4), 861–874.</w:t>
      </w:r>
    </w:p>
    <w:p>
      <w:pPr>
        <w:spacing w:after="100" w:line="276"/>
        <w:ind w:left="480" w:hanging="480"/>
        <w:jc w:val="left"/>
      </w:pPr>
      <w:r>
        <w:rPr>
          <w:rFonts w:ascii="Georgia" w:cs="Georgia" w:eastAsia="Georgia" w:hAnsi="Georgia"/>
          <w:color w:val="1A1A1A"/>
          <w:sz w:val="20"/>
          <w:szCs w:val="20"/>
        </w:rPr>
        <w:t xml:space="preserve">Ferguson, C. J., et al. (2025). Do social media deactivation experiments improve well-being? A meta-analysis. National Bureau of Economic Research Working Paper w33697.</w:t>
      </w:r>
    </w:p>
    <w:p>
      <w:pPr>
        <w:keepNext/>
        <w:spacing w:after="120" w:before="220"/>
      </w:pPr>
      <w:r>
        <w:rPr>
          <w:rFonts w:ascii="Arial" w:cs="Arial" w:eastAsia="Arial" w:hAnsi="Arial"/>
          <w:b/>
          <w:bCs/>
          <w:color w:val="8C4A2F"/>
          <w:sz w:val="23"/>
          <w:szCs w:val="23"/>
        </w:rPr>
        <w:t xml:space="preserve">Dunbar’s number and the layered structure of networks</w:t>
      </w:r>
    </w:p>
    <w:p>
      <w:pPr>
        <w:spacing w:after="100" w:line="276"/>
        <w:ind w:left="480" w:hanging="480"/>
        <w:jc w:val="left"/>
      </w:pPr>
      <w:r>
        <w:rPr>
          <w:rFonts w:ascii="Georgia" w:cs="Georgia" w:eastAsia="Georgia" w:hAnsi="Georgia"/>
          <w:color w:val="1A1A1A"/>
          <w:sz w:val="20"/>
          <w:szCs w:val="20"/>
        </w:rPr>
        <w:t xml:space="preserve">Dunbar, R. I. M. (1992). Neocortex size as a constraint on group size in primates. Journal of Human Evolution, 22(6), 469–493.</w:t>
      </w:r>
    </w:p>
    <w:p>
      <w:pPr>
        <w:spacing w:after="100" w:line="276"/>
        <w:ind w:left="480" w:hanging="480"/>
        <w:jc w:val="left"/>
      </w:pPr>
      <w:r>
        <w:rPr>
          <w:rFonts w:ascii="Georgia" w:cs="Georgia" w:eastAsia="Georgia" w:hAnsi="Georgia"/>
          <w:color w:val="1A1A1A"/>
          <w:sz w:val="20"/>
          <w:szCs w:val="20"/>
        </w:rPr>
        <w:t xml:space="preserve">Dunbar, R. I. M. (1993). Coevolution of neocortical size, group size and language in humans. Behavioral and Brain Sciences, 16(4), 681–694.</w:t>
      </w:r>
    </w:p>
    <w:p>
      <w:pPr>
        <w:spacing w:after="100" w:line="276"/>
        <w:ind w:left="480" w:hanging="480"/>
        <w:jc w:val="left"/>
      </w:pPr>
      <w:r>
        <w:rPr>
          <w:rFonts w:ascii="Georgia" w:cs="Georgia" w:eastAsia="Georgia" w:hAnsi="Georgia"/>
          <w:color w:val="1A1A1A"/>
          <w:sz w:val="20"/>
          <w:szCs w:val="20"/>
        </w:rPr>
        <w:t xml:space="preserve">Dunbar, R. I. M. (1998). The social brain hypothesis. Evolutionary Anthropology, 6(5), 178–190.</w:t>
      </w:r>
    </w:p>
    <w:p>
      <w:pPr>
        <w:spacing w:after="100" w:line="276"/>
        <w:ind w:left="480" w:hanging="480"/>
        <w:jc w:val="left"/>
      </w:pPr>
      <w:r>
        <w:rPr>
          <w:rFonts w:ascii="Georgia" w:cs="Georgia" w:eastAsia="Georgia" w:hAnsi="Georgia"/>
          <w:color w:val="1A1A1A"/>
          <w:sz w:val="20"/>
          <w:szCs w:val="20"/>
        </w:rPr>
        <w:t xml:space="preserve">Hill, R. A., &amp; Dunbar, R. I. M. (2003). Social network size in humans. Human Nature, 14(1), 53–72.</w:t>
      </w:r>
    </w:p>
    <w:p>
      <w:pPr>
        <w:spacing w:after="100" w:line="276"/>
        <w:ind w:left="480" w:hanging="480"/>
        <w:jc w:val="left"/>
      </w:pPr>
      <w:r>
        <w:rPr>
          <w:rFonts w:ascii="Georgia" w:cs="Georgia" w:eastAsia="Georgia" w:hAnsi="Georgia"/>
          <w:color w:val="1A1A1A"/>
          <w:sz w:val="20"/>
          <w:szCs w:val="20"/>
        </w:rPr>
        <w:t xml:space="preserve">Zhou, W.-X., Sornette, D., Hill, R. A., &amp; Dunbar, R. I. M. (2005). Discrete hierarchical organization of social group sizes. Proceedings of the Royal Society B, 272(1561), 439–444.</w:t>
      </w:r>
    </w:p>
    <w:p>
      <w:pPr>
        <w:spacing w:after="100" w:line="276"/>
        <w:ind w:left="480" w:hanging="480"/>
        <w:jc w:val="left"/>
      </w:pPr>
      <w:r>
        <w:rPr>
          <w:rFonts w:ascii="Georgia" w:cs="Georgia" w:eastAsia="Georgia" w:hAnsi="Georgia"/>
          <w:color w:val="1A1A1A"/>
          <w:sz w:val="20"/>
          <w:szCs w:val="20"/>
        </w:rPr>
        <w:t xml:space="preserve">Roberts, S. G. B., Dunbar, R. I. M., Pollet, T. V., &amp; Kuppens, T. (2009). Exploring variation in active network size: Constraints and ego characteristics. Social Networks, 31(2), 138–146.</w:t>
      </w:r>
    </w:p>
    <w:p>
      <w:pPr>
        <w:spacing w:after="100" w:line="276"/>
        <w:ind w:left="480" w:hanging="480"/>
        <w:jc w:val="left"/>
      </w:pPr>
      <w:r>
        <w:rPr>
          <w:rFonts w:ascii="Georgia" w:cs="Georgia" w:eastAsia="Georgia" w:hAnsi="Georgia"/>
          <w:color w:val="1A1A1A"/>
          <w:sz w:val="20"/>
          <w:szCs w:val="20"/>
        </w:rPr>
        <w:t xml:space="preserve">Roberts, S. G. B., &amp; Dunbar, R. I. M. (2011). Communication in social networks: Effects of kinship, network size, and emotional closeness. Personal Relationships, 18(3), 439–452.</w:t>
      </w:r>
    </w:p>
    <w:p>
      <w:pPr>
        <w:spacing w:after="100" w:line="276"/>
        <w:ind w:left="480" w:hanging="480"/>
        <w:jc w:val="left"/>
      </w:pPr>
      <w:r>
        <w:rPr>
          <w:rFonts w:ascii="Georgia" w:cs="Georgia" w:eastAsia="Georgia" w:hAnsi="Georgia"/>
          <w:color w:val="1A1A1A"/>
          <w:sz w:val="20"/>
          <w:szCs w:val="20"/>
        </w:rPr>
        <w:t xml:space="preserve">Sutcliffe, A., Dunbar, R., Binder, J., &amp; Arrow, H. (2012). Relationships and the social brain: Integrating psychological and evolutionary perspectives. British Journal of Psychology, 103(2), 149–168.</w:t>
      </w:r>
    </w:p>
    <w:p>
      <w:pPr>
        <w:spacing w:after="100" w:line="276"/>
        <w:ind w:left="480" w:hanging="480"/>
        <w:jc w:val="left"/>
      </w:pPr>
      <w:r>
        <w:rPr>
          <w:rFonts w:ascii="Georgia" w:cs="Georgia" w:eastAsia="Georgia" w:hAnsi="Georgia"/>
          <w:color w:val="1A1A1A"/>
          <w:sz w:val="20"/>
          <w:szCs w:val="20"/>
        </w:rPr>
        <w:t xml:space="preserve">Dunbar, R. I. M. (2016). Do online social media cut through the constraints that limit the size of offline social networks? Royal Society Open Science, 3(1), 150292.</w:t>
      </w:r>
    </w:p>
    <w:p>
      <w:pPr>
        <w:spacing w:after="100" w:line="276"/>
        <w:ind w:left="480" w:hanging="480"/>
        <w:jc w:val="left"/>
      </w:pPr>
      <w:r>
        <w:rPr>
          <w:rFonts w:ascii="Georgia" w:cs="Georgia" w:eastAsia="Georgia" w:hAnsi="Georgia"/>
          <w:color w:val="1A1A1A"/>
          <w:sz w:val="20"/>
          <w:szCs w:val="20"/>
        </w:rPr>
        <w:t xml:space="preserve">Dunbar, R. I. M. (2020). Structure and function in human and primate social networks: Implications for diffusion, network stability and health. Proceedings of the Royal Society A, 476(2240), 20200446.</w:t>
      </w:r>
    </w:p>
    <w:p>
      <w:pPr>
        <w:spacing w:after="100" w:line="276"/>
        <w:ind w:left="480" w:hanging="480"/>
        <w:jc w:val="left"/>
      </w:pPr>
      <w:r>
        <w:rPr>
          <w:rFonts w:ascii="Georgia" w:cs="Georgia" w:eastAsia="Georgia" w:hAnsi="Georgia"/>
          <w:color w:val="1A1A1A"/>
          <w:sz w:val="20"/>
          <w:szCs w:val="20"/>
        </w:rPr>
        <w:t xml:space="preserve">Lindenfors, P., Wartel, A., &amp; Lind, J. (2021). “Dunbar’s number” deconstructed. Biology Letters, 17(5), 20210158. (Critique of the precise figure.)</w:t>
      </w:r>
    </w:p>
    <w:p>
      <w:pPr>
        <w:spacing w:after="100" w:line="276"/>
        <w:ind w:left="480" w:hanging="480"/>
        <w:jc w:val="left"/>
      </w:pPr>
      <w:r>
        <w:rPr>
          <w:rFonts w:ascii="Georgia" w:cs="Georgia" w:eastAsia="Georgia" w:hAnsi="Georgia"/>
          <w:color w:val="1A1A1A"/>
          <w:sz w:val="20"/>
          <w:szCs w:val="20"/>
        </w:rPr>
        <w:t xml:space="preserve">MacCarron, P., Kaski, K., &amp; Dunbar, R. (2016). Calling Dunbar’s numbers. Social Networks, 47, 151–155.</w:t>
      </w:r>
    </w:p>
    <w:p>
      <w:pPr>
        <w:keepNext/>
        <w:spacing w:after="120" w:before="220"/>
      </w:pPr>
      <w:r>
        <w:rPr>
          <w:rFonts w:ascii="Arial" w:cs="Arial" w:eastAsia="Arial" w:hAnsi="Arial"/>
          <w:b/>
          <w:bCs/>
          <w:color w:val="8C4A2F"/>
          <w:sz w:val="23"/>
          <w:szCs w:val="23"/>
        </w:rPr>
        <w:t xml:space="preserve">Weak ties, dormant ties, and social capital</w:t>
      </w:r>
    </w:p>
    <w:p>
      <w:pPr>
        <w:spacing w:after="100" w:line="276"/>
        <w:ind w:left="480" w:hanging="480"/>
        <w:jc w:val="left"/>
      </w:pPr>
      <w:r>
        <w:rPr>
          <w:rFonts w:ascii="Georgia" w:cs="Georgia" w:eastAsia="Georgia" w:hAnsi="Georgia"/>
          <w:color w:val="1A1A1A"/>
          <w:sz w:val="20"/>
          <w:szCs w:val="20"/>
        </w:rPr>
        <w:t xml:space="preserve">Granovetter, M. S. (1973). The strength of weak ties. American Journal of Sociology, 78(6), 1360–1380.</w:t>
      </w:r>
    </w:p>
    <w:p>
      <w:pPr>
        <w:spacing w:after="100" w:line="276"/>
        <w:ind w:left="480" w:hanging="480"/>
        <w:jc w:val="left"/>
      </w:pPr>
      <w:r>
        <w:rPr>
          <w:rFonts w:ascii="Georgia" w:cs="Georgia" w:eastAsia="Georgia" w:hAnsi="Georgia"/>
          <w:color w:val="1A1A1A"/>
          <w:sz w:val="20"/>
          <w:szCs w:val="20"/>
        </w:rPr>
        <w:t xml:space="preserve">Granovetter, M. S. (1983). The strength of weak ties: A network theory revisited. Sociological Theory, 1, 201–233.</w:t>
      </w:r>
    </w:p>
    <w:p>
      <w:pPr>
        <w:spacing w:after="100" w:line="276"/>
        <w:ind w:left="480" w:hanging="480"/>
        <w:jc w:val="left"/>
      </w:pPr>
      <w:r>
        <w:rPr>
          <w:rFonts w:ascii="Georgia" w:cs="Georgia" w:eastAsia="Georgia" w:hAnsi="Georgia"/>
          <w:color w:val="1A1A1A"/>
          <w:sz w:val="20"/>
          <w:szCs w:val="20"/>
        </w:rPr>
        <w:t xml:space="preserve">Rajkumar, K., Saint-Jacques, G., Bojinov, I., Brynjolfsson, E., &amp; Aral, S. (2022). A causal test of the strength of weak ties. Science, 377(6612), 1304–1310.</w:t>
      </w:r>
    </w:p>
    <w:p>
      <w:pPr>
        <w:spacing w:after="100" w:line="276"/>
        <w:ind w:left="480" w:hanging="480"/>
        <w:jc w:val="left"/>
      </w:pPr>
      <w:r>
        <w:rPr>
          <w:rFonts w:ascii="Georgia" w:cs="Georgia" w:eastAsia="Georgia" w:hAnsi="Georgia"/>
          <w:color w:val="1A1A1A"/>
          <w:sz w:val="20"/>
          <w:szCs w:val="20"/>
        </w:rPr>
        <w:t xml:space="preserve">Levin, D. Z., Walter, J., &amp; Murnighan, J. K. (2011). Dormant ties: The value of reconnecting. Organization Science, 22(4), 923–939.</w:t>
      </w:r>
    </w:p>
    <w:p>
      <w:pPr>
        <w:spacing w:after="100" w:line="276"/>
        <w:ind w:left="480" w:hanging="480"/>
        <w:jc w:val="left"/>
      </w:pPr>
      <w:r>
        <w:rPr>
          <w:rFonts w:ascii="Georgia" w:cs="Georgia" w:eastAsia="Georgia" w:hAnsi="Georgia"/>
          <w:color w:val="1A1A1A"/>
          <w:sz w:val="20"/>
          <w:szCs w:val="20"/>
        </w:rPr>
        <w:t xml:space="preserve">Levin, D. Z., Walter, J., &amp; Murnighan, J. K. (2011). The power of reconnection: How dormant ties can surprise you. MIT Sloan Management Review, 52(3), 45–50.</w:t>
      </w:r>
    </w:p>
    <w:p>
      <w:pPr>
        <w:spacing w:after="100" w:line="276"/>
        <w:ind w:left="480" w:hanging="480"/>
        <w:jc w:val="left"/>
      </w:pPr>
      <w:r>
        <w:rPr>
          <w:rFonts w:ascii="Georgia" w:cs="Georgia" w:eastAsia="Georgia" w:hAnsi="Georgia"/>
          <w:color w:val="1A1A1A"/>
          <w:sz w:val="20"/>
          <w:szCs w:val="20"/>
        </w:rPr>
        <w:t xml:space="preserve">Walter, J., Levin, D. Z., &amp; Murnighan, J. K. (2015). Reconnection choices: Selecting the most valuable (vs. most preferred) dormant ties. Organization Science, 26(5), 1447–1465.</w:t>
      </w:r>
    </w:p>
    <w:p>
      <w:pPr>
        <w:spacing w:after="100" w:line="276"/>
        <w:ind w:left="480" w:hanging="480"/>
        <w:jc w:val="left"/>
      </w:pPr>
      <w:r>
        <w:rPr>
          <w:rFonts w:ascii="Georgia" w:cs="Georgia" w:eastAsia="Georgia" w:hAnsi="Georgia"/>
          <w:color w:val="1A1A1A"/>
          <w:sz w:val="20"/>
          <w:szCs w:val="20"/>
        </w:rPr>
        <w:t xml:space="preserve">Putnam, R. D. (2000). Bowling Alone: The Collapse and Revival of American Community. Simon &amp; Schuster.</w:t>
      </w:r>
    </w:p>
    <w:p>
      <w:pPr>
        <w:spacing w:after="100" w:line="276"/>
        <w:ind w:left="480" w:hanging="480"/>
        <w:jc w:val="left"/>
      </w:pPr>
      <w:r>
        <w:rPr>
          <w:rFonts w:ascii="Georgia" w:cs="Georgia" w:eastAsia="Georgia" w:hAnsi="Georgia"/>
          <w:color w:val="1A1A1A"/>
          <w:sz w:val="20"/>
          <w:szCs w:val="20"/>
        </w:rPr>
        <w:t xml:space="preserve">Ellison, N. B., Steinfield, C., &amp; Lampe, C. (2007). The benefits of Facebook “friends”: Social capital and college students’ use of online social network sites. Journal of Computer-Mediated Communication, 12(4), 1143–1168.</w:t>
      </w:r>
    </w:p>
    <w:p>
      <w:pPr>
        <w:spacing w:after="100" w:line="276"/>
        <w:ind w:left="480" w:hanging="480"/>
        <w:jc w:val="left"/>
      </w:pPr>
      <w:r>
        <w:rPr>
          <w:rFonts w:ascii="Georgia" w:cs="Georgia" w:eastAsia="Georgia" w:hAnsi="Georgia"/>
          <w:color w:val="1A1A1A"/>
          <w:sz w:val="20"/>
          <w:szCs w:val="20"/>
        </w:rPr>
        <w:t xml:space="preserve">Steinfield, C., Ellison, N. B., &amp; Lampe, C. (2008). Social capital, self-esteem, and use of online social network sites: A longitudinal analysis. Journal of Applied Developmental Psychology, 29(6), 434–445.</w:t>
      </w:r>
    </w:p>
    <w:p>
      <w:pPr>
        <w:spacing w:after="100" w:line="276"/>
        <w:ind w:left="480" w:hanging="480"/>
        <w:jc w:val="left"/>
      </w:pPr>
      <w:r>
        <w:rPr>
          <w:rFonts w:ascii="Georgia" w:cs="Georgia" w:eastAsia="Georgia" w:hAnsi="Georgia"/>
          <w:color w:val="1A1A1A"/>
          <w:sz w:val="20"/>
          <w:szCs w:val="20"/>
        </w:rPr>
        <w:t xml:space="preserve">Ellison, N. B., Vitak, J., Gray, R., &amp; Lampe, C. (2014). Cultivating social resources on social network sites: Facebook relationship maintenance behaviors and their role in social capital processes. Journal of Computer-Mediated Communication, 19(4), 855–870.</w:t>
      </w:r>
    </w:p>
    <w:p>
      <w:pPr>
        <w:spacing w:after="100" w:line="276"/>
        <w:ind w:left="480" w:hanging="480"/>
        <w:jc w:val="left"/>
      </w:pPr>
      <w:r>
        <w:rPr>
          <w:rFonts w:ascii="Georgia" w:cs="Georgia" w:eastAsia="Georgia" w:hAnsi="Georgia"/>
          <w:color w:val="1A1A1A"/>
          <w:sz w:val="20"/>
          <w:szCs w:val="20"/>
        </w:rPr>
        <w:t xml:space="preserve">Burke, M., &amp; Kraut, R. E. (2016). The relationship between Facebook use and well-being depends on communication type and tie strength. Journal of Computer-Mediated Communication, 21(4), 265–281.</w:t>
      </w:r>
    </w:p>
    <w:p>
      <w:pPr>
        <w:spacing w:after="100" w:line="276"/>
        <w:ind w:left="480" w:hanging="480"/>
        <w:jc w:val="left"/>
      </w:pPr>
      <w:r>
        <w:rPr>
          <w:rFonts w:ascii="Georgia" w:cs="Georgia" w:eastAsia="Georgia" w:hAnsi="Georgia"/>
          <w:color w:val="1A1A1A"/>
          <w:sz w:val="20"/>
          <w:szCs w:val="20"/>
        </w:rPr>
        <w:t xml:space="preserve">Hampton, K. N., Sessions, L. F., &amp; Her, E. J. (2011). Core networks, social isolation, and new media. Information, Communication &amp; Society, 14(1), 130–155.</w:t>
      </w:r>
    </w:p>
    <w:p>
      <w:pPr>
        <w:keepNext/>
        <w:spacing w:after="120" w:before="220"/>
      </w:pPr>
      <w:r>
        <w:rPr>
          <w:rFonts w:ascii="Arial" w:cs="Arial" w:eastAsia="Arial" w:hAnsi="Arial"/>
          <w:b/>
          <w:bCs/>
          <w:color w:val="8C4A2F"/>
          <w:sz w:val="23"/>
          <w:szCs w:val="23"/>
        </w:rPr>
        <w:t xml:space="preserve">Loneliness and social connection</w:t>
      </w:r>
    </w:p>
    <w:p>
      <w:pPr>
        <w:spacing w:after="100" w:line="276"/>
        <w:ind w:left="480" w:hanging="480"/>
        <w:jc w:val="left"/>
      </w:pPr>
      <w:r>
        <w:rPr>
          <w:rFonts w:ascii="Georgia" w:cs="Georgia" w:eastAsia="Georgia" w:hAnsi="Georgia"/>
          <w:color w:val="1A1A1A"/>
          <w:sz w:val="20"/>
          <w:szCs w:val="20"/>
        </w:rPr>
        <w:t xml:space="preserve">Cacioppo, J. T., &amp; Patrick, W. (2008). Loneliness: Human Nature and the Need for Social Connection. W. W. Norton.</w:t>
      </w:r>
    </w:p>
    <w:p>
      <w:pPr>
        <w:spacing w:after="100" w:line="276"/>
        <w:ind w:left="480" w:hanging="480"/>
        <w:jc w:val="left"/>
      </w:pPr>
      <w:r>
        <w:rPr>
          <w:rFonts w:ascii="Georgia" w:cs="Georgia" w:eastAsia="Georgia" w:hAnsi="Georgia"/>
          <w:color w:val="1A1A1A"/>
          <w:sz w:val="20"/>
          <w:szCs w:val="20"/>
        </w:rPr>
        <w:t xml:space="preserve">Holt-Lunstad, J., Smith, T. B., &amp; Layton, J. B. (2010). Social relationships and mortality risk: A meta-analytic review. PLoS Medicine, 7(7), e1000316.</w:t>
      </w:r>
    </w:p>
    <w:p>
      <w:pPr>
        <w:spacing w:after="100" w:line="276"/>
        <w:ind w:left="480" w:hanging="480"/>
        <w:jc w:val="left"/>
      </w:pPr>
      <w:r>
        <w:rPr>
          <w:rFonts w:ascii="Georgia" w:cs="Georgia" w:eastAsia="Georgia" w:hAnsi="Georgia"/>
          <w:color w:val="1A1A1A"/>
          <w:sz w:val="20"/>
          <w:szCs w:val="20"/>
        </w:rPr>
        <w:t xml:space="preserve">Holt-Lunstad, J., Smith, T. B., Baker, M., Harris, T., &amp; Stephenson, D. (2015). Loneliness and social isolation as risk factors for mortality: A meta-analytic review. Perspectives on Psychological Science, 10(2), 227–237.</w:t>
      </w:r>
    </w:p>
    <w:p>
      <w:pPr>
        <w:spacing w:after="100" w:line="276"/>
        <w:ind w:left="480" w:hanging="480"/>
        <w:jc w:val="left"/>
      </w:pPr>
      <w:r>
        <w:rPr>
          <w:rFonts w:ascii="Georgia" w:cs="Georgia" w:eastAsia="Georgia" w:hAnsi="Georgia"/>
          <w:color w:val="1A1A1A"/>
          <w:sz w:val="20"/>
          <w:szCs w:val="20"/>
        </w:rPr>
        <w:t xml:space="preserve">Cacioppo, J. T., &amp; Cacioppo, S. (2018). The growing problem of loneliness. The Lancet, 391(10119), 426.</w:t>
      </w:r>
    </w:p>
    <w:p>
      <w:pPr>
        <w:keepNext/>
        <w:spacing w:after="120" w:before="220"/>
      </w:pPr>
      <w:r>
        <w:rPr>
          <w:rFonts w:ascii="Arial" w:cs="Arial" w:eastAsia="Arial" w:hAnsi="Arial"/>
          <w:b/>
          <w:bCs/>
          <w:color w:val="8C4A2F"/>
          <w:sz w:val="23"/>
          <w:szCs w:val="23"/>
        </w:rPr>
        <w:t xml:space="preserve">Professional networks and careers</w:t>
      </w:r>
    </w:p>
    <w:p>
      <w:pPr>
        <w:spacing w:after="100" w:line="276"/>
        <w:ind w:left="480" w:hanging="480"/>
        <w:jc w:val="left"/>
      </w:pPr>
      <w:r>
        <w:rPr>
          <w:rFonts w:ascii="Georgia" w:cs="Georgia" w:eastAsia="Georgia" w:hAnsi="Georgia"/>
          <w:color w:val="1A1A1A"/>
          <w:sz w:val="20"/>
          <w:szCs w:val="20"/>
        </w:rPr>
        <w:t xml:space="preserve">Ibarra, H., &amp; Hunter, M. (2007). How leaders create and use networks. Harvard Business Review, 85(1), 40–47.</w:t>
      </w:r>
    </w:p>
    <w:p>
      <w:pPr>
        <w:spacing w:after="100" w:line="276"/>
        <w:ind w:left="480" w:hanging="480"/>
        <w:jc w:val="left"/>
      </w:pPr>
      <w:r>
        <w:rPr>
          <w:rFonts w:ascii="Georgia" w:cs="Georgia" w:eastAsia="Georgia" w:hAnsi="Georgia"/>
          <w:color w:val="1A1A1A"/>
          <w:sz w:val="20"/>
          <w:szCs w:val="20"/>
        </w:rPr>
        <w:t xml:space="preserve">Ibarra, H. (1993). Personal networks of women and minorities in management: A conceptual framework. Academy of Management Review, 18(1), 56–87.</w:t>
      </w:r>
    </w:p>
    <w:p>
      <w:pPr>
        <w:spacing w:after="100" w:line="276"/>
        <w:ind w:left="480" w:hanging="480"/>
        <w:jc w:val="left"/>
      </w:pPr>
      <w:r>
        <w:rPr>
          <w:rFonts w:ascii="Georgia" w:cs="Georgia" w:eastAsia="Georgia" w:hAnsi="Georgia"/>
          <w:color w:val="1A1A1A"/>
          <w:sz w:val="20"/>
          <w:szCs w:val="20"/>
        </w:rPr>
        <w:t xml:space="preserve">Burt, R. S. (1992). Structural Holes: The Social Structure of Competition. Harvard University Press.</w:t>
      </w:r>
    </w:p>
    <w:p>
      <w:pPr>
        <w:spacing w:after="100" w:line="276"/>
        <w:ind w:left="480" w:hanging="480"/>
        <w:jc w:val="left"/>
      </w:pPr>
      <w:r>
        <w:rPr>
          <w:rFonts w:ascii="Georgia" w:cs="Georgia" w:eastAsia="Georgia" w:hAnsi="Georgia"/>
          <w:color w:val="1A1A1A"/>
          <w:sz w:val="20"/>
          <w:szCs w:val="20"/>
        </w:rPr>
        <w:t xml:space="preserve">Burt, R. S. (2004). Structural holes and good ideas. American Journal of Sociology, 110(2), 349–399.</w:t>
      </w:r>
    </w:p>
    <w:p>
      <w:pPr>
        <w:spacing w:after="100" w:line="276"/>
        <w:ind w:left="480" w:hanging="480"/>
        <w:jc w:val="left"/>
      </w:pPr>
      <w:r>
        <w:rPr>
          <w:rFonts w:ascii="Georgia" w:cs="Georgia" w:eastAsia="Georgia" w:hAnsi="Georgia"/>
          <w:color w:val="1A1A1A"/>
          <w:sz w:val="20"/>
          <w:szCs w:val="20"/>
        </w:rPr>
        <w:t xml:space="preserve">Gee, L. K., Jones, J., &amp; Burke, M. (2017). Social networks and labor markets: How strong ties relate to job finding on Facebook’s social network. Journal of Labor Economics, 35(2), 485–518.</w:t>
      </w:r>
    </w:p>
    <w:p>
      <w:pPr>
        <w:keepNext/>
        <w:spacing w:after="120" w:before="220"/>
      </w:pPr>
      <w:r>
        <w:rPr>
          <w:rFonts w:ascii="Arial" w:cs="Arial" w:eastAsia="Arial" w:hAnsi="Arial"/>
          <w:b/>
          <w:bCs/>
          <w:color w:val="8C4A2F"/>
          <w:sz w:val="23"/>
          <w:szCs w:val="23"/>
        </w:rPr>
        <w:t xml:space="preserve">Choice architecture, decision fatigue, and card sorting</w:t>
      </w:r>
    </w:p>
    <w:p>
      <w:pPr>
        <w:spacing w:after="100" w:line="276"/>
        <w:ind w:left="480" w:hanging="480"/>
        <w:jc w:val="left"/>
      </w:pPr>
      <w:r>
        <w:rPr>
          <w:rFonts w:ascii="Georgia" w:cs="Georgia" w:eastAsia="Georgia" w:hAnsi="Georgia"/>
          <w:color w:val="1A1A1A"/>
          <w:sz w:val="20"/>
          <w:szCs w:val="20"/>
        </w:rPr>
        <w:t xml:space="preserve">Iyengar, S. S., &amp; Lepper, M. R. (2000). When choice is demotivating: Can one desire too much of a good thing? Journal of Personality and Social Psychology, 79(6), 995–1006.</w:t>
      </w:r>
    </w:p>
    <w:p>
      <w:pPr>
        <w:spacing w:after="100" w:line="276"/>
        <w:ind w:left="480" w:hanging="480"/>
        <w:jc w:val="left"/>
      </w:pPr>
      <w:r>
        <w:rPr>
          <w:rFonts w:ascii="Georgia" w:cs="Georgia" w:eastAsia="Georgia" w:hAnsi="Georgia"/>
          <w:color w:val="1A1A1A"/>
          <w:sz w:val="20"/>
          <w:szCs w:val="20"/>
        </w:rPr>
        <w:t xml:space="preserve">Scheibehenne, B., Greifeneder, R., &amp; Todd, P. M. (2010). Can there ever be too many options? A meta-analytic review of choice overload. Journal of Consumer Research, 37(3), 409–425.</w:t>
      </w:r>
    </w:p>
    <w:p>
      <w:pPr>
        <w:spacing w:after="100" w:line="276"/>
        <w:ind w:left="480" w:hanging="480"/>
        <w:jc w:val="left"/>
      </w:pPr>
      <w:r>
        <w:rPr>
          <w:rFonts w:ascii="Georgia" w:cs="Georgia" w:eastAsia="Georgia" w:hAnsi="Georgia"/>
          <w:color w:val="1A1A1A"/>
          <w:sz w:val="20"/>
          <w:szCs w:val="20"/>
        </w:rPr>
        <w:t xml:space="preserve">Chernev, A., Böckenholt, U., &amp; Goodman, J. (2015). Choice overload: A conceptual review and meta-analysis. Journal of Consumer Psychology, 25(2), 333–358.</w:t>
      </w:r>
    </w:p>
    <w:p>
      <w:pPr>
        <w:spacing w:after="100" w:line="276"/>
        <w:ind w:left="480" w:hanging="480"/>
        <w:jc w:val="left"/>
      </w:pPr>
      <w:r>
        <w:rPr>
          <w:rFonts w:ascii="Georgia" w:cs="Georgia" w:eastAsia="Georgia" w:hAnsi="Georgia"/>
          <w:color w:val="1A1A1A"/>
          <w:sz w:val="20"/>
          <w:szCs w:val="20"/>
        </w:rPr>
        <w:t xml:space="preserve">Schwartz, B. (2004). The Paradox of Choice: Why More Is Less. Ecco/HarperCollins.</w:t>
      </w:r>
    </w:p>
    <w:p>
      <w:pPr>
        <w:spacing w:after="100" w:line="276"/>
        <w:ind w:left="480" w:hanging="480"/>
        <w:jc w:val="left"/>
      </w:pPr>
      <w:r>
        <w:rPr>
          <w:rFonts w:ascii="Georgia" w:cs="Georgia" w:eastAsia="Georgia" w:hAnsi="Georgia"/>
          <w:color w:val="1A1A1A"/>
          <w:sz w:val="20"/>
          <w:szCs w:val="20"/>
        </w:rPr>
        <w:t xml:space="preserve">Baumeister, R. F., Bratslavsky, E., Muraven, M., &amp; Tice, D. M. (1998). Ego depletion: Is the active self a limited resource? Journal of Personality and Social Psychology, 74(5), 1252–1265.</w:t>
      </w:r>
    </w:p>
    <w:p>
      <w:pPr>
        <w:spacing w:after="100" w:line="276"/>
        <w:ind w:left="480" w:hanging="480"/>
        <w:jc w:val="left"/>
      </w:pPr>
      <w:r>
        <w:rPr>
          <w:rFonts w:ascii="Georgia" w:cs="Georgia" w:eastAsia="Georgia" w:hAnsi="Georgia"/>
          <w:color w:val="1A1A1A"/>
          <w:sz w:val="20"/>
          <w:szCs w:val="20"/>
        </w:rPr>
        <w:t xml:space="preserve">Vohs, K. D., et al. (2021). A multi-site preregistered paradigmatic test of the ego-depletion effect. Psychological Science, 32(10), 1566–1581. (Replication challenge to ego depletion.)</w:t>
      </w:r>
    </w:p>
    <w:p>
      <w:pPr>
        <w:spacing w:after="100" w:line="276"/>
        <w:ind w:left="480" w:hanging="480"/>
        <w:jc w:val="left"/>
      </w:pPr>
      <w:r>
        <w:rPr>
          <w:rFonts w:ascii="Georgia" w:cs="Georgia" w:eastAsia="Georgia" w:hAnsi="Georgia"/>
          <w:color w:val="1A1A1A"/>
          <w:sz w:val="20"/>
          <w:szCs w:val="20"/>
        </w:rPr>
        <w:t xml:space="preserve">Danziger, S., Levav, J., &amp; Avnaim-Pesso, L. (2011). Extraneous factors in judicial decisions. Proceedings of the National Academy of Sciences, 108(17), 6889–6892.</w:t>
      </w:r>
    </w:p>
    <w:p>
      <w:pPr>
        <w:spacing w:after="100" w:line="276"/>
        <w:ind w:left="480" w:hanging="480"/>
        <w:jc w:val="left"/>
      </w:pPr>
      <w:r>
        <w:rPr>
          <w:rFonts w:ascii="Georgia" w:cs="Georgia" w:eastAsia="Georgia" w:hAnsi="Georgia"/>
          <w:color w:val="1A1A1A"/>
          <w:sz w:val="20"/>
          <w:szCs w:val="20"/>
        </w:rPr>
        <w:t xml:space="preserve">Spencer, D. (2009). Card Sorting: Designing Usable Categories. Rosenfeld Media.</w:t>
      </w:r>
    </w:p>
    <w:p>
      <w:pPr>
        <w:spacing w:after="100" w:line="276"/>
        <w:ind w:left="480" w:hanging="480"/>
        <w:jc w:val="left"/>
      </w:pPr>
      <w:r>
        <w:rPr>
          <w:rFonts w:ascii="Georgia" w:cs="Georgia" w:eastAsia="Georgia" w:hAnsi="Georgia"/>
          <w:color w:val="1A1A1A"/>
          <w:sz w:val="20"/>
          <w:szCs w:val="20"/>
        </w:rPr>
        <w:t xml:space="preserve">Nielsen, J. (2004). Card sorting: How many users to test. Nielsen Norman Group.</w:t>
      </w:r>
    </w:p>
    <w:p>
      <w:pPr>
        <w:spacing w:after="100" w:line="276"/>
        <w:ind w:left="480" w:hanging="480"/>
        <w:jc w:val="left"/>
      </w:pPr>
      <w:r>
        <w:rPr>
          <w:rFonts w:ascii="Georgia" w:cs="Georgia" w:eastAsia="Georgia" w:hAnsi="Georgia"/>
          <w:color w:val="1A1A1A"/>
          <w:sz w:val="20"/>
          <w:szCs w:val="20"/>
        </w:rPr>
        <w:t xml:space="preserve">Righi, C., et al. (2013). Card sort analysis best practices. Journal of Usability Studies, 8(3), 69–89.</w:t>
      </w:r>
    </w:p>
    <w:p>
      <w:pPr>
        <w:spacing w:after="100" w:line="276"/>
        <w:ind w:left="480" w:hanging="480"/>
        <w:jc w:val="left"/>
      </w:pPr>
      <w:r>
        <w:rPr>
          <w:rFonts w:ascii="Georgia" w:cs="Georgia" w:eastAsia="Georgia" w:hAnsi="Georgia"/>
          <w:color w:val="1A1A1A"/>
          <w:sz w:val="20"/>
          <w:szCs w:val="20"/>
        </w:rPr>
        <w:t xml:space="preserve">Fitts, P. M. (1954). The information capacity of the human motor system in controlling the amplitude of movement. Journal of Experimental Psychology, 47(6), 381–391.</w:t>
      </w:r>
    </w:p>
    <w:p>
      <w:pPr>
        <w:spacing w:after="100" w:line="276"/>
        <w:ind w:left="480" w:hanging="480"/>
        <w:jc w:val="left"/>
      </w:pPr>
      <w:r>
        <w:rPr>
          <w:rFonts w:ascii="Georgia" w:cs="Georgia" w:eastAsia="Georgia" w:hAnsi="Georgia"/>
          <w:color w:val="1A1A1A"/>
          <w:sz w:val="20"/>
          <w:szCs w:val="20"/>
        </w:rPr>
        <w:t xml:space="preserve">MacKenzie, I. S. (1992). Fitts’ law as a research and design tool in human-computer interaction. Human-Computer Interaction, 7(1), 91–139.</w:t>
      </w:r>
    </w:p>
    <w:p>
      <w:pPr>
        <w:keepNext/>
        <w:spacing w:after="120" w:before="220"/>
      </w:pPr>
      <w:r>
        <w:rPr>
          <w:rFonts w:ascii="Arial" w:cs="Arial" w:eastAsia="Arial" w:hAnsi="Arial"/>
          <w:b/>
          <w:bCs/>
          <w:color w:val="8C4A2F"/>
          <w:sz w:val="23"/>
          <w:szCs w:val="23"/>
        </w:rPr>
        <w:t xml:space="preserve">Privacy, surveillance capitalism, and local-first software</w:t>
      </w:r>
    </w:p>
    <w:p>
      <w:pPr>
        <w:spacing w:after="100" w:line="276"/>
        <w:ind w:left="480" w:hanging="480"/>
        <w:jc w:val="left"/>
      </w:pPr>
      <w:r>
        <w:rPr>
          <w:rFonts w:ascii="Georgia" w:cs="Georgia" w:eastAsia="Georgia" w:hAnsi="Georgia"/>
          <w:color w:val="1A1A1A"/>
          <w:sz w:val="20"/>
          <w:szCs w:val="20"/>
        </w:rPr>
        <w:t xml:space="preserve">Zuboff, S. (2019). The Age of Surveillance Capitalism: The Fight for a Human Future at the New Frontier of Power. PublicAffairs.</w:t>
      </w:r>
    </w:p>
    <w:p>
      <w:pPr>
        <w:spacing w:after="100" w:line="276"/>
        <w:ind w:left="480" w:hanging="480"/>
        <w:jc w:val="left"/>
      </w:pPr>
      <w:r>
        <w:rPr>
          <w:rFonts w:ascii="Georgia" w:cs="Georgia" w:eastAsia="Georgia" w:hAnsi="Georgia"/>
          <w:color w:val="1A1A1A"/>
          <w:sz w:val="20"/>
          <w:szCs w:val="20"/>
        </w:rPr>
        <w:t xml:space="preserve">Kleppmann, M., Wiggins, A., van Hardenberg, P., &amp; McGranaghan, M. (2019). Local-first software: You own your data, in spite of the cloud. Proceedings of the 2019 ACM SIGPLAN International Symposium on New Ideas, New Paradigms, and Reflections on Programming and Software (Onward! 2019), 154–178. (Ink &amp; Switch.)</w:t>
      </w:r>
    </w:p>
    <w:p>
      <w:pPr>
        <w:spacing w:after="100" w:line="276"/>
        <w:ind w:left="480" w:hanging="480"/>
        <w:jc w:val="left"/>
      </w:pPr>
      <w:r>
        <w:rPr>
          <w:rFonts w:ascii="Georgia" w:cs="Georgia" w:eastAsia="Georgia" w:hAnsi="Georgia"/>
          <w:color w:val="1A1A1A"/>
          <w:sz w:val="20"/>
          <w:szCs w:val="20"/>
        </w:rPr>
        <w:t xml:space="preserve">Cavoukian, A. (2011). Privacy by Design: The 7 Foundational Principles. Information and Privacy Commissioner of Ontario.</w:t>
      </w:r>
    </w:p>
    <w:p>
      <w:pPr>
        <w:spacing w:after="100" w:line="276"/>
        <w:ind w:left="480" w:hanging="480"/>
        <w:jc w:val="left"/>
      </w:pPr>
      <w:r>
        <w:rPr>
          <w:rFonts w:ascii="Georgia" w:cs="Georgia" w:eastAsia="Georgia" w:hAnsi="Georgia"/>
          <w:color w:val="1A1A1A"/>
          <w:sz w:val="20"/>
          <w:szCs w:val="20"/>
        </w:rPr>
        <w:t xml:space="preserve">Regulation (EU) 2016/679 (General Data Protection Regulation), Article 20: Right to data portability. Official Journal of the European Union.</w:t>
      </w:r>
    </w:p>
    <w:p>
      <w:pPr>
        <w:spacing w:after="100" w:line="276"/>
        <w:ind w:left="480" w:hanging="480"/>
        <w:jc w:val="left"/>
      </w:pPr>
      <w:r>
        <w:rPr>
          <w:rFonts w:ascii="Georgia" w:cs="Georgia" w:eastAsia="Georgia" w:hAnsi="Georgia"/>
          <w:color w:val="1A1A1A"/>
          <w:sz w:val="20"/>
          <w:szCs w:val="20"/>
        </w:rPr>
        <w:t xml:space="preserve">Narayanan, A., et al. (2012). A critical look at decentralization and privacy in online social networks. (Representative of the decentralized-social-network privacy literature.)</w:t>
      </w:r>
    </w:p>
    <w:p>
      <w:pPr>
        <w:keepNext/>
        <w:spacing w:after="120" w:before="220"/>
      </w:pPr>
      <w:r>
        <w:rPr>
          <w:rFonts w:ascii="Arial" w:cs="Arial" w:eastAsia="Arial" w:hAnsi="Arial"/>
          <w:b/>
          <w:bCs/>
          <w:color w:val="8C4A2F"/>
          <w:sz w:val="23"/>
          <w:szCs w:val="23"/>
        </w:rPr>
        <w:t xml:space="preserve">Platform policy, scraping law, and API history</w:t>
      </w:r>
    </w:p>
    <w:p>
      <w:pPr>
        <w:spacing w:after="100" w:line="276"/>
        <w:ind w:left="480" w:hanging="480"/>
        <w:jc w:val="left"/>
      </w:pPr>
      <w:r>
        <w:rPr>
          <w:rFonts w:ascii="Georgia" w:cs="Georgia" w:eastAsia="Georgia" w:hAnsi="Georgia"/>
          <w:color w:val="1A1A1A"/>
          <w:sz w:val="20"/>
          <w:szCs w:val="20"/>
        </w:rPr>
        <w:t xml:space="preserve">hiQ Labs, Inc. v. LinkedIn Corp., 938 F.3d 985 (9th Cir. 2019); on remand and rehearing, 31 F.4th 1180 (9th Cir. 2022).</w:t>
      </w:r>
    </w:p>
    <w:p>
      <w:pPr>
        <w:spacing w:after="100" w:line="276"/>
        <w:ind w:left="480" w:hanging="480"/>
        <w:jc w:val="left"/>
      </w:pPr>
      <w:r>
        <w:rPr>
          <w:rFonts w:ascii="Georgia" w:cs="Georgia" w:eastAsia="Georgia" w:hAnsi="Georgia"/>
          <w:color w:val="1A1A1A"/>
          <w:sz w:val="20"/>
          <w:szCs w:val="20"/>
        </w:rPr>
        <w:t xml:space="preserve">hiQ Labs, Inc. v. LinkedIn Corp. (2022). Stipulated judgment and permanent injunction, N.D. Cal. (settlement following the parties’ dispute).</w:t>
      </w:r>
    </w:p>
    <w:p>
      <w:pPr>
        <w:spacing w:after="100" w:line="276"/>
        <w:ind w:left="480" w:hanging="480"/>
        <w:jc w:val="left"/>
      </w:pPr>
      <w:r>
        <w:rPr>
          <w:rFonts w:ascii="Georgia" w:cs="Georgia" w:eastAsia="Georgia" w:hAnsi="Georgia"/>
          <w:color w:val="1A1A1A"/>
          <w:sz w:val="20"/>
          <w:szCs w:val="20"/>
        </w:rPr>
        <w:t xml:space="preserve">Constine, J. (2018, April 4). Facebook restricts APIs, axes old Instagram platform amidst scandals. TechCrunch.</w:t>
      </w:r>
    </w:p>
    <w:p>
      <w:pPr>
        <w:spacing w:after="100" w:line="276"/>
        <w:ind w:left="480" w:hanging="480"/>
        <w:jc w:val="left"/>
      </w:pPr>
      <w:r>
        <w:rPr>
          <w:rFonts w:ascii="Georgia" w:cs="Georgia" w:eastAsia="Georgia" w:hAnsi="Georgia"/>
          <w:color w:val="1A1A1A"/>
          <w:sz w:val="20"/>
          <w:szCs w:val="20"/>
        </w:rPr>
        <w:t xml:space="preserve">Meta Platforms (2023, October). Manage your information across Facebook and Instagram with Accounts Center. about.fb.com/news.</w:t>
      </w:r>
    </w:p>
    <w:p>
      <w:pPr>
        <w:spacing w:after="100" w:line="276"/>
        <w:ind w:left="480" w:hanging="480"/>
        <w:jc w:val="left"/>
      </w:pPr>
      <w:r>
        <w:rPr>
          <w:rFonts w:ascii="Georgia" w:cs="Georgia" w:eastAsia="Georgia" w:hAnsi="Georgia"/>
          <w:color w:val="1A1A1A"/>
          <w:sz w:val="20"/>
          <w:szCs w:val="20"/>
        </w:rPr>
        <w:t xml:space="preserve">Meta Platforms. Access and download your information (Help Center). facebook.com/help/1701730696756992.</w:t>
      </w:r>
    </w:p>
    <w:p>
      <w:pPr>
        <w:spacing w:after="100" w:line="276"/>
        <w:ind w:left="480" w:hanging="480"/>
        <w:jc w:val="left"/>
      </w:pPr>
      <w:r>
        <w:rPr>
          <w:rFonts w:ascii="Georgia" w:cs="Georgia" w:eastAsia="Georgia" w:hAnsi="Georgia"/>
          <w:color w:val="1A1A1A"/>
          <w:sz w:val="20"/>
          <w:szCs w:val="20"/>
        </w:rPr>
        <w:t xml:space="preserve">Van Der Sar, E., et al. (2015). InstaAgent app caught stealing Instagram passwords. (Contemporaneous reporting on the InstaAgent credential-theft incident.)</w:t>
      </w:r>
    </w:p>
    <w:p>
      <w:pPr>
        <w:keepNext/>
        <w:spacing w:after="120" w:before="220"/>
      </w:pPr>
      <w:r>
        <w:rPr>
          <w:rFonts w:ascii="Arial" w:cs="Arial" w:eastAsia="Arial" w:hAnsi="Arial"/>
          <w:b/>
          <w:bCs/>
          <w:color w:val="8C4A2F"/>
          <w:sz w:val="23"/>
          <w:szCs w:val="23"/>
        </w:rPr>
        <w:t xml:space="preserve">Prior-art tools and personal CRMs</w:t>
      </w:r>
    </w:p>
    <w:p>
      <w:pPr>
        <w:spacing w:after="100" w:line="276"/>
        <w:ind w:left="480" w:hanging="480"/>
        <w:jc w:val="left"/>
      </w:pPr>
      <w:r>
        <w:rPr>
          <w:rFonts w:ascii="Georgia" w:cs="Georgia" w:eastAsia="Georgia" w:hAnsi="Georgia"/>
          <w:color w:val="1A1A1A"/>
          <w:sz w:val="20"/>
          <w:szCs w:val="20"/>
        </w:rPr>
        <w:t xml:space="preserve">Tarng, J. (2019). Tokimeki Unfollow: A KonMari-inspired tool for decluttering Twitter follows. tokimeki-unfollow.glitch.me (open source).</w:t>
      </w:r>
    </w:p>
    <w:p>
      <w:pPr>
        <w:spacing w:after="100" w:line="276"/>
        <w:ind w:left="480" w:hanging="480"/>
        <w:jc w:val="left"/>
      </w:pPr>
      <w:r>
        <w:rPr>
          <w:rFonts w:ascii="Georgia" w:cs="Georgia" w:eastAsia="Georgia" w:hAnsi="Georgia"/>
          <w:color w:val="1A1A1A"/>
          <w:sz w:val="20"/>
          <w:szCs w:val="20"/>
        </w:rPr>
        <w:t xml:space="preserve">Matney, L. (2019). Tokimeki Unfollow helps you Marie Kondo your Twitter feed. TechCrunch.</w:t>
      </w:r>
    </w:p>
    <w:p>
      <w:pPr>
        <w:spacing w:after="100" w:line="276"/>
        <w:ind w:left="480" w:hanging="480"/>
        <w:jc w:val="left"/>
      </w:pPr>
      <w:r>
        <w:rPr>
          <w:rFonts w:ascii="Georgia" w:cs="Georgia" w:eastAsia="Georgia" w:hAnsi="Georgia"/>
          <w:color w:val="1A1A1A"/>
          <w:sz w:val="20"/>
          <w:szCs w:val="20"/>
        </w:rPr>
        <w:t xml:space="preserve">MonicaHQ (2017–present). Monica: Open-source personal relationship management. github.com/monicahq/monica (AGPL-3.0).</w:t>
      </w:r>
    </w:p>
    <w:p>
      <w:pPr>
        <w:spacing w:after="100" w:line="276"/>
        <w:ind w:left="480" w:hanging="480"/>
        <w:jc w:val="left"/>
      </w:pPr>
      <w:r>
        <w:rPr>
          <w:rFonts w:ascii="Georgia" w:cs="Georgia" w:eastAsia="Georgia" w:hAnsi="Georgia"/>
          <w:color w:val="1A1A1A"/>
          <w:sz w:val="20"/>
          <w:szCs w:val="20"/>
        </w:rPr>
        <w:t xml:space="preserve">Dex (getdex.com). Personal CRM and keep-in-touch tool. Product documentation and privacy statements.</w:t>
      </w:r>
    </w:p>
    <w:p>
      <w:pPr>
        <w:spacing w:after="100" w:line="276"/>
        <w:ind w:left="480" w:hanging="480"/>
        <w:jc w:val="left"/>
      </w:pPr>
      <w:r>
        <w:rPr>
          <w:rFonts w:ascii="Georgia" w:cs="Georgia" w:eastAsia="Georgia" w:hAnsi="Georgia"/>
          <w:color w:val="1A1A1A"/>
          <w:sz w:val="20"/>
          <w:szCs w:val="20"/>
        </w:rPr>
        <w:t xml:space="preserve">Clay (clay.earth). Relationship-intelligence personal CRM. Product documentation. (Reports of a 2025 acquisition/rebrand should be independently verified.)</w:t>
      </w:r>
    </w:p>
    <w:p>
      <w:pPr>
        <w:spacing w:after="100" w:line="276"/>
        <w:ind w:left="480" w:hanging="480"/>
        <w:jc w:val="left"/>
      </w:pPr>
      <w:r>
        <w:rPr>
          <w:rFonts w:ascii="Georgia" w:cs="Georgia" w:eastAsia="Georgia" w:hAnsi="Georgia"/>
          <w:color w:val="1A1A1A"/>
          <w:sz w:val="20"/>
          <w:szCs w:val="20"/>
        </w:rPr>
        <w:t xml:space="preserve">Slidebox. Swipe-to-sort photo organization application. Product documentation.</w:t>
      </w:r>
    </w:p>
    <w:p>
      <w:pPr>
        <w:spacing w:after="100" w:line="276"/>
        <w:ind w:left="480" w:hanging="480"/>
        <w:jc w:val="left"/>
      </w:pPr>
      <w:r>
        <w:rPr>
          <w:rFonts w:ascii="Georgia" w:cs="Georgia" w:eastAsia="Georgia" w:hAnsi="Georgia"/>
          <w:color w:val="1A1A1A"/>
          <w:sz w:val="20"/>
          <w:szCs w:val="20"/>
        </w:rPr>
        <w:t xml:space="preserve">Constine, J. (2013). Dropbox acquires Mailbox (swipe-based email triage app). TechCrunch (and subsequent shutdown coverage, 2015).</w:t>
      </w:r>
    </w:p>
    <w:p>
      <w:pPr>
        <w:spacing w:after="100" w:line="276"/>
        <w:ind w:left="480" w:hanging="480"/>
        <w:jc w:val="left"/>
      </w:pPr>
      <w:r>
        <w:rPr>
          <w:rFonts w:ascii="Georgia" w:cs="Georgia" w:eastAsia="Georgia" w:hAnsi="Georgia"/>
          <w:color w:val="1A1A1A"/>
          <w:sz w:val="20"/>
          <w:szCs w:val="20"/>
        </w:rPr>
        <w:t xml:space="preserve">FollowMeter (Beaker Apps). Followers tracker for Instagram — privacy policy (disclosing categories of data collected). Apple App Store / developer site.</w:t>
      </w:r>
    </w:p>
    <w:p>
      <w:pPr>
        <w:spacing w:after="100" w:line="276"/>
        <w:ind w:left="480" w:hanging="480"/>
        <w:jc w:val="left"/>
      </w:pPr>
      <w:r>
        <w:rPr>
          <w:rFonts w:ascii="Georgia" w:cs="Georgia" w:eastAsia="Georgia" w:hAnsi="Georgia"/>
          <w:color w:val="1A1A1A"/>
          <w:sz w:val="20"/>
          <w:szCs w:val="20"/>
        </w:rPr>
        <w:t xml:space="preserve">Crowdfire. What happened to the Instagram features on Crowdfire? Crowdfire support documentation (regarding the January 2017 Instagram API changes and subsequent service shutdown).</w:t>
      </w:r>
    </w:p>
    <w:p>
      <w:pPr>
        <w:keepNext/>
        <w:spacing w:after="120" w:before="220"/>
      </w:pPr>
      <w:r>
        <w:rPr>
          <w:rFonts w:ascii="Arial" w:cs="Arial" w:eastAsia="Arial" w:hAnsi="Arial"/>
          <w:b/>
          <w:bCs/>
          <w:color w:val="8C4A2F"/>
          <w:sz w:val="23"/>
          <w:szCs w:val="23"/>
        </w:rPr>
        <w:t xml:space="preserve">Data formats and engineering building blocks (open-source repositories)</w:t>
      </w:r>
    </w:p>
    <w:p>
      <w:pPr>
        <w:spacing w:after="100" w:line="276"/>
        <w:ind w:left="480" w:hanging="480"/>
        <w:jc w:val="left"/>
      </w:pPr>
      <w:r>
        <w:rPr>
          <w:rFonts w:ascii="Georgia" w:cs="Georgia" w:eastAsia="Georgia" w:hAnsi="Georgia"/>
          <w:color w:val="1A1A1A"/>
          <w:sz w:val="20"/>
          <w:szCs w:val="20"/>
        </w:rPr>
        <w:t xml:space="preserve">hall, R. (ridwaanhall). instagram-following-followers: Analyze Instagram followers/following from the official data export. github.com/ridwaanhall/instagram-following-followers (MIT).</w:t>
      </w:r>
    </w:p>
    <w:p>
      <w:pPr>
        <w:spacing w:after="100" w:line="276"/>
        <w:ind w:left="480" w:hanging="480"/>
        <w:jc w:val="left"/>
      </w:pPr>
      <w:r>
        <w:rPr>
          <w:rFonts w:ascii="Georgia" w:cs="Georgia" w:eastAsia="Georgia" w:hAnsi="Georgia"/>
          <w:color w:val="1A1A1A"/>
          <w:sz w:val="20"/>
          <w:szCs w:val="20"/>
        </w:rPr>
        <w:t xml:space="preserve">3DJakob. react-tinder-card: Swipeable card component for React (web and native). github.com/3DJakob/react-tinder-card.</w:t>
      </w:r>
    </w:p>
    <w:p>
      <w:pPr>
        <w:spacing w:after="100" w:line="276"/>
        <w:ind w:left="480" w:hanging="480"/>
        <w:jc w:val="left"/>
      </w:pPr>
      <w:r>
        <w:rPr>
          <w:rFonts w:ascii="Georgia" w:cs="Georgia" w:eastAsia="Georgia" w:hAnsi="Georgia"/>
          <w:color w:val="1A1A1A"/>
          <w:sz w:val="20"/>
          <w:szCs w:val="20"/>
        </w:rPr>
        <w:t xml:space="preserve">goncy. react-swipy: Minimal swipeable-card component for React. github.com/goncy/react-swipy.</w:t>
      </w:r>
    </w:p>
    <w:p>
      <w:pPr>
        <w:spacing w:after="100" w:line="276"/>
        <w:ind w:left="480" w:hanging="480"/>
        <w:jc w:val="left"/>
      </w:pPr>
      <w:r>
        <w:rPr>
          <w:rFonts w:ascii="Georgia" w:cs="Georgia" w:eastAsia="Georgia" w:hAnsi="Georgia"/>
          <w:color w:val="1A1A1A"/>
          <w:sz w:val="20"/>
          <w:szCs w:val="20"/>
        </w:rPr>
        <w:t xml:space="preserve">nolimits4web. Swiper: Modern, actively-maintained touch slider. github.com/nolimits4web/swiper.</w:t>
      </w:r>
    </w:p>
    <w:p>
      <w:pPr>
        <w:spacing w:after="100" w:line="276"/>
        <w:ind w:left="480" w:hanging="480"/>
        <w:jc w:val="left"/>
      </w:pPr>
      <w:r>
        <w:rPr>
          <w:rFonts w:ascii="Georgia" w:cs="Georgia" w:eastAsia="Georgia" w:hAnsi="Georgia"/>
          <w:color w:val="1A1A1A"/>
          <w:sz w:val="20"/>
          <w:szCs w:val="20"/>
        </w:rPr>
        <w:t xml:space="preserve">hammerjs. Hammer.js: Multi-touch gesture library (note: effectively unmaintained). github.com/hammerjs/hammer.js.</w:t>
      </w:r>
    </w:p>
    <w:p>
      <w:pPr>
        <w:spacing w:after="100" w:line="276"/>
        <w:ind w:left="480" w:hanging="480"/>
        <w:jc w:val="left"/>
      </w:pPr>
      <w:r>
        <w:rPr>
          <w:rFonts w:ascii="Georgia" w:cs="Georgia" w:eastAsia="Georgia" w:hAnsi="Georgia"/>
          <w:color w:val="1A1A1A"/>
          <w:sz w:val="20"/>
          <w:szCs w:val="20"/>
        </w:rPr>
        <w:t xml:space="preserve">mholt. PapaParse: In-browser CSV parser with streaming and web-worker support. github.com/mholt/PapaParse.</w:t>
      </w:r>
    </w:p>
    <w:p>
      <w:pPr>
        <w:spacing w:after="100" w:line="276"/>
        <w:ind w:left="480" w:hanging="480"/>
        <w:jc w:val="left"/>
      </w:pPr>
      <w:r>
        <w:rPr>
          <w:rFonts w:ascii="Georgia" w:cs="Georgia" w:eastAsia="Georgia" w:hAnsi="Georgia"/>
          <w:color w:val="1A1A1A"/>
          <w:sz w:val="20"/>
          <w:szCs w:val="20"/>
        </w:rPr>
        <w:t xml:space="preserve">mwilliamson. mammoth.js: Convert .docx to HTML/plain text (browser build available). github.com/mwilliamson/mammoth.js.</w:t>
      </w:r>
    </w:p>
    <w:p>
      <w:pPr>
        <w:spacing w:after="100" w:line="276"/>
        <w:ind w:left="480" w:hanging="480"/>
        <w:jc w:val="left"/>
      </w:pPr>
      <w:r>
        <w:rPr>
          <w:rFonts w:ascii="Georgia" w:cs="Georgia" w:eastAsia="Georgia" w:hAnsi="Georgia"/>
          <w:color w:val="1A1A1A"/>
          <w:sz w:val="20"/>
          <w:szCs w:val="20"/>
        </w:rPr>
        <w:t xml:space="preserve">Stuk. JSZip: Create, read, and edit .zip files in JavaScript. github.com/Stuk/jszip.</w:t>
      </w:r>
    </w:p>
    <w:p>
      <w:pPr>
        <w:spacing w:after="100" w:line="276"/>
        <w:ind w:left="480" w:hanging="480"/>
        <w:jc w:val="left"/>
      </w:pPr>
      <w:r>
        <w:rPr>
          <w:rFonts w:ascii="Georgia" w:cs="Georgia" w:eastAsia="Georgia" w:hAnsi="Georgia"/>
          <w:color w:val="1A1A1A"/>
          <w:sz w:val="20"/>
          <w:szCs w:val="20"/>
        </w:rPr>
        <w:t xml:space="preserve">localForage. localForage: Improved offline storage wrapping IndexedDB/WebSQL/localStorage. github.com/localForage/localForage.</w:t>
      </w:r>
    </w:p>
    <w:p>
      <w:pPr>
        <w:spacing w:after="100" w:line="276"/>
        <w:ind w:left="480" w:hanging="480"/>
        <w:jc w:val="left"/>
      </w:pPr>
      <w:r>
        <w:rPr>
          <w:rFonts w:ascii="Georgia" w:cs="Georgia" w:eastAsia="Georgia" w:hAnsi="Georgia"/>
          <w:color w:val="1A1A1A"/>
          <w:sz w:val="20"/>
          <w:szCs w:val="20"/>
        </w:rPr>
        <w:t xml:space="preserve">dexie. Dexie.js: A minimalistic wrapper for IndexedDB. github.com/dexie/Dexie.js.</w:t>
      </w:r>
    </w:p>
    <w:p>
      <w:pPr>
        <w:spacing w:after="100" w:line="276"/>
        <w:ind w:left="480" w:hanging="480"/>
        <w:jc w:val="left"/>
      </w:pPr>
      <w:r>
        <w:rPr>
          <w:rFonts w:ascii="Georgia" w:cs="Georgia" w:eastAsia="Georgia" w:hAnsi="Georgia"/>
          <w:color w:val="1A1A1A"/>
          <w:sz w:val="20"/>
          <w:szCs w:val="20"/>
        </w:rPr>
        <w:t xml:space="preserve">Web.dev / Google. Progressive Web Apps: Installability, offline support, and service workers. web.dev/progressive-web-apps.</w:t>
      </w:r>
    </w:p>
    <w:p>
      <w:pPr>
        <w:keepNext/>
        <w:spacing w:after="120" w:before="220"/>
      </w:pPr>
      <w:r>
        <w:rPr>
          <w:rFonts w:ascii="Arial" w:cs="Arial" w:eastAsia="Arial" w:hAnsi="Arial"/>
          <w:b/>
          <w:bCs/>
          <w:color w:val="8C4A2F"/>
          <w:sz w:val="23"/>
          <w:szCs w:val="23"/>
        </w:rPr>
        <w:t xml:space="preserve">Open-source licensing and distribution</w:t>
      </w:r>
    </w:p>
    <w:p>
      <w:pPr>
        <w:spacing w:after="100" w:line="276"/>
        <w:ind w:left="480" w:hanging="480"/>
        <w:jc w:val="left"/>
      </w:pPr>
      <w:r>
        <w:rPr>
          <w:rFonts w:ascii="Georgia" w:cs="Georgia" w:eastAsia="Georgia" w:hAnsi="Georgia"/>
          <w:color w:val="1A1A1A"/>
          <w:sz w:val="20"/>
          <w:szCs w:val="20"/>
        </w:rPr>
        <w:t xml:space="preserve">Open Source Initiative. The MIT License. opensource.org/license/mit.</w:t>
      </w:r>
    </w:p>
    <w:p>
      <w:pPr>
        <w:spacing w:after="100" w:line="276"/>
        <w:ind w:left="480" w:hanging="480"/>
        <w:jc w:val="left"/>
      </w:pPr>
      <w:r>
        <w:rPr>
          <w:rFonts w:ascii="Georgia" w:cs="Georgia" w:eastAsia="Georgia" w:hAnsi="Georgia"/>
          <w:color w:val="1A1A1A"/>
          <w:sz w:val="20"/>
          <w:szCs w:val="20"/>
        </w:rPr>
        <w:t xml:space="preserve">Free Software Foundation. GNU General Public License, version 3, and GNU Affero General Public License, version 3. gnu.org/licenses.</w:t>
      </w:r>
    </w:p>
    <w:p>
      <w:pPr>
        <w:spacing w:after="100" w:line="276"/>
        <w:ind w:left="480" w:hanging="480"/>
        <w:jc w:val="left"/>
      </w:pPr>
      <w:r>
        <w:rPr>
          <w:rFonts w:ascii="Georgia" w:cs="Georgia" w:eastAsia="Georgia" w:hAnsi="Georgia"/>
          <w:color w:val="1A1A1A"/>
          <w:sz w:val="20"/>
          <w:szCs w:val="20"/>
        </w:rPr>
        <w:t xml:space="preserve">GitHub. GitHub Pages: Hosting static sites directly from a repository. docs.github.com/pages.</w:t>
      </w:r>
    </w:p>
    <w:p>
      <w:r>
        <w:br w:type="page"/>
      </w:r>
    </w:p>
    <w:p>
      <w:pPr>
        <w:spacing w:before="120"/>
      </w:pPr>
      <w:r>
        <w:rPr>
          <w:rFonts w:ascii="Georgia" w:cs="Georgia" w:eastAsia="Georgia" w:hAnsi="Georgia"/>
          <w:b/>
          <w:bCs/>
          <w:color w:val="234A35"/>
          <w:sz w:val="20"/>
          <w:szCs w:val="20"/>
        </w:rPr>
        <w:t xml:space="preserve">Note on verification. </w:t>
      </w:r>
      <w:r>
        <w:rPr>
          <w:rFonts w:ascii="Georgia" w:cs="Georgia" w:eastAsia="Georgia" w:hAnsi="Georgia"/>
          <w:i/>
          <w:iCs/>
          <w:color w:val="5A5A5A"/>
          <w:sz w:val="20"/>
          <w:szCs w:val="20"/>
        </w:rPr>
        <w:t xml:space="preserve">This list contains more than one hundred and twenty distinct sources. A small number of entries — flagged in the text — rest on reporting or community documentation rather than peer-reviewed publication, notably the exact platform-export schema and certain claims about specific commercial apps; these should be re-verified against primary sources before republication, consistent with a verify-don’t-vibe standard. Page numbers and identifiers are given as commonly catalogued; readers citing these works formally should confirm details against the publisher of record.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BC" w:sz="4" w:space="6"/>
      </w:pBdr>
      <w:jc w:val="center"/>
    </w:pPr>
    <w:r>
      <w:rPr>
        <w:rFonts w:ascii="Arial" w:cs="Arial" w:eastAsia="Arial" w:hAnsi="Arial"/>
        <w:color w:val="5A5A5A"/>
        <w:sz w:val="16"/>
        <w:szCs w:val="16"/>
      </w:rPr>
      <w:t xml:space="preserve">Winnow — The Overgrown Feed</w:t>
      <w:t xml:space="preserv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FBBB0"/>
        <w:sz w:val="15"/>
        <w:szCs w:val="15"/>
      </w:rPr>
      <w:t xml:space="preserve">Comprehensive Reference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34A35"/>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Phase %1 —"/>
      <w:lvlJc w:val="left"/>
      <w:pPr>
        <w:ind w:left="560" w:hanging="560"/>
      </w:pPr>
      <w:rPr>
        <w:b/>
        <w:bCs/>
        <w:color w:val="8C4A2F"/>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34A35"/>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8C4A2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Winnow — The Overgrown Feed</dc:title>
  <dc:creator>Max</dc:creator>
  <dc:description>An interdisciplinary research paper on social media, relationship science, and deliberate network curation.</dc:description>
  <cp:lastModifiedBy>Un-named</cp:lastModifiedBy>
  <cp:revision>1</cp:revision>
  <dcterms:created xsi:type="dcterms:W3CDTF">2026-07-10T20:00:38.801Z</dcterms:created>
  <dcterms:modified xsi:type="dcterms:W3CDTF">2026-07-10T20:00:38.814Z</dcterms:modified>
</cp:coreProperties>
</file>

<file path=docProps/custom.xml><?xml version="1.0" encoding="utf-8"?>
<Properties xmlns="http://schemas.openxmlformats.org/officeDocument/2006/custom-properties" xmlns:vt="http://schemas.openxmlformats.org/officeDocument/2006/docPropsVTypes"/>
</file>