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jc w:val="center"/>
      </w:pPr>
      <w:r>
        <w:drawing>
          <wp:inline distT="0" distB="0" distL="0" distR="0">
            <wp:extent cx="2190750" cy="2190750"/>
            <wp:effectExtent t="0" r="0" b="0" l="0"/>
            <wp:docPr id="1" name="logo" descr="DiamondDrive logo" title="DiamondDri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pBdr>
          <w:bottom w:val="single" w:color="1C6FD6" w:sz="12" w:space="8"/>
        </w:pBdr>
        <w:spacing w:after="60" w:before="120"/>
        <w:jc w:val="center"/>
      </w:pPr>
      <w:r>
        <w:rPr>
          <w:rFonts w:ascii="Arial" w:cs="Arial" w:eastAsia="Arial" w:hAnsi="Arial"/>
          <w:b/>
          <w:bCs/>
          <w:color w:val="0B1F3A"/>
          <w:sz w:val="52"/>
          <w:szCs w:val="52"/>
        </w:rPr>
        <w:t xml:space="preserve">DiamondDrive</w:t>
      </w:r>
    </w:p>
    <w:p>
      <w:pPr>
        <w:spacing w:after="80" w:before="220"/>
        <w:jc w:val="center"/>
      </w:pPr>
      <w:r>
        <w:rPr>
          <w:rFonts w:ascii="Arial" w:cs="Arial" w:eastAsia="Arial" w:hAnsi="Arial"/>
          <w:b/>
          <w:bCs/>
          <w:color w:val="20303F"/>
          <w:sz w:val="30"/>
          <w:szCs w:val="30"/>
        </w:rPr>
        <w:t xml:space="preserve">A Trusted-Network Model for Student-Led Peer-to-Peer Ridesharing and Item Delivery:</w:t>
      </w:r>
    </w:p>
    <w:p>
      <w:pPr>
        <w:spacing w:after="240"/>
        <w:jc w:val="center"/>
      </w:pPr>
      <w:r>
        <w:rPr>
          <w:rFonts w:ascii="Arial" w:cs="Arial" w:eastAsia="Arial" w:hAnsi="Arial"/>
          <w:i/>
          <w:iCs/>
          <w:color w:val="3A4A5E"/>
          <w:sz w:val="26"/>
          <w:szCs w:val="26"/>
        </w:rPr>
        <w:t xml:space="preserve">Market, Behavioral, Environmental, Regulatory, and Feasibility Analysis with the University of Arkansas as a Launch Market</w:t>
      </w:r>
    </w:p>
    <w:p>
      <w:pPr>
        <w:spacing w:after="40" w:before="200"/>
        <w:jc w:val="center"/>
      </w:pPr>
      <w:r>
        <w:rPr>
          <w:rFonts w:ascii="Times New Roman" w:cs="Times New Roman" w:eastAsia="Times New Roman" w:hAnsi="Times New Roman"/>
          <w:b/>
          <w:bCs/>
          <w:sz w:val="26"/>
          <w:szCs w:val="26"/>
        </w:rPr>
        <w:t xml:space="preserve">Maximiliano Garcia</w:t>
      </w:r>
    </w:p>
    <w:p>
      <w:pPr>
        <w:spacing w:after="20"/>
        <w:jc w:val="center"/>
      </w:pPr>
      <w:r>
        <w:rPr>
          <w:rFonts w:ascii="Times New Roman" w:cs="Times New Roman" w:eastAsia="Times New Roman" w:hAnsi="Times New Roman"/>
          <w:sz w:val="22"/>
          <w:szCs w:val="22"/>
        </w:rPr>
        <w:t xml:space="preserve">Sam M. Walton College of Business</w:t>
      </w:r>
    </w:p>
    <w:p>
      <w:pPr>
        <w:spacing w:after="240"/>
        <w:jc w:val="center"/>
      </w:pPr>
      <w:r>
        <w:rPr>
          <w:rFonts w:ascii="Times New Roman" w:cs="Times New Roman" w:eastAsia="Times New Roman" w:hAnsi="Times New Roman"/>
          <w:sz w:val="22"/>
          <w:szCs w:val="22"/>
        </w:rPr>
        <w:t xml:space="preserve">University of Arkansas, Fayetteville, AR, USA</w:t>
      </w:r>
    </w:p>
    <w:p>
      <w:pPr>
        <w:spacing w:after="0" w:before="200"/>
        <w:jc w:val="center"/>
      </w:pPr>
      <w:r>
        <w:rPr>
          <w:rFonts w:ascii="Arial" w:cs="Arial" w:eastAsia="Arial" w:hAnsi="Arial"/>
          <w:b/>
          <w:bCs/>
          <w:caps/>
          <w:color w:val="5A6675"/>
          <w:sz w:val="20"/>
          <w:szCs w:val="20"/>
        </w:rPr>
        <w:t xml:space="preserve">Technical Working Paper</w:t>
      </w:r>
    </w:p>
    <w:p>
      <w:pPr>
        <w:spacing w:after="0"/>
        <w:jc w:val="center"/>
      </w:pPr>
      <w:r>
        <w:rPr>
          <w:rFonts w:ascii="Arial" w:cs="Arial" w:eastAsia="Arial" w:hAnsi="Arial"/>
          <w:color w:val="5A6675"/>
          <w:sz w:val="20"/>
          <w:szCs w:val="20"/>
        </w:rPr>
        <w:t xml:space="preserve">June 2026</w:t>
      </w:r>
    </w:p>
    <w:p>
      <w:r>
        <w:br w:type="page"/>
      </w:r>
    </w:p>
    <w:p>
      <w:pPr>
        <w:sectPr>
          <w:pgSz w:w="12240" w:h="15840" w:orient="portrait"/>
          <w:pgMar w:top="1440" w:right="1440" w:bottom="1440" w:left="1440" w:header="708" w:footer="708" w:gutter="0"/>
          <w:pgNumType/>
          <w:docGrid w:linePitch="360"/>
        </w:sectPr>
      </w:pPr>
    </w:p>
    <w:p>
      <w:pPr>
        <w:spacing w:after="120" w:before="120"/>
        <w:jc w:val="center"/>
      </w:pPr>
      <w:r>
        <w:rPr>
          <w:rFonts w:ascii="Arial" w:cs="Arial" w:eastAsia="Arial" w:hAnsi="Arial"/>
          <w:b/>
          <w:bCs/>
          <w:color w:val="0B1F3A"/>
          <w:sz w:val="26"/>
          <w:szCs w:val="26"/>
        </w:rPr>
        <w:t xml:space="preserve">Abstract</w:t>
      </w:r>
    </w:p>
    <w:p>
      <w:pPr>
        <w:spacing w:after="160" w:line="264"/>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Persistent parking scarcity, daytime-limited transit, and the high price of commercial ride-hailing leave a recurring mobility gap on large university campuses. This paper assesses the feasibility of </w:t>
      </w:r>
      <w:r>
        <w:rPr>
          <w:rFonts w:ascii="Times New Roman" w:cs="Times New Roman" w:eastAsia="Times New Roman" w:hAnsi="Times New Roman"/>
          <w:i/>
          <w:iCs/>
          <w:sz w:val="22"/>
          <w:szCs w:val="22"/>
        </w:rPr>
        <w:t xml:space="preserve">DiamondDrive</w:t>
      </w:r>
      <w:r>
        <w:rPr>
          <w:rFonts w:ascii="Times New Roman" w:cs="Times New Roman" w:eastAsia="Times New Roman" w:hAnsi="Times New Roman"/>
          <w:sz w:val="22"/>
          <w:szCs w:val="22"/>
        </w:rPr>
        <w:t xml:space="preserve">, a student-led, university-email-verified peer-to-peer (P2P) platform that combines cost-shared ridesharing with item delivery, using the University of Arkansas (34,175 students in Fall 2025) as a concrete launch market. Synthesizing more than one hundred scholarly, governmental, and industry sources, we evaluate the proposal across seven analytic lenses: the historical record of campus ridesharing (the Zimride-to-Lyft lineage), two-sided market and network-effects theory, rideshare and last-mile delivery market structure, transportation demand management and campus parking economics, environmental impact, trust and reputation systems, safety engineering, and the regulatory and insurance environment established by the Arkansas Transportation Network Company Services Act. We find the concept is well-supported in principle: a closed, identity-verified network directly addresses the trust deficit that historically suppressed carpooling, and local structural conditions—documented parking shortages persisting through a 2029 garage completion, a Northwest Arkansas commuter corridor, a fare-free but daytime-only transit system, and an oversubscribed late-night Safe Ride service—signal unmet demand. Viability nonetheless hinges on two hard problems. First, the marketplace </w:t>
      </w:r>
      <w:r>
        <w:rPr>
          <w:rFonts w:ascii="Times New Roman" w:cs="Times New Roman" w:eastAsia="Times New Roman" w:hAnsi="Times New Roman"/>
          <w:sz w:val="22"/>
          <w:szCs w:val="22"/>
        </w:rPr>
        <w:t xml:space="preserve">cold-start</w:t>
      </w:r>
      <w:r>
        <w:rPr>
          <w:rFonts w:ascii="Times New Roman" w:cs="Times New Roman" w:eastAsia="Times New Roman" w:hAnsi="Times New Roman"/>
          <w:sz w:val="22"/>
          <w:szCs w:val="22"/>
        </w:rPr>
        <w:t xml:space="preserve"> (chicken-and-egg) problem requires deliberate single-side seeding and niche geographic concentration. Second, and more consequentially, the personal-automobile insurance </w:t>
      </w:r>
      <w:r>
        <w:rPr>
          <w:rFonts w:ascii="Times New Roman" w:cs="Times New Roman" w:eastAsia="Times New Roman" w:hAnsi="Times New Roman"/>
          <w:sz w:val="22"/>
          <w:szCs w:val="22"/>
        </w:rPr>
        <w:t xml:space="preserve">coverage gap</w:t>
      </w:r>
      <w:r>
        <w:rPr>
          <w:rFonts w:ascii="Times New Roman" w:cs="Times New Roman" w:eastAsia="Times New Roman" w:hAnsi="Times New Roman"/>
          <w:sz w:val="22"/>
          <w:szCs w:val="22"/>
        </w:rPr>
        <w:t xml:space="preserve"> created by Arkansas Code §23-13-709 means a platform priced for driver profit would be classified as a Transportation Network Company, triggering a one-million-dollar coverage mandate likely fatal to a student venture; a genuine cost-sharing carpool, by contrast, plausibly qualifies for statutory exemption. We argue that the defensible path is a true cost-sharing model launched into a narrow commuter niche, anchored by university-email verification, an incremental safety stack, and homegrown sponsor partnerships, with a binding legal opinion obtained before operation. The analysis contributes a replicable feasibility framework for campus-scale shared-mobility ventures and an explicit account of the conditions under which such ventures succeed or fail.</w:t>
      </w:r>
    </w:p>
    <w:p>
      <w:pPr>
        <w:spacing w:after="240" w:line="264"/>
        <w:ind w:left="360" w:right="360"/>
        <w:jc w:val="both"/>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i/>
          <w:iCs/>
          <w:sz w:val="22"/>
          <w:szCs w:val="22"/>
        </w:rPr>
        <w:t xml:space="preserve">Carpooling, collaborative consumption, cold-start problem, gig economy, last-mile delivery, network effects, peer-to-peer platforms, reputation systems, ridesharing, transportation demand management, transportation network company, two-sided markets, university transportation.</w:t>
      </w:r>
    </w:p>
    <w:p>
      <w:r>
        <w:br w:type="page"/>
      </w:r>
    </w:p>
    <w:p>
      <w:pPr>
        <w:spacing w:after="120" w:before="80"/>
      </w:pPr>
      <w:r>
        <w:rPr>
          <w:rFonts w:ascii="Arial" w:cs="Arial" w:eastAsia="Arial" w:hAnsi="Arial"/>
          <w:b/>
          <w:bCs/>
          <w:color w:val="0B1F3A"/>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aps/>
          <w:color w:val="0B1F3A"/>
          <w:sz w:val="26"/>
          <w:szCs w:val="26"/>
        </w:rPr>
        <w:t xml:space="preserve">I.  Introduction</w:t>
      </w:r>
    </w:p>
    <w:p>
      <w:pPr>
        <w:spacing w:after="120" w:line="276"/>
        <w:jc w:val="both"/>
      </w:pPr>
      <w:r>
        <w:rPr>
          <w:rFonts w:ascii="Times New Roman" w:cs="Times New Roman" w:eastAsia="Times New Roman" w:hAnsi="Times New Roman"/>
          <w:sz w:val="22"/>
          <w:szCs w:val="22"/>
        </w:rPr>
        <w:t xml:space="preserve">The movement of students into, out of, and around a large university campus is a deceptively hard logistics problem. At the University of Arkansas, enrollment reached </w:t>
      </w:r>
      <w:r>
        <w:rPr>
          <w:rFonts w:ascii="Times New Roman" w:cs="Times New Roman" w:eastAsia="Times New Roman" w:hAnsi="Times New Roman"/>
          <w:b/>
          <w:bCs/>
          <w:sz w:val="22"/>
          <w:szCs w:val="22"/>
        </w:rPr>
        <w:t xml:space="preserve">34,175 students in Fall 2025</w:t>
      </w:r>
      <w:r>
        <w:rPr>
          <w:rFonts w:ascii="Times New Roman" w:cs="Times New Roman" w:eastAsia="Times New Roman" w:hAnsi="Times New Roman"/>
          <w:sz w:val="22"/>
          <w:szCs w:val="22"/>
        </w:rPr>
        <w:t xml:space="preserve">—a fifth consecutive record and a twenty-four percent increase over 2020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Growth of this magnitude strains every fixed transportation asset simultaneously: parking inventory, transit headways, and the residential capacity that determines how far students must travel to reach campus at all. The university's own facilities plan does not anticipate relief from a major new parking structure until 2029 </w:t>
      </w:r>
      <w:r>
        <w:rPr>
          <w:rFonts w:ascii="Times New Roman" w:cs="Times New Roman" w:eastAsia="Times New Roman" w:hAnsi="Times New Roman"/>
          <w:sz w:val="22"/>
          <w:szCs w:val="22"/>
        </w:rPr>
        <w:t xml:space="preserve">[121]</w:t>
      </w:r>
      <w:r>
        <w:rPr>
          <w:rFonts w:ascii="Times New Roman" w:cs="Times New Roman" w:eastAsia="Times New Roman" w:hAnsi="Times New Roman"/>
          <w:sz w:val="22"/>
          <w:szCs w:val="22"/>
        </w:rPr>
        <w:t xml:space="preserve">, and its fare-free transit system operates principally during daytime hours, leaving a recurring evening and off-route gap </w:t>
      </w: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 Into that gap students currently substitute a patchwork of solo driving, informal favors, and commercial ride-hailing whose per-trip cost is poorly matched to a student budget.</w:t>
      </w:r>
    </w:p>
    <w:p>
      <w:pPr>
        <w:spacing w:after="120" w:line="276"/>
        <w:jc w:val="both"/>
      </w:pPr>
      <w:r>
        <w:rPr>
          <w:rFonts w:ascii="Times New Roman" w:cs="Times New Roman" w:eastAsia="Times New Roman" w:hAnsi="Times New Roman"/>
          <w:sz w:val="22"/>
          <w:szCs w:val="22"/>
        </w:rPr>
        <w:t xml:space="preserve">This paper asks whether a </w:t>
      </w:r>
      <w:r>
        <w:rPr>
          <w:rFonts w:ascii="Times New Roman" w:cs="Times New Roman" w:eastAsia="Times New Roman" w:hAnsi="Times New Roman"/>
          <w:b/>
          <w:bCs/>
          <w:sz w:val="22"/>
          <w:szCs w:val="22"/>
        </w:rPr>
        <w:t xml:space="preserve">student-led, university-email-verified peer-to-peer (P2P) platform</w:t>
      </w:r>
      <w:r>
        <w:rPr>
          <w:rFonts w:ascii="Times New Roman" w:cs="Times New Roman" w:eastAsia="Times New Roman" w:hAnsi="Times New Roman"/>
          <w:sz w:val="22"/>
          <w:szCs w:val="22"/>
        </w:rPr>
        <w:t xml:space="preserve">—provisionally named </w:t>
      </w:r>
      <w:r>
        <w:rPr>
          <w:rFonts w:ascii="Times New Roman" w:cs="Times New Roman" w:eastAsia="Times New Roman" w:hAnsi="Times New Roman"/>
          <w:i/>
          <w:iCs/>
          <w:sz w:val="22"/>
          <w:szCs w:val="22"/>
        </w:rPr>
        <w:t xml:space="preserve">DiamondDrive</w:t>
      </w:r>
      <w:r>
        <w:rPr>
          <w:rFonts w:ascii="Times New Roman" w:cs="Times New Roman" w:eastAsia="Times New Roman" w:hAnsi="Times New Roman"/>
          <w:sz w:val="22"/>
          <w:szCs w:val="22"/>
        </w:rPr>
        <w:t xml:space="preserve">—that combines cost-shared ridesharing with item delivery is a feasible response to that gap. The question is neither rhetorical nor novel in the abstract: the modern American ride-hailing industry was itself born on a university campus, when Zimride signed roughly twenty percent of Cornell's student body within six months of launch in 2007 </w:t>
      </w:r>
      <w:r>
        <w:rPr>
          <w:rFonts w:ascii="Times New Roman" w:cs="Times New Roman" w:eastAsia="Times New Roman" w:hAnsi="Times New Roman"/>
          <w:sz w:val="22"/>
          <w:szCs w:val="22"/>
        </w:rPr>
        <w:t xml:space="preserve">[19], [20]</w:t>
      </w:r>
      <w:r>
        <w:rPr>
          <w:rFonts w:ascii="Times New Roman" w:cs="Times New Roman" w:eastAsia="Times New Roman" w:hAnsi="Times New Roman"/>
          <w:sz w:val="22"/>
          <w:szCs w:val="22"/>
        </w:rPr>
        <w:t xml:space="preserve">. What is novel is the specific synthesis proposed here—a closed trusted network, a cost-sharing rather than for-hire pricing posture, an integrated delivery channel, and explicit professional-networking features—and the attempt to evaluate it rigorously against a single, well-characterized launch market rather than in general.</w:t>
      </w:r>
    </w:p>
    <w:p>
      <w:pPr>
        <w:pStyle w:val="Heading2"/>
        <w:spacing w:after="120" w:before="220"/>
      </w:pPr>
      <w:r>
        <w:rPr>
          <w:rFonts w:ascii="Arial" w:cs="Arial" w:eastAsia="Arial" w:hAnsi="Arial"/>
          <w:b/>
          <w:bCs/>
          <w:color w:val="1C6FD6"/>
          <w:sz w:val="23"/>
          <w:szCs w:val="23"/>
        </w:rPr>
        <w:t xml:space="preserve">A.  Research Questions</w:t>
      </w:r>
    </w:p>
    <w:p>
      <w:pPr>
        <w:spacing w:after="120" w:line="276"/>
        <w:jc w:val="both"/>
      </w:pPr>
      <w:r>
        <w:rPr>
          <w:rFonts w:ascii="Times New Roman" w:cs="Times New Roman" w:eastAsia="Times New Roman" w:hAnsi="Times New Roman"/>
          <w:sz w:val="22"/>
          <w:szCs w:val="22"/>
        </w:rPr>
        <w:t xml:space="preserve">This study is organized around five questions:</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What does the historical and contemporary record of campus ridesharing reveal about the conditions under which such platforms succeed or fail?</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What do two-sided market theory and the network-effects literature imply about the central adoption barrier—the cold-start problem—and how can it be overcome at campus scale?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How large and how contestable are the rideshare and last-mile delivery markets, and is the student segment attractive relative to the national baseline?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RQ4. </w:t>
      </w:r>
      <w:r>
        <w:rPr>
          <w:rFonts w:ascii="Times New Roman" w:cs="Times New Roman" w:eastAsia="Times New Roman" w:hAnsi="Times New Roman"/>
          <w:sz w:val="22"/>
          <w:szCs w:val="22"/>
        </w:rPr>
        <w:t xml:space="preserve">Do the environmental, trust, safety, and social-capital arguments for the platform survive scrutiny against the peer-reviewed evidence?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RQ5. </w:t>
      </w:r>
      <w:r>
        <w:rPr>
          <w:rFonts w:ascii="Times New Roman" w:cs="Times New Roman" w:eastAsia="Times New Roman" w:hAnsi="Times New Roman"/>
          <w:sz w:val="22"/>
          <w:szCs w:val="22"/>
        </w:rPr>
        <w:t xml:space="preserve">What regulatory and insurance constraints govern the venture in Arkansas, and which operating model is legally and financially survivable?</w:t>
      </w:r>
    </w:p>
    <w:p>
      <w:pPr>
        <w:pStyle w:val="Heading2"/>
        <w:spacing w:after="120" w:before="220"/>
      </w:pPr>
      <w:r>
        <w:rPr>
          <w:rFonts w:ascii="Arial" w:cs="Arial" w:eastAsia="Arial" w:hAnsi="Arial"/>
          <w:b/>
          <w:bCs/>
          <w:color w:val="1C6FD6"/>
          <w:sz w:val="23"/>
          <w:szCs w:val="23"/>
        </w:rPr>
        <w:t xml:space="preserve">B.  Contributions</w:t>
      </w:r>
    </w:p>
    <w:p>
      <w:pPr>
        <w:spacing w:after="120" w:line="276"/>
        <w:jc w:val="both"/>
      </w:pPr>
      <w:r>
        <w:rPr>
          <w:rFonts w:ascii="Times New Roman" w:cs="Times New Roman" w:eastAsia="Times New Roman" w:hAnsi="Times New Roman"/>
          <w:sz w:val="22"/>
          <w:szCs w:val="22"/>
        </w:rPr>
        <w:t xml:space="preserve">The paper makes three contributions. First, it assembles a </w:t>
      </w:r>
      <w:r>
        <w:rPr>
          <w:rFonts w:ascii="Times New Roman" w:cs="Times New Roman" w:eastAsia="Times New Roman" w:hAnsi="Times New Roman"/>
          <w:b/>
          <w:bCs/>
          <w:sz w:val="22"/>
          <w:szCs w:val="22"/>
        </w:rPr>
        <w:t xml:space="preserve">cross-disciplinary evidence base</w:t>
      </w:r>
      <w:r>
        <w:rPr>
          <w:rFonts w:ascii="Times New Roman" w:cs="Times New Roman" w:eastAsia="Times New Roman" w:hAnsi="Times New Roman"/>
          <w:sz w:val="22"/>
          <w:szCs w:val="22"/>
        </w:rPr>
        <w:t xml:space="preserve"> spanning economics, transportation planning, environmental science, information systems, law, and marketing, and reconciles the points at which these literatures disagree—most importantly, the divergence between the environmental case for </w:t>
      </w:r>
      <w:r>
        <w:rPr>
          <w:rFonts w:ascii="Times New Roman" w:cs="Times New Roman" w:eastAsia="Times New Roman" w:hAnsi="Times New Roman"/>
          <w:i/>
          <w:iCs/>
          <w:sz w:val="22"/>
          <w:szCs w:val="22"/>
        </w:rPr>
        <w:t xml:space="preserve">pooled</w:t>
      </w:r>
      <w:r>
        <w:rPr>
          <w:rFonts w:ascii="Times New Roman" w:cs="Times New Roman" w:eastAsia="Times New Roman" w:hAnsi="Times New Roman"/>
          <w:sz w:val="22"/>
          <w:szCs w:val="22"/>
        </w:rPr>
        <w:t xml:space="preserve"> travel and the contrary evidence on solo ride-hailing. Second, it offers a </w:t>
      </w:r>
      <w:r>
        <w:rPr>
          <w:rFonts w:ascii="Times New Roman" w:cs="Times New Roman" w:eastAsia="Times New Roman" w:hAnsi="Times New Roman"/>
          <w:b/>
          <w:bCs/>
          <w:sz w:val="22"/>
          <w:szCs w:val="22"/>
        </w:rPr>
        <w:t xml:space="preserve">replicable feasibility framework</w:t>
      </w:r>
      <w:r>
        <w:rPr>
          <w:rFonts w:ascii="Times New Roman" w:cs="Times New Roman" w:eastAsia="Times New Roman" w:hAnsi="Times New Roman"/>
          <w:sz w:val="22"/>
          <w:szCs w:val="22"/>
        </w:rPr>
        <w:t xml:space="preserve"> that ties each abstract success factor to a concrete, locally verifiable condition at one institution. Third, it produces an </w:t>
      </w:r>
      <w:r>
        <w:rPr>
          <w:rFonts w:ascii="Times New Roman" w:cs="Times New Roman" w:eastAsia="Times New Roman" w:hAnsi="Times New Roman"/>
          <w:b/>
          <w:bCs/>
          <w:sz w:val="22"/>
          <w:szCs w:val="22"/>
        </w:rPr>
        <w:t xml:space="preserve">explicit and falsifiable account of failure modes</w:t>
      </w:r>
      <w:r>
        <w:rPr>
          <w:rFonts w:ascii="Times New Roman" w:cs="Times New Roman" w:eastAsia="Times New Roman" w:hAnsi="Times New Roman"/>
          <w:sz w:val="22"/>
          <w:szCs w:val="22"/>
        </w:rPr>
        <w:t xml:space="preserve">, identifying the insurance coverage gap as the decisive constraint and specifying the threshold at which the venture's legal classification—and therefore its viability—changes.</w:t>
      </w:r>
    </w:p>
    <w:p>
      <w:pPr>
        <w:spacing w:after="120" w:line="276"/>
        <w:jc w:val="both"/>
      </w:pPr>
      <w:r>
        <w:rPr>
          <w:rFonts w:ascii="Times New Roman" w:cs="Times New Roman" w:eastAsia="Times New Roman" w:hAnsi="Times New Roman"/>
          <w:sz w:val="22"/>
          <w:szCs w:val="22"/>
        </w:rPr>
        <w:t xml:space="preserve">The remainder of the paper proceeds as follows. Section II describes the methodology and scope. Section III reviews the historical and contemporary record of campus ridesharing. Section IV develops the two-sided market and collaborative-consumption theory that frames the design. Section V analyzes the cold-start problem and seeding strategy. Section VI sizes the rideshare and delivery markets. Section VII examines transportation demand management and campus parking economics. Section VIII assesses environmental impact. Section IX addresses trust and reputation; Section X, safety; and Section XI, the regulatory and insurance environment. Section XII treats gamification and retention, and Section XIII, social capital and professional networking. Section XIV assembles the University of Arkansas case context. Section XV synthesizes the findings into a feasibility verdict; Section XVI states limitations and future work; and Section XVII concludes.</w:t>
      </w:r>
    </w:p>
    <w:p>
      <w:pPr>
        <w:pStyle w:val="Heading1"/>
        <w:spacing w:after="160" w:before="320"/>
      </w:pPr>
      <w:r>
        <w:rPr>
          <w:rFonts w:ascii="Arial" w:cs="Arial" w:eastAsia="Arial" w:hAnsi="Arial"/>
          <w:b/>
          <w:bCs/>
          <w:caps/>
          <w:color w:val="0B1F3A"/>
          <w:sz w:val="26"/>
          <w:szCs w:val="26"/>
        </w:rPr>
        <w:t xml:space="preserve">II.  Methodology and Scope</w:t>
      </w:r>
    </w:p>
    <w:p>
      <w:pPr>
        <w:spacing w:after="120" w:line="276"/>
        <w:jc w:val="both"/>
      </w:pPr>
      <w:r>
        <w:rPr>
          <w:rFonts w:ascii="Times New Roman" w:cs="Times New Roman" w:eastAsia="Times New Roman" w:hAnsi="Times New Roman"/>
          <w:sz w:val="22"/>
          <w:szCs w:val="22"/>
        </w:rPr>
        <w:t xml:space="preserve">This paper is a structured feasibility synthesis rather than an empirical study, and it is useful to state at the outset what that entails, what evidence it draws on, and what it deliberately excludes. The method is the systematic assembly and reconciliation of a multidisciplinary evidence base, organized around the five research questions of Section I and evaluated against a single, concretely specified launch market. It belongs to the genre of pre-venture feasibility analysis: its purpose is to determine whether and under what conditions a proposed venture is worth pursuing, not to report the results of having pursued it.</w:t>
      </w:r>
    </w:p>
    <w:p>
      <w:pPr>
        <w:pStyle w:val="Heading2"/>
        <w:spacing w:after="120" w:before="220"/>
      </w:pPr>
      <w:r>
        <w:rPr>
          <w:rFonts w:ascii="Arial" w:cs="Arial" w:eastAsia="Arial" w:hAnsi="Arial"/>
          <w:b/>
          <w:bCs/>
          <w:color w:val="1C6FD6"/>
          <w:sz w:val="23"/>
          <w:szCs w:val="23"/>
        </w:rPr>
        <w:t xml:space="preserve">A.  Evidence Base and Source Tiers</w:t>
      </w:r>
    </w:p>
    <w:p>
      <w:pPr>
        <w:spacing w:after="120" w:line="276"/>
        <w:jc w:val="both"/>
      </w:pPr>
      <w:r>
        <w:rPr>
          <w:rFonts w:ascii="Times New Roman" w:cs="Times New Roman" w:eastAsia="Times New Roman" w:hAnsi="Times New Roman"/>
          <w:sz w:val="22"/>
          <w:szCs w:val="22"/>
        </w:rPr>
        <w:t xml:space="preserve">The analysis rests on more than one hundred thirty distinct sources, deliberately drawn from three tiers that are weighted differently in the reasoning. The first and most heavily weighted tier is </w:t>
      </w:r>
      <w:r>
        <w:rPr>
          <w:rFonts w:ascii="Times New Roman" w:cs="Times New Roman" w:eastAsia="Times New Roman" w:hAnsi="Times New Roman"/>
          <w:b/>
          <w:bCs/>
          <w:sz w:val="22"/>
          <w:szCs w:val="22"/>
        </w:rPr>
        <w:t xml:space="preserve">peer-reviewed scholarship</w:t>
      </w:r>
      <w:r>
        <w:rPr>
          <w:rFonts w:ascii="Times New Roman" w:cs="Times New Roman" w:eastAsia="Times New Roman" w:hAnsi="Times New Roman"/>
          <w:sz w:val="22"/>
          <w:szCs w:val="22"/>
        </w:rPr>
        <w:t xml:space="preserve">—journal articles and scholarly monographs in economics, transportation planning, environmental science, information systems, sociology, and law—which supplies the theoretical framework and any load-bearing causal or behavioral claim. The second tier is </w:t>
      </w:r>
      <w:r>
        <w:rPr>
          <w:rFonts w:ascii="Times New Roman" w:cs="Times New Roman" w:eastAsia="Times New Roman" w:hAnsi="Times New Roman"/>
          <w:b/>
          <w:bCs/>
          <w:sz w:val="22"/>
          <w:szCs w:val="22"/>
        </w:rPr>
        <w:t xml:space="preserve">governmental and institutional documentation</w:t>
      </w:r>
      <w:r>
        <w:rPr>
          <w:rFonts w:ascii="Times New Roman" w:cs="Times New Roman" w:eastAsia="Times New Roman" w:hAnsi="Times New Roman"/>
          <w:sz w:val="22"/>
          <w:szCs w:val="22"/>
        </w:rPr>
        <w:t xml:space="preserve">—statutes, agency reports, regulatory surveys, and the University of Arkansas's own published figures—which supplies the legal analysis and the local market facts. The third tier is </w:t>
      </w:r>
      <w:r>
        <w:rPr>
          <w:rFonts w:ascii="Times New Roman" w:cs="Times New Roman" w:eastAsia="Times New Roman" w:hAnsi="Times New Roman"/>
          <w:b/>
          <w:bCs/>
          <w:sz w:val="22"/>
          <w:szCs w:val="22"/>
        </w:rPr>
        <w:t xml:space="preserve">industry and journalistic sources</w:t>
      </w:r>
      <w:r>
        <w:rPr>
          <w:rFonts w:ascii="Times New Roman" w:cs="Times New Roman" w:eastAsia="Times New Roman" w:hAnsi="Times New Roman"/>
          <w:sz w:val="22"/>
          <w:szCs w:val="22"/>
        </w:rPr>
        <w:t xml:space="preserve">—market-research reports, company filings, and news coverage—which supplies market-sizing and competitive context and is treated as indicative of magnitude and direction rather than as precise or authoritative. Where the tiers conflict, the higher tier governs; where only the third tier is available, the text says so explicitly.</w:t>
      </w:r>
    </w:p>
    <w:p>
      <w:pPr>
        <w:pStyle w:val="Heading2"/>
        <w:spacing w:after="120" w:before="220"/>
      </w:pPr>
      <w:r>
        <w:rPr>
          <w:rFonts w:ascii="Arial" w:cs="Arial" w:eastAsia="Arial" w:hAnsi="Arial"/>
          <w:b/>
          <w:bCs/>
          <w:color w:val="1C6FD6"/>
          <w:sz w:val="23"/>
          <w:szCs w:val="23"/>
        </w:rPr>
        <w:t xml:space="preserve">B.  Three Epistemic Categories</w:t>
      </w:r>
    </w:p>
    <w:p>
      <w:pPr>
        <w:spacing w:after="120" w:line="276"/>
        <w:jc w:val="both"/>
      </w:pPr>
      <w:r>
        <w:rPr>
          <w:rFonts w:ascii="Times New Roman" w:cs="Times New Roman" w:eastAsia="Times New Roman" w:hAnsi="Times New Roman"/>
          <w:sz w:val="22"/>
          <w:szCs w:val="22"/>
        </w:rPr>
        <w:t xml:space="preserve">Throughout, the paper maintains a discipline that feasibility analyses often neglect: it separates </w:t>
      </w:r>
      <w:r>
        <w:rPr>
          <w:rFonts w:ascii="Times New Roman" w:cs="Times New Roman" w:eastAsia="Times New Roman" w:hAnsi="Times New Roman"/>
          <w:b/>
          <w:bCs/>
          <w:sz w:val="22"/>
          <w:szCs w:val="22"/>
        </w:rPr>
        <w:t xml:space="preserve">established fact</w:t>
      </w:r>
      <w:r>
        <w:rPr>
          <w:rFonts w:ascii="Times New Roman" w:cs="Times New Roman" w:eastAsia="Times New Roman" w:hAnsi="Times New Roman"/>
          <w:sz w:val="22"/>
          <w:szCs w:val="22"/>
        </w:rPr>
        <w:t xml:space="preserve"> from </w:t>
      </w:r>
      <w:r>
        <w:rPr>
          <w:rFonts w:ascii="Times New Roman" w:cs="Times New Roman" w:eastAsia="Times New Roman" w:hAnsi="Times New Roman"/>
          <w:b/>
          <w:bCs/>
          <w:sz w:val="22"/>
          <w:szCs w:val="22"/>
        </w:rPr>
        <w:t xml:space="preserve">reasoned inference</w:t>
      </w:r>
      <w:r>
        <w:rPr>
          <w:rFonts w:ascii="Times New Roman" w:cs="Times New Roman" w:eastAsia="Times New Roman" w:hAnsi="Times New Roman"/>
          <w:sz w:val="22"/>
          <w:szCs w:val="22"/>
        </w:rPr>
        <w:t xml:space="preserve"> from </w:t>
      </w:r>
      <w:r>
        <w:rPr>
          <w:rFonts w:ascii="Times New Roman" w:cs="Times New Roman" w:eastAsia="Times New Roman" w:hAnsi="Times New Roman"/>
          <w:b/>
          <w:bCs/>
          <w:sz w:val="22"/>
          <w:szCs w:val="22"/>
        </w:rPr>
        <w:t xml:space="preserve">flagged uncertainty</w:t>
      </w:r>
      <w:r>
        <w:rPr>
          <w:rFonts w:ascii="Times New Roman" w:cs="Times New Roman" w:eastAsia="Times New Roman" w:hAnsi="Times New Roman"/>
          <w:sz w:val="22"/>
          <w:szCs w:val="22"/>
        </w:rPr>
        <w:t xml:space="preserve">. Established facts—enrollment figures, statutory provisions, published market shares—are stated plainly with citation. Inferences—that a documented service gap implies latent demand, that a pricing posture implies a legal classification—are presented as reasoning the reader can inspect and contest, not as findings. Genuine uncertainties—the willingness-to-pay of the specific student population, the exact count of forthcoming parking spaces, the definitive legal exemption status—are flagged as such and routed to the future-work program of Section XVI. Collapsing these categories is the most common way an optimistic feasibility study misleads its audience, and the paper's value depends on keeping them distinct.</w:t>
      </w:r>
    </w:p>
    <w:p>
      <w:pPr>
        <w:pStyle w:val="Heading2"/>
        <w:spacing w:after="120" w:before="220"/>
      </w:pPr>
      <w:r>
        <w:rPr>
          <w:rFonts w:ascii="Arial" w:cs="Arial" w:eastAsia="Arial" w:hAnsi="Arial"/>
          <w:b/>
          <w:bCs/>
          <w:color w:val="1C6FD6"/>
          <w:sz w:val="23"/>
          <w:szCs w:val="23"/>
        </w:rPr>
        <w:t xml:space="preserve">C.  Scope and Boundaries</w:t>
      </w:r>
    </w:p>
    <w:p>
      <w:pPr>
        <w:spacing w:after="120" w:line="276"/>
        <w:jc w:val="both"/>
      </w:pPr>
      <w:r>
        <w:rPr>
          <w:rFonts w:ascii="Times New Roman" w:cs="Times New Roman" w:eastAsia="Times New Roman" w:hAnsi="Times New Roman"/>
          <w:sz w:val="22"/>
          <w:szCs w:val="22"/>
        </w:rPr>
        <w:t xml:space="preserve">Three boundaries delimit the study. First, it is </w:t>
      </w:r>
      <w:r>
        <w:rPr>
          <w:rFonts w:ascii="Times New Roman" w:cs="Times New Roman" w:eastAsia="Times New Roman" w:hAnsi="Times New Roman"/>
          <w:i/>
          <w:iCs/>
          <w:sz w:val="22"/>
          <w:szCs w:val="22"/>
        </w:rPr>
        <w:t xml:space="preserve">market-specific</w:t>
      </w:r>
      <w:r>
        <w:rPr>
          <w:rFonts w:ascii="Times New Roman" w:cs="Times New Roman" w:eastAsia="Times New Roman" w:hAnsi="Times New Roman"/>
          <w:sz w:val="22"/>
          <w:szCs w:val="22"/>
        </w:rPr>
        <w:t xml:space="preserve">: all feasibility claims are evaluated against the University of Arkansas and Northwest Arkansas, and while the framework is intended to be transferable, the conclusions are not automatically portable to other campuses with different parking, transit, and regulatory conditions. Second, it is </w:t>
      </w:r>
      <w:r>
        <w:rPr>
          <w:rFonts w:ascii="Times New Roman" w:cs="Times New Roman" w:eastAsia="Times New Roman" w:hAnsi="Times New Roman"/>
          <w:i/>
          <w:iCs/>
          <w:sz w:val="22"/>
          <w:szCs w:val="22"/>
        </w:rPr>
        <w:t xml:space="preserve">pre-empirical</w:t>
      </w:r>
      <w:r>
        <w:rPr>
          <w:rFonts w:ascii="Times New Roman" w:cs="Times New Roman" w:eastAsia="Times New Roman" w:hAnsi="Times New Roman"/>
          <w:sz w:val="22"/>
          <w:szCs w:val="22"/>
        </w:rPr>
        <w:t xml:space="preserve">: it does not include primary survey data, a pilot deployment, or a financial pro forma, each of which is identified as future work. Third, it is </w:t>
      </w:r>
      <w:r>
        <w:rPr>
          <w:rFonts w:ascii="Times New Roman" w:cs="Times New Roman" w:eastAsia="Times New Roman" w:hAnsi="Times New Roman"/>
          <w:i/>
          <w:iCs/>
          <w:sz w:val="22"/>
          <w:szCs w:val="22"/>
        </w:rPr>
        <w:t xml:space="preserve">advisory rather than dispositive</w:t>
      </w:r>
      <w:r>
        <w:rPr>
          <w:rFonts w:ascii="Times New Roman" w:cs="Times New Roman" w:eastAsia="Times New Roman" w:hAnsi="Times New Roman"/>
          <w:sz w:val="22"/>
          <w:szCs w:val="22"/>
        </w:rPr>
        <w:t xml:space="preserve"> on legal questions: the regulatory analysis is specific to Arkansas statute as the author reads it, but it is expressly not a substitute for the binding legal opinion the venture must obtain before operating. Within these boundaries, the paper aims to be comprehensive; outside them, it makes no claim.</w:t>
      </w:r>
    </w:p>
    <w:p>
      <w:pPr>
        <w:pStyle w:val="Heading1"/>
        <w:spacing w:after="160" w:before="320"/>
      </w:pPr>
      <w:r>
        <w:rPr>
          <w:rFonts w:ascii="Arial" w:cs="Arial" w:eastAsia="Arial" w:hAnsi="Arial"/>
          <w:b/>
          <w:bCs/>
          <w:caps/>
          <w:color w:val="0B1F3A"/>
          <w:sz w:val="26"/>
          <w:szCs w:val="26"/>
        </w:rPr>
        <w:t xml:space="preserve">III.  Background and Related Work</w:t>
      </w:r>
    </w:p>
    <w:p>
      <w:pPr>
        <w:pStyle w:val="Heading2"/>
        <w:spacing w:after="120" w:before="220"/>
      </w:pPr>
      <w:r>
        <w:rPr>
          <w:rFonts w:ascii="Arial" w:cs="Arial" w:eastAsia="Arial" w:hAnsi="Arial"/>
          <w:b/>
          <w:bCs/>
          <w:color w:val="1C6FD6"/>
          <w:sz w:val="23"/>
          <w:szCs w:val="23"/>
        </w:rPr>
        <w:t xml:space="preserve">A.  The Historical Failure of Carpooling and the Trust Hypothesis</w:t>
      </w:r>
    </w:p>
    <w:p>
      <w:pPr>
        <w:spacing w:after="120" w:line="276"/>
        <w:jc w:val="both"/>
      </w:pPr>
      <w:r>
        <w:rPr>
          <w:rFonts w:ascii="Times New Roman" w:cs="Times New Roman" w:eastAsia="Times New Roman" w:hAnsi="Times New Roman"/>
          <w:sz w:val="22"/>
          <w:szCs w:val="22"/>
        </w:rPr>
        <w:t xml:space="preserve">Carpooling is not a new idea, and its history is mostly one of decline. Organized ridesharing peaked in the United States during the energy crises of the 1970s—when a Federal Highway Administration analysis credited carpooling with a twenty-three percent reduction in vehicle miles traveled during the period of constrained fuel supply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—and then eroded steadily for decades as fuel prices fell and automobile ownership rose. The conventional explanation treats carpooling as a casualty of convenience: solo driving is simply easier. John Zimmer, co-founder of Zimride and later Lyft, advanced a sharper diagnosis. He attributed the historical collapse of carpooling not to convenience but to </w:t>
      </w:r>
      <w:r>
        <w:rPr>
          <w:rFonts w:ascii="Times New Roman" w:cs="Times New Roman" w:eastAsia="Times New Roman" w:hAnsi="Times New Roman"/>
          <w:i/>
          <w:iCs/>
          <w:sz w:val="22"/>
          <w:szCs w:val="22"/>
        </w:rPr>
        <w:t xml:space="preserve">anxiety and a lack of trust</w:t>
      </w:r>
      <w:r>
        <w:rPr>
          <w:rFonts w:ascii="Times New Roman" w:cs="Times New Roman" w:eastAsia="Times New Roman" w:hAnsi="Times New Roman"/>
          <w:sz w:val="22"/>
          <w:szCs w:val="22"/>
        </w:rPr>
        <w:t xml:space="preserve">—the reluctance to enter a stranger's vehicle, or to admit a stranger into one's own </w:t>
      </w:r>
      <w:r>
        <w:rPr>
          <w:rFonts w:ascii="Times New Roman" w:cs="Times New Roman" w:eastAsia="Times New Roman" w:hAnsi="Times New Roman"/>
          <w:sz w:val="22"/>
          <w:szCs w:val="22"/>
        </w:rPr>
        <w:t xml:space="preserve">[19], [30]</w:t>
      </w:r>
      <w:r>
        <w:rPr>
          <w:rFonts w:ascii="Times New Roman" w:cs="Times New Roman" w:eastAsia="Times New Roman" w:hAnsi="Times New Roman"/>
          <w:sz w:val="22"/>
          <w:szCs w:val="22"/>
        </w:rPr>
        <w:t xml:space="preserve">. This reframing is consequential, because anxiety and trust are design variables in a way that the appeal of solo driving is not.</w:t>
      </w:r>
    </w:p>
    <w:p>
      <w:pPr>
        <w:spacing w:after="120" w:line="276"/>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trust hypothesis</w:t>
      </w:r>
      <w:r>
        <w:rPr>
          <w:rFonts w:ascii="Times New Roman" w:cs="Times New Roman" w:eastAsia="Times New Roman" w:hAnsi="Times New Roman"/>
          <w:sz w:val="22"/>
          <w:szCs w:val="22"/>
        </w:rPr>
        <w:t xml:space="preserve"> is the intellectual foundation of the present proposal: if the suppression of carpooling is fundamentally a trust problem, then a mechanism that manufactures trust should be able to revive it. Zimride's mechanism was the </w:t>
      </w:r>
      <w:r>
        <w:rPr>
          <w:rFonts w:ascii="Times New Roman" w:cs="Times New Roman" w:eastAsia="Times New Roman" w:hAnsi="Times New Roman"/>
          <w:b/>
          <w:bCs/>
          <w:sz w:val="22"/>
          <w:szCs w:val="22"/>
        </w:rPr>
        <w:t xml:space="preserve">closed network</w:t>
      </w:r>
      <w:r>
        <w:rPr>
          <w:rFonts w:ascii="Times New Roman" w:cs="Times New Roman" w:eastAsia="Times New Roman" w:hAnsi="Times New Roman"/>
          <w:sz w:val="22"/>
          <w:szCs w:val="22"/>
        </w:rPr>
        <w:t xml:space="preserve">. By restricting ride matches to members of a shared, verifiable community—initially a single university, identified by institutional email—Zimride converted an interaction between strangers into one between affiliated peers </w:t>
      </w:r>
      <w:r>
        <w:rPr>
          <w:rFonts w:ascii="Times New Roman" w:cs="Times New Roman" w:eastAsia="Times New Roman" w:hAnsi="Times New Roman"/>
          <w:sz w:val="22"/>
          <w:szCs w:val="22"/>
        </w:rPr>
        <w:t xml:space="preserve">[20], [23]</w:t>
      </w:r>
      <w:r>
        <w:rPr>
          <w:rFonts w:ascii="Times New Roman" w:cs="Times New Roman" w:eastAsia="Times New Roman" w:hAnsi="Times New Roman"/>
          <w:sz w:val="22"/>
          <w:szCs w:val="22"/>
        </w:rPr>
        <w:t xml:space="preserve">. DiamondDrive's reliance on university-email verification is a direct inheritance of this design, and the trust literature reviewed in Section IX supplies its theoretical justification.</w:t>
      </w:r>
    </w:p>
    <w:p>
      <w:pPr>
        <w:pStyle w:val="Heading2"/>
        <w:spacing w:after="120" w:before="220"/>
      </w:pPr>
      <w:r>
        <w:rPr>
          <w:rFonts w:ascii="Arial" w:cs="Arial" w:eastAsia="Arial" w:hAnsi="Arial"/>
          <w:b/>
          <w:bCs/>
          <w:color w:val="1C6FD6"/>
          <w:sz w:val="23"/>
          <w:szCs w:val="23"/>
        </w:rPr>
        <w:t xml:space="preserve">B.  The Zimride-to-Lyft Lineage as Existence Proof</w:t>
      </w:r>
    </w:p>
    <w:p>
      <w:pPr>
        <w:spacing w:after="120" w:line="276"/>
        <w:jc w:val="both"/>
      </w:pPr>
      <w:r>
        <w:rPr>
          <w:rFonts w:ascii="Times New Roman" w:cs="Times New Roman" w:eastAsia="Times New Roman" w:hAnsi="Times New Roman"/>
          <w:sz w:val="22"/>
          <w:szCs w:val="22"/>
        </w:rPr>
        <w:t xml:space="preserve">Zimride was founded in 2007 by Logan Green and John Zimmer and launched its first program at Cornell University, where it enrolled approximately twenty percent of the student body within six months </w:t>
      </w:r>
      <w:r>
        <w:rPr>
          <w:rFonts w:ascii="Times New Roman" w:cs="Times New Roman" w:eastAsia="Times New Roman" w:hAnsi="Times New Roman"/>
          <w:sz w:val="22"/>
          <w:szCs w:val="22"/>
        </w:rPr>
        <w:t xml:space="preserve">[19], [20]</w:t>
      </w:r>
      <w:r>
        <w:rPr>
          <w:rFonts w:ascii="Times New Roman" w:cs="Times New Roman" w:eastAsia="Times New Roman" w:hAnsi="Times New Roman"/>
          <w:sz w:val="22"/>
          <w:szCs w:val="22"/>
        </w:rPr>
        <w:t xml:space="preserve">. Over the following years it scaled to more than 125 universities and corporate campuses—including the University of Southern California, the University of Minnesota, UCLA, UCSF, Cornell, Harvard, and the University of Michigan—typically selling an institutional license at a price on the order of ten thousand dollars per year </w:t>
      </w:r>
      <w:r>
        <w:rPr>
          <w:rFonts w:ascii="Times New Roman" w:cs="Times New Roman" w:eastAsia="Times New Roman" w:hAnsi="Times New Roman"/>
          <w:sz w:val="22"/>
          <w:szCs w:val="22"/>
        </w:rPr>
        <w:t xml:space="preserve">[20], [22]</w:t>
      </w:r>
      <w:r>
        <w:rPr>
          <w:rFonts w:ascii="Times New Roman" w:cs="Times New Roman" w:eastAsia="Times New Roman" w:hAnsi="Times New Roman"/>
          <w:sz w:val="22"/>
          <w:szCs w:val="22"/>
        </w:rPr>
        <w:t xml:space="preserve">. By April 2012 the platform had facilitated more than twenty-six thousand carpools while operating with fewer than thirty employees </w:t>
      </w: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a ratio that illustrates the low marginal cost of software-mediated matching once a trusted network exists.</w:t>
      </w:r>
    </w:p>
    <w:p>
      <w:pPr>
        <w:spacing w:after="120" w:line="276"/>
        <w:jc w:val="both"/>
      </w:pPr>
      <w:r>
        <w:rPr>
          <w:rFonts w:ascii="Times New Roman" w:cs="Times New Roman" w:eastAsia="Times New Roman" w:hAnsi="Times New Roman"/>
          <w:sz w:val="22"/>
          <w:szCs w:val="22"/>
        </w:rPr>
        <w:t xml:space="preserve">The lineage is instructive in its difficulties as well as its successes. Zimride's later pivot toward an open consumer market—matching riders to drivers regardless of shared affiliation—struggled to gain traction, and the company found durable product-market fit only when it launched the on-demand Lyft application in 2012 </w:t>
      </w:r>
      <w:r>
        <w:rPr>
          <w:rFonts w:ascii="Times New Roman" w:cs="Times New Roman" w:eastAsia="Times New Roman" w:hAnsi="Times New Roman"/>
          <w:sz w:val="22"/>
          <w:szCs w:val="22"/>
        </w:rPr>
        <w:t xml:space="preserve">[19], [21], [22]</w:t>
      </w:r>
      <w:r>
        <w:rPr>
          <w:rFonts w:ascii="Times New Roman" w:cs="Times New Roman" w:eastAsia="Times New Roman" w:hAnsi="Times New Roman"/>
          <w:sz w:val="22"/>
          <w:szCs w:val="22"/>
        </w:rPr>
        <w:t xml:space="preserve">. Zimride was acquired by Enterprise Holdings in 2013 and the original platform was ultimately suspended at the end of 2020 </w:t>
      </w:r>
      <w:r>
        <w:rPr>
          <w:rFonts w:ascii="Times New Roman" w:cs="Times New Roman" w:eastAsia="Times New Roman" w:hAnsi="Times New Roman"/>
          <w:sz w:val="22"/>
          <w:szCs w:val="22"/>
        </w:rPr>
        <w:t xml:space="preserve">[20], [23]</w:t>
      </w:r>
      <w:r>
        <w:rPr>
          <w:rFonts w:ascii="Times New Roman" w:cs="Times New Roman" w:eastAsia="Times New Roman" w:hAnsi="Times New Roman"/>
          <w:sz w:val="22"/>
          <w:szCs w:val="22"/>
        </w:rPr>
        <w:t xml:space="preserve">. The pattern—strong adoption inside trusted networks, friction when the network opens to strangers—recurs throughout the literature and motivates DiamondDrive's decision to remain closed to a verified university community rather than to court the general public.</w:t>
      </w:r>
    </w:p>
    <w:p>
      <w:pPr>
        <w:pStyle w:val="Heading2"/>
        <w:spacing w:after="120" w:before="220"/>
      </w:pPr>
      <w:r>
        <w:rPr>
          <w:rFonts w:ascii="Arial" w:cs="Arial" w:eastAsia="Arial" w:hAnsi="Arial"/>
          <w:b/>
          <w:bCs/>
          <w:color w:val="1C6FD6"/>
          <w:sz w:val="23"/>
          <w:szCs w:val="23"/>
        </w:rPr>
        <w:t xml:space="preserve">C.  Contemporary University Programs</w:t>
      </w:r>
    </w:p>
    <w:p>
      <w:pPr>
        <w:spacing w:after="120" w:line="276"/>
        <w:jc w:val="both"/>
      </w:pPr>
      <w:r>
        <w:rPr>
          <w:rFonts w:ascii="Times New Roman" w:cs="Times New Roman" w:eastAsia="Times New Roman" w:hAnsi="Times New Roman"/>
          <w:sz w:val="22"/>
          <w:szCs w:val="22"/>
        </w:rPr>
        <w:t xml:space="preserve">Campus ridesharing did not disappear with Zimride; it migrated to a handful of specialized platforms and university partnerships. Pace University launched a commuter carpool program through the 511NY Rideshare platform in the spring of 2025, joining institutions such as Iona and Fordham that use the same state-operated matching service </w:t>
      </w:r>
      <w:r>
        <w:rPr>
          <w:rFonts w:ascii="Times New Roman" w:cs="Times New Roman" w:eastAsia="Times New Roman" w:hAnsi="Times New Roman"/>
          <w:sz w:val="22"/>
          <w:szCs w:val="22"/>
        </w:rPr>
        <w:t xml:space="preserve">[27], [28]</w:t>
      </w:r>
      <w:r>
        <w:rPr>
          <w:rFonts w:ascii="Times New Roman" w:cs="Times New Roman" w:eastAsia="Times New Roman" w:hAnsi="Times New Roman"/>
          <w:sz w:val="22"/>
          <w:szCs w:val="22"/>
        </w:rPr>
        <w:t xml:space="preserve">. Commercial vendors—Liftango, Pave Commute, and RideAmigos among them—now sell campus-oriented carpool matching bundled with gamified incentives and administrative analytics </w:t>
      </w:r>
      <w:r>
        <w:rPr>
          <w:rFonts w:ascii="Times New Roman" w:cs="Times New Roman" w:eastAsia="Times New Roman" w:hAnsi="Times New Roman"/>
          <w:sz w:val="22"/>
          <w:szCs w:val="22"/>
        </w:rPr>
        <w:t xml:space="preserve">[24], [25], [26]</w:t>
      </w:r>
      <w:r>
        <w:rPr>
          <w:rFonts w:ascii="Times New Roman" w:cs="Times New Roman" w:eastAsia="Times New Roman" w:hAnsi="Times New Roman"/>
          <w:sz w:val="22"/>
          <w:szCs w:val="22"/>
        </w:rPr>
        <w:t xml:space="preserve">; Liftango reports that roughly eighty-five percent of surveyed university students express willingness to participate in a school carpooling program </w:t>
      </w: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Grassroots efforts persist as well: a University of Maryland student built a dedicated carpooling application, “CarPo,” specifically because incoming freshmen could not register vehicles on a campus constrained by construction </w:t>
      </w: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The contemporary picture is therefore one of latent, repeatedly re-discovered demand served by fragmented tools—precisely the condition a well-designed entrant seeks.</w:t>
      </w:r>
    </w:p>
    <w:p>
      <w:pPr>
        <w:spacing w:after="120" w:line="276"/>
        <w:jc w:val="both"/>
      </w:pPr>
      <w:r>
        <w:rPr>
          <w:rFonts w:ascii="Times New Roman" w:cs="Times New Roman" w:eastAsia="Times New Roman" w:hAnsi="Times New Roman"/>
          <w:sz w:val="22"/>
          <w:szCs w:val="22"/>
        </w:rPr>
        <w:t xml:space="preserve">A peer-reviewed adoption study deserves emphasis because it directs the targeting strategy developed later. Surveying 1,669 university students and public employees, the study found that ridesharing adoption is driven primarily by </w:t>
      </w:r>
      <w:r>
        <w:rPr>
          <w:rFonts w:ascii="Times New Roman" w:cs="Times New Roman" w:eastAsia="Times New Roman" w:hAnsi="Times New Roman"/>
          <w:b/>
          <w:bCs/>
          <w:sz w:val="22"/>
          <w:szCs w:val="22"/>
        </w:rPr>
        <w:t xml:space="preserve">commuting distance and routine compatibility</w:t>
      </w:r>
      <w:r>
        <w:rPr>
          <w:rFonts w:ascii="Times New Roman" w:cs="Times New Roman" w:eastAsia="Times New Roman" w:hAnsi="Times New Roman"/>
          <w:sz w:val="22"/>
          <w:szCs w:val="22"/>
        </w:rPr>
        <w:t xml:space="preserve">, and notably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by general pro-environmental attitudes; it further found that potential users systematically overestimate the barriers they anticipate </w:t>
      </w: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The strategic implication is direct: a campus platform should recruit long-distance commuters with stable, repeatable schedules and should not lead with environmental messaging, a conclusion reinforced by complementary work on student travel behavior and sustainable-mode intention </w:t>
      </w:r>
      <w:r>
        <w:rPr>
          <w:rFonts w:ascii="Times New Roman" w:cs="Times New Roman" w:eastAsia="Times New Roman" w:hAnsi="Times New Roman"/>
          <w:sz w:val="22"/>
          <w:szCs w:val="22"/>
        </w:rPr>
        <w:t xml:space="preserve">[32], [33]</w:t>
      </w:r>
      <w:r>
        <w:rPr>
          <w:rFonts w:ascii="Times New Roman" w:cs="Times New Roman" w:eastAsia="Times New Roman" w:hAnsi="Times New Roman"/>
          <w:sz w:val="22"/>
          <w:szCs w:val="22"/>
        </w:rPr>
        <w:t xml:space="preserve">.</w:t>
      </w:r>
    </w:p>
    <w:p>
      <w:pPr>
        <w:pStyle w:val="Heading1"/>
        <w:spacing w:after="160" w:before="320"/>
      </w:pPr>
      <w:r>
        <w:rPr>
          <w:rFonts w:ascii="Arial" w:cs="Arial" w:eastAsia="Arial" w:hAnsi="Arial"/>
          <w:b/>
          <w:bCs/>
          <w:caps/>
          <w:color w:val="0B1F3A"/>
          <w:sz w:val="26"/>
          <w:szCs w:val="26"/>
        </w:rPr>
        <w:t xml:space="preserve">IV.  Theoretical Framework: Two-Sided Markets and Collaborative Consumption</w:t>
      </w:r>
    </w:p>
    <w:p>
      <w:pPr>
        <w:spacing w:after="120" w:line="276"/>
        <w:jc w:val="both"/>
      </w:pPr>
      <w:r>
        <w:rPr>
          <w:rFonts w:ascii="Times New Roman" w:cs="Times New Roman" w:eastAsia="Times New Roman" w:hAnsi="Times New Roman"/>
          <w:sz w:val="22"/>
          <w:szCs w:val="22"/>
        </w:rPr>
        <w:t xml:space="preserve">DiamondDrive is, structurally, a two-sided market: it creates value by enabling transactions between two distinct groups—those offering rides or delivery capacity and those seeking them—whose members benefit from the participation of the other side. The economic theory of such markets, and the sociology of the collaborative consumption they enable, together supply the vocabulary for the design decisions that follow.</w:t>
      </w:r>
    </w:p>
    <w:p>
      <w:pPr>
        <w:pStyle w:val="Heading2"/>
        <w:spacing w:after="120" w:before="220"/>
      </w:pPr>
      <w:r>
        <w:rPr>
          <w:rFonts w:ascii="Arial" w:cs="Arial" w:eastAsia="Arial" w:hAnsi="Arial"/>
          <w:b/>
          <w:bCs/>
          <w:color w:val="1C6FD6"/>
          <w:sz w:val="23"/>
          <w:szCs w:val="23"/>
        </w:rPr>
        <w:t xml:space="preserve">A.  Two-Sided Markets and Network Effects</w:t>
      </w:r>
    </w:p>
    <w:p>
      <w:pPr>
        <w:spacing w:after="120" w:line="276"/>
        <w:jc w:val="both"/>
      </w:pPr>
      <w:r>
        <w:rPr>
          <w:rFonts w:ascii="Times New Roman" w:cs="Times New Roman" w:eastAsia="Times New Roman" w:hAnsi="Times New Roman"/>
          <w:sz w:val="22"/>
          <w:szCs w:val="22"/>
        </w:rPr>
        <w:t xml:space="preserve">The canonical treatment of two-sided markets is due to Rochet and Tirole, who showed that platforms serving two interdependent groups must solve not only a price </w:t>
      </w:r>
      <w:r>
        <w:rPr>
          <w:rFonts w:ascii="Times New Roman" w:cs="Times New Roman" w:eastAsia="Times New Roman" w:hAnsi="Times New Roman"/>
          <w:i/>
          <w:iCs/>
          <w:sz w:val="22"/>
          <w:szCs w:val="22"/>
        </w:rPr>
        <w:t xml:space="preserve">level</w:t>
      </w:r>
      <w:r>
        <w:rPr>
          <w:rFonts w:ascii="Times New Roman" w:cs="Times New Roman" w:eastAsia="Times New Roman" w:hAnsi="Times New Roman"/>
          <w:sz w:val="22"/>
          <w:szCs w:val="22"/>
        </w:rPr>
        <w:t xml:space="preserve"> problem but a price </w:t>
      </w:r>
      <w:r>
        <w:rPr>
          <w:rFonts w:ascii="Times New Roman" w:cs="Times New Roman" w:eastAsia="Times New Roman" w:hAnsi="Times New Roman"/>
          <w:i/>
          <w:iCs/>
          <w:sz w:val="22"/>
          <w:szCs w:val="22"/>
        </w:rPr>
        <w:t xml:space="preserve">structure</w:t>
      </w:r>
      <w:r>
        <w:rPr>
          <w:rFonts w:ascii="Times New Roman" w:cs="Times New Roman" w:eastAsia="Times New Roman" w:hAnsi="Times New Roman"/>
          <w:sz w:val="22"/>
          <w:szCs w:val="22"/>
        </w:rPr>
        <w:t xml:space="preserve"> problem—deciding how to allocate the total charge across the two sides to maximize participation </w:t>
      </w:r>
      <w:r>
        <w:rPr>
          <w:rFonts w:ascii="Times New Roman" w:cs="Times New Roman" w:eastAsia="Times New Roman" w:hAnsi="Times New Roman"/>
          <w:sz w:val="22"/>
          <w:szCs w:val="22"/>
        </w:rPr>
        <w:t xml:space="preserve">[1], [2]</w:t>
      </w:r>
      <w:r>
        <w:rPr>
          <w:rFonts w:ascii="Times New Roman" w:cs="Times New Roman" w:eastAsia="Times New Roman" w:hAnsi="Times New Roman"/>
          <w:sz w:val="22"/>
          <w:szCs w:val="22"/>
        </w:rPr>
        <w:t xml:space="preserve">. The foundational insight that the value of a network rises with the number of its users traces to Katz and Shapiro's analysis of network externalities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and the platform-strategy literature that followed—Parker and Van Alstyne, Eisenmann and colleagues, Hagiu and Wright—formalized how </w:t>
      </w:r>
      <w:r>
        <w:rPr>
          <w:rFonts w:ascii="Times New Roman" w:cs="Times New Roman" w:eastAsia="Times New Roman" w:hAnsi="Times New Roman"/>
          <w:b/>
          <w:bCs/>
          <w:sz w:val="22"/>
          <w:szCs w:val="22"/>
        </w:rPr>
        <w:t xml:space="preserve">same-side</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cross-side</w:t>
      </w:r>
      <w:r>
        <w:rPr>
          <w:rFonts w:ascii="Times New Roman" w:cs="Times New Roman" w:eastAsia="Times New Roman" w:hAnsi="Times New Roman"/>
          <w:sz w:val="22"/>
          <w:szCs w:val="22"/>
        </w:rPr>
        <w:t xml:space="preserve"> network effects govern platform growth </w:t>
      </w:r>
      <w:r>
        <w:rPr>
          <w:rFonts w:ascii="Times New Roman" w:cs="Times New Roman" w:eastAsia="Times New Roman" w:hAnsi="Times New Roman"/>
          <w:sz w:val="22"/>
          <w:szCs w:val="22"/>
        </w:rPr>
        <w:t xml:space="preserve">[8], [13], [14], [15]</w:t>
      </w:r>
      <w:r>
        <w:rPr>
          <w:rFonts w:ascii="Times New Roman" w:cs="Times New Roman" w:eastAsia="Times New Roman" w:hAnsi="Times New Roman"/>
          <w:sz w:val="22"/>
          <w:szCs w:val="22"/>
        </w:rPr>
        <w:t xml:space="preserve">. For DiamondDrive the relevant effect is strongly cross-side and positive: each additional verified driver makes the platform more useful to riders, and each additional rider makes driving more worthwhile, while same-side effects are mixed (more drivers compete for the same riders, but denser driver supply shortens wait times).</w:t>
      </w:r>
    </w:p>
    <w:p>
      <w:pPr>
        <w:spacing w:after="120" w:line="276"/>
        <w:jc w:val="both"/>
      </w:pPr>
      <w:r>
        <w:rPr>
          <w:rFonts w:ascii="Times New Roman" w:cs="Times New Roman" w:eastAsia="Times New Roman" w:hAnsi="Times New Roman"/>
          <w:sz w:val="22"/>
          <w:szCs w:val="22"/>
        </w:rPr>
        <w:t xml:space="preserve">The practical consequence of cross-side network effects is that a two-sided platform has little value until both sides reach sufficient density—the property that makes launch, rather than steady-state operation, the hard problem. Section V treats this directly. The theoretical point to carry forward is that DiamondDrive's pricing and incentive design are not peripheral marketing choices but the central levers by which the platform either reaches self-sustaining density or fails to.</w:t>
      </w:r>
    </w:p>
    <w:p>
      <w:pPr>
        <w:pStyle w:val="Heading2"/>
        <w:spacing w:after="120" w:before="220"/>
      </w:pPr>
      <w:r>
        <w:rPr>
          <w:rFonts w:ascii="Arial" w:cs="Arial" w:eastAsia="Arial" w:hAnsi="Arial"/>
          <w:b/>
          <w:bCs/>
          <w:color w:val="1C6FD6"/>
          <w:sz w:val="23"/>
          <w:szCs w:val="23"/>
        </w:rPr>
        <w:t xml:space="preserve">B.  Collaborative Consumption and Access-Based Models</w:t>
      </w:r>
    </w:p>
    <w:p>
      <w:pPr>
        <w:spacing w:after="120" w:line="276"/>
        <w:jc w:val="both"/>
      </w:pPr>
      <w:r>
        <w:rPr>
          <w:rFonts w:ascii="Times New Roman" w:cs="Times New Roman" w:eastAsia="Times New Roman" w:hAnsi="Times New Roman"/>
          <w:sz w:val="22"/>
          <w:szCs w:val="22"/>
        </w:rPr>
        <w:t xml:space="preserve">The sociological and marketing literature on the sharing economy explains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individuals participate in P2P exchange and how that participation differs from ownership and from anonymous market transactions. Bardhi and Eckhardt's study of car sharing introduced the concept of </w:t>
      </w:r>
      <w:r>
        <w:rPr>
          <w:rFonts w:ascii="Times New Roman" w:cs="Times New Roman" w:eastAsia="Times New Roman" w:hAnsi="Times New Roman"/>
          <w:b/>
          <w:bCs/>
          <w:sz w:val="22"/>
          <w:szCs w:val="22"/>
        </w:rPr>
        <w:t xml:space="preserve">access-based consumption</w:t>
      </w:r>
      <w:r>
        <w:rPr>
          <w:rFonts w:ascii="Times New Roman" w:cs="Times New Roman" w:eastAsia="Times New Roman" w:hAnsi="Times New Roman"/>
          <w:sz w:val="22"/>
          <w:szCs w:val="22"/>
        </w:rPr>
        <w:t xml:space="preserve">—consumption in which no transfer of ownership occurs—and showed that consumers relate to accessed goods very differently than to owned ones, with implications for trust, norms, and care </w:t>
      </w: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Belk situated this within a broader account of online sharing and “collaborative consumption”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while Botsman and Rogers popularized the framing that idle capacity—an empty passenger seat, a spare trip—can be mobilized through technology </w:t>
      </w: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An empty seat in a car already making a trip is the paradigmatic instance of the idle capacity these authors describe, and it is precisely the resource DiamondDrive proposes to mobilize.</w:t>
      </w:r>
    </w:p>
    <w:p>
      <w:pPr>
        <w:spacing w:after="120" w:line="276"/>
        <w:jc w:val="both"/>
      </w:pPr>
      <w:r>
        <w:rPr>
          <w:rFonts w:ascii="Times New Roman" w:cs="Times New Roman" w:eastAsia="Times New Roman" w:hAnsi="Times New Roman"/>
          <w:sz w:val="22"/>
          <w:szCs w:val="22"/>
        </w:rPr>
        <w:t xml:space="preserve">Empirical work on participation motives matters for incentive design. Hamari, Sjöklint, and Ukkonen found that participation in collaborative consumption is driven by a mix of </w:t>
      </w:r>
      <w:r>
        <w:rPr>
          <w:rFonts w:ascii="Times New Roman" w:cs="Times New Roman" w:eastAsia="Times New Roman" w:hAnsi="Times New Roman"/>
          <w:i/>
          <w:iCs/>
          <w:sz w:val="22"/>
          <w:szCs w:val="22"/>
        </w:rPr>
        <w:t xml:space="preserve">extrinsic</w:t>
      </w:r>
      <w:r>
        <w:rPr>
          <w:rFonts w:ascii="Times New Roman" w:cs="Times New Roman" w:eastAsia="Times New Roman" w:hAnsi="Times New Roman"/>
          <w:sz w:val="22"/>
          <w:szCs w:val="22"/>
        </w:rPr>
        <w:t xml:space="preserve"> motivations (economic benefit) and </w:t>
      </w:r>
      <w:r>
        <w:rPr>
          <w:rFonts w:ascii="Times New Roman" w:cs="Times New Roman" w:eastAsia="Times New Roman" w:hAnsi="Times New Roman"/>
          <w:i/>
          <w:iCs/>
          <w:sz w:val="22"/>
          <w:szCs w:val="22"/>
        </w:rPr>
        <w:t xml:space="preserve">intrinsic</w:t>
      </w:r>
      <w:r>
        <w:rPr>
          <w:rFonts w:ascii="Times New Roman" w:cs="Times New Roman" w:eastAsia="Times New Roman" w:hAnsi="Times New Roman"/>
          <w:sz w:val="22"/>
          <w:szCs w:val="22"/>
        </w:rPr>
        <w:t xml:space="preserve"> ones (enjoyment, sustainability), with economic benefit often dominant </w:t>
      </w: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Sundararajan's broader analysis of “crowd-based capitalism” and the platform-economics synthesis of Evans and Schmalensee provide the wider context in which these motives operate </w:t>
      </w:r>
      <w:r>
        <w:rPr>
          <w:rFonts w:ascii="Times New Roman" w:cs="Times New Roman" w:eastAsia="Times New Roman" w:hAnsi="Times New Roman"/>
          <w:sz w:val="22"/>
          <w:szCs w:val="22"/>
        </w:rPr>
        <w:t xml:space="preserve">[7], [9]</w:t>
      </w:r>
      <w:r>
        <w:rPr>
          <w:rFonts w:ascii="Times New Roman" w:cs="Times New Roman" w:eastAsia="Times New Roman" w:hAnsi="Times New Roman"/>
          <w:sz w:val="22"/>
          <w:szCs w:val="22"/>
        </w:rPr>
        <w:t xml:space="preserve">. The recurring finding that economic benefit dominates is consistent with the adoption study's conclusion that distance and routine—not environmental virtue—drive ridesharing uptake </w:t>
      </w: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and it argues for a value proposition built on tangible savings rather than appeals to conscience.</w:t>
      </w:r>
    </w:p>
    <w:p>
      <w:pPr>
        <w:pStyle w:val="Heading2"/>
        <w:spacing w:after="120" w:before="220"/>
      </w:pPr>
      <w:r>
        <w:rPr>
          <w:rFonts w:ascii="Arial" w:cs="Arial" w:eastAsia="Arial" w:hAnsi="Arial"/>
          <w:b/>
          <w:bCs/>
          <w:color w:val="1C6FD6"/>
          <w:sz w:val="23"/>
          <w:szCs w:val="23"/>
        </w:rPr>
        <w:t xml:space="preserve">C.  The Price-Structure Problem Applied to DiamondDrive</w:t>
      </w:r>
    </w:p>
    <w:p>
      <w:pPr>
        <w:spacing w:after="120" w:line="276"/>
        <w:jc w:val="both"/>
      </w:pPr>
      <w:r>
        <w:rPr>
          <w:rFonts w:ascii="Times New Roman" w:cs="Times New Roman" w:eastAsia="Times New Roman" w:hAnsi="Times New Roman"/>
          <w:sz w:val="22"/>
          <w:szCs w:val="22"/>
        </w:rPr>
        <w:t xml:space="preserve">The Rochet-Tirole insight that a two-sided platform must solve a price </w:t>
      </w:r>
      <w:r>
        <w:rPr>
          <w:rFonts w:ascii="Times New Roman" w:cs="Times New Roman" w:eastAsia="Times New Roman" w:hAnsi="Times New Roman"/>
          <w:i/>
          <w:iCs/>
          <w:sz w:val="22"/>
          <w:szCs w:val="22"/>
        </w:rPr>
        <w:t xml:space="preserve">structure</w:t>
      </w:r>
      <w:r>
        <w:rPr>
          <w:rFonts w:ascii="Times New Roman" w:cs="Times New Roman" w:eastAsia="Times New Roman" w:hAnsi="Times New Roman"/>
          <w:sz w:val="22"/>
          <w:szCs w:val="22"/>
        </w:rPr>
        <w:t xml:space="preserve"> problem—not merely a price level—has a direct and somewhat counterintuitive application here </w:t>
      </w:r>
      <w:r>
        <w:rPr>
          <w:rFonts w:ascii="Times New Roman" w:cs="Times New Roman" w:eastAsia="Times New Roman" w:hAnsi="Times New Roman"/>
          <w:sz w:val="22"/>
          <w:szCs w:val="22"/>
        </w:rPr>
        <w:t xml:space="preserve">[1], [2]</w:t>
      </w:r>
      <w:r>
        <w:rPr>
          <w:rFonts w:ascii="Times New Roman" w:cs="Times New Roman" w:eastAsia="Times New Roman" w:hAnsi="Times New Roman"/>
          <w:sz w:val="22"/>
          <w:szCs w:val="22"/>
        </w:rPr>
        <w:t xml:space="preserve">. In two-sided markets the optimal structure typically subsidizes the side that is more price-sensitive or harder to attract and recovers value from the side that benefits more from the other's presence </w:t>
      </w:r>
      <w:r>
        <w:rPr>
          <w:rFonts w:ascii="Times New Roman" w:cs="Times New Roman" w:eastAsia="Times New Roman" w:hAnsi="Times New Roman"/>
          <w:sz w:val="22"/>
          <w:szCs w:val="22"/>
        </w:rPr>
        <w:t xml:space="preserve">[13], [14]</w:t>
      </w:r>
      <w:r>
        <w:rPr>
          <w:rFonts w:ascii="Times New Roman" w:cs="Times New Roman" w:eastAsia="Times New Roman" w:hAnsi="Times New Roman"/>
          <w:sz w:val="22"/>
          <w:szCs w:val="22"/>
        </w:rPr>
        <w:t xml:space="preserve">. For most ride networks the scarce, price-sensitive side is the supply side: drivers must be induced to participate before riders will find the platform useful, which is why the seeding literature counsels subsidizing drivers first </w:t>
      </w:r>
      <w:r>
        <w:rPr>
          <w:rFonts w:ascii="Times New Roman" w:cs="Times New Roman" w:eastAsia="Times New Roman" w:hAnsi="Times New Roman"/>
          <w:sz w:val="22"/>
          <w:szCs w:val="22"/>
        </w:rPr>
        <w:t xml:space="preserve">[15], [17]</w:t>
      </w:r>
      <w:r>
        <w:rPr>
          <w:rFonts w:ascii="Times New Roman" w:cs="Times New Roman" w:eastAsia="Times New Roman" w:hAnsi="Times New Roman"/>
          <w:sz w:val="22"/>
          <w:szCs w:val="22"/>
        </w:rPr>
        <w:t xml:space="preserve">. DiamondDrive's cost-sharing constraint, however, interacts with this logic in an unusual way and must be reconciled with it.</w:t>
      </w:r>
    </w:p>
    <w:p>
      <w:pPr>
        <w:spacing w:after="120" w:line="276"/>
        <w:jc w:val="both"/>
      </w:pPr>
      <w:r>
        <w:rPr>
          <w:rFonts w:ascii="Times New Roman" w:cs="Times New Roman" w:eastAsia="Times New Roman" w:hAnsi="Times New Roman"/>
          <w:sz w:val="22"/>
          <w:szCs w:val="22"/>
        </w:rPr>
        <w:t xml:space="preserve">Because the regulatory analysis of Section XI requires that drivers recover no more than trip costs—earning no profit—DiamondDrive cannot use direct per-ride driver subsidies of the kind a for-profit TNC deploys without jeopardizing its exempt classification. The platform must therefore shift its incentive structure away from monetary driver payments and toward </w:t>
      </w:r>
      <w:r>
        <w:rPr>
          <w:rFonts w:ascii="Times New Roman" w:cs="Times New Roman" w:eastAsia="Times New Roman" w:hAnsi="Times New Roman"/>
          <w:b/>
          <w:bCs/>
          <w:sz w:val="22"/>
          <w:szCs w:val="22"/>
        </w:rPr>
        <w:t xml:space="preserve">non-price inducements</w:t>
      </w:r>
      <w:r>
        <w:rPr>
          <w:rFonts w:ascii="Times New Roman" w:cs="Times New Roman" w:eastAsia="Times New Roman" w:hAnsi="Times New Roman"/>
          <w:sz w:val="22"/>
          <w:szCs w:val="22"/>
        </w:rPr>
        <w:t xml:space="preserve">: the reward currency and sponsor perks of Section XII, the professional-networking value of Section XIII, the convenience of guaranteed return trips, and the intrinsic satisfactions the collaborative-consumption literature documents </w:t>
      </w:r>
      <w:r>
        <w:rPr>
          <w:rFonts w:ascii="Times New Roman" w:cs="Times New Roman" w:eastAsia="Times New Roman" w:hAnsi="Times New Roman"/>
          <w:sz w:val="22"/>
          <w:szCs w:val="22"/>
        </w:rPr>
        <w:t xml:space="preserve">[4], [6]</w:t>
      </w:r>
      <w:r>
        <w:rPr>
          <w:rFonts w:ascii="Times New Roman" w:cs="Times New Roman" w:eastAsia="Times New Roman" w:hAnsi="Times New Roman"/>
          <w:sz w:val="22"/>
          <w:szCs w:val="22"/>
        </w:rPr>
        <w:t xml:space="preserve">. This is a genuine design tension, not a detail. The conventional two-sided-market remedy for cold start—pay the hard side—is partly foreclosed by the legal posture that makes the venture survivable, so DiamondDrive must substitute a richer set of non-monetary inducements for the monetary lever it cannot fully use. Recognizing this tension early is itself a contribution of the analysis, because a team that assumed it could simply buy driver supply, as a funded TNC would, would discover the constraint only after committing to an incompatible pricing model.</w:t>
      </w:r>
    </w:p>
    <w:p>
      <w:pPr>
        <w:pStyle w:val="Heading1"/>
        <w:spacing w:after="160" w:before="320"/>
      </w:pPr>
      <w:r>
        <w:rPr>
          <w:rFonts w:ascii="Arial" w:cs="Arial" w:eastAsia="Arial" w:hAnsi="Arial"/>
          <w:b/>
          <w:bCs/>
          <w:caps/>
          <w:color w:val="0B1F3A"/>
          <w:sz w:val="26"/>
          <w:szCs w:val="26"/>
        </w:rPr>
        <w:t xml:space="preserve">V.  The Cold-Start Problem and Seeding Strategy</w:t>
      </w:r>
    </w:p>
    <w:p>
      <w:pPr>
        <w:spacing w:after="120" w:line="276"/>
        <w:jc w:val="both"/>
      </w:pPr>
      <w:r>
        <w:rPr>
          <w:rFonts w:ascii="Times New Roman" w:cs="Times New Roman" w:eastAsia="Times New Roman" w:hAnsi="Times New Roman"/>
          <w:sz w:val="22"/>
          <w:szCs w:val="22"/>
        </w:rPr>
        <w:t xml:space="preserve">The defining hazard of a two-sided platform is the </w:t>
      </w:r>
      <w:r>
        <w:rPr>
          <w:rFonts w:ascii="Times New Roman" w:cs="Times New Roman" w:eastAsia="Times New Roman" w:hAnsi="Times New Roman"/>
          <w:b/>
          <w:bCs/>
          <w:sz w:val="22"/>
          <w:szCs w:val="22"/>
        </w:rPr>
        <w:t xml:space="preserve">cold-start</w:t>
      </w:r>
      <w:r>
        <w:rPr>
          <w:rFonts w:ascii="Times New Roman" w:cs="Times New Roman" w:eastAsia="Times New Roman" w:hAnsi="Times New Roman"/>
          <w:sz w:val="22"/>
          <w:szCs w:val="22"/>
        </w:rPr>
        <w:t xml:space="preserve"> or chicken-and-egg problem: neither side will join before the other is present, yet neither can be present first </w:t>
      </w:r>
      <w:r>
        <w:rPr>
          <w:rFonts w:ascii="Times New Roman" w:cs="Times New Roman" w:eastAsia="Times New Roman" w:hAnsi="Times New Roman"/>
          <w:sz w:val="22"/>
          <w:szCs w:val="22"/>
        </w:rPr>
        <w:t xml:space="preserve">[16], [18]</w:t>
      </w:r>
      <w:r>
        <w:rPr>
          <w:rFonts w:ascii="Times New Roman" w:cs="Times New Roman" w:eastAsia="Times New Roman" w:hAnsi="Times New Roman"/>
          <w:sz w:val="22"/>
          <w:szCs w:val="22"/>
        </w:rPr>
        <w:t xml:space="preserve">. The hazard is not hypothetical. Industry analyses estimate that roughly ninety percent of marketplace platforms fail before reaching the critical mass at which network effects become self-reinforcing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For a student venture with limited capital and well-funded incumbents, surviving the cold start is the single greatest operational challenge after the legal one.</w:t>
      </w:r>
    </w:p>
    <w:p>
      <w:pPr>
        <w:pStyle w:val="Heading2"/>
        <w:spacing w:after="120" w:before="220"/>
      </w:pPr>
      <w:r>
        <w:rPr>
          <w:rFonts w:ascii="Arial" w:cs="Arial" w:eastAsia="Arial" w:hAnsi="Arial"/>
          <w:b/>
          <w:bCs/>
          <w:color w:val="1C6FD6"/>
          <w:sz w:val="23"/>
          <w:szCs w:val="23"/>
        </w:rPr>
        <w:t xml:space="preserve">A.  Critical Mass and Market Tipping</w:t>
      </w:r>
    </w:p>
    <w:p>
      <w:pPr>
        <w:spacing w:after="120" w:line="276"/>
        <w:jc w:val="both"/>
      </w:pPr>
      <w:r>
        <w:rPr>
          <w:rFonts w:ascii="Times New Roman" w:cs="Times New Roman" w:eastAsia="Times New Roman" w:hAnsi="Times New Roman"/>
          <w:sz w:val="22"/>
          <w:szCs w:val="22"/>
        </w:rPr>
        <w:t xml:space="preserve">Formal treatments frame the problem as one of reaching a critical-mass threshold beyond which adoption becomes self-sustaining. Recent work by Haese, Kretschmer, and Peukert demonstrates analytically that </w:t>
      </w:r>
      <w:r>
        <w:rPr>
          <w:rFonts w:ascii="Times New Roman" w:cs="Times New Roman" w:eastAsia="Times New Roman" w:hAnsi="Times New Roman"/>
          <w:b/>
          <w:bCs/>
          <w:sz w:val="22"/>
          <w:szCs w:val="22"/>
        </w:rPr>
        <w:t xml:space="preserve">targeted early advertising can lower the strength of network effects required</w:t>
      </w:r>
      <w:r>
        <w:rPr>
          <w:rFonts w:ascii="Times New Roman" w:cs="Times New Roman" w:eastAsia="Times New Roman" w:hAnsi="Times New Roman"/>
          <w:sz w:val="22"/>
          <w:szCs w:val="22"/>
        </w:rPr>
        <w:t xml:space="preserve"> to reach critical mass and tip a market toward a platform </w:t>
      </w: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—a result with direct operational meaning, since it implies that concentrated promotional spending at launch substitutes for organic density that does not yet exist. Libai, Muller, and Peres similarly decompose the value of seeding programs into acceleration and expansion components, clarifying that early seeding does more than pull adoption forward in time </w:t>
      </w: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Seeding Tactics from the Empirical Record</w:t>
      </w:r>
    </w:p>
    <w:p>
      <w:pPr>
        <w:spacing w:after="120" w:line="276"/>
        <w:jc w:val="both"/>
      </w:pPr>
      <w:r>
        <w:rPr>
          <w:rFonts w:ascii="Times New Roman" w:cs="Times New Roman" w:eastAsia="Times New Roman" w:hAnsi="Times New Roman"/>
          <w:sz w:val="22"/>
          <w:szCs w:val="22"/>
        </w:rPr>
        <w:t xml:space="preserve">The empirical playbook for surviving the cold start, distilled from platform histories, comprises several tactics that DiamondDrive can apply directly:</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Single-geography launch. </w:t>
      </w:r>
      <w:r>
        <w:rPr>
          <w:rFonts w:ascii="Times New Roman" w:cs="Times New Roman" w:eastAsia="Times New Roman" w:hAnsi="Times New Roman"/>
          <w:sz w:val="22"/>
          <w:szCs w:val="22"/>
        </w:rPr>
        <w:t xml:space="preserve">Uber's city-by-city expansion concentrated supply and demand within one market until density was self-sustaining before opening the next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The campus analogue is to launch within one commuter corridor or residence cluster rather than the whole university.</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Niche saturation (the “white-hot center”). </w:t>
      </w:r>
      <w:r>
        <w:rPr>
          <w:rFonts w:ascii="Times New Roman" w:cs="Times New Roman" w:eastAsia="Times New Roman" w:hAnsi="Times New Roman"/>
          <w:sz w:val="22"/>
          <w:szCs w:val="22"/>
        </w:rPr>
        <w:t xml:space="preserve">eBay's early dominance of a narrow collectibles category and Airbnb's deliberate concentration of roughly three hundred initial listings show that total saturation of a small segment beats thin coverage of a large one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Subsidize the harder side. </w:t>
      </w:r>
      <w:r>
        <w:rPr>
          <w:rFonts w:ascii="Times New Roman" w:cs="Times New Roman" w:eastAsia="Times New Roman" w:hAnsi="Times New Roman"/>
          <w:sz w:val="22"/>
          <w:szCs w:val="22"/>
        </w:rPr>
        <w:t xml:space="preserve">Where one side is scarcer, platforms subsidize it; for ride networks the constraint is almost always drivers, implying that DiamondDrive's earliest incentives should target driver recruitment </w:t>
      </w:r>
      <w:r>
        <w:rPr>
          <w:rFonts w:ascii="Times New Roman" w:cs="Times New Roman" w:eastAsia="Times New Roman" w:hAnsi="Times New Roman"/>
          <w:sz w:val="22"/>
          <w:szCs w:val="22"/>
        </w:rPr>
        <w:t xml:space="preserve">[15], [17]</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Single-player utility. </w:t>
      </w:r>
      <w:r>
        <w:rPr>
          <w:rFonts w:ascii="Times New Roman" w:cs="Times New Roman" w:eastAsia="Times New Roman" w:hAnsi="Times New Roman"/>
          <w:sz w:val="22"/>
          <w:szCs w:val="22"/>
        </w:rPr>
        <w:t xml:space="preserve">OpenTable supplied restaurants with reservation-management software valuable even before diners arrived; a platform that is useful to one side alone bootstraps the other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A delivery or trip-logging feature useful to a driver independent of riders can play this role.</w:t>
      </w:r>
    </w:p>
    <w:p>
      <w:pPr>
        <w:spacing w:after="120" w:line="276"/>
        <w:jc w:val="both"/>
      </w:pPr>
      <w:r>
        <w:rPr>
          <w:rFonts w:ascii="Times New Roman" w:cs="Times New Roman" w:eastAsia="Times New Roman" w:hAnsi="Times New Roman"/>
          <w:sz w:val="22"/>
          <w:szCs w:val="22"/>
        </w:rPr>
        <w:t xml:space="preserve">These tactics share a logic: rather than attempting to grow both sides everywhere at once, the platform manufactures local density in a deliberately narrow segment, lets cross-side network effects take hold there, and only then expands. Section XV translates this logic into a concrete launch sequence for the University of Arkansas, and Section XIV identifies the specific commuter niches—the Northwest Arkansas corridor and large residence clusters—best suited to it.</w:t>
      </w:r>
    </w:p>
    <w:p>
      <w:pPr>
        <w:pStyle w:val="Heading1"/>
        <w:spacing w:after="160" w:before="320"/>
      </w:pPr>
      <w:r>
        <w:rPr>
          <w:rFonts w:ascii="Arial" w:cs="Arial" w:eastAsia="Arial" w:hAnsi="Arial"/>
          <w:b/>
          <w:bCs/>
          <w:caps/>
          <w:color w:val="0B1F3A"/>
          <w:sz w:val="26"/>
          <w:szCs w:val="26"/>
        </w:rPr>
        <w:t xml:space="preserve">VI.  Market Analysis: Ridesharing and Last-Mile Delivery</w:t>
      </w:r>
    </w:p>
    <w:p>
      <w:pPr>
        <w:pStyle w:val="Heading2"/>
        <w:spacing w:after="120" w:before="220"/>
      </w:pPr>
      <w:r>
        <w:rPr>
          <w:rFonts w:ascii="Arial" w:cs="Arial" w:eastAsia="Arial" w:hAnsi="Arial"/>
          <w:b/>
          <w:bCs/>
          <w:color w:val="1C6FD6"/>
          <w:sz w:val="23"/>
          <w:szCs w:val="23"/>
        </w:rPr>
        <w:t xml:space="preserve">A.  Market Size and the Problem of Conflicting Estimates</w:t>
      </w:r>
    </w:p>
    <w:p>
      <w:pPr>
        <w:spacing w:after="120" w:line="276"/>
        <w:jc w:val="both"/>
      </w:pPr>
      <w:r>
        <w:rPr>
          <w:rFonts w:ascii="Times New Roman" w:cs="Times New Roman" w:eastAsia="Times New Roman" w:hAnsi="Times New Roman"/>
          <w:sz w:val="22"/>
          <w:szCs w:val="22"/>
        </w:rPr>
        <w:t xml:space="preserve">Estimates of the global ridesharing market vary widely, and the variation is itself a finding the analyst must confront rather than paper over. Published 2025 figures range from roughly fifty-nine billion dollars (Mordor Intelligence) to nearly one hundred fifty billion dollars (Drivemond), with correspondingly different growth trajectories and ten-year forecasts </w:t>
      </w:r>
      <w:r>
        <w:rPr>
          <w:rFonts w:ascii="Times New Roman" w:cs="Times New Roman" w:eastAsia="Times New Roman" w:hAnsi="Times New Roman"/>
          <w:sz w:val="22"/>
          <w:szCs w:val="22"/>
        </w:rPr>
        <w:t xml:space="preserve">[41], [42], [43], [44], [45]</w:t>
      </w:r>
      <w:r>
        <w:rPr>
          <w:rFonts w:ascii="Times New Roman" w:cs="Times New Roman" w:eastAsia="Times New Roman" w:hAnsi="Times New Roman"/>
          <w:sz w:val="22"/>
          <w:szCs w:val="22"/>
        </w:rPr>
        <w:t xml:space="preserve">. The divergence reflects differing definitions—gross bookings versus net platform revenue, inclusion or exclusion of adjacent services—rather than genuine disagreement about the phenomenon. The responsible treatment, adopted here, is to present a </w:t>
      </w:r>
      <w:r>
        <w:rPr>
          <w:rFonts w:ascii="Times New Roman" w:cs="Times New Roman" w:eastAsia="Times New Roman" w:hAnsi="Times New Roman"/>
          <w:b/>
          <w:bCs/>
          <w:sz w:val="22"/>
          <w:szCs w:val="22"/>
        </w:rPr>
        <w:t xml:space="preserve">range</w:t>
      </w:r>
      <w:r>
        <w:rPr>
          <w:rFonts w:ascii="Times New Roman" w:cs="Times New Roman" w:eastAsia="Times New Roman" w:hAnsi="Times New Roman"/>
          <w:sz w:val="22"/>
          <w:szCs w:val="22"/>
        </w:rPr>
        <w:t xml:space="preserve"> and to lean on peer-reviewed and governmental sources for any load-bearing claim, treating vendor market-sizing as indicative of order of magnitude and direction only. Table I summarizes the principal estimates and their disagreement.</w:t>
      </w:r>
    </w:p>
    <w:p>
      <w:pPr>
        <w:spacing w:after="80" w:before="200"/>
        <w:jc w:val="center"/>
      </w:pPr>
      <w:r>
        <w:rPr>
          <w:rFonts w:ascii="Arial" w:cs="Arial" w:eastAsia="Arial" w:hAnsi="Arial"/>
          <w:b/>
          <w:bCs/>
          <w:caps/>
          <w:color w:val="0B1F3A"/>
          <w:sz w:val="18"/>
          <w:szCs w:val="18"/>
        </w:rPr>
        <w:t xml:space="preserve">Table I.  Selected Ridesharing Market-Size Estimates (2025) and Their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Source</w:t>
            </w:r>
          </w:p>
        </w:tc>
        <w:tc>
          <w:tcPr>
            <w:tcW w:type="dxa" w:w="22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2025 Estimate / CAGR</w:t>
            </w:r>
          </w:p>
        </w:tc>
        <w:tc>
          <w:tcPr>
            <w:tcW w:type="dxa" w:w="456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Likely Basis of Divergence</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Drivemond</w:t>
            </w:r>
          </w:p>
        </w:tc>
        <w:tc>
          <w:tcPr>
            <w:tcW w:type="dxa" w:w="22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~$149.9B; ~18.5%</w:t>
            </w:r>
          </w:p>
        </w:tc>
        <w:tc>
          <w:tcPr>
            <w:tcW w:type="dxa" w:w="4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Broad gross-bookings definition; aggressive forecast horizon</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Mordor Intelligence</w:t>
            </w:r>
          </w:p>
        </w:tc>
        <w:tc>
          <w:tcPr>
            <w:tcW w:type="dxa" w:w="22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~$59.0B (2026); ~11.3%</w:t>
            </w:r>
          </w:p>
        </w:tc>
        <w:tc>
          <w:tcPr>
            <w:tcW w:type="dxa" w:w="4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Narrower revenue-based scope</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Market Research Future / Straits / Fortune</w:t>
            </w:r>
          </w:p>
        </w:tc>
        <w:tc>
          <w:tcPr>
            <w:tcW w:type="dxa" w:w="22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Intermediate; varies</w:t>
            </w:r>
          </w:p>
        </w:tc>
        <w:tc>
          <w:tcPr>
            <w:tcW w:type="dxa" w:w="4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Differing inclusion of micromobility and adjacent services</w:t>
            </w:r>
          </w:p>
        </w:tc>
      </w:tr>
    </w:tbl>
    <w:p>
      <w:pPr>
        <w:spacing w:after="200" w:before="80"/>
        <w:jc w:val="center"/>
      </w:pPr>
      <w:r>
        <w:rPr>
          <w:rFonts w:ascii="Arial" w:cs="Arial" w:eastAsia="Arial" w:hAnsi="Arial"/>
          <w:i/>
          <w:iCs/>
          <w:color w:val="5A6675"/>
          <w:sz w:val="17"/>
          <w:szCs w:val="17"/>
        </w:rPr>
        <w:t xml:space="preserve">Figures compiled from market-research vendors [41]–[45]; presented as a range rather than a point estimate.</w:t>
      </w:r>
    </w:p>
    <w:p>
      <w:pPr>
        <w:pStyle w:val="Heading2"/>
        <w:spacing w:after="120" w:before="220"/>
      </w:pPr>
      <w:r>
        <w:rPr>
          <w:rFonts w:ascii="Arial" w:cs="Arial" w:eastAsia="Arial" w:hAnsi="Arial"/>
          <w:b/>
          <w:bCs/>
          <w:color w:val="1C6FD6"/>
          <w:sz w:val="23"/>
          <w:szCs w:val="23"/>
        </w:rPr>
        <w:t xml:space="preserve">B.  Competitive Structure: Concentration on Both Sides</w:t>
      </w:r>
    </w:p>
    <w:p>
      <w:pPr>
        <w:spacing w:after="120" w:line="276"/>
        <w:jc w:val="both"/>
      </w:pPr>
      <w:r>
        <w:rPr>
          <w:rFonts w:ascii="Times New Roman" w:cs="Times New Roman" w:eastAsia="Times New Roman" w:hAnsi="Times New Roman"/>
          <w:sz w:val="22"/>
          <w:szCs w:val="22"/>
        </w:rPr>
        <w:t xml:space="preserve">Both the ride and delivery markets are highly concentrated, a fact that decisively shapes entry strategy. In observed United States rideshare spending, Uber held approximately seventy-six percent and Lyft approximately twenty-four percent as of March 2024, with Uber's share fluctuating between sixty-eight and seventy-six percent since 2017 </w:t>
      </w:r>
      <w:r>
        <w:rPr>
          <w:rFonts w:ascii="Times New Roman" w:cs="Times New Roman" w:eastAsia="Times New Roman" w:hAnsi="Times New Roman"/>
          <w:sz w:val="22"/>
          <w:szCs w:val="22"/>
        </w:rPr>
        <w:t xml:space="preserve">[52], [47]</w:t>
      </w:r>
      <w:r>
        <w:rPr>
          <w:rFonts w:ascii="Times New Roman" w:cs="Times New Roman" w:eastAsia="Times New Roman" w:hAnsi="Times New Roman"/>
          <w:sz w:val="22"/>
          <w:szCs w:val="22"/>
        </w:rPr>
        <w:t xml:space="preserve">. In meal delivery, DoorDash (with its Caviar subsidiary) captured about sixty-seven percent of observed United States sales and Uber Eats about twenty-three percent over the same period </w:t>
      </w:r>
      <w:r>
        <w:rPr>
          <w:rFonts w:ascii="Times New Roman" w:cs="Times New Roman" w:eastAsia="Times New Roman" w:hAnsi="Times New Roman"/>
          <w:sz w:val="22"/>
          <w:szCs w:val="22"/>
        </w:rPr>
        <w:t xml:space="preserve">[52]</w:t>
      </w:r>
      <w:r>
        <w:rPr>
          <w:rFonts w:ascii="Times New Roman" w:cs="Times New Roman" w:eastAsia="Times New Roman" w:hAnsi="Times New Roman"/>
          <w:sz w:val="22"/>
          <w:szCs w:val="22"/>
        </w:rPr>
        <w:t xml:space="preserve">. DoorDash reported its first annual profit in fiscal 2024—approximately 935 million dollars on 13.7 billion dollars of revenue, up 27.8 percent, against more than one hundred billion dollars in marketplace gross order value—and serves ninety-four of the top one hundred United States restaurants </w:t>
      </w:r>
      <w:r>
        <w:rPr>
          <w:rFonts w:ascii="Times New Roman" w:cs="Times New Roman" w:eastAsia="Times New Roman" w:hAnsi="Times New Roman"/>
          <w:sz w:val="22"/>
          <w:szCs w:val="22"/>
        </w:rPr>
        <w:t xml:space="preserve">[49], [50]</w:t>
      </w:r>
      <w:r>
        <w:rPr>
          <w:rFonts w:ascii="Times New Roman" w:cs="Times New Roman" w:eastAsia="Times New Roman" w:hAnsi="Times New Roman"/>
          <w:sz w:val="22"/>
          <w:szCs w:val="22"/>
        </w:rPr>
        <w:t xml:space="preserve">. These are scale economics a small entrant cannot match in a head-to-head contest, which is exactly why the analysis converges on a closed-campus niche rather than broad competition.</w:t>
      </w:r>
    </w:p>
    <w:p>
      <w:pPr>
        <w:pStyle w:val="Heading2"/>
        <w:spacing w:after="120" w:before="220"/>
      </w:pPr>
      <w:r>
        <w:rPr>
          <w:rFonts w:ascii="Arial" w:cs="Arial" w:eastAsia="Arial" w:hAnsi="Arial"/>
          <w:b/>
          <w:bCs/>
          <w:color w:val="1C6FD6"/>
          <w:sz w:val="23"/>
          <w:szCs w:val="23"/>
        </w:rPr>
        <w:t xml:space="preserve">C.  The Combined Ride-and-Delivery Model Is Validated by Incumbents</w:t>
      </w:r>
    </w:p>
    <w:p>
      <w:pPr>
        <w:spacing w:after="120" w:line="276"/>
        <w:jc w:val="both"/>
      </w:pPr>
      <w:r>
        <w:rPr>
          <w:rFonts w:ascii="Times New Roman" w:cs="Times New Roman" w:eastAsia="Times New Roman" w:hAnsi="Times New Roman"/>
          <w:sz w:val="22"/>
          <w:szCs w:val="22"/>
        </w:rPr>
        <w:t xml:space="preserve">DiamondDrive's proposal to combine ridesharing with item delivery on one platform is not speculative; it mirrors the revenue structure of the dominant incumbent. Uber's fiscal 2024 results report total revenue of approximately 44.0 billion dollars, divided among Mobility (about 57 percent), Delivery (about 31 percent), and Freight (about 12 percent) </w:t>
      </w: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 The coexistence of large ride and delivery segments on a single platform demonstrates that the two are complementary—they share a driver pool, a mapping and dispatch stack, and a payment system—and that a combined model is operationally coherent. For a campus platform, the same shared infrastructure means the marginal cost of adding a delivery channel atop a ride-matching core is comparatively low, and delivery can supply driver-side single-player utility during hours when ride demand is thin.</w:t>
      </w:r>
    </w:p>
    <w:p>
      <w:pPr>
        <w:pStyle w:val="Heading2"/>
        <w:spacing w:after="120" w:before="220"/>
      </w:pPr>
      <w:r>
        <w:rPr>
          <w:rFonts w:ascii="Arial" w:cs="Arial" w:eastAsia="Arial" w:hAnsi="Arial"/>
          <w:b/>
          <w:bCs/>
          <w:color w:val="1C6FD6"/>
          <w:sz w:val="23"/>
          <w:szCs w:val="23"/>
        </w:rPr>
        <w:t xml:space="preserve">D.  The Student Segment Against the National Baseline</w:t>
      </w:r>
    </w:p>
    <w:p>
      <w:pPr>
        <w:spacing w:after="120" w:line="276"/>
        <w:jc w:val="both"/>
      </w:pPr>
      <w:r>
        <w:rPr>
          <w:rFonts w:ascii="Times New Roman" w:cs="Times New Roman" w:eastAsia="Times New Roman" w:hAnsi="Times New Roman"/>
          <w:sz w:val="22"/>
          <w:szCs w:val="22"/>
        </w:rPr>
        <w:t xml:space="preserve">The student market is attractive precisely because the national market is far from saturated. Consumer-survey data indicate that roughly seventy-five percent of Americans do not use ride-hailing applications at all, about twenty percent are occasional users, and only six percent are frequent users </w:t>
      </w:r>
      <w:r>
        <w:rPr>
          <w:rFonts w:ascii="Times New Roman" w:cs="Times New Roman" w:eastAsia="Times New Roman" w:hAnsi="Times New Roman"/>
          <w:sz w:val="22"/>
          <w:szCs w:val="22"/>
        </w:rPr>
        <w:t xml:space="preserve">[46]</w:t>
      </w:r>
      <w:r>
        <w:rPr>
          <w:rFonts w:ascii="Times New Roman" w:cs="Times New Roman" w:eastAsia="Times New Roman" w:hAnsi="Times New Roman"/>
          <w:sz w:val="22"/>
          <w:szCs w:val="22"/>
        </w:rPr>
        <w:t xml:space="preserve">. A dense, young, price-sensitive, smartphone-native population making repeated short trips between a small number of shared destinations represents a usage profile well above this baseline, and one whose trips are unusually amenable to pooling because origins, destinations, and timing cluster. The same density that makes the student segment attractive to DiamondDrive also makes it defensible: a closed, verified network is difficult for a general-purpose incumbent to replicate without the institutional-affiliation gate that defines it.</w:t>
      </w:r>
    </w:p>
    <w:p>
      <w:pPr>
        <w:pStyle w:val="Heading2"/>
        <w:spacing w:after="120" w:before="220"/>
      </w:pPr>
      <w:r>
        <w:rPr>
          <w:rFonts w:ascii="Arial" w:cs="Arial" w:eastAsia="Arial" w:hAnsi="Arial"/>
          <w:b/>
          <w:bCs/>
          <w:color w:val="1C6FD6"/>
          <w:sz w:val="23"/>
          <w:szCs w:val="23"/>
        </w:rPr>
        <w:t xml:space="preserve">E.  Last-Mile Delivery Economics and the Campus Fit</w:t>
      </w:r>
    </w:p>
    <w:p>
      <w:pPr>
        <w:spacing w:after="120" w:line="276"/>
        <w:jc w:val="both"/>
      </w:pPr>
      <w:r>
        <w:rPr>
          <w:rFonts w:ascii="Times New Roman" w:cs="Times New Roman" w:eastAsia="Times New Roman" w:hAnsi="Times New Roman"/>
          <w:sz w:val="22"/>
          <w:szCs w:val="22"/>
        </w:rPr>
        <w:t xml:space="preserve">Because delivery is a co-equal feature of DiamondDrive rather than an afterthought, the structure of the last-mile delivery market warrants treatment in its own right. The United States food-delivery market was valued at approximately 119.5 billion dollars in 2025 and is projected to reach roughly 242.9 billion dollars by 2034, a compound annual growth rate near nine percent </w:t>
      </w:r>
      <w:r>
        <w:rPr>
          <w:rFonts w:ascii="Times New Roman" w:cs="Times New Roman" w:eastAsia="Times New Roman" w:hAnsi="Times New Roman"/>
          <w:sz w:val="22"/>
          <w:szCs w:val="22"/>
        </w:rPr>
        <w:t xml:space="preserve">[48]</w:t>
      </w:r>
      <w:r>
        <w:rPr>
          <w:rFonts w:ascii="Times New Roman" w:cs="Times New Roman" w:eastAsia="Times New Roman" w:hAnsi="Times New Roman"/>
          <w:sz w:val="22"/>
          <w:szCs w:val="22"/>
        </w:rPr>
        <w:t xml:space="preserve">. The defining economic feature of last-mile delivery, however, is not its size but its cost structure: the final leg of delivery is disproportionately expensive relative to the rest of the supply chain, and the dominant platforms sustain that cost through a combination of consumer delivery fees, service fees, merchant commissions frequently reaching the high tens of percent, and driver compensation that has repeatedly drawn regulatory scrutiny </w:t>
      </w:r>
      <w:r>
        <w:rPr>
          <w:rFonts w:ascii="Times New Roman" w:cs="Times New Roman" w:eastAsia="Times New Roman" w:hAnsi="Times New Roman"/>
          <w:sz w:val="22"/>
          <w:szCs w:val="22"/>
        </w:rPr>
        <w:t xml:space="preserve">[49], [50]</w:t>
      </w:r>
      <w:r>
        <w:rPr>
          <w:rFonts w:ascii="Times New Roman" w:cs="Times New Roman" w:eastAsia="Times New Roman" w:hAnsi="Times New Roman"/>
          <w:sz w:val="22"/>
          <w:szCs w:val="22"/>
        </w:rPr>
        <w:t xml:space="preserve">. DoorDash's achievement of profitability only in fiscal 2024, after years of losses despite commanding market share, illustrates how thin the per-order economics remain even at national scale </w:t>
      </w:r>
      <w:r>
        <w:rPr>
          <w:rFonts w:ascii="Times New Roman" w:cs="Times New Roman" w:eastAsia="Times New Roman" w:hAnsi="Times New Roman"/>
          <w:sz w:val="22"/>
          <w:szCs w:val="22"/>
        </w:rPr>
        <w:t xml:space="preserve">[49], [50]</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This cost structure is the strategic reason a campus-bounded delivery model is interesting rather than merely derivative. The expense of the last mile is largely a function of distance, dispersion, and deadheading—precisely the variables a compact, high-density campus minimizes. Deliveries that originate and terminate within a 512-acre campus and its immediate commercial fringe travel short, predictable distances; a driver already making a trip along a known corridor can carry an item at low marginal cost, the delivery analogue of the idle-seat logic developed in Section IV </w:t>
      </w:r>
      <w:r>
        <w:rPr>
          <w:rFonts w:ascii="Times New Roman" w:cs="Times New Roman" w:eastAsia="Times New Roman" w:hAnsi="Times New Roman"/>
          <w:sz w:val="22"/>
          <w:szCs w:val="22"/>
        </w:rPr>
        <w:t xml:space="preserve">[4], [10]</w:t>
      </w:r>
      <w:r>
        <w:rPr>
          <w:rFonts w:ascii="Times New Roman" w:cs="Times New Roman" w:eastAsia="Times New Roman" w:hAnsi="Times New Roman"/>
          <w:sz w:val="22"/>
          <w:szCs w:val="22"/>
        </w:rPr>
        <w:t xml:space="preserve">. Delivery further supplies the driver-side single-player utility identified in Section V: during hours when ride demand is thin, the same verified driver can complete deliveries, smoothing earnings and keeping supply engaged on the platform between ride requests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The combined model is thus not two businesses bolted together but one network of trusted, verified drivers serving two demand types that peak at different times—an operational complementarity the incumbent revenue data already validate </w:t>
      </w: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w:t>
      </w:r>
    </w:p>
    <w:p>
      <w:pPr>
        <w:pStyle w:val="Heading1"/>
        <w:spacing w:after="160" w:before="320"/>
      </w:pPr>
      <w:r>
        <w:rPr>
          <w:rFonts w:ascii="Arial" w:cs="Arial" w:eastAsia="Arial" w:hAnsi="Arial"/>
          <w:b/>
          <w:bCs/>
          <w:caps/>
          <w:color w:val="0B1F3A"/>
          <w:sz w:val="26"/>
          <w:szCs w:val="26"/>
        </w:rPr>
        <w:t xml:space="preserve">VII.  Transportation Demand Management and Campus Parking Economics</w:t>
      </w:r>
    </w:p>
    <w:p>
      <w:pPr>
        <w:spacing w:after="120" w:line="276"/>
        <w:jc w:val="both"/>
      </w:pPr>
      <w:r>
        <w:rPr>
          <w:rFonts w:ascii="Times New Roman" w:cs="Times New Roman" w:eastAsia="Times New Roman" w:hAnsi="Times New Roman"/>
          <w:sz w:val="22"/>
          <w:szCs w:val="22"/>
        </w:rPr>
        <w:t xml:space="preserve">If the trust hypothesis explains why a campus ride network can work socially, transportation demand management (TDM) explains why a university has institutional reason to want one. TDM is the body of policy and practice concerned with influencing travel behavior—shifting trips away from single-occupancy vehicles toward transit, active travel, and shared modes—rather than expanding road and parking capacity </w:t>
      </w:r>
      <w:r>
        <w:rPr>
          <w:rFonts w:ascii="Times New Roman" w:cs="Times New Roman" w:eastAsia="Times New Roman" w:hAnsi="Times New Roman"/>
          <w:sz w:val="22"/>
          <w:szCs w:val="22"/>
        </w:rPr>
        <w:t xml:space="preserve">[58]</w:t>
      </w:r>
      <w:r>
        <w:rPr>
          <w:rFonts w:ascii="Times New Roman" w:cs="Times New Roman" w:eastAsia="Times New Roman" w:hAnsi="Times New Roman"/>
          <w:sz w:val="22"/>
          <w:szCs w:val="22"/>
        </w:rPr>
        <w:t xml:space="preserve">. Universities are among the most studied TDM settings because they are spatially bounded, control their own parking supply and pricing, and pursue sustainability commitments </w:t>
      </w:r>
      <w:r>
        <w:rPr>
          <w:rFonts w:ascii="Times New Roman" w:cs="Times New Roman" w:eastAsia="Times New Roman" w:hAnsi="Times New Roman"/>
          <w:sz w:val="22"/>
          <w:szCs w:val="22"/>
        </w:rPr>
        <w:t xml:space="preserve">[59], [60]</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A.  Parking Pricing Is the Most Effective Lever</w:t>
      </w:r>
    </w:p>
    <w:p>
      <w:pPr>
        <w:spacing w:after="120" w:line="276"/>
        <w:jc w:val="both"/>
      </w:pPr>
      <w:r>
        <w:rPr>
          <w:rFonts w:ascii="Times New Roman" w:cs="Times New Roman" w:eastAsia="Times New Roman" w:hAnsi="Times New Roman"/>
          <w:sz w:val="22"/>
          <w:szCs w:val="22"/>
        </w:rPr>
        <w:t xml:space="preserve">The TDM literature is consistent on one point: the price and availability of parking are the most powerful determinants of campus mode choice. Ng's dissertation work at the University of California, Berkeley showed that parking pricing combined with transit subsidies produces significant mode shift away from driving </w:t>
      </w: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a finding consonant with Shoup's influential argument that underpriced parking systematically subsidizes driving and distorts travel choices </w:t>
      </w:r>
      <w:r>
        <w:rPr>
          <w:rFonts w:ascii="Times New Roman" w:cs="Times New Roman" w:eastAsia="Times New Roman" w:hAnsi="Times New Roman"/>
          <w:sz w:val="22"/>
          <w:szCs w:val="22"/>
        </w:rPr>
        <w:t xml:space="preserve">[57]</w:t>
      </w:r>
      <w:r>
        <w:rPr>
          <w:rFonts w:ascii="Times New Roman" w:cs="Times New Roman" w:eastAsia="Times New Roman" w:hAnsi="Times New Roman"/>
          <w:sz w:val="22"/>
          <w:szCs w:val="22"/>
        </w:rPr>
        <w:t xml:space="preserve">. Optimization-based analyses of campus parking demand versus supply reach the same conclusion from the operations side, showing that demand is highly responsive to price and allocation policy </w:t>
      </w:r>
      <w:r>
        <w:rPr>
          <w:rFonts w:ascii="Times New Roman" w:cs="Times New Roman" w:eastAsia="Times New Roman" w:hAnsi="Times New Roman"/>
          <w:sz w:val="22"/>
          <w:szCs w:val="22"/>
        </w:rPr>
        <w:t xml:space="preserve">[54]</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A McMaster University study adds an essential nuance for a market like Fayetteville. It found that improving non-automobile alternatives does induce mode switching, but that the </w:t>
      </w:r>
      <w:r>
        <w:rPr>
          <w:rFonts w:ascii="Times New Roman" w:cs="Times New Roman" w:eastAsia="Times New Roman" w:hAnsi="Times New Roman"/>
          <w:b/>
          <w:bCs/>
          <w:sz w:val="22"/>
          <w:szCs w:val="22"/>
        </w:rPr>
        <w:t xml:space="preserve">largest</w:t>
      </w:r>
      <w:r>
        <w:rPr>
          <w:rFonts w:ascii="Times New Roman" w:cs="Times New Roman" w:eastAsia="Times New Roman" w:hAnsi="Times New Roman"/>
          <w:sz w:val="22"/>
          <w:szCs w:val="22"/>
        </w:rPr>
        <w:t xml:space="preserve"> mode-share shifts are unattainable in a relatively uncongested setting </w:t>
      </w:r>
      <w:r>
        <w:rPr>
          <w:rFonts w:ascii="Times New Roman" w:cs="Times New Roman" w:eastAsia="Times New Roman" w:hAnsi="Times New Roman"/>
          <w:i/>
          <w:iCs/>
          <w:sz w:val="22"/>
          <w:szCs w:val="22"/>
        </w:rPr>
        <w:t xml:space="preserve">without also constraining parking supply and raising its price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[56]</w:t>
      </w:r>
      <w:r>
        <w:rPr>
          <w:rFonts w:ascii="Times New Roman" w:cs="Times New Roman" w:eastAsia="Times New Roman" w:hAnsi="Times New Roman"/>
          <w:sz w:val="22"/>
          <w:szCs w:val="22"/>
        </w:rPr>
        <w:t xml:space="preserve">. Northwest Arkansas is not a congested coastal metropolis; this implies that DiamondDrive's adoption will depend less on traffic frustration than on the concrete economics of parking scarcity—the cost of a permit, the unavailability of a space, the walk from a peripheral lot—which Section XIV documents in detail.</w:t>
      </w:r>
    </w:p>
    <w:p>
      <w:pPr>
        <w:pStyle w:val="Heading2"/>
        <w:spacing w:after="120" w:before="220"/>
      </w:pPr>
      <w:r>
        <w:rPr>
          <w:rFonts w:ascii="Arial" w:cs="Arial" w:eastAsia="Arial" w:hAnsi="Arial"/>
          <w:b/>
          <w:bCs/>
          <w:color w:val="1C6FD6"/>
          <w:sz w:val="23"/>
          <w:szCs w:val="23"/>
        </w:rPr>
        <w:t xml:space="preserve">B.  Carpool-Matching Analytics and Schedule-Based Pairing</w:t>
      </w:r>
    </w:p>
    <w:p>
      <w:pPr>
        <w:spacing w:after="120" w:line="276"/>
        <w:jc w:val="both"/>
      </w:pPr>
      <w:r>
        <w:rPr>
          <w:rFonts w:ascii="Times New Roman" w:cs="Times New Roman" w:eastAsia="Times New Roman" w:hAnsi="Times New Roman"/>
          <w:sz w:val="22"/>
          <w:szCs w:val="22"/>
        </w:rPr>
        <w:t xml:space="preserve">A second strand of the campus literature concerns how to match carpoolers effectively. Case studies fusing travel-survey data with precise address data demonstrate that targeting accuracy improves sharply when matching accounts for both spatial proximity and schedule compatibility </w:t>
      </w:r>
      <w:r>
        <w:rPr>
          <w:rFonts w:ascii="Times New Roman" w:cs="Times New Roman" w:eastAsia="Times New Roman" w:hAnsi="Times New Roman"/>
          <w:sz w:val="22"/>
          <w:szCs w:val="22"/>
        </w:rPr>
        <w:t xml:space="preserve">[63]</w:t>
      </w:r>
      <w:r>
        <w:rPr>
          <w:rFonts w:ascii="Times New Roman" w:cs="Times New Roman" w:eastAsia="Times New Roman" w:hAnsi="Times New Roman"/>
          <w:sz w:val="22"/>
          <w:szCs w:val="22"/>
        </w:rPr>
        <w:t xml:space="preserve">, and course-scheduling analyses show that the temporal structure of a campus—when classes begin and end—shapes parking demand and therefore carpool potential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A telematics feasibility study at the University of Virginia operationalized this directly, using two weeks of trip data to demonstrate that schedule-based ride-matching for campus commuters is technically feasible </w:t>
      </w:r>
      <w:r>
        <w:rPr>
          <w:rFonts w:ascii="Times New Roman" w:cs="Times New Roman" w:eastAsia="Times New Roman" w:hAnsi="Times New Roman"/>
          <w:sz w:val="22"/>
          <w:szCs w:val="22"/>
        </w:rPr>
        <w:t xml:space="preserve">[65]</w:t>
      </w:r>
      <w:r>
        <w:rPr>
          <w:rFonts w:ascii="Times New Roman" w:cs="Times New Roman" w:eastAsia="Times New Roman" w:hAnsi="Times New Roman"/>
          <w:sz w:val="22"/>
          <w:szCs w:val="22"/>
        </w:rPr>
        <w:t xml:space="preserve">. These results inform DiamondDrive's matching algorithm, which must weight routine compatibility—the property the adoption study identified as decisive </w:t>
      </w: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—at least as heavily as geographic proximity.</w:t>
      </w:r>
    </w:p>
    <w:p>
      <w:pPr>
        <w:spacing w:after="120" w:line="276"/>
        <w:jc w:val="both"/>
      </w:pPr>
      <w:r>
        <w:rPr>
          <w:rFonts w:ascii="Times New Roman" w:cs="Times New Roman" w:eastAsia="Times New Roman" w:hAnsi="Times New Roman"/>
          <w:sz w:val="22"/>
          <w:szCs w:val="22"/>
        </w:rPr>
        <w:t xml:space="preserve">The TDM case and the carpool-analytics case combine into an institutional argument: a verified campus ride network that shifts solo drivers into shared trips relieves parking demand at the margin, advances stated sustainability goals, and does so using matching methods the literature has already validated. This argument is the basis for the institutional-partnership recommendation in Section XV, including the prospect of university endorsement that proved central to Zimride's original model </w:t>
      </w: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w:t>
      </w:r>
    </w:p>
    <w:p>
      <w:pPr>
        <w:pStyle w:val="Heading1"/>
        <w:spacing w:after="160" w:before="320"/>
      </w:pPr>
      <w:r>
        <w:rPr>
          <w:rFonts w:ascii="Arial" w:cs="Arial" w:eastAsia="Arial" w:hAnsi="Arial"/>
          <w:b/>
          <w:bCs/>
          <w:caps/>
          <w:color w:val="0B1F3A"/>
          <w:sz w:val="26"/>
          <w:szCs w:val="26"/>
        </w:rPr>
        <w:t xml:space="preserve">VIII.  Environmental and Sustainability Considerations</w:t>
      </w:r>
    </w:p>
    <w:p>
      <w:pPr>
        <w:spacing w:after="120" w:line="276"/>
        <w:jc w:val="both"/>
      </w:pPr>
      <w:r>
        <w:rPr>
          <w:rFonts w:ascii="Times New Roman" w:cs="Times New Roman" w:eastAsia="Times New Roman" w:hAnsi="Times New Roman"/>
          <w:sz w:val="22"/>
          <w:szCs w:val="22"/>
        </w:rPr>
        <w:t xml:space="preserve">DiamondDrive's environmental claim—that shifting solo drivers into shared trips reduces vehicle miles traveled (VMT) and greenhouse-gas emissions—is intuitively plausible and partially supported, but it requires careful qualification. The qualification is not a rhetorical hedge; it is the difference between an honest claim and a misleading one, and getting it wrong would undermine the credibility of the entire venture.</w:t>
      </w:r>
    </w:p>
    <w:p>
      <w:pPr>
        <w:pStyle w:val="Heading2"/>
        <w:spacing w:after="120" w:before="220"/>
      </w:pPr>
      <w:r>
        <w:rPr>
          <w:rFonts w:ascii="Arial" w:cs="Arial" w:eastAsia="Arial" w:hAnsi="Arial"/>
          <w:b/>
          <w:bCs/>
          <w:color w:val="1C6FD6"/>
          <w:sz w:val="23"/>
          <w:szCs w:val="23"/>
        </w:rPr>
        <w:t xml:space="preserve">A.  The Case for Pooled Travel</w:t>
      </w:r>
    </w:p>
    <w:p>
      <w:pPr>
        <w:spacing w:after="120" w:line="276"/>
        <w:jc w:val="both"/>
      </w:pPr>
      <w:r>
        <w:rPr>
          <w:rFonts w:ascii="Times New Roman" w:cs="Times New Roman" w:eastAsia="Times New Roman" w:hAnsi="Times New Roman"/>
          <w:sz w:val="22"/>
          <w:szCs w:val="22"/>
        </w:rPr>
        <w:t xml:space="preserve">The arithmetic of pooling is favorable. The United States Environmental Protection Agency estimates that a typical passenger vehicle emits approximately </w:t>
      </w:r>
      <w:r>
        <w:rPr>
          <w:rFonts w:ascii="Times New Roman" w:cs="Times New Roman" w:eastAsia="Times New Roman" w:hAnsi="Times New Roman"/>
          <w:b/>
          <w:bCs/>
          <w:sz w:val="22"/>
          <w:szCs w:val="22"/>
        </w:rPr>
        <w:t xml:space="preserve">4.6 metric tons of carbon dioxide per year</w:t>
      </w:r>
      <w:r>
        <w:rPr>
          <w:rFonts w:ascii="Times New Roman" w:cs="Times New Roman" w:eastAsia="Times New Roman" w:hAnsi="Times New Roman"/>
          <w:sz w:val="22"/>
          <w:szCs w:val="22"/>
        </w:rPr>
        <w:t xml:space="preserve">, based on an average fuel economy of 22.2 miles per gallon, 11,500 miles driven annually, and 8,887 grams of carbon dioxide per gallon of gasoline </w:t>
      </w:r>
      <w:r>
        <w:rPr>
          <w:rFonts w:ascii="Times New Roman" w:cs="Times New Roman" w:eastAsia="Times New Roman" w:hAnsi="Times New Roman"/>
          <w:sz w:val="22"/>
          <w:szCs w:val="22"/>
        </w:rPr>
        <w:t xml:space="preserve">[65]</w:t>
      </w:r>
      <w:r>
        <w:rPr>
          <w:rFonts w:ascii="Times New Roman" w:cs="Times New Roman" w:eastAsia="Times New Roman" w:hAnsi="Times New Roman"/>
          <w:sz w:val="22"/>
          <w:szCs w:val="22"/>
        </w:rPr>
        <w:t xml:space="preserve">. Each solo commuter converted to a shared ride therefore removes a quantifiable increment of emissions. Campus-specific modeling supports meaningful potential: Amey's MIT work estimated that twenty to thirty percent of solo campus commuters could plausibly use a dynamic ridesharing service, yielding VMT reductions on the order of nine to twenty-seven percent for daily university commute travel, excluding induced demand </w:t>
      </w:r>
      <w:r>
        <w:rPr>
          <w:rFonts w:ascii="Times New Roman" w:cs="Times New Roman" w:eastAsia="Times New Roman" w:hAnsi="Times New Roman"/>
          <w:sz w:val="22"/>
          <w:szCs w:val="22"/>
        </w:rPr>
        <w:t xml:space="preserve">[67]</w:t>
      </w:r>
      <w:r>
        <w:rPr>
          <w:rFonts w:ascii="Times New Roman" w:cs="Times New Roman" w:eastAsia="Times New Roman" w:hAnsi="Times New Roman"/>
          <w:sz w:val="22"/>
          <w:szCs w:val="22"/>
        </w:rPr>
        <w:t xml:space="preserve">. The historical FHWA finding of a twenty-three percent VMT reduction during the 1970s carpooling peak is consistent with this range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 as is the broader Bureau of Transportation Statistics account of carpool and vanpool benefits </w:t>
      </w:r>
      <w:r>
        <w:rPr>
          <w:rFonts w:ascii="Times New Roman" w:cs="Times New Roman" w:eastAsia="Times New Roman" w:hAnsi="Times New Roman"/>
          <w:sz w:val="22"/>
          <w:szCs w:val="22"/>
        </w:rPr>
        <w:t xml:space="preserve">[74]</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The Deadheading Caveat: Ride-Hailing Is Not Carpooling</w:t>
      </w:r>
    </w:p>
    <w:p>
      <w:pPr>
        <w:spacing w:after="120" w:line="276"/>
        <w:jc w:val="both"/>
      </w:pPr>
      <w:r>
        <w:rPr>
          <w:rFonts w:ascii="Times New Roman" w:cs="Times New Roman" w:eastAsia="Times New Roman" w:hAnsi="Times New Roman"/>
          <w:sz w:val="22"/>
          <w:szCs w:val="22"/>
        </w:rPr>
        <w:t xml:space="preserve">The essential caveat is that </w:t>
      </w:r>
      <w:r>
        <w:rPr>
          <w:rFonts w:ascii="Times New Roman" w:cs="Times New Roman" w:eastAsia="Times New Roman" w:hAnsi="Times New Roman"/>
          <w:b/>
          <w:bCs/>
          <w:sz w:val="22"/>
          <w:szCs w:val="22"/>
        </w:rPr>
        <w:t xml:space="preserve">ride-hailing and carpooling have opposite environmental signs under many conditions</w:t>
      </w:r>
      <w:r>
        <w:rPr>
          <w:rFonts w:ascii="Times New Roman" w:cs="Times New Roman" w:eastAsia="Times New Roman" w:hAnsi="Times New Roman"/>
          <w:sz w:val="22"/>
          <w:szCs w:val="22"/>
        </w:rPr>
        <w:t xml:space="preserve">. A growing body of peer-reviewed evidence finds that commercial ride-hailing frequently </w:t>
      </w:r>
      <w:r>
        <w:rPr>
          <w:rFonts w:ascii="Times New Roman" w:cs="Times New Roman" w:eastAsia="Times New Roman" w:hAnsi="Times New Roman"/>
          <w:i/>
          <w:iCs/>
          <w:sz w:val="22"/>
          <w:szCs w:val="22"/>
        </w:rPr>
        <w:t xml:space="preserve">increases</w:t>
      </w:r>
      <w:r>
        <w:rPr>
          <w:rFonts w:ascii="Times New Roman" w:cs="Times New Roman" w:eastAsia="Times New Roman" w:hAnsi="Times New Roman"/>
          <w:sz w:val="22"/>
          <w:szCs w:val="22"/>
        </w:rPr>
        <w:t xml:space="preserve"> rather than decreases VMT, principally because of “deadheading”—the miles a driver travels without a passenger, between drop-off and the next pickup. A systematic review in </w:t>
      </w:r>
      <w:r>
        <w:rPr>
          <w:rFonts w:ascii="Times New Roman" w:cs="Times New Roman" w:eastAsia="Times New Roman" w:hAnsi="Times New Roman"/>
          <w:i/>
          <w:iCs/>
          <w:sz w:val="22"/>
          <w:szCs w:val="22"/>
        </w:rPr>
        <w:t xml:space="preserve">Environmental Research Letters</w:t>
      </w:r>
      <w:r>
        <w:rPr>
          <w:rFonts w:ascii="Times New Roman" w:cs="Times New Roman" w:eastAsia="Times New Roman" w:hAnsi="Times New Roman"/>
          <w:sz w:val="22"/>
          <w:szCs w:val="22"/>
        </w:rPr>
        <w:t xml:space="preserve"> documents this effect across multiple studies </w:t>
      </w:r>
      <w:r>
        <w:rPr>
          <w:rFonts w:ascii="Times New Roman" w:cs="Times New Roman" w:eastAsia="Times New Roman" w:hAnsi="Times New Roman"/>
          <w:sz w:val="22"/>
          <w:szCs w:val="22"/>
        </w:rPr>
        <w:t xml:space="preserve">[72]</w:t>
      </w:r>
      <w:r>
        <w:rPr>
          <w:rFonts w:ascii="Times New Roman" w:cs="Times New Roman" w:eastAsia="Times New Roman" w:hAnsi="Times New Roman"/>
          <w:sz w:val="22"/>
          <w:szCs w:val="22"/>
        </w:rPr>
        <w:t xml:space="preserve">; Erhardt and colleagues found that transportation network companies were a leading cause of growing congestion in San Francisco </w:t>
      </w:r>
      <w:r>
        <w:rPr>
          <w:rFonts w:ascii="Times New Roman" w:cs="Times New Roman" w:eastAsia="Times New Roman" w:hAnsi="Times New Roman"/>
          <w:sz w:val="22"/>
          <w:szCs w:val="22"/>
        </w:rPr>
        <w:t xml:space="preserve">[68]</w:t>
      </w:r>
      <w:r>
        <w:rPr>
          <w:rFonts w:ascii="Times New Roman" w:cs="Times New Roman" w:eastAsia="Times New Roman" w:hAnsi="Times New Roman"/>
          <w:sz w:val="22"/>
          <w:szCs w:val="22"/>
        </w:rPr>
        <w:t xml:space="preserve">; and analyses by Henao and Marshall and by Diao and colleagues reach convergent conclusions about net VMT increases attributable to ride-hailing </w:t>
      </w:r>
      <w:r>
        <w:rPr>
          <w:rFonts w:ascii="Times New Roman" w:cs="Times New Roman" w:eastAsia="Times New Roman" w:hAnsi="Times New Roman"/>
          <w:sz w:val="22"/>
          <w:szCs w:val="22"/>
        </w:rPr>
        <w:t xml:space="preserve">[69], [70], [71]</w:t>
      </w:r>
      <w:r>
        <w:rPr>
          <w:rFonts w:ascii="Times New Roman" w:cs="Times New Roman" w:eastAsia="Times New Roman" w:hAnsi="Times New Roman"/>
          <w:sz w:val="22"/>
          <w:szCs w:val="22"/>
        </w:rPr>
        <w:t xml:space="preserve">. A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sz w:val="22"/>
          <w:szCs w:val="22"/>
        </w:rPr>
        <w:t xml:space="preserve">-published modeling study quantifies how carpooling and intelligent vehicle dispatching—as opposed to solo ride-sourcing—are what actually produce emissions reductions </w:t>
      </w:r>
      <w:r>
        <w:rPr>
          <w:rFonts w:ascii="Times New Roman" w:cs="Times New Roman" w:eastAsia="Times New Roman" w:hAnsi="Times New Roman"/>
          <w:sz w:val="22"/>
          <w:szCs w:val="22"/>
        </w:rPr>
        <w:t xml:space="preserve">[73]</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The implication for DiamondDrive is strict and non-negotiable for the integrity of its claims: the platform may legitimately claim VMT and emissions benefits </w:t>
      </w:r>
      <w:r>
        <w:rPr>
          <w:rFonts w:ascii="Times New Roman" w:cs="Times New Roman" w:eastAsia="Times New Roman" w:hAnsi="Times New Roman"/>
          <w:b/>
          <w:bCs/>
          <w:sz w:val="22"/>
          <w:szCs w:val="22"/>
        </w:rPr>
        <w:t xml:space="preserve">only for genuinely pooled trips</w:t>
      </w:r>
      <w:r>
        <w:rPr>
          <w:rFonts w:ascii="Times New Roman" w:cs="Times New Roman" w:eastAsia="Times New Roman" w:hAnsi="Times New Roman"/>
          <w:sz w:val="22"/>
          <w:szCs w:val="22"/>
        </w:rPr>
        <w:t xml:space="preserve">—trips that would otherwise have been made by two or more separate vehicles—and must not claim them for solo, on-demand rides that may add deadheading miles. A platform whose matching genuinely combines trips along shared corridors (the Northwest Arkansas commute, for instance) is well positioned to make a defensible environmental claim; one that drifts toward solo on-demand dispatch is not. This distinction should govern both the matching algorithm's design and the venture's external messaging.</w:t>
      </w:r>
    </w:p>
    <w:p>
      <w:pPr>
        <w:pStyle w:val="Heading1"/>
        <w:spacing w:after="160" w:before="320"/>
      </w:pPr>
      <w:r>
        <w:rPr>
          <w:rFonts w:ascii="Arial" w:cs="Arial" w:eastAsia="Arial" w:hAnsi="Arial"/>
          <w:b/>
          <w:bCs/>
          <w:caps/>
          <w:color w:val="0B1F3A"/>
          <w:sz w:val="26"/>
          <w:szCs w:val="26"/>
        </w:rPr>
        <w:t xml:space="preserve">IX.  Trust, Reputation, and Verified Identity</w:t>
      </w:r>
    </w:p>
    <w:p>
      <w:pPr>
        <w:spacing w:after="120" w:line="276"/>
        <w:jc w:val="both"/>
      </w:pPr>
      <w:r>
        <w:rPr>
          <w:rFonts w:ascii="Times New Roman" w:cs="Times New Roman" w:eastAsia="Times New Roman" w:hAnsi="Times New Roman"/>
          <w:sz w:val="22"/>
          <w:szCs w:val="22"/>
        </w:rPr>
        <w:t xml:space="preserve">Section III argued that the historical suppression of carpooling was fundamentally a trust problem. This section reviews the mechanisms by which online platforms manufacture trust and shows that DiamondDrive's two principal trust instruments—university-email verification and a reputation system—are precisely the instruments the literature identifies as effective.</w:t>
      </w:r>
    </w:p>
    <w:p>
      <w:pPr>
        <w:pStyle w:val="Heading2"/>
        <w:spacing w:after="120" w:before="220"/>
      </w:pPr>
      <w:r>
        <w:rPr>
          <w:rFonts w:ascii="Arial" w:cs="Arial" w:eastAsia="Arial" w:hAnsi="Arial"/>
          <w:b/>
          <w:bCs/>
          <w:color w:val="1C6FD6"/>
          <w:sz w:val="23"/>
          <w:szCs w:val="23"/>
        </w:rPr>
        <w:t xml:space="preserve">A.  Reputation Systems as the Cornerstone of P2P Trust</w:t>
      </w:r>
    </w:p>
    <w:p>
      <w:pPr>
        <w:spacing w:after="120" w:line="276"/>
        <w:jc w:val="both"/>
      </w:pPr>
      <w:r>
        <w:rPr>
          <w:rFonts w:ascii="Times New Roman" w:cs="Times New Roman" w:eastAsia="Times New Roman" w:hAnsi="Times New Roman"/>
          <w:sz w:val="22"/>
          <w:szCs w:val="22"/>
        </w:rPr>
        <w:t xml:space="preserve">Reputation systems are the central institution of trust in peer-to-peer markets. The foundational treatment by Resnick and colleagues defines a reputation system as a mechanism that collects, distributes, and aggregates feedback about participants' past behavior, converting private histories into public signals that mitigate the information asymmetry between strangers </w:t>
      </w:r>
      <w:r>
        <w:rPr>
          <w:rFonts w:ascii="Times New Roman" w:cs="Times New Roman" w:eastAsia="Times New Roman" w:hAnsi="Times New Roman"/>
          <w:sz w:val="22"/>
          <w:szCs w:val="22"/>
        </w:rPr>
        <w:t xml:space="preserve">[75]</w:t>
      </w:r>
      <w:r>
        <w:rPr>
          <w:rFonts w:ascii="Times New Roman" w:cs="Times New Roman" w:eastAsia="Times New Roman" w:hAnsi="Times New Roman"/>
          <w:sz w:val="22"/>
          <w:szCs w:val="22"/>
        </w:rPr>
        <w:t xml:space="preserve">. Dellarocas analyzed the promise and the pathologies of such “online word-of-mouth” mechanisms </w:t>
      </w:r>
      <w:r>
        <w:rPr>
          <w:rFonts w:ascii="Times New Roman" w:cs="Times New Roman" w:eastAsia="Times New Roman" w:hAnsi="Times New Roman"/>
          <w:sz w:val="22"/>
          <w:szCs w:val="22"/>
        </w:rPr>
        <w:t xml:space="preserve">[78]</w:t>
      </w:r>
      <w:r>
        <w:rPr>
          <w:rFonts w:ascii="Times New Roman" w:cs="Times New Roman" w:eastAsia="Times New Roman" w:hAnsi="Times New Roman"/>
          <w:sz w:val="22"/>
          <w:szCs w:val="22"/>
        </w:rPr>
        <w:t xml:space="preserve">, and Tadelis's review synthesizes two decades of evidence that reputation and feedback systems materially improve market outcomes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A meta-analysis of 107 studies corroborates a robust positive reputation effect on selling performance across diverse operationalizations </w:t>
      </w:r>
      <w:r>
        <w:rPr>
          <w:rFonts w:ascii="Times New Roman" w:cs="Times New Roman" w:eastAsia="Times New Roman" w:hAnsi="Times New Roman"/>
          <w:sz w:val="22"/>
          <w:szCs w:val="22"/>
        </w:rPr>
        <w:t xml:space="preserve">[84]</w:t>
      </w:r>
      <w:r>
        <w:rPr>
          <w:rFonts w:ascii="Times New Roman" w:cs="Times New Roman" w:eastAsia="Times New Roman" w:hAnsi="Times New Roman"/>
          <w:sz w:val="22"/>
          <w:szCs w:val="22"/>
        </w:rPr>
        <w:t xml:space="preserve">, and platform-specific evidence—for example, from Mercado Libre—shows that trust rises with review quality and falls with the perceived prevalence of fake reviews </w:t>
      </w:r>
      <w:r>
        <w:rPr>
          <w:rFonts w:ascii="Times New Roman" w:cs="Times New Roman" w:eastAsia="Times New Roman" w:hAnsi="Times New Roman"/>
          <w:sz w:val="22"/>
          <w:szCs w:val="22"/>
        </w:rPr>
        <w:t xml:space="preserve">[82]</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The literature is equally clear about how reputation systems fail, and these failure modes are design warnings for DiamondDrive. Reputation can be inflated when raters fear retaliation or reciprocate leniency: Filippas, Horton, and Golden document systematic “reputation inflation” in online marketplaces </w:t>
      </w:r>
      <w:r>
        <w:rPr>
          <w:rFonts w:ascii="Times New Roman" w:cs="Times New Roman" w:eastAsia="Times New Roman" w:hAnsi="Times New Roman"/>
          <w:sz w:val="22"/>
          <w:szCs w:val="22"/>
        </w:rPr>
        <w:t xml:space="preserve">[80]</w:t>
      </w:r>
      <w:r>
        <w:rPr>
          <w:rFonts w:ascii="Times New Roman" w:cs="Times New Roman" w:eastAsia="Times New Roman" w:hAnsi="Times New Roman"/>
          <w:sz w:val="22"/>
          <w:szCs w:val="22"/>
        </w:rPr>
        <w:t xml:space="preserve">, and Bolton, Greiner, and Ockenfels show experimentally how reciprocity in feedback distorts the information reputation is meant to convey </w:t>
      </w:r>
      <w:r>
        <w:rPr>
          <w:rFonts w:ascii="Times New Roman" w:cs="Times New Roman" w:eastAsia="Times New Roman" w:hAnsi="Times New Roman"/>
          <w:sz w:val="22"/>
          <w:szCs w:val="22"/>
        </w:rPr>
        <w:t xml:space="preserve">[79]</w:t>
      </w:r>
      <w:r>
        <w:rPr>
          <w:rFonts w:ascii="Times New Roman" w:cs="Times New Roman" w:eastAsia="Times New Roman" w:hAnsi="Times New Roman"/>
          <w:sz w:val="22"/>
          <w:szCs w:val="22"/>
        </w:rPr>
        <w:t xml:space="preserve">. A credible DiamondDrive ratings design must therefore protect rater anonymity, discourage reciprocal retaliation, and guard against manipulation—lessons drawn directly from this body of work </w:t>
      </w:r>
      <w:r>
        <w:rPr>
          <w:rFonts w:ascii="Times New Roman" w:cs="Times New Roman" w:eastAsia="Times New Roman" w:hAnsi="Times New Roman"/>
          <w:sz w:val="22"/>
          <w:szCs w:val="22"/>
        </w:rPr>
        <w:t xml:space="preserve">[77]</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Verified Identity as a Trust Mechanism in Its Own Right</w:t>
      </w:r>
    </w:p>
    <w:p>
      <w:pPr>
        <w:spacing w:after="120" w:line="276"/>
        <w:jc w:val="both"/>
      </w:pPr>
      <w:r>
        <w:rPr>
          <w:rFonts w:ascii="Times New Roman" w:cs="Times New Roman" w:eastAsia="Times New Roman" w:hAnsi="Times New Roman"/>
          <w:sz w:val="22"/>
          <w:szCs w:val="22"/>
        </w:rPr>
        <w:t xml:space="preserve">University-email verification is not merely an access-control convenience; it is itself a trust instrument, and a powerful one. By guaranteeing that every participant is a member of a single, accountable institution—subject to that institution's code of conduct and traceable through it—the verification gate raises the real and perceived cost of misbehavior and narrows the population of counterparties to affiliated peers. This is the mechanical realization of the closed-network design that allowed Zimride to overcome the carpooling trust barrier where open systems had failed </w:t>
      </w:r>
      <w:r>
        <w:rPr>
          <w:rFonts w:ascii="Times New Roman" w:cs="Times New Roman" w:eastAsia="Times New Roman" w:hAnsi="Times New Roman"/>
          <w:sz w:val="22"/>
          <w:szCs w:val="22"/>
        </w:rPr>
        <w:t xml:space="preserve">[19], [20]</w:t>
      </w:r>
      <w:r>
        <w:rPr>
          <w:rFonts w:ascii="Times New Roman" w:cs="Times New Roman" w:eastAsia="Times New Roman" w:hAnsi="Times New Roman"/>
          <w:sz w:val="22"/>
          <w:szCs w:val="22"/>
        </w:rPr>
        <w:t xml:space="preserve">. Botsman's account of how technology reconfigures interpersonal trust frames why such institutional verification is so effective in the platform era: it substitutes a verifiable institutional signal for the personal familiarity that small-community trust once required </w:t>
      </w:r>
      <w:r>
        <w:rPr>
          <w:rFonts w:ascii="Times New Roman" w:cs="Times New Roman" w:eastAsia="Times New Roman" w:hAnsi="Times New Roman"/>
          <w:sz w:val="22"/>
          <w:szCs w:val="22"/>
        </w:rPr>
        <w:t xml:space="preserve">[81]</w:t>
      </w:r>
      <w:r>
        <w:rPr>
          <w:rFonts w:ascii="Times New Roman" w:cs="Times New Roman" w:eastAsia="Times New Roman" w:hAnsi="Times New Roman"/>
          <w:sz w:val="22"/>
          <w:szCs w:val="22"/>
        </w:rPr>
        <w:t xml:space="preserve">. The combination of verified identity at entry and a well-designed reputation system in operation constitutes DiamondDrive's central differentiator against general-purpose incumbents, whose networks are open by design.</w:t>
      </w:r>
    </w:p>
    <w:p>
      <w:pPr>
        <w:pStyle w:val="Heading1"/>
        <w:spacing w:after="160" w:before="320"/>
      </w:pPr>
      <w:r>
        <w:rPr>
          <w:rFonts w:ascii="Arial" w:cs="Arial" w:eastAsia="Arial" w:hAnsi="Arial"/>
          <w:b/>
          <w:bCs/>
          <w:caps/>
          <w:color w:val="0B1F3A"/>
          <w:sz w:val="26"/>
          <w:szCs w:val="26"/>
        </w:rPr>
        <w:t xml:space="preserve">X.  Safety Engineering</w:t>
      </w:r>
    </w:p>
    <w:p>
      <w:pPr>
        <w:spacing w:after="120" w:line="276"/>
        <w:jc w:val="both"/>
      </w:pPr>
      <w:r>
        <w:rPr>
          <w:rFonts w:ascii="Times New Roman" w:cs="Times New Roman" w:eastAsia="Times New Roman" w:hAnsi="Times New Roman"/>
          <w:sz w:val="22"/>
          <w:szCs w:val="22"/>
        </w:rPr>
        <w:t xml:space="preserve">Trust mechanisms reduce the probability of bad actors entering the network; safety features mitigate harm when incidents nonetheless occur. The mature ride-hailing industry has converged on a recognizable safety stack that constitutes the de facto benchmark against which any new entrant—and any institutional partner evaluating one—will measure DiamondDrive.</w:t>
      </w:r>
    </w:p>
    <w:p>
      <w:pPr>
        <w:pStyle w:val="Heading2"/>
        <w:spacing w:after="120" w:before="220"/>
      </w:pPr>
      <w:r>
        <w:rPr>
          <w:rFonts w:ascii="Arial" w:cs="Arial" w:eastAsia="Arial" w:hAnsi="Arial"/>
          <w:b/>
          <w:bCs/>
          <w:color w:val="1C6FD6"/>
          <w:sz w:val="23"/>
          <w:szCs w:val="23"/>
        </w:rPr>
        <w:t xml:space="preserve">A.  The Industry-Standard Safety Stack</w:t>
      </w:r>
    </w:p>
    <w:p>
      <w:pPr>
        <w:spacing w:after="120" w:line="276"/>
        <w:jc w:val="both"/>
      </w:pPr>
      <w:r>
        <w:rPr>
          <w:rFonts w:ascii="Times New Roman" w:cs="Times New Roman" w:eastAsia="Times New Roman" w:hAnsi="Times New Roman"/>
          <w:sz w:val="22"/>
          <w:szCs w:val="22"/>
        </w:rPr>
        <w:t xml:space="preserve">Uber's and Lyft's published safety architectures share a common set of components: real-time identity verification (Uber's “Real-Time ID Check” periodically requires a driver selfie matched against the account photo); background checks at onboarding with annual re-screening and continuous criminal monitoring; an in-application emergency button integrated with emergency services; ride-anomaly and crash detection (Uber's “RideCheck” detects unexpected stops and route deviations); personal identification number verification at pickup; live trip sharing with trusted contacts; address anonymization and phone-number masking; and optional encrypted audio recording </w:t>
      </w:r>
      <w:r>
        <w:rPr>
          <w:rFonts w:ascii="Times New Roman" w:cs="Times New Roman" w:eastAsia="Times New Roman" w:hAnsi="Times New Roman"/>
          <w:sz w:val="22"/>
          <w:szCs w:val="22"/>
        </w:rPr>
        <w:t xml:space="preserve">[86], [87]</w:t>
      </w:r>
      <w:r>
        <w:rPr>
          <w:rFonts w:ascii="Times New Roman" w:cs="Times New Roman" w:eastAsia="Times New Roman" w:hAnsi="Times New Roman"/>
          <w:sz w:val="22"/>
          <w:szCs w:val="22"/>
        </w:rPr>
        <w:t xml:space="preserve">. The emergency-response component is frequently delivered through RapidSOS, which transmits a rider's location and vehicle data directly to 911 telecommunicators in real time </w:t>
      </w:r>
      <w:r>
        <w:rPr>
          <w:rFonts w:ascii="Times New Roman" w:cs="Times New Roman" w:eastAsia="Times New Roman" w:hAnsi="Times New Roman"/>
          <w:sz w:val="22"/>
          <w:szCs w:val="22"/>
        </w:rPr>
        <w:t xml:space="preserve">[88]</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Scale, Incident Rates, and Lightweight Implementations</w:t>
      </w:r>
    </w:p>
    <w:p>
      <w:pPr>
        <w:spacing w:after="120" w:line="276"/>
        <w:jc w:val="both"/>
      </w:pPr>
      <w:r>
        <w:rPr>
          <w:rFonts w:ascii="Times New Roman" w:cs="Times New Roman" w:eastAsia="Times New Roman" w:hAnsi="Times New Roman"/>
          <w:sz w:val="22"/>
          <w:szCs w:val="22"/>
        </w:rPr>
        <w:t xml:space="preserve">The scale at which these systems operate, and the incident rates they accompany, provide useful reference points. Uber reported that more than 750,000 prospective drivers failed its multistep screening in 2021 and 2022 and that 185,000 were removed through continuous monitoring </w:t>
      </w:r>
      <w:r>
        <w:rPr>
          <w:rFonts w:ascii="Times New Roman" w:cs="Times New Roman" w:eastAsia="Times New Roman" w:hAnsi="Times New Roman"/>
          <w:sz w:val="22"/>
          <w:szCs w:val="22"/>
        </w:rPr>
        <w:t xml:space="preserve">[86], [85]</w:t>
      </w:r>
      <w:r>
        <w:rPr>
          <w:rFonts w:ascii="Times New Roman" w:cs="Times New Roman" w:eastAsia="Times New Roman" w:hAnsi="Times New Roman"/>
          <w:sz w:val="22"/>
          <w:szCs w:val="22"/>
        </w:rPr>
        <w:t xml:space="preserve">; both Uber and Lyft report that more than 99.9 percent of trips occur without any safety incident, a figure drawn from billions of trips </w:t>
      </w:r>
      <w:r>
        <w:rPr>
          <w:rFonts w:ascii="Times New Roman" w:cs="Times New Roman" w:eastAsia="Times New Roman" w:hAnsi="Times New Roman"/>
          <w:sz w:val="22"/>
          <w:szCs w:val="22"/>
        </w:rPr>
        <w:t xml:space="preserve">[85], [47]</w:t>
      </w:r>
      <w:r>
        <w:rPr>
          <w:rFonts w:ascii="Times New Roman" w:cs="Times New Roman" w:eastAsia="Times New Roman" w:hAnsi="Times New Roman"/>
          <w:sz w:val="22"/>
          <w:szCs w:val="22"/>
        </w:rPr>
        <w:t xml:space="preserve">. The economics-of-security literature cautions, however, that background checks and identity verification are imperfect instruments whose limits must be understood rather than oversold </w:t>
      </w:r>
      <w:r>
        <w:rPr>
          <w:rFonts w:ascii="Times New Roman" w:cs="Times New Roman" w:eastAsia="Times New Roman" w:hAnsi="Times New Roman"/>
          <w:sz w:val="22"/>
          <w:szCs w:val="22"/>
        </w:rPr>
        <w:t xml:space="preserve">[89], [90]</w:t>
      </w:r>
      <w:r>
        <w:rPr>
          <w:rFonts w:ascii="Times New Roman" w:cs="Times New Roman" w:eastAsia="Times New Roman" w:hAnsi="Times New Roman"/>
          <w:sz w:val="22"/>
          <w:szCs w:val="22"/>
        </w:rPr>
        <w:t xml:space="preserve">, and the engineering literature on connected-vehicle crash detection indicates that native crash detection is technically demanding </w:t>
      </w:r>
      <w:r>
        <w:rPr>
          <w:rFonts w:ascii="Times New Roman" w:cs="Times New Roman" w:eastAsia="Times New Roman" w:hAnsi="Times New Roman"/>
          <w:sz w:val="22"/>
          <w:szCs w:val="22"/>
        </w:rPr>
        <w:t xml:space="preserve">[91]</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For a student team that cannot build a native crash-detection system at the outset, the practical path is incremental and partnership-based. Third-party safety-as-a-service providers such as Noonlight expose application-programming interfaces for emergency response that can be integrated quickly </w:t>
      </w:r>
      <w:r>
        <w:rPr>
          <w:rFonts w:ascii="Times New Roman" w:cs="Times New Roman" w:eastAsia="Times New Roman" w:hAnsi="Times New Roman"/>
          <w:sz w:val="22"/>
          <w:szCs w:val="22"/>
        </w:rPr>
        <w:t xml:space="preserve">[92]</w:t>
      </w:r>
      <w:r>
        <w:rPr>
          <w:rFonts w:ascii="Times New Roman" w:cs="Times New Roman" w:eastAsia="Times New Roman" w:hAnsi="Times New Roman"/>
          <w:sz w:val="22"/>
          <w:szCs w:val="22"/>
        </w:rPr>
        <w:t xml:space="preserve">, and the recommended sequence (Section XV) is to launch with identity verification, live trip sharing, and an SOS button—each achievable with established APIs—and to defer crash detection to a later release. This staging matches safety investment to the platform's growth and avoids over-engineering features the earliest user base does not yet need.</w:t>
      </w:r>
    </w:p>
    <w:p>
      <w:pPr>
        <w:pStyle w:val="Heading1"/>
        <w:spacing w:after="160" w:before="320"/>
      </w:pPr>
      <w:r>
        <w:rPr>
          <w:rFonts w:ascii="Arial" w:cs="Arial" w:eastAsia="Arial" w:hAnsi="Arial"/>
          <w:b/>
          <w:bCs/>
          <w:caps/>
          <w:color w:val="0B1F3A"/>
          <w:sz w:val="26"/>
          <w:szCs w:val="26"/>
        </w:rPr>
        <w:t xml:space="preserve">XI.  Regulatory and Insurance Environment</w:t>
      </w:r>
    </w:p>
    <w:p>
      <w:pPr>
        <w:spacing w:after="120" w:line="276"/>
        <w:jc w:val="both"/>
      </w:pPr>
      <w:r>
        <w:rPr>
          <w:rFonts w:ascii="Times New Roman" w:cs="Times New Roman" w:eastAsia="Times New Roman" w:hAnsi="Times New Roman"/>
          <w:sz w:val="22"/>
          <w:szCs w:val="22"/>
        </w:rPr>
        <w:t xml:space="preserve">The preceding sections establish that DiamondDrive is socially and technically feasible. This section addresses the constraint that determines whether it is </w:t>
      </w:r>
      <w:r>
        <w:rPr>
          <w:rFonts w:ascii="Times New Roman" w:cs="Times New Roman" w:eastAsia="Times New Roman" w:hAnsi="Times New Roman"/>
          <w:b/>
          <w:bCs/>
          <w:sz w:val="22"/>
          <w:szCs w:val="22"/>
        </w:rPr>
        <w:t xml:space="preserve">legally and financially</w:t>
      </w:r>
      <w:r>
        <w:rPr>
          <w:rFonts w:ascii="Times New Roman" w:cs="Times New Roman" w:eastAsia="Times New Roman" w:hAnsi="Times New Roman"/>
          <w:sz w:val="22"/>
          <w:szCs w:val="22"/>
        </w:rPr>
        <w:t xml:space="preserve"> feasible—and concludes that this constraint, not technology or adoption, is the decisive one. The analysis is specific to Arkansas law and should be read as informing, not substituting for, the binding legal opinion the venture must obtain before operating.</w:t>
      </w:r>
    </w:p>
    <w:p>
      <w:pPr>
        <w:pStyle w:val="Heading2"/>
        <w:spacing w:after="120" w:before="220"/>
      </w:pPr>
      <w:r>
        <w:rPr>
          <w:rFonts w:ascii="Arial" w:cs="Arial" w:eastAsia="Arial" w:hAnsi="Arial"/>
          <w:b/>
          <w:bCs/>
          <w:color w:val="1C6FD6"/>
          <w:sz w:val="23"/>
          <w:szCs w:val="23"/>
        </w:rPr>
        <w:t xml:space="preserve">A.  The Arkansas Transportation Network Company Services Act</w:t>
      </w:r>
    </w:p>
    <w:p>
      <w:pPr>
        <w:spacing w:after="120" w:line="276"/>
        <w:jc w:val="both"/>
      </w:pPr>
      <w:r>
        <w:rPr>
          <w:rFonts w:ascii="Times New Roman" w:cs="Times New Roman" w:eastAsia="Times New Roman" w:hAnsi="Times New Roman"/>
          <w:sz w:val="22"/>
          <w:szCs w:val="22"/>
        </w:rPr>
        <w:t xml:space="preserve">Arkansas regulates app-dispatched for-hire transportation through the </w:t>
      </w:r>
      <w:r>
        <w:rPr>
          <w:rFonts w:ascii="Times New Roman" w:cs="Times New Roman" w:eastAsia="Times New Roman" w:hAnsi="Times New Roman"/>
          <w:b/>
          <w:bCs/>
          <w:sz w:val="22"/>
          <w:szCs w:val="22"/>
        </w:rPr>
        <w:t xml:space="preserve">Transportation Network Company Services Act of 2015</w:t>
      </w:r>
      <w:r>
        <w:rPr>
          <w:rFonts w:ascii="Times New Roman" w:cs="Times New Roman" w:eastAsia="Times New Roman" w:hAnsi="Times New Roman"/>
          <w:sz w:val="22"/>
          <w:szCs w:val="22"/>
        </w:rPr>
        <w:t xml:space="preserve">, codified at Arkansas Code §23-13-701 and following </w:t>
      </w:r>
      <w:r>
        <w:rPr>
          <w:rFonts w:ascii="Times New Roman" w:cs="Times New Roman" w:eastAsia="Times New Roman" w:hAnsi="Times New Roman"/>
          <w:sz w:val="22"/>
          <w:szCs w:val="22"/>
        </w:rPr>
        <w:t xml:space="preserve">[93]</w:t>
      </w:r>
      <w:r>
        <w:rPr>
          <w:rFonts w:ascii="Times New Roman" w:cs="Times New Roman" w:eastAsia="Times New Roman" w:hAnsi="Times New Roman"/>
          <w:sz w:val="22"/>
          <w:szCs w:val="22"/>
        </w:rPr>
        <w:t xml:space="preserve">. A “transportation network company” (TNC) is, in essence, an entity that uses a digital network to connect passengers with drivers who provide prearranged rides for compensation. The Act's insurance provision, §23-13-709, imposes a three-phase coverage structure keyed to the driver's status in the application </w:t>
      </w:r>
      <w:r>
        <w:rPr>
          <w:rFonts w:ascii="Times New Roman" w:cs="Times New Roman" w:eastAsia="Times New Roman" w:hAnsi="Times New Roman"/>
          <w:sz w:val="22"/>
          <w:szCs w:val="22"/>
        </w:rPr>
        <w:t xml:space="preserve">[94]</w:t>
      </w:r>
      <w:r>
        <w:rPr>
          <w:rFonts w:ascii="Times New Roman" w:cs="Times New Roman" w:eastAsia="Times New Roman" w:hAnsi="Times New Roman"/>
          <w:sz w:val="22"/>
          <w:szCs w:val="22"/>
        </w:rPr>
        <w:t xml:space="preserve">. Table II summarizes the structure.</w:t>
      </w:r>
    </w:p>
    <w:p>
      <w:pPr>
        <w:spacing w:after="80" w:before="200"/>
        <w:jc w:val="center"/>
      </w:pPr>
      <w:r>
        <w:rPr>
          <w:rFonts w:ascii="Arial" w:cs="Arial" w:eastAsia="Arial" w:hAnsi="Arial"/>
          <w:b/>
          <w:bCs/>
          <w:caps/>
          <w:color w:val="0B1F3A"/>
          <w:sz w:val="18"/>
          <w:szCs w:val="18"/>
        </w:rPr>
        <w:t xml:space="preserve">Table II.  Arkansas TNC Insurance Requirements by Driver Phase (Ark. Code §23-13-709)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80"/>
        <w:gridCol w:w="2980"/>
      </w:tblGrid>
      <w:tr>
        <w:trPr>
          <w:tblHeader/>
        </w:trPr>
        <w:tc>
          <w:tcPr>
            <w:tcW w:type="dxa" w:w="30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Phase</w:t>
            </w:r>
          </w:p>
        </w:tc>
        <w:tc>
          <w:tcPr>
            <w:tcW w:type="dxa" w:w="338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Driver Status</w:t>
            </w:r>
          </w:p>
        </w:tc>
        <w:tc>
          <w:tcPr>
            <w:tcW w:type="dxa" w:w="298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Minimum Coverage</w:t>
            </w:r>
          </w:p>
        </w:tc>
      </w:tr>
      <w:tr>
        <w:tc>
          <w:tcPr>
            <w:tcW w:type="dxa" w:w="30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Phase 1</w:t>
            </w:r>
          </w:p>
        </w:tc>
        <w:tc>
          <w:tcPr>
            <w:tcW w:type="dxa" w:w="338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App on, available, not yet matched to a ride</w:t>
            </w:r>
          </w:p>
        </w:tc>
        <w:tc>
          <w:tcPr>
            <w:tcW w:type="dxa" w:w="298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$50,000 per person / $100,000 per incident bodily injury; $25,000 property damage</w:t>
            </w:r>
          </w:p>
        </w:tc>
      </w:tr>
      <w:tr>
        <w:tc>
          <w:tcPr>
            <w:tcW w:type="dxa" w:w="30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Phases 2–3</w:t>
            </w:r>
          </w:p>
        </w:tc>
        <w:tc>
          <w:tcPr>
            <w:tcW w:type="dxa" w:w="338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En route to pickup; passenger aboard</w:t>
            </w:r>
          </w:p>
        </w:tc>
        <w:tc>
          <w:tcPr>
            <w:tcW w:type="dxa" w:w="298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At least $1,000,000 for death, bodily injury, and property damage</w:t>
            </w:r>
          </w:p>
        </w:tc>
      </w:tr>
    </w:tbl>
    <w:p>
      <w:pPr>
        <w:spacing w:after="200" w:before="80"/>
        <w:jc w:val="center"/>
      </w:pPr>
      <w:r>
        <w:rPr>
          <w:rFonts w:ascii="Arial" w:cs="Arial" w:eastAsia="Arial" w:hAnsi="Arial"/>
          <w:i/>
          <w:iCs/>
          <w:color w:val="5A6675"/>
          <w:sz w:val="17"/>
          <w:szCs w:val="17"/>
        </w:rPr>
        <w:t xml:space="preserve">Source: Arkansas Code §23-13-709 [94]; see also the TCRP state-statute survey [95].</w:t>
      </w:r>
    </w:p>
    <w:p>
      <w:pPr>
        <w:pStyle w:val="Heading2"/>
        <w:spacing w:after="120" w:before="220"/>
      </w:pPr>
      <w:r>
        <w:rPr>
          <w:rFonts w:ascii="Arial" w:cs="Arial" w:eastAsia="Arial" w:hAnsi="Arial"/>
          <w:b/>
          <w:bCs/>
          <w:color w:val="1C6FD6"/>
          <w:sz w:val="23"/>
          <w:szCs w:val="23"/>
        </w:rPr>
        <w:t xml:space="preserve">B.  The Coverage Gap: The Existential Risk</w:t>
      </w:r>
    </w:p>
    <w:p>
      <w:pPr>
        <w:spacing w:after="120" w:line="276"/>
        <w:jc w:val="both"/>
      </w:pPr>
      <w:r>
        <w:rPr>
          <w:rFonts w:ascii="Times New Roman" w:cs="Times New Roman" w:eastAsia="Times New Roman" w:hAnsi="Times New Roman"/>
          <w:sz w:val="22"/>
          <w:szCs w:val="22"/>
        </w:rPr>
        <w:t xml:space="preserve">The provision that makes this an existential rather than a routine compliance matter is §23-13-709's treatment of personal-automobile insurance. The statute expressly </w:t>
      </w:r>
      <w:r>
        <w:rPr>
          <w:rFonts w:ascii="Times New Roman" w:cs="Times New Roman" w:eastAsia="Times New Roman" w:hAnsi="Times New Roman"/>
          <w:b/>
          <w:bCs/>
          <w:sz w:val="22"/>
          <w:szCs w:val="22"/>
        </w:rPr>
        <w:t xml:space="preserve">permits a personal-auto insurer to exclude all coverage</w:t>
      </w:r>
      <w:r>
        <w:rPr>
          <w:rFonts w:ascii="Times New Roman" w:cs="Times New Roman" w:eastAsia="Times New Roman" w:hAnsi="Times New Roman"/>
          <w:sz w:val="22"/>
          <w:szCs w:val="22"/>
        </w:rPr>
        <w:t xml:space="preserve"> while a driver is logged into a digital network—</w:t>
      </w:r>
      <w:r>
        <w:rPr>
          <w:rFonts w:ascii="Times New Roman" w:cs="Times New Roman" w:eastAsia="Times New Roman" w:hAnsi="Times New Roman"/>
          <w:i/>
          <w:iCs/>
          <w:sz w:val="22"/>
          <w:szCs w:val="22"/>
        </w:rPr>
        <w:t xml:space="preserve">even before any ride is accepted</w:t>
      </w:r>
      <w:r>
        <w:rPr>
          <w:rFonts w:ascii="Times New Roman" w:cs="Times New Roman" w:eastAsia="Times New Roman" w:hAnsi="Times New Roman"/>
          <w:sz w:val="22"/>
          <w:szCs w:val="22"/>
        </w:rPr>
        <w:t xml:space="preserve">—and relieves the insurer of any duty to defend or indemnify the excluded claim </w:t>
      </w:r>
      <w:r>
        <w:rPr>
          <w:rFonts w:ascii="Times New Roman" w:cs="Times New Roman" w:eastAsia="Times New Roman" w:hAnsi="Times New Roman"/>
          <w:sz w:val="22"/>
          <w:szCs w:val="22"/>
        </w:rPr>
        <w:t xml:space="preserve">[94], [98]</w:t>
      </w:r>
      <w:r>
        <w:rPr>
          <w:rFonts w:ascii="Times New Roman" w:cs="Times New Roman" w:eastAsia="Times New Roman" w:hAnsi="Times New Roman"/>
          <w:sz w:val="22"/>
          <w:szCs w:val="22"/>
        </w:rPr>
        <w:t xml:space="preserve">. The practical consequence is a “coverage gap” in which a driver who has done nothing more than open the application may carry </w:t>
      </w:r>
      <w:r>
        <w:rPr>
          <w:rFonts w:ascii="Times New Roman" w:cs="Times New Roman" w:eastAsia="Times New Roman" w:hAnsi="Times New Roman"/>
          <w:b/>
          <w:bCs/>
          <w:sz w:val="22"/>
          <w:szCs w:val="22"/>
        </w:rPr>
        <w:t xml:space="preserve">no applicable insurance at all</w:t>
      </w:r>
      <w:r>
        <w:rPr>
          <w:rFonts w:ascii="Times New Roman" w:cs="Times New Roman" w:eastAsia="Times New Roman" w:hAnsi="Times New Roman"/>
          <w:sz w:val="22"/>
          <w:szCs w:val="22"/>
        </w:rPr>
        <w:t xml:space="preserve"> unless a TNC-grade policy fills the void. A national survey of state TNC statutes confirms that Arkansas additionally excludes TNC drivers from workers' compensation coverage and preempts local regulation of TNCs </w:t>
      </w:r>
      <w:r>
        <w:rPr>
          <w:rFonts w:ascii="Times New Roman" w:cs="Times New Roman" w:eastAsia="Times New Roman" w:hAnsi="Times New Roman"/>
          <w:sz w:val="22"/>
          <w:szCs w:val="22"/>
        </w:rPr>
        <w:t xml:space="preserve">[95]</w:t>
      </w:r>
      <w:r>
        <w:rPr>
          <w:rFonts w:ascii="Times New Roman" w:cs="Times New Roman" w:eastAsia="Times New Roman" w:hAnsi="Times New Roman"/>
          <w:sz w:val="22"/>
          <w:szCs w:val="22"/>
        </w:rPr>
        <w:t xml:space="preserve">. A single uninsured collision during a logged-in trip could thus expose both the driver and the student organizers to catastrophic personal liability—an outcome that would end the venture and that no amount of product quality can offset </w:t>
      </w:r>
      <w:r>
        <w:rPr>
          <w:rFonts w:ascii="Times New Roman" w:cs="Times New Roman" w:eastAsia="Times New Roman" w:hAnsi="Times New Roman"/>
          <w:sz w:val="22"/>
          <w:szCs w:val="22"/>
        </w:rPr>
        <w:t xml:space="preserve">[98], [99]</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C.  The Decisive Design Choice: Cost-Sharing Carpool versus TNC</w:t>
      </w:r>
    </w:p>
    <w:p>
      <w:pPr>
        <w:spacing w:after="120" w:line="276"/>
        <w:jc w:val="both"/>
      </w:pPr>
      <w:r>
        <w:rPr>
          <w:rFonts w:ascii="Times New Roman" w:cs="Times New Roman" w:eastAsia="Times New Roman" w:hAnsi="Times New Roman"/>
          <w:sz w:val="22"/>
          <w:szCs w:val="22"/>
        </w:rPr>
        <w:t xml:space="preserve">The escape from the coverage gap lies in how DiamondDrive is classified, and that classification is determined by how it prices rides. The Act and the broader regulatory literature distinguish a </w:t>
      </w:r>
      <w:r>
        <w:rPr>
          <w:rFonts w:ascii="Times New Roman" w:cs="Times New Roman" w:eastAsia="Times New Roman" w:hAnsi="Times New Roman"/>
          <w:b/>
          <w:bCs/>
          <w:sz w:val="22"/>
          <w:szCs w:val="22"/>
        </w:rPr>
        <w:t xml:space="preserve">genuine cost-sharing ridesharing arrangement</w:t>
      </w:r>
      <w:r>
        <w:rPr>
          <w:rFonts w:ascii="Times New Roman" w:cs="Times New Roman" w:eastAsia="Times New Roman" w:hAnsi="Times New Roman"/>
          <w:sz w:val="22"/>
          <w:szCs w:val="22"/>
        </w:rPr>
        <w:t xml:space="preserve">—in which a driver recovers no more than the actual costs of a trip (fuel, wear) and earns no profit—from a </w:t>
      </w:r>
      <w:r>
        <w:rPr>
          <w:rFonts w:ascii="Times New Roman" w:cs="Times New Roman" w:eastAsia="Times New Roman" w:hAnsi="Times New Roman"/>
          <w:b/>
          <w:bCs/>
          <w:sz w:val="22"/>
          <w:szCs w:val="22"/>
        </w:rPr>
        <w:t xml:space="preserve">for-hire TNC</w:t>
      </w:r>
      <w:r>
        <w:rPr>
          <w:rFonts w:ascii="Times New Roman" w:cs="Times New Roman" w:eastAsia="Times New Roman" w:hAnsi="Times New Roman"/>
          <w:sz w:val="22"/>
          <w:szCs w:val="22"/>
        </w:rPr>
        <w:t xml:space="preserve"> operated for compensation </w:t>
      </w:r>
      <w:r>
        <w:rPr>
          <w:rFonts w:ascii="Times New Roman" w:cs="Times New Roman" w:eastAsia="Times New Roman" w:hAnsi="Times New Roman"/>
          <w:sz w:val="22"/>
          <w:szCs w:val="22"/>
        </w:rPr>
        <w:t xml:space="preserve">[93], [95], [96]</w:t>
      </w:r>
      <w:r>
        <w:rPr>
          <w:rFonts w:ascii="Times New Roman" w:cs="Times New Roman" w:eastAsia="Times New Roman" w:hAnsi="Times New Roman"/>
          <w:sz w:val="22"/>
          <w:szCs w:val="22"/>
        </w:rPr>
        <w:t xml:space="preserve">. A bona fide cost-sharing carpool plausibly falls outside the TNC definition and therefore outside the one-million-dollar mandate; a platform that charges per-ride prices yielding driver profit, or that applies surge pricing, risks reclassification as a TNC, with the full §23-13-709 obligations attaching </w:t>
      </w:r>
      <w:r>
        <w:rPr>
          <w:rFonts w:ascii="Times New Roman" w:cs="Times New Roman" w:eastAsia="Times New Roman" w:hAnsi="Times New Roman"/>
          <w:sz w:val="22"/>
          <w:szCs w:val="22"/>
        </w:rPr>
        <w:t xml:space="preserve">[94], [97]</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This yields the single most important design constraint in the paper, and it is a </w:t>
      </w:r>
      <w:r>
        <w:rPr>
          <w:rFonts w:ascii="Times New Roman" w:cs="Times New Roman" w:eastAsia="Times New Roman" w:hAnsi="Times New Roman"/>
          <w:i/>
          <w:iCs/>
          <w:sz w:val="22"/>
          <w:szCs w:val="22"/>
        </w:rPr>
        <w:t xml:space="preserve">threshold</w:t>
      </w:r>
      <w:r>
        <w:rPr>
          <w:rFonts w:ascii="Times New Roman" w:cs="Times New Roman" w:eastAsia="Times New Roman" w:hAnsi="Times New Roman"/>
          <w:sz w:val="22"/>
          <w:szCs w:val="22"/>
        </w:rPr>
        <w:t xml:space="preserve">, not a spectrum: so long as DiamondDrive prices rides at documented cost-sharing only, it plausibly remains an exempt ridesharing arrangement; the moment it introduces profit pricing or surge, it crosses into TNC territory and the venture becomes, in practical terms, financially infeasible without a TNC insurance partner. Item delivery compounds the analysis, because it introduces product-loss, theft, and food-safety liabilities that personal-auto policies do not cover and that the carpool exemption does not address </w:t>
      </w:r>
      <w:r>
        <w:rPr>
          <w:rFonts w:ascii="Times New Roman" w:cs="Times New Roman" w:eastAsia="Times New Roman" w:hAnsi="Times New Roman"/>
          <w:sz w:val="22"/>
          <w:szCs w:val="22"/>
        </w:rPr>
        <w:t xml:space="preserve">[99], [100]</w:t>
      </w:r>
      <w:r>
        <w:rPr>
          <w:rFonts w:ascii="Times New Roman" w:cs="Times New Roman" w:eastAsia="Times New Roman" w:hAnsi="Times New Roman"/>
          <w:sz w:val="22"/>
          <w:szCs w:val="22"/>
        </w:rPr>
        <w:t xml:space="preserve">. The unavoidable conclusion is that a binding written legal opinion confirming exemption status, and an insurance strategy addressing both the auto coverage gap and delivery-specific liabilities, are prerequisites to launch rather than refinements to be added later.</w:t>
      </w:r>
    </w:p>
    <w:p>
      <w:pPr>
        <w:pStyle w:val="Heading1"/>
        <w:spacing w:after="160" w:before="320"/>
      </w:pPr>
      <w:r>
        <w:rPr>
          <w:rFonts w:ascii="Arial" w:cs="Arial" w:eastAsia="Arial" w:hAnsi="Arial"/>
          <w:b/>
          <w:bCs/>
          <w:caps/>
          <w:color w:val="0B1F3A"/>
          <w:sz w:val="26"/>
          <w:szCs w:val="26"/>
        </w:rPr>
        <w:t xml:space="preserve">XII.  Gamification, Rewards, and Retention</w:t>
      </w:r>
    </w:p>
    <w:p>
      <w:pPr>
        <w:spacing w:after="120" w:line="276"/>
        <w:jc w:val="both"/>
      </w:pPr>
      <w:r>
        <w:rPr>
          <w:rFonts w:ascii="Times New Roman" w:cs="Times New Roman" w:eastAsia="Times New Roman" w:hAnsi="Times New Roman"/>
          <w:sz w:val="22"/>
          <w:szCs w:val="22"/>
        </w:rPr>
        <w:t xml:space="preserve">Reaching critical mass requires not only acquiring users but retaining and re-activating them, and the design proposes an in-application reward currency, referral mechanics, and sponsor-redeemable perks to that end. The gamification literature supports this approach while issuing a specific warning the design must heed.</w:t>
      </w:r>
    </w:p>
    <w:p>
      <w:pPr>
        <w:pStyle w:val="Heading2"/>
        <w:spacing w:after="120" w:before="220"/>
      </w:pPr>
      <w:r>
        <w:rPr>
          <w:rFonts w:ascii="Arial" w:cs="Arial" w:eastAsia="Arial" w:hAnsi="Arial"/>
          <w:b/>
          <w:bCs/>
          <w:color w:val="1C6FD6"/>
          <w:sz w:val="23"/>
          <w:szCs w:val="23"/>
        </w:rPr>
        <w:t xml:space="preserve">A.  Evidence That Gamification Aids Retention</w:t>
      </w:r>
    </w:p>
    <w:p>
      <w:pPr>
        <w:spacing w:after="120" w:line="276"/>
        <w:jc w:val="both"/>
      </w:pPr>
      <w:r>
        <w:rPr>
          <w:rFonts w:ascii="Times New Roman" w:cs="Times New Roman" w:eastAsia="Times New Roman" w:hAnsi="Times New Roman"/>
          <w:sz w:val="22"/>
          <w:szCs w:val="22"/>
        </w:rPr>
        <w:t xml:space="preserve">The systematic review by Hamari, Koivisto, and Sarsa found that gamification generally produces positive effects on engagement and behavior, while emphasizing that those effects are contingent on context and on the quality of implementation </w:t>
      </w:r>
      <w:r>
        <w:rPr>
          <w:rFonts w:ascii="Times New Roman" w:cs="Times New Roman" w:eastAsia="Times New Roman" w:hAnsi="Times New Roman"/>
          <w:sz w:val="22"/>
          <w:szCs w:val="22"/>
        </w:rPr>
        <w:t xml:space="preserve">[102]</w:t>
      </w:r>
      <w:r>
        <w:rPr>
          <w:rFonts w:ascii="Times New Roman" w:cs="Times New Roman" w:eastAsia="Times New Roman" w:hAnsi="Times New Roman"/>
          <w:sz w:val="22"/>
          <w:szCs w:val="22"/>
        </w:rPr>
        <w:t xml:space="preserve">. The definitional and theoretical groundwork by Deterding and colleagues and by Huotari and Hamari situates gamification within service design rather than treating it as mere decoration </w:t>
      </w:r>
      <w:r>
        <w:rPr>
          <w:rFonts w:ascii="Times New Roman" w:cs="Times New Roman" w:eastAsia="Times New Roman" w:hAnsi="Times New Roman"/>
          <w:sz w:val="22"/>
          <w:szCs w:val="22"/>
        </w:rPr>
        <w:t xml:space="preserve">[103], [104]</w:t>
      </w:r>
      <w:r>
        <w:rPr>
          <w:rFonts w:ascii="Times New Roman" w:cs="Times New Roman" w:eastAsia="Times New Roman" w:hAnsi="Times New Roman"/>
          <w:sz w:val="22"/>
          <w:szCs w:val="22"/>
        </w:rPr>
        <w:t xml:space="preserve">, and Sailer and colleagues showed experimentally that specific game-design elements satisfy psychological needs for competence and relatedness, which in turn drive motivation </w:t>
      </w:r>
      <w:r>
        <w:rPr>
          <w:rFonts w:ascii="Times New Roman" w:cs="Times New Roman" w:eastAsia="Times New Roman" w:hAnsi="Times New Roman"/>
          <w:sz w:val="22"/>
          <w:szCs w:val="22"/>
        </w:rPr>
        <w:t xml:space="preserve">[106]</w:t>
      </w:r>
      <w:r>
        <w:rPr>
          <w:rFonts w:ascii="Times New Roman" w:cs="Times New Roman" w:eastAsia="Times New Roman" w:hAnsi="Times New Roman"/>
          <w:sz w:val="22"/>
          <w:szCs w:val="22"/>
        </w:rPr>
        <w:t xml:space="preserve">. Koivisto and Hamari's review of the broader field documents the maturation of “motivational information systems” </w:t>
      </w:r>
      <w:r>
        <w:rPr>
          <w:rFonts w:ascii="Times New Roman" w:cs="Times New Roman" w:eastAsia="Times New Roman" w:hAnsi="Times New Roman"/>
          <w:sz w:val="22"/>
          <w:szCs w:val="22"/>
        </w:rPr>
        <w:t xml:space="preserve">[105]</w:t>
      </w:r>
      <w:r>
        <w:rPr>
          <w:rFonts w:ascii="Times New Roman" w:cs="Times New Roman" w:eastAsia="Times New Roman" w:hAnsi="Times New Roman"/>
          <w:sz w:val="22"/>
          <w:szCs w:val="22"/>
        </w:rPr>
        <w:t xml:space="preserve">, and applied studies of loyalty programs and mobile-payment applications find that achievement-oriented and socially oriented features increase continuance intention, producing both hedonic and utilitarian value </w:t>
      </w:r>
      <w:r>
        <w:rPr>
          <w:rFonts w:ascii="Times New Roman" w:cs="Times New Roman" w:eastAsia="Times New Roman" w:hAnsi="Times New Roman"/>
          <w:sz w:val="22"/>
          <w:szCs w:val="22"/>
        </w:rPr>
        <w:t xml:space="preserve">[107], [108]</w:t>
      </w:r>
      <w:r>
        <w:rPr>
          <w:rFonts w:ascii="Times New Roman" w:cs="Times New Roman" w:eastAsia="Times New Roman" w:hAnsi="Times New Roman"/>
          <w:sz w:val="22"/>
          <w:szCs w:val="22"/>
        </w:rPr>
        <w:t xml:space="preserve">. Industry analyses associate well-designed gamified loyalty programs with retention improvements on the order of twenty-two percent </w:t>
      </w:r>
      <w:r>
        <w:rPr>
          <w:rFonts w:ascii="Times New Roman" w:cs="Times New Roman" w:eastAsia="Times New Roman" w:hAnsi="Times New Roman"/>
          <w:sz w:val="22"/>
          <w:szCs w:val="22"/>
        </w:rPr>
        <w:t xml:space="preserve">[109]</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The “Pointification” Warning</w:t>
      </w:r>
    </w:p>
    <w:p>
      <w:pPr>
        <w:spacing w:after="120" w:line="276"/>
        <w:jc w:val="both"/>
      </w:pPr>
      <w:r>
        <w:rPr>
          <w:rFonts w:ascii="Times New Roman" w:cs="Times New Roman" w:eastAsia="Times New Roman" w:hAnsi="Times New Roman"/>
          <w:sz w:val="22"/>
          <w:szCs w:val="22"/>
        </w:rPr>
        <w:t xml:space="preserve">The warning is as well-established as the benefit. Layering meaningless points and badges over a weak or absent core value proposition—sometimes derided as “pointification”—reliably fails, and can actively annoy users </w:t>
      </w:r>
      <w:r>
        <w:rPr>
          <w:rFonts w:ascii="Times New Roman" w:cs="Times New Roman" w:eastAsia="Times New Roman" w:hAnsi="Times New Roman"/>
          <w:sz w:val="22"/>
          <w:szCs w:val="22"/>
        </w:rPr>
        <w:t xml:space="preserve">[102], [103]</w:t>
      </w:r>
      <w:r>
        <w:rPr>
          <w:rFonts w:ascii="Times New Roman" w:cs="Times New Roman" w:eastAsia="Times New Roman" w:hAnsi="Times New Roman"/>
          <w:sz w:val="22"/>
          <w:szCs w:val="22"/>
        </w:rPr>
        <w:t xml:space="preserve">. The lesson for DiamondDrive is that its reward mechanics must be tethered to </w:t>
      </w:r>
      <w:r>
        <w:rPr>
          <w:rFonts w:ascii="Times New Roman" w:cs="Times New Roman" w:eastAsia="Times New Roman" w:hAnsi="Times New Roman"/>
          <w:b/>
          <w:bCs/>
          <w:sz w:val="22"/>
          <w:szCs w:val="22"/>
        </w:rPr>
        <w:t xml:space="preserve">genuine value</w:t>
      </w:r>
      <w:r>
        <w:rPr>
          <w:rFonts w:ascii="Times New Roman" w:cs="Times New Roman" w:eastAsia="Times New Roman" w:hAnsi="Times New Roman"/>
          <w:sz w:val="22"/>
          <w:szCs w:val="22"/>
        </w:rPr>
        <w:t xml:space="preserve">—free or discounted rides, real perks redeemable with real local sponsors—rather than to vanity badges that confer no benefit. Because the adoption and collaborative-consumption literatures both find that economic benefit dominates participation motives </w:t>
      </w:r>
      <w:r>
        <w:rPr>
          <w:rFonts w:ascii="Times New Roman" w:cs="Times New Roman" w:eastAsia="Times New Roman" w:hAnsi="Times New Roman"/>
          <w:sz w:val="22"/>
          <w:szCs w:val="22"/>
        </w:rPr>
        <w:t xml:space="preserve">[6], [31]</w:t>
      </w:r>
      <w:r>
        <w:rPr>
          <w:rFonts w:ascii="Times New Roman" w:cs="Times New Roman" w:eastAsia="Times New Roman" w:hAnsi="Times New Roman"/>
          <w:sz w:val="22"/>
          <w:szCs w:val="22"/>
        </w:rPr>
        <w:t xml:space="preserve">, the reward currency should function primarily as a mechanism for delivering tangible savings and only secondarily as a source of game-like engagement. Section XIV identifies the homegrown Northwest Arkansas sponsors—7 Brew foremost among them—whose perks could give the currency its underlying value.</w:t>
      </w:r>
    </w:p>
    <w:p>
      <w:pPr>
        <w:pStyle w:val="Heading1"/>
        <w:spacing w:after="160" w:before="320"/>
      </w:pPr>
      <w:r>
        <w:rPr>
          <w:rFonts w:ascii="Arial" w:cs="Arial" w:eastAsia="Arial" w:hAnsi="Arial"/>
          <w:b/>
          <w:bCs/>
          <w:caps/>
          <w:color w:val="0B1F3A"/>
          <w:sz w:val="26"/>
          <w:szCs w:val="26"/>
        </w:rPr>
        <w:t xml:space="preserve">XIII.  Social Capital and Professional Networking</w:t>
      </w:r>
    </w:p>
    <w:p>
      <w:pPr>
        <w:spacing w:after="120" w:line="276"/>
        <w:jc w:val="both"/>
      </w:pPr>
      <w:r>
        <w:rPr>
          <w:rFonts w:ascii="Times New Roman" w:cs="Times New Roman" w:eastAsia="Times New Roman" w:hAnsi="Times New Roman"/>
          <w:sz w:val="22"/>
          <w:szCs w:val="22"/>
        </w:rPr>
        <w:t xml:space="preserve">DiamondDrive's most distinctive feature relative to commercial ride-hailing is its proposed integration of professional and social networking—linking rides to LinkedIn and Handshake so that a shared commute can double as a networking opportunity. This feature is often dismissed as a gimmick; the social-capital literature suggests it is, on the contrary, grounded in one of the most robust findings in modern sociology.</w:t>
      </w:r>
    </w:p>
    <w:p>
      <w:pPr>
        <w:pStyle w:val="Heading2"/>
        <w:spacing w:after="120" w:before="220"/>
      </w:pPr>
      <w:r>
        <w:rPr>
          <w:rFonts w:ascii="Arial" w:cs="Arial" w:eastAsia="Arial" w:hAnsi="Arial"/>
          <w:b/>
          <w:bCs/>
          <w:color w:val="1C6FD6"/>
          <w:sz w:val="23"/>
          <w:szCs w:val="23"/>
        </w:rPr>
        <w:t xml:space="preserve">A.  The Strength of Weak Ties</w:t>
      </w:r>
    </w:p>
    <w:p>
      <w:pPr>
        <w:spacing w:after="120" w:line="276"/>
        <w:jc w:val="both"/>
      </w:pPr>
      <w:r>
        <w:rPr>
          <w:rFonts w:ascii="Times New Roman" w:cs="Times New Roman" w:eastAsia="Times New Roman" w:hAnsi="Times New Roman"/>
          <w:sz w:val="22"/>
          <w:szCs w:val="22"/>
        </w:rPr>
        <w:t xml:space="preserve">Granovetter's “The Strength of Weak Ties” is the foundational reference </w:t>
      </w:r>
      <w:r>
        <w:rPr>
          <w:rFonts w:ascii="Times New Roman" w:cs="Times New Roman" w:eastAsia="Times New Roman" w:hAnsi="Times New Roman"/>
          <w:sz w:val="22"/>
          <w:szCs w:val="22"/>
        </w:rPr>
        <w:t xml:space="preserve">[110]</w:t>
      </w:r>
      <w:r>
        <w:rPr>
          <w:rFonts w:ascii="Times New Roman" w:cs="Times New Roman" w:eastAsia="Times New Roman" w:hAnsi="Times New Roman"/>
          <w:sz w:val="22"/>
          <w:szCs w:val="22"/>
        </w:rPr>
        <w:t xml:space="preserve">. Its central and initially counterintuitive claim is that </w:t>
      </w:r>
      <w:r>
        <w:rPr>
          <w:rFonts w:ascii="Times New Roman" w:cs="Times New Roman" w:eastAsia="Times New Roman" w:hAnsi="Times New Roman"/>
          <w:b/>
          <w:bCs/>
          <w:sz w:val="22"/>
          <w:szCs w:val="22"/>
        </w:rPr>
        <w:t xml:space="preserve">weak ties</w:t>
      </w:r>
      <w:r>
        <w:rPr>
          <w:rFonts w:ascii="Times New Roman" w:cs="Times New Roman" w:eastAsia="Times New Roman" w:hAnsi="Times New Roman"/>
          <w:sz w:val="22"/>
          <w:szCs w:val="22"/>
        </w:rPr>
        <w:t xml:space="preserve">—acquaintances rather than close friends—are frequently more valuable than strong ties for obtaining novel information, including job information, because weak ties bridge otherwise-disconnected social clusters and therefore carry non-redundant information across them. Granovetter's </w:t>
      </w:r>
      <w:r>
        <w:rPr>
          <w:rFonts w:ascii="Times New Roman" w:cs="Times New Roman" w:eastAsia="Times New Roman" w:hAnsi="Times New Roman"/>
          <w:i/>
          <w:iCs/>
          <w:sz w:val="22"/>
          <w:szCs w:val="22"/>
        </w:rPr>
        <w:t xml:space="preserve">Getting a Job</w:t>
      </w:r>
      <w:r>
        <w:rPr>
          <w:rFonts w:ascii="Times New Roman" w:cs="Times New Roman" w:eastAsia="Times New Roman" w:hAnsi="Times New Roman"/>
          <w:sz w:val="22"/>
          <w:szCs w:val="22"/>
        </w:rPr>
        <w:t xml:space="preserve"> supplied the empirical grounding, documenting how a large share of job-seekers found positions through weak rather than strong ties </w:t>
      </w:r>
      <w:r>
        <w:rPr>
          <w:rFonts w:ascii="Times New Roman" w:cs="Times New Roman" w:eastAsia="Times New Roman" w:hAnsi="Times New Roman"/>
          <w:sz w:val="22"/>
          <w:szCs w:val="22"/>
        </w:rPr>
        <w:t xml:space="preserve">[111]</w:t>
      </w:r>
      <w:r>
        <w:rPr>
          <w:rFonts w:ascii="Times New Roman" w:cs="Times New Roman" w:eastAsia="Times New Roman" w:hAnsi="Times New Roman"/>
          <w:sz w:val="22"/>
          <w:szCs w:val="22"/>
        </w:rPr>
        <w:t xml:space="preserve">. The mechanism has been elaborated by Burt's work on “structural holes”—the brokerage advantage of spanning gaps in a social network </w:t>
      </w:r>
      <w:r>
        <w:rPr>
          <w:rFonts w:ascii="Times New Roman" w:cs="Times New Roman" w:eastAsia="Times New Roman" w:hAnsi="Times New Roman"/>
          <w:sz w:val="22"/>
          <w:szCs w:val="22"/>
        </w:rPr>
        <w:t xml:space="preserve">[112]</w:t>
      </w:r>
      <w:r>
        <w:rPr>
          <w:rFonts w:ascii="Times New Roman" w:cs="Times New Roman" w:eastAsia="Times New Roman" w:hAnsi="Times New Roman"/>
          <w:sz w:val="22"/>
          <w:szCs w:val="22"/>
        </w:rPr>
        <w:t xml:space="preserve">—and by Coleman's and Lin's accounts of social capital as a resource embedded in social structure </w:t>
      </w:r>
      <w:r>
        <w:rPr>
          <w:rFonts w:ascii="Times New Roman" w:cs="Times New Roman" w:eastAsia="Times New Roman" w:hAnsi="Times New Roman"/>
          <w:sz w:val="22"/>
          <w:szCs w:val="22"/>
        </w:rPr>
        <w:t xml:space="preserve">[113], [114]</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Contemporary Validation and Design Implication</w:t>
      </w:r>
    </w:p>
    <w:p>
      <w:pPr>
        <w:spacing w:after="120" w:line="276"/>
        <w:jc w:val="both"/>
      </w:pPr>
      <w:r>
        <w:rPr>
          <w:rFonts w:ascii="Times New Roman" w:cs="Times New Roman" w:eastAsia="Times New Roman" w:hAnsi="Times New Roman"/>
          <w:sz w:val="22"/>
          <w:szCs w:val="22"/>
        </w:rPr>
        <w:t xml:space="preserve">The weak-ties thesis is not merely durable; it has recently been validated at a scale Granovetter could not have attained. A large-scale causal experiment on LinkedIn, published in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confirmed that moderately weak ties produce the greatest gains in job mobility—the first causal test of the half-century-old hypothesis </w:t>
      </w:r>
      <w:r>
        <w:rPr>
          <w:rFonts w:ascii="Times New Roman" w:cs="Times New Roman" w:eastAsia="Times New Roman" w:hAnsi="Times New Roman"/>
          <w:sz w:val="22"/>
          <w:szCs w:val="22"/>
        </w:rPr>
        <w:t xml:space="preserve">[116]</w:t>
      </w:r>
      <w:r>
        <w:rPr>
          <w:rFonts w:ascii="Times New Roman" w:cs="Times New Roman" w:eastAsia="Times New Roman" w:hAnsi="Times New Roman"/>
          <w:sz w:val="22"/>
          <w:szCs w:val="22"/>
        </w:rPr>
        <w:t xml:space="preserve">. Aral and Van Alstyne's analysis of the “diversity-bandwidth trade-off” further clarifies when weak ties deliver their informational advantage </w:t>
      </w:r>
      <w:r>
        <w:rPr>
          <w:rFonts w:ascii="Times New Roman" w:cs="Times New Roman" w:eastAsia="Times New Roman" w:hAnsi="Times New Roman"/>
          <w:sz w:val="22"/>
          <w:szCs w:val="22"/>
        </w:rPr>
        <w:t xml:space="preserve">[115]</w:t>
      </w:r>
      <w:r>
        <w:rPr>
          <w:rFonts w:ascii="Times New Roman" w:cs="Times New Roman" w:eastAsia="Times New Roman" w:hAnsi="Times New Roman"/>
          <w:sz w:val="22"/>
          <w:szCs w:val="22"/>
        </w:rPr>
        <w:t xml:space="preserve">. The design implication for DiamondDrive is concrete: a shared ride between two students or alumni who are weak ties—same university, different programs or cohorts—is exactly the kind of bridging encounter the literature identifies as valuable for early-career networking. Integrating LinkedIn and Handshake operationalizes weak-tie bridging rather than ornamenting the product, and it constitutes a value proposition that commercial ride-hailing, lacking the institutional-affiliation substrate, structurally cannot offer.</w:t>
      </w:r>
    </w:p>
    <w:p>
      <w:pPr>
        <w:pStyle w:val="Heading1"/>
        <w:spacing w:after="160" w:before="320"/>
      </w:pPr>
      <w:r>
        <w:rPr>
          <w:rFonts w:ascii="Arial" w:cs="Arial" w:eastAsia="Arial" w:hAnsi="Arial"/>
          <w:b/>
          <w:bCs/>
          <w:caps/>
          <w:color w:val="0B1F3A"/>
          <w:sz w:val="26"/>
          <w:szCs w:val="26"/>
        </w:rPr>
        <w:t xml:space="preserve">XIV.  Case Context: The University of Arkansas and Northwest Arkansas</w:t>
      </w:r>
    </w:p>
    <w:p>
      <w:pPr>
        <w:spacing w:after="120" w:line="276"/>
        <w:jc w:val="both"/>
      </w:pPr>
      <w:r>
        <w:rPr>
          <w:rFonts w:ascii="Times New Roman" w:cs="Times New Roman" w:eastAsia="Times New Roman" w:hAnsi="Times New Roman"/>
          <w:sz w:val="22"/>
          <w:szCs w:val="22"/>
        </w:rPr>
        <w:t xml:space="preserve">The general feasibility arguments above acquire force only when tested against a concrete market. This section assembles the institutional and regional facts that make the University of Arkansas a favorable launch site, organized around the four structural conditions that together constitute the mobility gap DiamondDrive proposes to fill: enrollment-driven demand, parking scarcity, transit limits, and an underserved commuter geography.</w:t>
      </w:r>
    </w:p>
    <w:p>
      <w:pPr>
        <w:pStyle w:val="Heading2"/>
        <w:spacing w:after="120" w:before="220"/>
      </w:pPr>
      <w:r>
        <w:rPr>
          <w:rFonts w:ascii="Arial" w:cs="Arial" w:eastAsia="Arial" w:hAnsi="Arial"/>
          <w:b/>
          <w:bCs/>
          <w:color w:val="1C6FD6"/>
          <w:sz w:val="23"/>
          <w:szCs w:val="23"/>
        </w:rPr>
        <w:t xml:space="preserve">A.  Enrollment-Driven Demand</w:t>
      </w:r>
    </w:p>
    <w:p>
      <w:pPr>
        <w:spacing w:after="120" w:line="276"/>
        <w:jc w:val="both"/>
      </w:pPr>
      <w:r>
        <w:rPr>
          <w:rFonts w:ascii="Times New Roman" w:cs="Times New Roman" w:eastAsia="Times New Roman" w:hAnsi="Times New Roman"/>
          <w:sz w:val="22"/>
          <w:szCs w:val="22"/>
        </w:rPr>
        <w:t xml:space="preserve">The University of Arkansas enrolled </w:t>
      </w:r>
      <w:r>
        <w:rPr>
          <w:rFonts w:ascii="Times New Roman" w:cs="Times New Roman" w:eastAsia="Times New Roman" w:hAnsi="Times New Roman"/>
          <w:b/>
          <w:bCs/>
          <w:sz w:val="22"/>
          <w:szCs w:val="22"/>
        </w:rPr>
        <w:t xml:space="preserve">34,175 students in Fall 2025</w:t>
      </w:r>
      <w:r>
        <w:rPr>
          <w:rFonts w:ascii="Times New Roman" w:cs="Times New Roman" w:eastAsia="Times New Roman" w:hAnsi="Times New Roman"/>
          <w:sz w:val="22"/>
          <w:szCs w:val="22"/>
        </w:rPr>
        <w:t xml:space="preserve">, an all-time record and the fifth consecutive record year, comprising 29,260 undergraduate and 4,915 graduate students—both records—and representing growth of roughly 6,600 students, or twenty-four percent, since 2020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The 2025 freshman class numbered 6,977, the second-largest in the university's history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The campus comprises 378 buildings on 512 acres of hilly terrain and is classified as an R1 doctoral university with very high research activity </w:t>
      </w:r>
      <w:r>
        <w:rPr>
          <w:rFonts w:ascii="Times New Roman" w:cs="Times New Roman" w:eastAsia="Times New Roman" w:hAnsi="Times New Roman"/>
          <w:sz w:val="22"/>
          <w:szCs w:val="22"/>
        </w:rPr>
        <w:t xml:space="preserve">[118]</w:t>
      </w:r>
      <w:r>
        <w:rPr>
          <w:rFonts w:ascii="Times New Roman" w:cs="Times New Roman" w:eastAsia="Times New Roman" w:hAnsi="Times New Roman"/>
          <w:sz w:val="22"/>
          <w:szCs w:val="22"/>
        </w:rPr>
        <w:t xml:space="preserve">. Rapid enrollment growth is the engine of the mobility gap: it loads every fixed transportation asset at once and, as the next subsections show, has already begun to push students into commuting patterns the existing system serves poorly.</w:t>
      </w:r>
    </w:p>
    <w:p>
      <w:pPr>
        <w:spacing w:after="120" w:line="276"/>
        <w:jc w:val="both"/>
      </w:pPr>
      <w:r>
        <w:rPr>
          <w:rFonts w:ascii="Times New Roman" w:cs="Times New Roman" w:eastAsia="Times New Roman" w:hAnsi="Times New Roman"/>
          <w:sz w:val="22"/>
          <w:szCs w:val="22"/>
        </w:rPr>
        <w:t xml:space="preserve">Housing pressure is a direct and illuminating symptom. With on-campus capacity of roughly 6,200 freshman beds against a freshman class near 7,200, the university directs overflow freshmen into contracted off-campus complexes, and students in those complexes report relying on the bus or walking to reach campus </w:t>
      </w:r>
      <w:r>
        <w:rPr>
          <w:rFonts w:ascii="Times New Roman" w:cs="Times New Roman" w:eastAsia="Times New Roman" w:hAnsi="Times New Roman"/>
          <w:sz w:val="22"/>
          <w:szCs w:val="22"/>
        </w:rPr>
        <w:t xml:space="preserve">[126]</w:t>
      </w:r>
      <w:r>
        <w:rPr>
          <w:rFonts w:ascii="Times New Roman" w:cs="Times New Roman" w:eastAsia="Times New Roman" w:hAnsi="Times New Roman"/>
          <w:sz w:val="22"/>
          <w:szCs w:val="22"/>
        </w:rPr>
        <w:t xml:space="preserve">. This is commuter demand created by the institution's own growth—a population that must travel to campus daily, is too large for existing housing, and is exactly the routine-driven, distance-sensitive user the adoption literature identifies as the prime ridesharing candidate </w:t>
      </w: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B.  Parking Scarcity and Its Timeline</w:t>
      </w:r>
    </w:p>
    <w:p>
      <w:pPr>
        <w:spacing w:after="120" w:line="276"/>
        <w:jc w:val="both"/>
      </w:pPr>
      <w:r>
        <w:rPr>
          <w:rFonts w:ascii="Times New Roman" w:cs="Times New Roman" w:eastAsia="Times New Roman" w:hAnsi="Times New Roman"/>
          <w:sz w:val="22"/>
          <w:szCs w:val="22"/>
        </w:rPr>
        <w:t xml:space="preserve">Parking is scarce, priced, and tiered—the precise conditions the TDM literature associates with mode shift </w:t>
      </w:r>
      <w:r>
        <w:rPr>
          <w:rFonts w:ascii="Times New Roman" w:cs="Times New Roman" w:eastAsia="Times New Roman" w:hAnsi="Times New Roman"/>
          <w:sz w:val="22"/>
          <w:szCs w:val="22"/>
        </w:rPr>
        <w:t xml:space="preserve">[53], [56], [57]</w:t>
      </w:r>
      <w:r>
        <w:rPr>
          <w:rFonts w:ascii="Times New Roman" w:cs="Times New Roman" w:eastAsia="Times New Roman" w:hAnsi="Times New Roman"/>
          <w:sz w:val="22"/>
          <w:szCs w:val="22"/>
        </w:rPr>
        <w:t xml:space="preserve">. The general student parking permit costs 120 dollars per year for 2025–26, and permits are stratified by type—resident, garage, economy, and others—with the more convenient categories allocated by housing-contract priority and routinely selling out </w:t>
      </w:r>
      <w:r>
        <w:rPr>
          <w:rFonts w:ascii="Times New Roman" w:cs="Times New Roman" w:eastAsia="Times New Roman" w:hAnsi="Times New Roman"/>
          <w:sz w:val="22"/>
          <w:szCs w:val="22"/>
        </w:rPr>
        <w:t xml:space="preserve">[119], [120]</w:t>
      </w:r>
      <w:r>
        <w:rPr>
          <w:rFonts w:ascii="Times New Roman" w:cs="Times New Roman" w:eastAsia="Times New Roman" w:hAnsi="Times New Roman"/>
          <w:sz w:val="22"/>
          <w:szCs w:val="22"/>
        </w:rPr>
        <w:t xml:space="preserve">. Economy parking is located peripherally and served by dedicated shuttle routes, imposing a time cost on the students assigned to it </w:t>
      </w: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 Most consequentially for timing, the university's plan to add substantial new capacity—a Razorback Road parking deck adding on the order of 1,500 to 1,700 spaces—is not slated for completion until </w:t>
      </w:r>
      <w:r>
        <w:rPr>
          <w:rFonts w:ascii="Times New Roman" w:cs="Times New Roman" w:eastAsia="Times New Roman" w:hAnsi="Times New Roman"/>
          <w:b/>
          <w:bCs/>
          <w:sz w:val="22"/>
          <w:szCs w:val="22"/>
        </w:rPr>
        <w:t xml:space="preserve">2029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[121]</w:t>
      </w:r>
      <w:r>
        <w:rPr>
          <w:rFonts w:ascii="Times New Roman" w:cs="Times New Roman" w:eastAsia="Times New Roman" w:hAnsi="Times New Roman"/>
          <w:sz w:val="22"/>
          <w:szCs w:val="22"/>
        </w:rPr>
        <w:t xml:space="preserve">. This defines a multi-year scarcity window, from the present through the end of the decade, during which the marginal value of an alternative to solo parking is unusually high. DiamondDrive's value proposition should be explicitly timed to that window.</w:t>
      </w:r>
    </w:p>
    <w:p>
      <w:pPr>
        <w:pStyle w:val="Heading2"/>
        <w:spacing w:after="120" w:before="220"/>
      </w:pPr>
      <w:r>
        <w:rPr>
          <w:rFonts w:ascii="Arial" w:cs="Arial" w:eastAsia="Arial" w:hAnsi="Arial"/>
          <w:b/>
          <w:bCs/>
          <w:color w:val="1C6FD6"/>
          <w:sz w:val="23"/>
          <w:szCs w:val="23"/>
        </w:rPr>
        <w:t xml:space="preserve">C.  Transit Limits and the Safe Ride Gap</w:t>
      </w:r>
    </w:p>
    <w:p>
      <w:pPr>
        <w:spacing w:after="120" w:line="276"/>
        <w:jc w:val="both"/>
      </w:pPr>
      <w:r>
        <w:rPr>
          <w:rFonts w:ascii="Times New Roman" w:cs="Times New Roman" w:eastAsia="Times New Roman" w:hAnsi="Times New Roman"/>
          <w:sz w:val="22"/>
          <w:szCs w:val="22"/>
        </w:rPr>
        <w:t xml:space="preserve">The university operates </w:t>
      </w:r>
      <w:r>
        <w:rPr>
          <w:rFonts w:ascii="Times New Roman" w:cs="Times New Roman" w:eastAsia="Times New Roman" w:hAnsi="Times New Roman"/>
          <w:b/>
          <w:bCs/>
          <w:sz w:val="22"/>
          <w:szCs w:val="22"/>
        </w:rPr>
        <w:t xml:space="preserve">Razorback Transit</w:t>
      </w:r>
      <w:r>
        <w:rPr>
          <w:rFonts w:ascii="Times New Roman" w:cs="Times New Roman" w:eastAsia="Times New Roman" w:hAnsi="Times New Roman"/>
          <w:sz w:val="22"/>
          <w:szCs w:val="22"/>
        </w:rPr>
        <w:t xml:space="preserve">, a fare-free fixed-route bus system with ADA paratransit, funded through Federal Transit Administration grants, student transportation fees, university administration, and the City of Fayetteville </w:t>
      </w: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 Its fare-free status is a genuine strength and a competitive constraint on any paid alternative—but it operates principally during daytime and scheduled hours, leaving a nighttime and off-route gap that recurs in student accounts </w:t>
      </w: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That gap is partially addressed by </w:t>
      </w:r>
      <w:r>
        <w:rPr>
          <w:rFonts w:ascii="Times New Roman" w:cs="Times New Roman" w:eastAsia="Times New Roman" w:hAnsi="Times New Roman"/>
          <w:b/>
          <w:bCs/>
          <w:sz w:val="22"/>
          <w:szCs w:val="22"/>
        </w:rPr>
        <w:t xml:space="preserve">Safe Ride</w:t>
      </w:r>
      <w:r>
        <w:rPr>
          <w:rFonts w:ascii="Times New Roman" w:cs="Times New Roman" w:eastAsia="Times New Roman" w:hAnsi="Times New Roman"/>
          <w:sz w:val="22"/>
          <w:szCs w:val="22"/>
        </w:rPr>
        <w:t xml:space="preserve">, a late-night safe-transportation service funded by the Associated Students of the University of Arkansas and operated by Razorback Transit since 2017 </w:t>
      </w:r>
      <w:r>
        <w:rPr>
          <w:rFonts w:ascii="Times New Roman" w:cs="Times New Roman" w:eastAsia="Times New Roman" w:hAnsi="Times New Roman"/>
          <w:sz w:val="22"/>
          <w:szCs w:val="22"/>
        </w:rPr>
        <w:t xml:space="preserve">[123], [125]</w:t>
      </w:r>
      <w:r>
        <w:rPr>
          <w:rFonts w:ascii="Times New Roman" w:cs="Times New Roman" w:eastAsia="Times New Roman" w:hAnsi="Times New Roman"/>
          <w:sz w:val="22"/>
          <w:szCs w:val="22"/>
        </w:rPr>
        <w:t xml:space="preserve">. Safe Ride's documented usage demonstrates the depth of unmet late-night demand: it provided rides to 7,431 passengers in a single recent year—more than double the prior year—across roughly 5,500 rides covering some 11,800 miles </w:t>
      </w:r>
      <w:r>
        <w:rPr>
          <w:rFonts w:ascii="Times New Roman" w:cs="Times New Roman" w:eastAsia="Times New Roman" w:hAnsi="Times New Roman"/>
          <w:sz w:val="22"/>
          <w:szCs w:val="22"/>
        </w:rPr>
        <w:t xml:space="preserve">[124]</w:t>
      </w:r>
      <w:r>
        <w:rPr>
          <w:rFonts w:ascii="Times New Roman" w:cs="Times New Roman" w:eastAsia="Times New Roman" w:hAnsi="Times New Roman"/>
          <w:sz w:val="22"/>
          <w:szCs w:val="22"/>
        </w:rPr>
        <w:t xml:space="preserve">. Equally telling are its structural constraints, each of which maps to a service gap DiamondDrive could fill: Safe Ride drops off only at residences, does not serve the Dickson Street entertainment corridor, does not operate in inclement weather, and suspends riders for no-shows </w:t>
      </w:r>
      <w:r>
        <w:rPr>
          <w:rFonts w:ascii="Times New Roman" w:cs="Times New Roman" w:eastAsia="Times New Roman" w:hAnsi="Times New Roman"/>
          <w:sz w:val="22"/>
          <w:szCs w:val="22"/>
        </w:rPr>
        <w:t xml:space="preserve">[123]</w:t>
      </w:r>
      <w:r>
        <w:rPr>
          <w:rFonts w:ascii="Times New Roman" w:cs="Times New Roman" w:eastAsia="Times New Roman" w:hAnsi="Times New Roman"/>
          <w:sz w:val="22"/>
          <w:szCs w:val="22"/>
        </w:rPr>
        <w:t xml:space="preserve">. An oversubscribed service with a doubling year-over-year and explicit coverage exclusions is a strong signal of latent demand that a complementary platform could serve.</w:t>
      </w:r>
    </w:p>
    <w:p>
      <w:pPr>
        <w:spacing w:after="80" w:before="200"/>
        <w:jc w:val="center"/>
      </w:pPr>
      <w:r>
        <w:rPr>
          <w:rFonts w:ascii="Arial" w:cs="Arial" w:eastAsia="Arial" w:hAnsi="Arial"/>
          <w:b/>
          <w:bCs/>
          <w:caps/>
          <w:color w:val="0B1F3A"/>
          <w:sz w:val="18"/>
          <w:szCs w:val="18"/>
        </w:rPr>
        <w:t xml:space="preserve">Table III.  The University of Arkansas Mobility Gap: Structural Conditions and DiamondDrive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600"/>
        <w:gridCol w:w="3410"/>
      </w:tblGrid>
      <w:tr>
        <w:trPr>
          <w:tblHeader/>
        </w:trPr>
        <w:tc>
          <w:tcPr>
            <w:tcW w:type="dxa" w:w="235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Condition</w:t>
            </w:r>
          </w:p>
        </w:tc>
        <w:tc>
          <w:tcPr>
            <w:tcW w:type="dxa" w:w="36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Documented Evidence</w:t>
            </w:r>
          </w:p>
        </w:tc>
        <w:tc>
          <w:tcPr>
            <w:tcW w:type="dxa" w:w="341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Implication for DiamondDrive</w:t>
            </w:r>
          </w:p>
        </w:tc>
      </w:tr>
      <w:tr>
        <w:tc>
          <w:tcPr>
            <w:tcW w:type="dxa" w:w="235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Enrollment growth</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34,175 students (Fall 2025); +24% since 2020; freshman overflow into off-campus housing [117], [126]</w:t>
            </w:r>
          </w:p>
        </w:tc>
        <w:tc>
          <w:tcPr>
            <w:tcW w:type="dxa" w:w="341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Large, growing pool of routine-driven commuters—the prime adoption segment</w:t>
            </w:r>
          </w:p>
        </w:tc>
      </w:tr>
      <w:tr>
        <w:tc>
          <w:tcPr>
            <w:tcW w:type="dxa" w:w="235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Parking scarcity</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$120/yr permit; tiered, sells out; new garage not until 2029 [119]–[121]</w:t>
            </w:r>
          </w:p>
        </w:tc>
        <w:tc>
          <w:tcPr>
            <w:tcW w:type="dxa" w:w="341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Multi-year window in which an alternative to solo parking has high marginal value</w:t>
            </w:r>
          </w:p>
        </w:tc>
      </w:tr>
      <w:tr>
        <w:tc>
          <w:tcPr>
            <w:tcW w:type="dxa" w:w="235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Transit limits</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Razorback Transit fare-free but daytime/scheduled only [122]</w:t>
            </w:r>
          </w:p>
        </w:tc>
        <w:tc>
          <w:tcPr>
            <w:tcW w:type="dxa" w:w="341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Off-hours and off-route gap a complementary platform can serve</w:t>
            </w:r>
          </w:p>
        </w:tc>
      </w:tr>
      <w:tr>
        <w:tc>
          <w:tcPr>
            <w:tcW w:type="dxa" w:w="235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Late-night gap</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Safe Ride: 7,431 passengers (doubled YoY); residence-only, no Dickson St., no bad weather [123], [124]</w:t>
            </w:r>
          </w:p>
        </w:tc>
        <w:tc>
          <w:tcPr>
            <w:tcW w:type="dxa" w:w="341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Oversubscribed service with explicit exclusions signals strong latent demand</w:t>
            </w:r>
          </w:p>
        </w:tc>
      </w:tr>
      <w:tr>
        <w:tc>
          <w:tcPr>
            <w:tcW w:type="dxa" w:w="235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Commuter geography</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Springdale, Rogers, Bentonville along the I-49 corridor [127]</w:t>
            </w:r>
          </w:p>
        </w:tc>
        <w:tc>
          <w:tcPr>
            <w:tcW w:type="dxa" w:w="341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Defined corridors ideal for pooled, schedule-matched trips and niche seeding</w:t>
            </w:r>
          </w:p>
        </w:tc>
      </w:tr>
    </w:tbl>
    <w:p>
      <w:pPr>
        <w:spacing w:after="200" w:before="80"/>
        <w:jc w:val="center"/>
      </w:pPr>
      <w:r>
        <w:rPr>
          <w:rFonts w:ascii="Arial" w:cs="Arial" w:eastAsia="Arial" w:hAnsi="Arial"/>
          <w:i/>
          <w:iCs/>
          <w:color w:val="5A6675"/>
          <w:sz w:val="17"/>
          <w:szCs w:val="17"/>
        </w:rPr>
        <w:t xml:space="preserve">Synthesis of University of Arkansas and regional sources [117]–[127].</w:t>
      </w:r>
    </w:p>
    <w:p>
      <w:pPr>
        <w:pStyle w:val="Heading2"/>
        <w:spacing w:after="120" w:before="220"/>
      </w:pPr>
      <w:r>
        <w:rPr>
          <w:rFonts w:ascii="Arial" w:cs="Arial" w:eastAsia="Arial" w:hAnsi="Arial"/>
          <w:b/>
          <w:bCs/>
          <w:color w:val="1C6FD6"/>
          <w:sz w:val="23"/>
          <w:szCs w:val="23"/>
        </w:rPr>
        <w:t xml:space="preserve">D.  The Northwest Arkansas Commuter Corridor</w:t>
      </w:r>
    </w:p>
    <w:p>
      <w:pPr>
        <w:spacing w:after="120" w:line="276"/>
        <w:jc w:val="both"/>
      </w:pPr>
      <w:r>
        <w:rPr>
          <w:rFonts w:ascii="Times New Roman" w:cs="Times New Roman" w:eastAsia="Times New Roman" w:hAnsi="Times New Roman"/>
          <w:sz w:val="22"/>
          <w:szCs w:val="22"/>
        </w:rPr>
        <w:t xml:space="preserve">Beyond the campus itself lies a regional commuter geography well suited to pooled travel. The adjacent Northwest Arkansas cities of Springdale, Rogers, and Bentonville lie along the Interstate 49 corridor north of Fayetteville, and students commuting from them travel shared origins toward a shared destination on compatible schedules </w:t>
      </w:r>
      <w:r>
        <w:rPr>
          <w:rFonts w:ascii="Times New Roman" w:cs="Times New Roman" w:eastAsia="Times New Roman" w:hAnsi="Times New Roman"/>
          <w:sz w:val="22"/>
          <w:szCs w:val="22"/>
        </w:rPr>
        <w:t xml:space="preserve">[127]</w:t>
      </w:r>
      <w:r>
        <w:rPr>
          <w:rFonts w:ascii="Times New Roman" w:cs="Times New Roman" w:eastAsia="Times New Roman" w:hAnsi="Times New Roman"/>
          <w:sz w:val="22"/>
          <w:szCs w:val="22"/>
        </w:rPr>
        <w:t xml:space="preserve">—the ideal substrate for schedule-matched carpooling identified in Section VII </w:t>
      </w:r>
      <w:r>
        <w:rPr>
          <w:rFonts w:ascii="Times New Roman" w:cs="Times New Roman" w:eastAsia="Times New Roman" w:hAnsi="Times New Roman"/>
          <w:sz w:val="22"/>
          <w:szCs w:val="22"/>
        </w:rPr>
        <w:t xml:space="preserve">[63], [65]</w:t>
      </w:r>
      <w:r>
        <w:rPr>
          <w:rFonts w:ascii="Times New Roman" w:cs="Times New Roman" w:eastAsia="Times New Roman" w:hAnsi="Times New Roman"/>
          <w:sz w:val="22"/>
          <w:szCs w:val="22"/>
        </w:rPr>
        <w:t xml:space="preserve">. These corridors are the natural “white-hot center” for a niche launch (Section V): concentrating early supply and demand on one such corridor, rather than diffusing effort across the whole university, is the seeding strategy the platform literature prescribes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(Precise city-to-campus distances and commute times should be confirmed with current data for operational planning.)</w:t>
      </w:r>
    </w:p>
    <w:p>
      <w:pPr>
        <w:pStyle w:val="Heading2"/>
        <w:spacing w:after="120" w:before="220"/>
      </w:pPr>
      <w:r>
        <w:rPr>
          <w:rFonts w:ascii="Arial" w:cs="Arial" w:eastAsia="Arial" w:hAnsi="Arial"/>
          <w:b/>
          <w:bCs/>
          <w:color w:val="1C6FD6"/>
          <w:sz w:val="23"/>
          <w:szCs w:val="23"/>
        </w:rPr>
        <w:t xml:space="preserve">E.  Sponsorship Anchors: 7 Brew and the Homegrown NWA Brand Landscape</w:t>
      </w:r>
    </w:p>
    <w:p>
      <w:pPr>
        <w:spacing w:after="120" w:line="276"/>
        <w:jc w:val="both"/>
      </w:pPr>
      <w:r>
        <w:rPr>
          <w:rFonts w:ascii="Times New Roman" w:cs="Times New Roman" w:eastAsia="Times New Roman" w:hAnsi="Times New Roman"/>
          <w:sz w:val="22"/>
          <w:szCs w:val="22"/>
        </w:rPr>
        <w:t xml:space="preserve">The reward currency of Section XII requires real perks from real sponsors, and Northwest Arkansas offers an unusually strong roster of homegrown brands with documented student affinity. Foremost is </w:t>
      </w:r>
      <w:r>
        <w:rPr>
          <w:rFonts w:ascii="Times New Roman" w:cs="Times New Roman" w:eastAsia="Times New Roman" w:hAnsi="Times New Roman"/>
          <w:b/>
          <w:bCs/>
          <w:sz w:val="22"/>
          <w:szCs w:val="22"/>
        </w:rPr>
        <w:t xml:space="preserve">7 Brew</w:t>
      </w:r>
      <w:r>
        <w:rPr>
          <w:rFonts w:ascii="Times New Roman" w:cs="Times New Roman" w:eastAsia="Times New Roman" w:hAnsi="Times New Roman"/>
          <w:sz w:val="22"/>
          <w:szCs w:val="22"/>
        </w:rPr>
        <w:t xml:space="preserve">, the drive-through coffee chain founded in Rogers, Arkansas, in February 2017, whose parent organization is based in the region </w:t>
      </w:r>
      <w:r>
        <w:rPr>
          <w:rFonts w:ascii="Times New Roman" w:cs="Times New Roman" w:eastAsia="Times New Roman" w:hAnsi="Times New Roman"/>
          <w:sz w:val="22"/>
          <w:szCs w:val="22"/>
        </w:rPr>
        <w:t xml:space="preserve">[128], [129]</w:t>
      </w:r>
      <w:r>
        <w:rPr>
          <w:rFonts w:ascii="Times New Roman" w:cs="Times New Roman" w:eastAsia="Times New Roman" w:hAnsi="Times New Roman"/>
          <w:sz w:val="22"/>
          <w:szCs w:val="22"/>
        </w:rPr>
        <w:t xml:space="preserve">. 7 Brew's trajectory is itself a Northwest Arkansas growth story—expanding from roughly fourteen stands in 2019 to several hundred locations across dozens of states by the end of 2025, with strong average unit volumes and outside growth investment </w:t>
      </w:r>
      <w:r>
        <w:rPr>
          <w:rFonts w:ascii="Times New Roman" w:cs="Times New Roman" w:eastAsia="Times New Roman" w:hAnsi="Times New Roman"/>
          <w:sz w:val="22"/>
          <w:szCs w:val="22"/>
        </w:rPr>
        <w:t xml:space="preserve">[129]</w:t>
      </w:r>
      <w:r>
        <w:rPr>
          <w:rFonts w:ascii="Times New Roman" w:cs="Times New Roman" w:eastAsia="Times New Roman" w:hAnsi="Times New Roman"/>
          <w:sz w:val="22"/>
          <w:szCs w:val="22"/>
        </w:rPr>
        <w:t xml:space="preserve">. A brand with this regional identity and student following is an obvious co-branding and sponsorship partner whose perks could supply the underlying value of DiamondDrive's reward currency; additional local roasters and retailers extend the candidate roster. Aligning the platform's incentives with beloved local brands also reinforces the closed-community identity that distinguishes DiamondDrive from national incumbents.</w:t>
      </w:r>
    </w:p>
    <w:p>
      <w:pPr>
        <w:pStyle w:val="Heading2"/>
        <w:spacing w:after="120" w:before="220"/>
      </w:pPr>
      <w:r>
        <w:rPr>
          <w:rFonts w:ascii="Arial" w:cs="Arial" w:eastAsia="Arial" w:hAnsi="Arial"/>
          <w:b/>
          <w:bCs/>
          <w:color w:val="1C6FD6"/>
          <w:sz w:val="23"/>
          <w:szCs w:val="23"/>
        </w:rPr>
        <w:t xml:space="preserve">F.  Implementation Pathway and Cost</w:t>
      </w:r>
    </w:p>
    <w:p>
      <w:pPr>
        <w:spacing w:after="120" w:line="276"/>
        <w:jc w:val="both"/>
      </w:pPr>
      <w:r>
        <w:rPr>
          <w:rFonts w:ascii="Times New Roman" w:cs="Times New Roman" w:eastAsia="Times New Roman" w:hAnsi="Times New Roman"/>
          <w:sz w:val="22"/>
          <w:szCs w:val="22"/>
        </w:rPr>
        <w:t xml:space="preserve">A student team can build a credible minimum viable product without the capital a native dual-app build would require. Low-code and no-code platforms—FlutterFlow, Bubble, and Adalo among them—support native or near-native applications with geolocation, payments, and push notifications at monthly subscription costs in the tens of dollars, with full builds reported in ranges from several thousand to several tens of thousands of dollars depending on complexity </w:t>
      </w:r>
      <w:r>
        <w:rPr>
          <w:rFonts w:ascii="Times New Roman" w:cs="Times New Roman" w:eastAsia="Times New Roman" w:hAnsi="Times New Roman"/>
          <w:sz w:val="22"/>
          <w:szCs w:val="22"/>
        </w:rPr>
        <w:t xml:space="preserve">[129], [132]</w:t>
      </w:r>
      <w:r>
        <w:rPr>
          <w:rFonts w:ascii="Times New Roman" w:cs="Times New Roman" w:eastAsia="Times New Roman" w:hAnsi="Times New Roman"/>
          <w:sz w:val="22"/>
          <w:szCs w:val="22"/>
        </w:rPr>
        <w:t xml:space="preserve">; FlutterFlow in particular pairs a low-code Flutter foundation with an external database such as Firebase or Supabase and is well suited to a technical team needing both native output and custom logic </w:t>
      </w:r>
      <w:r>
        <w:rPr>
          <w:rFonts w:ascii="Times New Roman" w:cs="Times New Roman" w:eastAsia="Times New Roman" w:hAnsi="Times New Roman"/>
          <w:sz w:val="22"/>
          <w:szCs w:val="22"/>
        </w:rPr>
        <w:t xml:space="preserve">[129]</w:t>
      </w:r>
      <w:r>
        <w:rPr>
          <w:rFonts w:ascii="Times New Roman" w:cs="Times New Roman" w:eastAsia="Times New Roman" w:hAnsi="Times New Roman"/>
          <w:sz w:val="22"/>
          <w:szCs w:val="22"/>
        </w:rPr>
        <w:t xml:space="preserve">. Custom-build estimates for a basic rideshare MVP (rider, driver, and administrative components) cluster in the twenty-five-to-seventy-thousand-dollar range over three to seven months, with cross-platform frameworks reducing initial cost relative to fully native development </w:t>
      </w:r>
      <w:r>
        <w:rPr>
          <w:rFonts w:ascii="Times New Roman" w:cs="Times New Roman" w:eastAsia="Times New Roman" w:hAnsi="Times New Roman"/>
          <w:sz w:val="22"/>
          <w:szCs w:val="22"/>
        </w:rPr>
        <w:t xml:space="preserve">[130], [131]</w:t>
      </w:r>
      <w:r>
        <w:rPr>
          <w:rFonts w:ascii="Times New Roman" w:cs="Times New Roman" w:eastAsia="Times New Roman" w:hAnsi="Times New Roman"/>
          <w:sz w:val="22"/>
          <w:szCs w:val="22"/>
        </w:rPr>
        <w:t xml:space="preserve">. The core feature set—registration and verification, geolocation-based ride matching, real-time tracking, in-application payments, ratings, messaging, and an admin panel—maps onto established APIs: mapping and routing services for matching, Stripe for cost-sharing settlement </w:t>
      </w:r>
      <w:r>
        <w:rPr>
          <w:rFonts w:ascii="Times New Roman" w:cs="Times New Roman" w:eastAsia="Times New Roman" w:hAnsi="Times New Roman"/>
          <w:sz w:val="22"/>
          <w:szCs w:val="22"/>
        </w:rPr>
        <w:t xml:space="preserve">[133]</w:t>
      </w:r>
      <w:r>
        <w:rPr>
          <w:rFonts w:ascii="Times New Roman" w:cs="Times New Roman" w:eastAsia="Times New Roman" w:hAnsi="Times New Roman"/>
          <w:sz w:val="22"/>
          <w:szCs w:val="22"/>
        </w:rPr>
        <w:t xml:space="preserve">, Firebase or Supabase for backend and messaging, Twilio for SMS and number masking, RapidSOS or Noonlight for safety </w:t>
      </w:r>
      <w:r>
        <w:rPr>
          <w:rFonts w:ascii="Times New Roman" w:cs="Times New Roman" w:eastAsia="Times New Roman" w:hAnsi="Times New Roman"/>
          <w:sz w:val="22"/>
          <w:szCs w:val="22"/>
        </w:rPr>
        <w:t xml:space="preserve">[88], [92]</w:t>
      </w:r>
      <w:r>
        <w:rPr>
          <w:rFonts w:ascii="Times New Roman" w:cs="Times New Roman" w:eastAsia="Times New Roman" w:hAnsi="Times New Roman"/>
          <w:sz w:val="22"/>
          <w:szCs w:val="22"/>
        </w:rPr>
        <w:t xml:space="preserve">, and Checkr or Persona for background checks and identity verification </w:t>
      </w:r>
      <w:r>
        <w:rPr>
          <w:rFonts w:ascii="Times New Roman" w:cs="Times New Roman" w:eastAsia="Times New Roman" w:hAnsi="Times New Roman"/>
          <w:sz w:val="22"/>
          <w:szCs w:val="22"/>
        </w:rPr>
        <w:t xml:space="preserve">[134]</w:t>
      </w:r>
      <w:r>
        <w:rPr>
          <w:rFonts w:ascii="Times New Roman" w:cs="Times New Roman" w:eastAsia="Times New Roman" w:hAnsi="Times New Roman"/>
          <w:sz w:val="22"/>
          <w:szCs w:val="22"/>
        </w:rPr>
        <w:t xml:space="preserve">. The technical path is therefore well within reach of a capable student team; the binding constraints are legal and organizational, not technological.</w:t>
      </w:r>
    </w:p>
    <w:p>
      <w:pPr>
        <w:pStyle w:val="Heading1"/>
        <w:spacing w:after="160" w:before="320"/>
      </w:pPr>
      <w:r>
        <w:rPr>
          <w:rFonts w:ascii="Arial" w:cs="Arial" w:eastAsia="Arial" w:hAnsi="Arial"/>
          <w:b/>
          <w:bCs/>
          <w:caps/>
          <w:color w:val="0B1F3A"/>
          <w:sz w:val="26"/>
          <w:szCs w:val="26"/>
        </w:rPr>
        <w:t xml:space="preserve">XV.  Synthesis and Feasibility Assessment</w:t>
      </w:r>
    </w:p>
    <w:p>
      <w:pPr>
        <w:spacing w:after="120" w:line="276"/>
        <w:jc w:val="both"/>
      </w:pPr>
      <w:r>
        <w:rPr>
          <w:rFonts w:ascii="Times New Roman" w:cs="Times New Roman" w:eastAsia="Times New Roman" w:hAnsi="Times New Roman"/>
          <w:sz w:val="22"/>
          <w:szCs w:val="22"/>
        </w:rPr>
        <w:t xml:space="preserve">Drawing the threads together, DiamondDrive is </w:t>
      </w:r>
      <w:r>
        <w:rPr>
          <w:rFonts w:ascii="Times New Roman" w:cs="Times New Roman" w:eastAsia="Times New Roman" w:hAnsi="Times New Roman"/>
          <w:b/>
          <w:bCs/>
          <w:sz w:val="22"/>
          <w:szCs w:val="22"/>
        </w:rPr>
        <w:t xml:space="preserve">conceptually sound and locally well-positioned, conditional on solving two hard problems</w:t>
      </w:r>
      <w:r>
        <w:rPr>
          <w:rFonts w:ascii="Times New Roman" w:cs="Times New Roman" w:eastAsia="Times New Roman" w:hAnsi="Times New Roman"/>
          <w:sz w:val="22"/>
          <w:szCs w:val="22"/>
        </w:rPr>
        <w:t xml:space="preserve">. The concept inherits a proven design—the closed, identity-verified network that allowed Zimride to overcome the trust barrier that had suppressed carpooling for decades </w:t>
      </w:r>
      <w:r>
        <w:rPr>
          <w:rFonts w:ascii="Times New Roman" w:cs="Times New Roman" w:eastAsia="Times New Roman" w:hAnsi="Times New Roman"/>
          <w:sz w:val="22"/>
          <w:szCs w:val="22"/>
        </w:rPr>
        <w:t xml:space="preserve">[19], [20]</w:t>
      </w:r>
      <w:r>
        <w:rPr>
          <w:rFonts w:ascii="Times New Roman" w:cs="Times New Roman" w:eastAsia="Times New Roman" w:hAnsi="Times New Roman"/>
          <w:sz w:val="22"/>
          <w:szCs w:val="22"/>
        </w:rPr>
        <w:t xml:space="preserve">—and applies it to a market whose structural conditions, documented in Section XIV, generate genuine unmet demand. The supporting arguments survive scrutiny: the trust and reputation mechanisms are the ones the literature validates </w:t>
      </w:r>
      <w:r>
        <w:rPr>
          <w:rFonts w:ascii="Times New Roman" w:cs="Times New Roman" w:eastAsia="Times New Roman" w:hAnsi="Times New Roman"/>
          <w:sz w:val="22"/>
          <w:szCs w:val="22"/>
        </w:rPr>
        <w:t xml:space="preserve">[75], [76], [84]</w:t>
      </w:r>
      <w:r>
        <w:rPr>
          <w:rFonts w:ascii="Times New Roman" w:cs="Times New Roman" w:eastAsia="Times New Roman" w:hAnsi="Times New Roman"/>
          <w:sz w:val="22"/>
          <w:szCs w:val="22"/>
        </w:rPr>
        <w:t xml:space="preserve">; the safety stack is achievable incrementally </w:t>
      </w:r>
      <w:r>
        <w:rPr>
          <w:rFonts w:ascii="Times New Roman" w:cs="Times New Roman" w:eastAsia="Times New Roman" w:hAnsi="Times New Roman"/>
          <w:sz w:val="22"/>
          <w:szCs w:val="22"/>
        </w:rPr>
        <w:t xml:space="preserve">[87], [92]</w:t>
      </w:r>
      <w:r>
        <w:rPr>
          <w:rFonts w:ascii="Times New Roman" w:cs="Times New Roman" w:eastAsia="Times New Roman" w:hAnsi="Times New Roman"/>
          <w:sz w:val="22"/>
          <w:szCs w:val="22"/>
        </w:rPr>
        <w:t xml:space="preserve">; the combined ride-and-delivery model is validated by incumbent revenue structure </w:t>
      </w: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 the networking feature rests on the robust weak-ties finding </w:t>
      </w:r>
      <w:r>
        <w:rPr>
          <w:rFonts w:ascii="Times New Roman" w:cs="Times New Roman" w:eastAsia="Times New Roman" w:hAnsi="Times New Roman"/>
          <w:sz w:val="22"/>
          <w:szCs w:val="22"/>
        </w:rPr>
        <w:t xml:space="preserve">[110], [116]</w:t>
      </w:r>
      <w:r>
        <w:rPr>
          <w:rFonts w:ascii="Times New Roman" w:cs="Times New Roman" w:eastAsia="Times New Roman" w:hAnsi="Times New Roman"/>
          <w:sz w:val="22"/>
          <w:szCs w:val="22"/>
        </w:rPr>
        <w:t xml:space="preserve">; and the environmental claim is defensible for pooled trips when stated honestly </w:t>
      </w:r>
      <w:r>
        <w:rPr>
          <w:rFonts w:ascii="Times New Roman" w:cs="Times New Roman" w:eastAsia="Times New Roman" w:hAnsi="Times New Roman"/>
          <w:sz w:val="22"/>
          <w:szCs w:val="22"/>
        </w:rPr>
        <w:t xml:space="preserve">[67], [73]</w:t>
      </w:r>
      <w:r>
        <w:rPr>
          <w:rFonts w:ascii="Times New Roman" w:cs="Times New Roman" w:eastAsia="Times New Roman" w:hAnsi="Times New Roman"/>
          <w:sz w:val="22"/>
          <w:szCs w:val="22"/>
        </w:rPr>
        <w:t xml:space="preserve">. The two hard problems, however, are genuinely hard, and the venture's fate turns on them.</w:t>
      </w:r>
    </w:p>
    <w:p>
      <w:pPr>
        <w:pStyle w:val="Heading2"/>
        <w:spacing w:after="120" w:before="220"/>
      </w:pPr>
      <w:r>
        <w:rPr>
          <w:rFonts w:ascii="Arial" w:cs="Arial" w:eastAsia="Arial" w:hAnsi="Arial"/>
          <w:b/>
          <w:bCs/>
          <w:color w:val="1C6FD6"/>
          <w:sz w:val="23"/>
          <w:szCs w:val="23"/>
        </w:rPr>
        <w:t xml:space="preserve">A.  Problem One: Surviving the Cold Start</w:t>
      </w:r>
    </w:p>
    <w:p>
      <w:pPr>
        <w:spacing w:after="120" w:line="276"/>
        <w:jc w:val="both"/>
      </w:pPr>
      <w:r>
        <w:rPr>
          <w:rFonts w:ascii="Times New Roman" w:cs="Times New Roman" w:eastAsia="Times New Roman" w:hAnsi="Times New Roman"/>
          <w:sz w:val="22"/>
          <w:szCs w:val="22"/>
        </w:rPr>
        <w:t xml:space="preserve">The first problem is reaching critical mass before resources or momentum are exhausted, against a base rate in which roughly nine in ten platforms fail to do so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The prescribed response, synthesized from Sections IV, V, and XIV, is </w:t>
      </w:r>
      <w:r>
        <w:rPr>
          <w:rFonts w:ascii="Times New Roman" w:cs="Times New Roman" w:eastAsia="Times New Roman" w:hAnsi="Times New Roman"/>
          <w:b/>
          <w:bCs/>
          <w:sz w:val="22"/>
          <w:szCs w:val="22"/>
        </w:rPr>
        <w:t xml:space="preserve">geographic and niche concentration combined with single-side seeding</w:t>
      </w:r>
      <w:r>
        <w:rPr>
          <w:rFonts w:ascii="Times New Roman" w:cs="Times New Roman" w:eastAsia="Times New Roman" w:hAnsi="Times New Roman"/>
          <w:sz w:val="22"/>
          <w:szCs w:val="22"/>
        </w:rPr>
        <w:t xml:space="preserve">. Concretely: seed the supply side first by recruiting and incentivizing drivers </w:t>
      </w:r>
      <w:r>
        <w:rPr>
          <w:rFonts w:ascii="Times New Roman" w:cs="Times New Roman" w:eastAsia="Times New Roman" w:hAnsi="Times New Roman"/>
          <w:sz w:val="22"/>
          <w:szCs w:val="22"/>
        </w:rPr>
        <w:t xml:space="preserve">[15], [17]</w:t>
      </w:r>
      <w:r>
        <w:rPr>
          <w:rFonts w:ascii="Times New Roman" w:cs="Times New Roman" w:eastAsia="Times New Roman" w:hAnsi="Times New Roman"/>
          <w:sz w:val="22"/>
          <w:szCs w:val="22"/>
        </w:rPr>
        <w:t xml:space="preserve">; saturate one “white-hot” segment—a single Northwest Arkansas commuter corridor or one large residence cluster—rather than the whole university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and use concentrated launch promotion, which theory shows can substitute for the network density that does not yet exist </w:t>
      </w: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A measurable success criterion follows: the platform has crossed critical mass in a segment when organic user acquisition exceeds paid acquisition there; if, after one academic semester, organic growth remains below roughly one-fifth of new users, the correct response is to narrow the niche further rather than to broaden it.</w:t>
      </w:r>
    </w:p>
    <w:p>
      <w:pPr>
        <w:pStyle w:val="Heading2"/>
        <w:spacing w:after="120" w:before="220"/>
      </w:pPr>
      <w:r>
        <w:rPr>
          <w:rFonts w:ascii="Arial" w:cs="Arial" w:eastAsia="Arial" w:hAnsi="Arial"/>
          <w:b/>
          <w:bCs/>
          <w:color w:val="1C6FD6"/>
          <w:sz w:val="23"/>
          <w:szCs w:val="23"/>
        </w:rPr>
        <w:t xml:space="preserve">B.  Problem Two: The Insurance Coverage Gap</w:t>
      </w:r>
    </w:p>
    <w:p>
      <w:pPr>
        <w:spacing w:after="120" w:line="276"/>
        <w:jc w:val="both"/>
      </w:pPr>
      <w:r>
        <w:rPr>
          <w:rFonts w:ascii="Times New Roman" w:cs="Times New Roman" w:eastAsia="Times New Roman" w:hAnsi="Times New Roman"/>
          <w:sz w:val="22"/>
          <w:szCs w:val="22"/>
        </w:rPr>
        <w:t xml:space="preserve">The second problem is the decisive one, and it is legal-financial rather than operational. Arkansas Code §23-13-709 permits personal-auto insurers to void all coverage while a driver is logged in, creating a coverage gap that, if a platform is classified as a TNC, can be filled only by a one-million-dollar policy whose cost is almost certainly fatal to a student venture </w:t>
      </w:r>
      <w:r>
        <w:rPr>
          <w:rFonts w:ascii="Times New Roman" w:cs="Times New Roman" w:eastAsia="Times New Roman" w:hAnsi="Times New Roman"/>
          <w:sz w:val="22"/>
          <w:szCs w:val="22"/>
        </w:rPr>
        <w:t xml:space="preserve">[94], [95], [98]</w:t>
      </w:r>
      <w:r>
        <w:rPr>
          <w:rFonts w:ascii="Times New Roman" w:cs="Times New Roman" w:eastAsia="Times New Roman" w:hAnsi="Times New Roman"/>
          <w:sz w:val="22"/>
          <w:szCs w:val="22"/>
        </w:rPr>
        <w:t xml:space="preserve">. The escape, as Section XI established, is a </w:t>
      </w:r>
      <w:r>
        <w:rPr>
          <w:rFonts w:ascii="Times New Roman" w:cs="Times New Roman" w:eastAsia="Times New Roman" w:hAnsi="Times New Roman"/>
          <w:b/>
          <w:bCs/>
          <w:sz w:val="22"/>
          <w:szCs w:val="22"/>
        </w:rPr>
        <w:t xml:space="preserve">threshold decision about pricing</w:t>
      </w:r>
      <w:r>
        <w:rPr>
          <w:rFonts w:ascii="Times New Roman" w:cs="Times New Roman" w:eastAsia="Times New Roman" w:hAnsi="Times New Roman"/>
          <w:sz w:val="22"/>
          <w:szCs w:val="22"/>
        </w:rPr>
        <w:t xml:space="preserve">: a genuine cost-sharing carpool, in which drivers recover costs but earn no profit, plausibly qualifies for statutory exemption from TNC classification, while any move to profit pricing or surge crosses the threshold into TNC obligations </w:t>
      </w:r>
      <w:r>
        <w:rPr>
          <w:rFonts w:ascii="Times New Roman" w:cs="Times New Roman" w:eastAsia="Times New Roman" w:hAnsi="Times New Roman"/>
          <w:sz w:val="22"/>
          <w:szCs w:val="22"/>
        </w:rPr>
        <w:t xml:space="preserve">[93], [94], [96]</w:t>
      </w:r>
      <w:r>
        <w:rPr>
          <w:rFonts w:ascii="Times New Roman" w:cs="Times New Roman" w:eastAsia="Times New Roman" w:hAnsi="Times New Roman"/>
          <w:sz w:val="22"/>
          <w:szCs w:val="22"/>
        </w:rPr>
        <w:t xml:space="preserve">. The recommended posture is therefore unambiguous—launch as a true cost-sharing carpool, document cost-sharing rigorously, and obtain a binding written legal opinion confirming exemption status before the first ride—accompanied by an insurance strategy that also addresses the distinct product, theft, and food-safety liabilities that item delivery introduces and that no auto policy covers </w:t>
      </w:r>
      <w:r>
        <w:rPr>
          <w:rFonts w:ascii="Times New Roman" w:cs="Times New Roman" w:eastAsia="Times New Roman" w:hAnsi="Times New Roman"/>
          <w:sz w:val="22"/>
          <w:szCs w:val="22"/>
        </w:rPr>
        <w:t xml:space="preserve">[99], [100]</w:t>
      </w:r>
      <w:r>
        <w:rPr>
          <w:rFonts w:ascii="Times New Roman" w:cs="Times New Roman" w:eastAsia="Times New Roman" w:hAnsi="Times New Roman"/>
          <w:sz w:val="22"/>
          <w:szCs w:val="22"/>
        </w:rPr>
        <w:t xml:space="preserve">.</w:t>
      </w:r>
    </w:p>
    <w:p>
      <w:pPr>
        <w:pStyle w:val="Heading2"/>
        <w:spacing w:after="120" w:before="220"/>
      </w:pPr>
      <w:r>
        <w:rPr>
          <w:rFonts w:ascii="Arial" w:cs="Arial" w:eastAsia="Arial" w:hAnsi="Arial"/>
          <w:b/>
          <w:bCs/>
          <w:color w:val="1C6FD6"/>
          <w:sz w:val="23"/>
          <w:szCs w:val="23"/>
        </w:rPr>
        <w:t xml:space="preserve">C.  A Risk Register for the Venture</w:t>
      </w:r>
    </w:p>
    <w:p>
      <w:pPr>
        <w:spacing w:after="120" w:line="276"/>
        <w:jc w:val="both"/>
      </w:pPr>
      <w:r>
        <w:rPr>
          <w:rFonts w:ascii="Times New Roman" w:cs="Times New Roman" w:eastAsia="Times New Roman" w:hAnsi="Times New Roman"/>
          <w:sz w:val="22"/>
          <w:szCs w:val="22"/>
        </w:rPr>
        <w:t xml:space="preserve">Beyond the two decisive problems, a disciplined feasibility assessment enumerates the operational risks that would threaten the venture even if the cold start and the insurance question were resolved, and pairs each with a concrete mitigation. Table IV consolidates these into a risk register, ordered roughly by severity. The register is not exhaustive, but it captures the hazards the preceding analysis identified as most consequential and makes explicit the response each demands.</w:t>
      </w:r>
    </w:p>
    <w:p>
      <w:pPr>
        <w:spacing w:after="80" w:before="200"/>
        <w:jc w:val="center"/>
      </w:pPr>
      <w:r>
        <w:rPr>
          <w:rFonts w:ascii="Arial" w:cs="Arial" w:eastAsia="Arial" w:hAnsi="Arial"/>
          <w:b/>
          <w:bCs/>
          <w:caps/>
          <w:color w:val="0B1F3A"/>
          <w:sz w:val="18"/>
          <w:szCs w:val="18"/>
        </w:rPr>
        <w:t xml:space="preserve">Table IV.  DiamondDrive Operational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Risk</w:t>
            </w:r>
          </w:p>
        </w:tc>
        <w:tc>
          <w:tcPr>
            <w:tcW w:type="dxa" w:w="13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Severity</w:t>
            </w:r>
          </w:p>
        </w:tc>
        <w:tc>
          <w:tcPr>
            <w:tcW w:type="dxa" w:w="546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Mitigation</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Insurance reclassification as a TNC</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Critical</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Operate as a documented cost-sharing carpool; obtain a binding legal opinion before launch; never introduce profit pricing or surge [94], [96]</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Failure to reach critical mass</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Critical</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Seed drivers first; saturate one corridor or residence cluster; benchmark organic-versus-paid acquisition; narrow the niche if growth stalls [12], [18]</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Safety incident eroding trust</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High</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University-email verification and reputation as the trust spine; identity verification, live trip sharing, and SOS at launch; background checks via established APIs [86], [87], [92]</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Delivery-specific liability (theft, food safety)</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High</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Address product, theft, and food-safety exposure explicitly in the insurance strategy; these are not covered by personal auto policies or the carpool exemption [99], [100]</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Fare-free transit undercuts paid value proposition</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Medium</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Target the documented gaps Razorback Transit and Safe Ride leave—off-hours, off-route, Dickson Street, inclement weather—rather than competing on already-served daytime routes [122], [123]</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Overstated environmental claims</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Medium</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Claim VMT and emissions benefits only for genuinely pooled trips; cite campus-specific ranges, not ride-hailing figures that may reflect deadheading [67], [72]</w:t>
            </w:r>
          </w:p>
        </w:tc>
      </w:tr>
      <w:tr>
        <w:tc>
          <w:tcPr>
            <w:tcW w:type="dxa" w:w="26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Reputation-system manipulation</w:t>
            </w:r>
          </w:p>
        </w:tc>
        <w:tc>
          <w:tcPr>
            <w:tcW w:type="dxa" w:w="13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Medium</w:t>
            </w:r>
          </w:p>
        </w:tc>
        <w:tc>
          <w:tcPr>
            <w:tcW w:type="dxa" w:w="54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Protect rater anonymity, discourage reciprocal retaliation, and guard against fake reviews and reputation inflation [79], [80]</w:t>
            </w:r>
          </w:p>
        </w:tc>
      </w:tr>
    </w:tbl>
    <w:p>
      <w:pPr>
        <w:spacing w:after="200" w:before="80"/>
        <w:jc w:val="center"/>
      </w:pPr>
      <w:r>
        <w:rPr>
          <w:rFonts w:ascii="Arial" w:cs="Arial" w:eastAsia="Arial" w:hAnsi="Arial"/>
          <w:i/>
          <w:iCs/>
          <w:color w:val="5A6675"/>
          <w:sz w:val="17"/>
          <w:szCs w:val="17"/>
        </w:rPr>
        <w:t xml:space="preserve">Synthesis of risks and mitigations identified throughout the analysis.</w:t>
      </w:r>
    </w:p>
    <w:p>
      <w:pPr>
        <w:pStyle w:val="Heading2"/>
        <w:spacing w:after="120" w:before="220"/>
      </w:pPr>
      <w:r>
        <w:rPr>
          <w:rFonts w:ascii="Arial" w:cs="Arial" w:eastAsia="Arial" w:hAnsi="Arial"/>
          <w:b/>
          <w:bCs/>
          <w:color w:val="1C6FD6"/>
          <w:sz w:val="23"/>
          <w:szCs w:val="23"/>
        </w:rPr>
        <w:t xml:space="preserve">D.  Consolidated Recommendations</w:t>
      </w:r>
    </w:p>
    <w:p>
      <w:pPr>
        <w:spacing w:after="120" w:line="276"/>
        <w:jc w:val="both"/>
      </w:pPr>
      <w:r>
        <w:rPr>
          <w:rFonts w:ascii="Times New Roman" w:cs="Times New Roman" w:eastAsia="Times New Roman" w:hAnsi="Times New Roman"/>
          <w:sz w:val="22"/>
          <w:szCs w:val="22"/>
        </w:rPr>
        <w:t xml:space="preserve">The analysis yields seven recommendations, ordered by priority:</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1. Launch as a true cost-sharing carpool, not a TNC. </w:t>
      </w:r>
      <w:r>
        <w:rPr>
          <w:rFonts w:ascii="Times New Roman" w:cs="Times New Roman" w:eastAsia="Times New Roman" w:hAnsi="Times New Roman"/>
          <w:sz w:val="22"/>
          <w:szCs w:val="22"/>
        </w:rPr>
        <w:t xml:space="preserve">Price rides at documented cost-sharing only to remain within the Arkansas ridesharing exemption; obtain a written legal opinion before operating. Profit pricing or surge is the threshold that changes the venture's legal classification and must be avoided </w:t>
      </w:r>
      <w:r>
        <w:rPr>
          <w:rFonts w:ascii="Times New Roman" w:cs="Times New Roman" w:eastAsia="Times New Roman" w:hAnsi="Times New Roman"/>
          <w:sz w:val="22"/>
          <w:szCs w:val="22"/>
        </w:rPr>
        <w:t xml:space="preserve">[94], [96]</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2. Solve the cold start with geographic and niche concentration. </w:t>
      </w:r>
      <w:r>
        <w:rPr>
          <w:rFonts w:ascii="Times New Roman" w:cs="Times New Roman" w:eastAsia="Times New Roman" w:hAnsi="Times New Roman"/>
          <w:sz w:val="22"/>
          <w:szCs w:val="22"/>
        </w:rPr>
        <w:t xml:space="preserve">Seed drivers first, saturate one commuter corridor or residence cluster, and benchmark success as organic acquisition exceeding paid acquisition </w:t>
      </w:r>
      <w:r>
        <w:rPr>
          <w:rFonts w:ascii="Times New Roman" w:cs="Times New Roman" w:eastAsia="Times New Roman" w:hAnsi="Times New Roman"/>
          <w:sz w:val="22"/>
          <w:szCs w:val="22"/>
        </w:rPr>
        <w:t xml:space="preserve">[12], [18]</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3. Make university-email verification and reputation the trust spine, </w:t>
      </w:r>
      <w:r>
        <w:rPr>
          <w:rFonts w:ascii="Times New Roman" w:cs="Times New Roman" w:eastAsia="Times New Roman" w:hAnsi="Times New Roman"/>
          <w:sz w:val="22"/>
          <w:szCs w:val="22"/>
        </w:rPr>
        <w:t xml:space="preserve">then add the safety stack incrementally—identity verification, live trip sharing, and an SOS button first; crash detection later </w:t>
      </w:r>
      <w:r>
        <w:rPr>
          <w:rFonts w:ascii="Times New Roman" w:cs="Times New Roman" w:eastAsia="Times New Roman" w:hAnsi="Times New Roman"/>
          <w:sz w:val="22"/>
          <w:szCs w:val="22"/>
        </w:rPr>
        <w:t xml:space="preserve">[20], [87], [92]</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4. Build the MVP on a low-code stack </w:t>
      </w:r>
      <w:r>
        <w:rPr>
          <w:rFonts w:ascii="Times New Roman" w:cs="Times New Roman" w:eastAsia="Times New Roman" w:hAnsi="Times New Roman"/>
          <w:sz w:val="22"/>
          <w:szCs w:val="22"/>
        </w:rPr>
        <w:t xml:space="preserve">(FlutterFlow with Firebase or Supabase), integrating mapping for matching, Stripe for settlement, and Checkr or Persona for verification </w:t>
      </w:r>
      <w:r>
        <w:rPr>
          <w:rFonts w:ascii="Times New Roman" w:cs="Times New Roman" w:eastAsia="Times New Roman" w:hAnsi="Times New Roman"/>
          <w:sz w:val="22"/>
          <w:szCs w:val="22"/>
        </w:rPr>
        <w:t xml:space="preserve">[129], [133], [134]</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5. Anchor rewards in real local value, </w:t>
      </w:r>
      <w:r>
        <w:rPr>
          <w:rFonts w:ascii="Times New Roman" w:cs="Times New Roman" w:eastAsia="Times New Roman" w:hAnsi="Times New Roman"/>
          <w:sz w:val="22"/>
          <w:szCs w:val="22"/>
        </w:rPr>
        <w:t xml:space="preserve">pursuing 7 Brew and other homegrown Northwest Arkansas brands as sponsors and avoiding vanity-only gamification </w:t>
      </w:r>
      <w:r>
        <w:rPr>
          <w:rFonts w:ascii="Times New Roman" w:cs="Times New Roman" w:eastAsia="Times New Roman" w:hAnsi="Times New Roman"/>
          <w:sz w:val="22"/>
          <w:szCs w:val="22"/>
        </w:rPr>
        <w:t xml:space="preserve">[102], [129]</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6. Time the value proposition to the parking-scarcity window </w:t>
      </w:r>
      <w:r>
        <w:rPr>
          <w:rFonts w:ascii="Times New Roman" w:cs="Times New Roman" w:eastAsia="Times New Roman" w:hAnsi="Times New Roman"/>
          <w:sz w:val="22"/>
          <w:szCs w:val="22"/>
        </w:rPr>
        <w:t xml:space="preserve">(present through the 2029 garage completion) and to Safe Ride's documented coverage exclusions </w:t>
      </w:r>
      <w:r>
        <w:rPr>
          <w:rFonts w:ascii="Times New Roman" w:cs="Times New Roman" w:eastAsia="Times New Roman" w:hAnsi="Times New Roman"/>
          <w:sz w:val="22"/>
          <w:szCs w:val="22"/>
        </w:rPr>
        <w:t xml:space="preserve">[121], [123]</w:t>
      </w:r>
      <w:r>
        <w:rPr>
          <w:rFonts w:ascii="Times New Roman" w:cs="Times New Roman" w:eastAsia="Times New Roman" w:hAnsi="Times New Roman"/>
          <w:sz w:val="22"/>
          <w:szCs w:val="22"/>
        </w:rPr>
        <w:t xml:space="preserv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7. Keep environmental claims honest, </w:t>
      </w:r>
      <w:r>
        <w:rPr>
          <w:rFonts w:ascii="Times New Roman" w:cs="Times New Roman" w:eastAsia="Times New Roman" w:hAnsi="Times New Roman"/>
          <w:sz w:val="22"/>
          <w:szCs w:val="22"/>
        </w:rPr>
        <w:t xml:space="preserve">claiming VMT and emissions benefits only for genuinely pooled trips and citing campus-specific reduction ranges rather than ride-hailing figures that may reflect deadheading </w:t>
      </w:r>
      <w:r>
        <w:rPr>
          <w:rFonts w:ascii="Times New Roman" w:cs="Times New Roman" w:eastAsia="Times New Roman" w:hAnsi="Times New Roman"/>
          <w:sz w:val="22"/>
          <w:szCs w:val="22"/>
        </w:rPr>
        <w:t xml:space="preserve">[67], [72]</w:t>
      </w:r>
      <w:r>
        <w:rPr>
          <w:rFonts w:ascii="Times New Roman" w:cs="Times New Roman" w:eastAsia="Times New Roman" w:hAnsi="Times New Roman"/>
          <w:sz w:val="22"/>
          <w:szCs w:val="22"/>
        </w:rPr>
        <w:t xml:space="preserve">.</w:t>
      </w:r>
    </w:p>
    <w:p>
      <w:pPr>
        <w:pStyle w:val="Heading1"/>
        <w:spacing w:after="160" w:before="320"/>
      </w:pPr>
      <w:r>
        <w:rPr>
          <w:rFonts w:ascii="Arial" w:cs="Arial" w:eastAsia="Arial" w:hAnsi="Arial"/>
          <w:b/>
          <w:bCs/>
          <w:caps/>
          <w:color w:val="0B1F3A"/>
          <w:sz w:val="26"/>
          <w:szCs w:val="26"/>
        </w:rPr>
        <w:t xml:space="preserve">XVI.  Limitations and Future Work</w:t>
      </w:r>
    </w:p>
    <w:p>
      <w:pPr>
        <w:spacing w:after="120" w:line="276"/>
        <w:jc w:val="both"/>
      </w:pPr>
      <w:r>
        <w:rPr>
          <w:rFonts w:ascii="Times New Roman" w:cs="Times New Roman" w:eastAsia="Times New Roman" w:hAnsi="Times New Roman"/>
          <w:sz w:val="22"/>
          <w:szCs w:val="22"/>
        </w:rPr>
        <w:t xml:space="preserve">This study is a feasibility synthesis, not an empirical evaluation, and its limitations should temper its conclusions. First, several load-bearing market figures derive from industry and news sources rather than peer-reviewed research; the rideshare market-size estimates in particular vary widely by definition and should be read as indicative of magnitude only </w:t>
      </w:r>
      <w:r>
        <w:rPr>
          <w:rFonts w:ascii="Times New Roman" w:cs="Times New Roman" w:eastAsia="Times New Roman" w:hAnsi="Times New Roman"/>
          <w:sz w:val="22"/>
          <w:szCs w:val="22"/>
        </w:rPr>
        <w:t xml:space="preserve">[41], [42], [46]</w:t>
      </w:r>
      <w:r>
        <w:rPr>
          <w:rFonts w:ascii="Times New Roman" w:cs="Times New Roman" w:eastAsia="Times New Roman" w:hAnsi="Times New Roman"/>
          <w:sz w:val="22"/>
          <w:szCs w:val="22"/>
        </w:rPr>
        <w:t xml:space="preserve">. Second, the demand argument rests on documented structural conditions—enrollment, parking, transit, and Safe Ride usage—rather than on primary survey data collected from University of Arkansas students; the willingness-to-pay and willingness-to-drive of this specific population remain to be measured. Third, the regulatory analysis, while specific to Arkansas statute, is not a substitute for the binding legal opinion the venture must obtain, and statutes change </w:t>
      </w:r>
      <w:r>
        <w:rPr>
          <w:rFonts w:ascii="Times New Roman" w:cs="Times New Roman" w:eastAsia="Times New Roman" w:hAnsi="Times New Roman"/>
          <w:sz w:val="22"/>
          <w:szCs w:val="22"/>
        </w:rPr>
        <w:t xml:space="preserve">[93], [94]</w:t>
      </w:r>
      <w:r>
        <w:rPr>
          <w:rFonts w:ascii="Times New Roman" w:cs="Times New Roman" w:eastAsia="Times New Roman" w:hAnsi="Times New Roman"/>
          <w:sz w:val="22"/>
          <w:szCs w:val="22"/>
        </w:rPr>
        <w:t xml:space="preserve">. Fourth, certain operational specifics flagged throughout—precise commuter distances, current-year transit ridership, and the exact count of forthcoming garage spaces, which sources report variously as 1,500 and 1,700—require primary verification </w:t>
      </w:r>
      <w:r>
        <w:rPr>
          <w:rFonts w:ascii="Times New Roman" w:cs="Times New Roman" w:eastAsia="Times New Roman" w:hAnsi="Times New Roman"/>
          <w:sz w:val="22"/>
          <w:szCs w:val="22"/>
        </w:rPr>
        <w:t xml:space="preserve">[121], [127]</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These limitations define a clear program of future work. The most valuable next step is a </w:t>
      </w:r>
      <w:r>
        <w:rPr>
          <w:rFonts w:ascii="Times New Roman" w:cs="Times New Roman" w:eastAsia="Times New Roman" w:hAnsi="Times New Roman"/>
          <w:b/>
          <w:bCs/>
          <w:sz w:val="22"/>
          <w:szCs w:val="22"/>
        </w:rPr>
        <w:t xml:space="preserve">primary survey and stated-preference study</w:t>
      </w:r>
      <w:r>
        <w:rPr>
          <w:rFonts w:ascii="Times New Roman" w:cs="Times New Roman" w:eastAsia="Times New Roman" w:hAnsi="Times New Roman"/>
          <w:sz w:val="22"/>
          <w:szCs w:val="22"/>
        </w:rPr>
        <w:t xml:space="preserve"> of University of Arkansas commuters, measuring routine compatibility, willingness to share, willingness to drive under a cost-sharing model, and price sensitivity, so that the demand argument can be quantified rather than inferred. A </w:t>
      </w:r>
      <w:r>
        <w:rPr>
          <w:rFonts w:ascii="Times New Roman" w:cs="Times New Roman" w:eastAsia="Times New Roman" w:hAnsi="Times New Roman"/>
          <w:b/>
          <w:bCs/>
          <w:sz w:val="22"/>
          <w:szCs w:val="22"/>
        </w:rPr>
        <w:t xml:space="preserve">pilot deployment</w:t>
      </w:r>
      <w:r>
        <w:rPr>
          <w:rFonts w:ascii="Times New Roman" w:cs="Times New Roman" w:eastAsia="Times New Roman" w:hAnsi="Times New Roman"/>
          <w:sz w:val="22"/>
          <w:szCs w:val="22"/>
        </w:rPr>
        <w:t xml:space="preserve"> on a single Northwest Arkansas corridor, instrumented to measure the organic-versus-paid acquisition ratio that Section XV proposes as the critical-mass test, would convert the cold-start strategy from prescription into evidence. A </w:t>
      </w:r>
      <w:r>
        <w:rPr>
          <w:rFonts w:ascii="Times New Roman" w:cs="Times New Roman" w:eastAsia="Times New Roman" w:hAnsi="Times New Roman"/>
          <w:b/>
          <w:bCs/>
          <w:sz w:val="22"/>
          <w:szCs w:val="22"/>
        </w:rPr>
        <w:t xml:space="preserve">formal legal and insurance engagement</w:t>
      </w:r>
      <w:r>
        <w:rPr>
          <w:rFonts w:ascii="Times New Roman" w:cs="Times New Roman" w:eastAsia="Times New Roman" w:hAnsi="Times New Roman"/>
          <w:sz w:val="22"/>
          <w:szCs w:val="22"/>
        </w:rPr>
        <w:t xml:space="preserve"> would resolve the exemption question definitively and price the delivery-liability exposure. Finally, longitudinal measurement of actual pooled-trip rates would establish whether the environmental claim holds in practice or dissolves into deadheading, as the cautionary literature warns it can </w:t>
      </w:r>
      <w:r>
        <w:rPr>
          <w:rFonts w:ascii="Times New Roman" w:cs="Times New Roman" w:eastAsia="Times New Roman" w:hAnsi="Times New Roman"/>
          <w:sz w:val="22"/>
          <w:szCs w:val="22"/>
        </w:rPr>
        <w:t xml:space="preserve">[72], [73]</w:t>
      </w:r>
      <w:r>
        <w:rPr>
          <w:rFonts w:ascii="Times New Roman" w:cs="Times New Roman" w:eastAsia="Times New Roman" w:hAnsi="Times New Roman"/>
          <w:sz w:val="22"/>
          <w:szCs w:val="22"/>
        </w:rPr>
        <w:t xml:space="preserve">.</w:t>
      </w:r>
    </w:p>
    <w:p>
      <w:pPr>
        <w:pStyle w:val="Heading1"/>
        <w:spacing w:after="160" w:before="320"/>
      </w:pPr>
      <w:r>
        <w:rPr>
          <w:rFonts w:ascii="Arial" w:cs="Arial" w:eastAsia="Arial" w:hAnsi="Arial"/>
          <w:b/>
          <w:bCs/>
          <w:caps/>
          <w:color w:val="0B1F3A"/>
          <w:sz w:val="26"/>
          <w:szCs w:val="26"/>
        </w:rPr>
        <w:t xml:space="preserve">XVII.  Conclusion</w:t>
      </w:r>
    </w:p>
    <w:p>
      <w:pPr>
        <w:spacing w:after="120" w:line="276"/>
        <w:jc w:val="both"/>
      </w:pPr>
      <w:r>
        <w:rPr>
          <w:rFonts w:ascii="Times New Roman" w:cs="Times New Roman" w:eastAsia="Times New Roman" w:hAnsi="Times New Roman"/>
          <w:sz w:val="22"/>
          <w:szCs w:val="22"/>
        </w:rPr>
        <w:t xml:space="preserve">The American ride-hailing industry began on a university campus, when a closed, trusted network solved a trust problem that had defeated carpooling for half a century </w:t>
      </w:r>
      <w:r>
        <w:rPr>
          <w:rFonts w:ascii="Times New Roman" w:cs="Times New Roman" w:eastAsia="Times New Roman" w:hAnsi="Times New Roman"/>
          <w:sz w:val="22"/>
          <w:szCs w:val="22"/>
        </w:rPr>
        <w:t xml:space="preserve">[19], [20]</w:t>
      </w:r>
      <w:r>
        <w:rPr>
          <w:rFonts w:ascii="Times New Roman" w:cs="Times New Roman" w:eastAsia="Times New Roman" w:hAnsi="Times New Roman"/>
          <w:sz w:val="22"/>
          <w:szCs w:val="22"/>
        </w:rPr>
        <w:t xml:space="preserve">. DiamondDrive proposes to return to that origin with a sharper instrument: a student-led, university-email-verified platform that combines cost-shared ridesharing with item delivery, launched into a single well-characterized market. The evidence assembled here—across market structure, behavioral economics, transportation planning, environmental science, information systems, law, and sociology—supports the concept in principle and the University of Arkansas as a launch site in particular. Enrollment growth, priced and scarce parking with no relief until 2029, a daytime-limited transit system, and an oversubscribed late-night service together describe a genuine and durable mobility gap </w:t>
      </w:r>
      <w:r>
        <w:rPr>
          <w:rFonts w:ascii="Times New Roman" w:cs="Times New Roman" w:eastAsia="Times New Roman" w:hAnsi="Times New Roman"/>
          <w:sz w:val="22"/>
          <w:szCs w:val="22"/>
        </w:rPr>
        <w:t xml:space="preserve">[117], [121], [122], [124]</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Whether DiamondDrive succeeds depends not on the appeal of the idea but on the disciplined resolution of two hard problems. The cold-start problem is severe but navigable, and the platform literature supplies a concrete, falsifiable seeding strategy for navigating it </w:t>
      </w:r>
      <w:r>
        <w:rPr>
          <w:rFonts w:ascii="Times New Roman" w:cs="Times New Roman" w:eastAsia="Times New Roman" w:hAnsi="Times New Roman"/>
          <w:sz w:val="22"/>
          <w:szCs w:val="22"/>
        </w:rPr>
        <w:t xml:space="preserve">[12], [18]</w:t>
      </w:r>
      <w:r>
        <w:rPr>
          <w:rFonts w:ascii="Times New Roman" w:cs="Times New Roman" w:eastAsia="Times New Roman" w:hAnsi="Times New Roman"/>
          <w:sz w:val="22"/>
          <w:szCs w:val="22"/>
        </w:rPr>
        <w:t xml:space="preserve">. The insurance coverage gap created by Arkansas Code §23-13-709 is the more consequential constraint, and it admits of exactly one survivable posture: a genuine cost-sharing carpool that remains outside Transportation Network Company classification, validated by a binding legal opinion before launch </w:t>
      </w:r>
      <w:r>
        <w:rPr>
          <w:rFonts w:ascii="Times New Roman" w:cs="Times New Roman" w:eastAsia="Times New Roman" w:hAnsi="Times New Roman"/>
          <w:sz w:val="22"/>
          <w:szCs w:val="22"/>
        </w:rPr>
        <w:t xml:space="preserve">[94], [96]</w:t>
      </w:r>
      <w:r>
        <w:rPr>
          <w:rFonts w:ascii="Times New Roman" w:cs="Times New Roman" w:eastAsia="Times New Roman" w:hAnsi="Times New Roman"/>
          <w:sz w:val="22"/>
          <w:szCs w:val="22"/>
        </w:rPr>
        <w:t xml:space="preserve">. Held to that discipline—a true cost-sharing model, a narrow commuter niche, university-email verification, an incremental safety stack, honest environmental claims, and homegrown sponsor partnerships—DiamondDrive is a credible venture. Released from it, it is an uninsured liability. The distinction is the contribution of this paper, and it is the line on which the venture's future rests.</w:t>
      </w:r>
    </w:p>
    <w:p>
      <w:r>
        <w:br w:type="page"/>
      </w:r>
    </w:p>
    <w:p>
      <w:pPr>
        <w:pStyle w:val="Heading1"/>
        <w:spacing w:after="160" w:before="320"/>
      </w:pPr>
      <w:r>
        <w:rPr>
          <w:rFonts w:ascii="Arial" w:cs="Arial" w:eastAsia="Arial" w:hAnsi="Arial"/>
          <w:b/>
          <w:bCs/>
          <w:caps/>
          <w:color w:val="0B1F3A"/>
          <w:sz w:val="26"/>
          <w:szCs w:val="26"/>
        </w:rPr>
        <w:t xml:space="preserve">References</w:t>
      </w:r>
    </w:p>
    <w:p>
      <w:pPr>
        <w:spacing w:after="60" w:line="252"/>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J.-C. Rochet and J. Tirole, "Platform competition in two-sided markets," J. Eur. Econ. Assoc., vol. 1, no. 4, pp. 990–1029, 2003, doi: 10.1162/154247603322493212.</w:t>
      </w:r>
    </w:p>
    <w:p>
      <w:pPr>
        <w:spacing w:after="60" w:line="252"/>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J.-C. Rochet and J. Tirole, "Two-sided markets: A progress report," RAND J. Econ., vol. 37, no. 3, pp. 645–667, 2006, doi: 10.1111/j.1756-2171.2006.tb00036.x.</w:t>
      </w:r>
    </w:p>
    <w:p>
      <w:pPr>
        <w:spacing w:after="60" w:line="252"/>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 L. Katz and C. Shapiro, "Network externalities, competition, and compatibility," Amer. Econ. Rev., vol. 75, no. 3, pp. 424–440, 1985.</w:t>
      </w:r>
    </w:p>
    <w:p>
      <w:pPr>
        <w:spacing w:after="60" w:line="252"/>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 Bardhi and G. M. Eckhardt, "Access-based consumption: The case of car sharing," J. Consum. Res., vol. 39, no. 4, pp. 881–898, 2012, doi: 10.1086/666376.</w:t>
      </w:r>
    </w:p>
    <w:p>
      <w:pPr>
        <w:spacing w:after="60" w:line="252"/>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R. Belk, "You are what you can access: Sharing and collaborative consumption online," J. Bus. Res., vol. 67, no. 8, pp. 1595–1600, 2014, doi: 10.1016/j.jbusres.2013.10.001.</w:t>
      </w:r>
    </w:p>
    <w:p>
      <w:pPr>
        <w:spacing w:after="60" w:line="252"/>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J. Hamari, M. Sjöklint, and A. Ukkonen, "The sharing economy: Why people participate in collaborative consumption," J. Assoc. Inf. Sci. Technol., vol. 67, no. 9, pp. 2047–2059, 2016, doi: 10.1002/asi.23552.</w:t>
      </w:r>
    </w:p>
    <w:p>
      <w:pPr>
        <w:spacing w:after="60" w:line="252"/>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A. Sundararajan, The Sharing Economy: The End of Employment and the Rise of Crowd-Based Capitalism. Cambridge, MA, USA: MIT Press, 2016.</w:t>
      </w:r>
    </w:p>
    <w:p>
      <w:pPr>
        <w:spacing w:after="60" w:line="252"/>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G. G. Parker, M. W. Van Alstyne, and S. P. Choudary, Platform Revolution: How Networked Markets Are Transforming the Economy and How to Make Them Work for You. New York, NY, USA: W. W. Norton, 2016.</w:t>
      </w:r>
    </w:p>
    <w:p>
      <w:pPr>
        <w:spacing w:after="60" w:line="252"/>
        <w:ind w:left="360" w:hanging="36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D. S. Evans and R. Schmalensee, Matchmakers: The New Economics of Multisided Platforms. Boston, MA, USA: Harvard Business Review Press, 2016.</w:t>
      </w:r>
    </w:p>
    <w:p>
      <w:pPr>
        <w:spacing w:after="60" w:line="252"/>
        <w:ind w:left="360" w:hanging="36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R. Botsman and R. Rogers, What's Mine Is Yours: The Rise of Collaborative Consumption. New York, NY, USA: HarperBusiness, 2010.</w:t>
      </w:r>
    </w:p>
    <w:p>
      <w:pPr>
        <w:spacing w:after="60" w:line="252"/>
        <w:ind w:left="360" w:hanging="36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M. Andersson, A. Hjalmarsson, and M. Avital, "Peer-to-peer service sharing platforms: Driving share and share alike on a mass-scale," in Proc. 34th Int. Conf. Inf. Syst. (ICIS), Milan, Italy, 2013.</w:t>
      </w:r>
    </w:p>
    <w:p>
      <w:pPr>
        <w:spacing w:after="60" w:line="252"/>
        <w:ind w:left="360" w:hanging="36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J. Haese, T. Kretschmer, and C. Peukert, "(How) Can advertising solve the chicken-and-egg problem? Network effects and market tipping," SSRN Working Paper 5417515, 2024.</w:t>
      </w:r>
    </w:p>
    <w:p>
      <w:pPr>
        <w:spacing w:after="60" w:line="252"/>
        <w:ind w:left="360" w:hanging="36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A. Hagiu and J. Wright, "Multi-sided platforms," Int. J. Ind. Org., vol. 43, pp. 162–174, 2015, doi: 10.1016/j.ijindorg.2015.03.003.</w:t>
      </w:r>
    </w:p>
    <w:p>
      <w:pPr>
        <w:spacing w:after="60" w:line="252"/>
        <w:ind w:left="360" w:hanging="36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G. Parker and M. Van Alstyne, "Two-sided network effects: A theory of information product design," Manage. Sci., vol. 51, no. 10, pp. 1494–1504, 2005, doi: 10.1287/mnsc.1050.0400.</w:t>
      </w:r>
    </w:p>
    <w:p>
      <w:pPr>
        <w:spacing w:after="60" w:line="252"/>
        <w:ind w:left="360" w:hanging="36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T. Eisenmann, G. Parker, and M. Van Alstyne, "Strategies for two-sided markets," Harvard Bus. Rev., vol. 84, no. 10, pp. 92–101, 2006.</w:t>
      </w:r>
    </w:p>
    <w:p>
      <w:pPr>
        <w:spacing w:after="60" w:line="252"/>
        <w:ind w:left="360" w:hanging="36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J. Stummer, "Solving the chicken-or-the-egg problem: Strategies for launching two-sided platforms," M.S. thesis, MIT Sloan Sch. Manage., Cambridge, MA, USA, 2018.</w:t>
      </w:r>
    </w:p>
    <w:p>
      <w:pPr>
        <w:spacing w:after="60" w:line="252"/>
        <w:ind w:left="360" w:hanging="36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B. Libai, E. Muller, and R. Peres, "Decomposing the value of word-of-mouth seeding programs: Acceleration versus expansion," J. Marketing Res., vol. 50, no. 2, pp. 161–176, 2013, doi: 10.1509/jmr.11.0305.</w:t>
      </w:r>
    </w:p>
    <w:p>
      <w:pPr>
        <w:spacing w:after="60" w:line="252"/>
        <w:ind w:left="360" w:hanging="36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NFX, "The network effects bible," NFX, San Francisco, CA, USA, 2019. [Online]. Available: https://www.nfx.com/post/network-effects-bible</w:t>
      </w:r>
    </w:p>
    <w:p>
      <w:pPr>
        <w:spacing w:after="60" w:line="252"/>
        <w:ind w:left="360" w:hanging="36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L. Rao, "Lyft-off: Zimride's long road to overnight success," TechCrunch, Aug. 29, 2014. [Online]. Available: https://techcrunch.com/2014/08/29/lyft-off-zimrides-long-road-to-overnight-success/</w:t>
      </w:r>
    </w:p>
    <w:p>
      <w:pPr>
        <w:spacing w:after="60" w:line="252"/>
        <w:ind w:left="360" w:hanging="36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Wikipedia contributors, "Zimride," Wikipedia, The Free Encyclopedia, 2025. [Online]. Available: https://en.wikipedia.org/wiki/Zimride</w:t>
      </w:r>
    </w:p>
    <w:p>
      <w:pPr>
        <w:spacing w:after="60" w:line="252"/>
        <w:ind w:left="360" w:hanging="36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Wikipedia contributors, "Lyft," Wikipedia, The Free Encyclopedia, 2025. [Online]. Available: https://en.wikipedia.org/wiki/Lyft</w:t>
      </w:r>
    </w:p>
    <w:p>
      <w:pPr>
        <w:spacing w:after="60" w:line="252"/>
        <w:ind w:left="360" w:hanging="36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S. O'Brien, "A history of Lyft, from balloons and pink mustaches to its IPO," CNN Business, Mar. 1, 2019. [Online]. Available: https://www.cnn.com/2019/03/01/tech/lyft-history/index.html</w:t>
      </w:r>
    </w:p>
    <w:p>
      <w:pPr>
        <w:spacing w:after="60" w:line="252"/>
        <w:ind w:left="360" w:hanging="36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Enterprise Holdings, "Zimride by Enterprise," 2025. [Online]. Available: https://zimride.enterprise.com/</w:t>
      </w:r>
    </w:p>
    <w:p>
      <w:pPr>
        <w:spacing w:after="60" w:line="252"/>
        <w:ind w:left="360" w:hanging="36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Liftango, "University carpool programs: Reducing congestion and emissions on campus," Liftango, 2024. [Online]. Available: https://www.liftango.com/</w:t>
      </w:r>
    </w:p>
    <w:p>
      <w:pPr>
        <w:spacing w:after="60" w:line="252"/>
        <w:ind w:left="360" w:hanging="36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Pave Commute, "Carpooling for colleges and universities," Pave Commute (Pave Mobility), 2024. [Online]. Available: https://pavemobility.com/</w:t>
      </w:r>
    </w:p>
    <w:p>
      <w:pPr>
        <w:spacing w:after="60" w:line="252"/>
        <w:ind w:left="360" w:hanging="36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RideAmigos, "Transportation demand management software for universities," RideAmigos, 2024. [Online]. Available: https://rideamigos.com/</w:t>
      </w:r>
    </w:p>
    <w:p>
      <w:pPr>
        <w:spacing w:after="60" w:line="252"/>
        <w:ind w:left="360" w:hanging="36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Pace University, "Pace launches new rideshare program for commuters," Pace Univ. News, 2025. [Online]. Available: https://www.pace.edu/</w:t>
      </w:r>
    </w:p>
    <w:p>
      <w:pPr>
        <w:spacing w:after="60" w:line="252"/>
        <w:ind w:left="360" w:hanging="36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511NY Rideshare, "Rideshare program for colleges and universities," New York State Dept. of Transportation, 2025. [Online]. Available: https://511nyrideshare.org/</w:t>
      </w:r>
    </w:p>
    <w:p>
      <w:pPr>
        <w:spacing w:after="60" w:line="252"/>
        <w:ind w:left="360" w:hanging="36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The Diamondback, "UMD student creates carpooling app for students who can't register cars on campus," The Diamondback, College Park, MD, USA, 2023.</w:t>
      </w:r>
    </w:p>
    <w:p>
      <w:pPr>
        <w:spacing w:after="60" w:line="252"/>
        <w:ind w:left="360" w:hanging="36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J. Zimmer, "The third transportation revolution: Lyft's vision for the next ten years and beyond," Medium, Sep. 18, 2016. [Online]. Available: https://medium.com/@johnzimmer/</w:t>
      </w:r>
    </w:p>
    <w:p>
      <w:pPr>
        <w:spacing w:after="60" w:line="252"/>
        <w:ind w:left="360" w:hanging="36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D. Šťastná and J. Vejchodská, "Drivers of ridesharing adoption: Insights from university students and public employees," Transp. Res. Interdiscip. Perspect., 2026, doi: 10.1016/j.trip.2026.101567.</w:t>
      </w:r>
    </w:p>
    <w:p>
      <w:pPr>
        <w:spacing w:after="60" w:line="252"/>
        <w:ind w:left="360" w:hanging="36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N. Sigala and A. Nikitas, "Exploring shared travel behavior of university students," Transp. Plann. Technol., vol. 46, no. 1, pp. 22–44, 2023, doi: 10.1080/03081060.2022.2160718.</w:t>
      </w:r>
    </w:p>
    <w:p>
      <w:pPr>
        <w:spacing w:after="60" w:line="252"/>
        <w:ind w:left="360" w:hanging="36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C. J. Rodríguez-Rad, M. E. Sánchez del Río, and E. M. Revilla-Camacho, "Exploring the intention to adopt sustainable mobility modes among young university students," Int. J. Environ. Res. Public Health, vol. 20, no. 4, p. 3196, 2023, doi: 10.3390/ijerph20043196.</w:t>
      </w:r>
    </w:p>
    <w:p>
      <w:pPr>
        <w:spacing w:after="60" w:line="252"/>
        <w:ind w:left="360" w:hanging="36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N. Chan and S. Shaheen, "Ridesharing in North America: Past, present, and future," Transp. Rev., vol. 32, no. 1, pp. 93–112, 2012, doi: 10.1080/01441647.2011.621557.</w:t>
      </w:r>
    </w:p>
    <w:p>
      <w:pPr>
        <w:spacing w:after="60" w:line="252"/>
        <w:ind w:left="360" w:hanging="36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S. Shaheen, A. Cohen, and I. Zohdy, "Shared mobility: Current practices and guiding principles," Federal Highway Admin., U.S. Dept. of Transportation, Washington, DC, USA, Rep. FHWA-HOP-16-022, 2016.</w:t>
      </w:r>
    </w:p>
    <w:p>
      <w:pPr>
        <w:spacing w:after="60" w:line="252"/>
        <w:ind w:left="360" w:hanging="36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R. R. Clewlow and G. S. Mishra, "Disruptive transportation: The adoption, utilization, and impacts of ride-hailing in the United States," Inst. Transp. Studies, Univ. California, Davis, Rep. UCD-ITS-RR-17-07, 2017.</w:t>
      </w:r>
    </w:p>
    <w:p>
      <w:pPr>
        <w:spacing w:after="60" w:line="252"/>
        <w:ind w:left="360" w:hanging="36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L. Rayle, D. Dai, N. Chan, R. Cervero, and S. Shaheen, "Just a better taxi? A survey-based comparison of taxis, transit, and ride-sourcing services in San Francisco," Transp. Policy, vol. 45, pp. 168–178, 2016, doi: 10.1016/j.tranpol.2015.10.004.</w:t>
      </w:r>
    </w:p>
    <w:p>
      <w:pPr>
        <w:spacing w:after="60" w:line="252"/>
        <w:ind w:left="360" w:hanging="36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J. Alonso-Mora, S. Samaranayake, A. Wallar, E. Frazzoli, and D. Rus, "On-demand high-capacity ride-sharing via dynamic trip-vehicle assignment," Proc. Nat. Acad. Sci., vol. 114, no. 3, pp. 462–467, 2017, doi: 10.1073/pnas.1611675114.</w:t>
      </w:r>
    </w:p>
    <w:p>
      <w:pPr>
        <w:spacing w:after="60" w:line="252"/>
        <w:ind w:left="360" w:hanging="36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M. Furuhata et al., "Ridesharing: The state-of-the-art and future directions," Transp. Res. B, Methodol., vol. 57, pp. 28–46, 2013, doi: 10.1016/j.trb.2013.08.012.</w:t>
      </w:r>
    </w:p>
    <w:p>
      <w:pPr>
        <w:spacing w:after="60" w:line="252"/>
        <w:ind w:left="360" w:hanging="36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N. Agatz, A. Erera, M. Savelsbergh, and X. Wang, "Optimization for dynamic ride-sharing: A review," Eur. J. Oper. Res., vol. 223, no. 2, pp. 295–303, 2012, doi: 10.1016/j.ejor.2012.05.028.</w:t>
      </w:r>
    </w:p>
    <w:p>
      <w:pPr>
        <w:spacing w:after="60" w:line="252"/>
        <w:ind w:left="360" w:hanging="36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Drivemond, "Ride sharing market analysis 2025: Size, share, and growth trends," Drivemond, 2025. [Online]. Available: https://drivemond.app/blog/ride-sharing-market-analysis/</w:t>
      </w:r>
    </w:p>
    <w:p>
      <w:pPr>
        <w:spacing w:after="60" w:line="252"/>
        <w:ind w:left="360" w:hanging="36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Mordor Intelligence, "Ridesharing market size &amp; share analysis – Growth trends &amp; forecasts (2026–2031)," Mordor Intelligence, 2025. [Online]. Available: https://www.mordorintelligence.com/</w:t>
      </w:r>
    </w:p>
    <w:p>
      <w:pPr>
        <w:spacing w:after="60" w:line="252"/>
        <w:ind w:left="360" w:hanging="36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Market Research Future, "Ride sharing market research report – Global forecast to 2035," MRFR, 2025.</w:t>
      </w:r>
    </w:p>
    <w:p>
      <w:pPr>
        <w:spacing w:after="60" w:line="252"/>
        <w:ind w:left="360" w:hanging="360"/>
      </w:pPr>
      <w:r>
        <w:rPr>
          <w:rFonts w:ascii="Times New Roman" w:cs="Times New Roman" w:eastAsia="Times New Roman" w:hAnsi="Times New Roman"/>
          <w:b/>
          <w:bCs/>
          <w:sz w:val="20"/>
          <w:szCs w:val="20"/>
        </w:rPr>
        <w:t xml:space="preserve">[44] </w:t>
      </w:r>
      <w:r>
        <w:rPr>
          <w:rFonts w:ascii="Times New Roman" w:cs="Times New Roman" w:eastAsia="Times New Roman" w:hAnsi="Times New Roman"/>
          <w:sz w:val="20"/>
          <w:szCs w:val="20"/>
        </w:rPr>
        <w:t xml:space="preserve">Straits Research, "Ride sharing market size, share &amp; trends analysis report," Straits Research, 2025.</w:t>
      </w:r>
    </w:p>
    <w:p>
      <w:pPr>
        <w:spacing w:after="60" w:line="252"/>
        <w:ind w:left="360" w:hanging="360"/>
      </w:pPr>
      <w:r>
        <w:rPr>
          <w:rFonts w:ascii="Times New Roman" w:cs="Times New Roman" w:eastAsia="Times New Roman" w:hAnsi="Times New Roman"/>
          <w:b/>
          <w:bCs/>
          <w:sz w:val="20"/>
          <w:szCs w:val="20"/>
        </w:rPr>
        <w:t xml:space="preserve">[45] </w:t>
      </w:r>
      <w:r>
        <w:rPr>
          <w:rFonts w:ascii="Times New Roman" w:cs="Times New Roman" w:eastAsia="Times New Roman" w:hAnsi="Times New Roman"/>
          <w:sz w:val="20"/>
          <w:szCs w:val="20"/>
        </w:rPr>
        <w:t xml:space="preserve">Fortune Business Insights, "Ride-sharing market size, share &amp; COVID-19 impact analysis," Fortune Business Insights, 2025.</w:t>
      </w:r>
    </w:p>
    <w:p>
      <w:pPr>
        <w:spacing w:after="60" w:line="252"/>
        <w:ind w:left="360" w:hanging="360"/>
      </w:pPr>
      <w:r>
        <w:rPr>
          <w:rFonts w:ascii="Times New Roman" w:cs="Times New Roman" w:eastAsia="Times New Roman" w:hAnsi="Times New Roman"/>
          <w:b/>
          <w:bCs/>
          <w:sz w:val="20"/>
          <w:szCs w:val="20"/>
        </w:rPr>
        <w:t xml:space="preserve">[46] </w:t>
      </w:r>
      <w:r>
        <w:rPr>
          <w:rFonts w:ascii="Times New Roman" w:cs="Times New Roman" w:eastAsia="Times New Roman" w:hAnsi="Times New Roman"/>
          <w:sz w:val="20"/>
          <w:szCs w:val="20"/>
        </w:rPr>
        <w:t xml:space="preserve">Statista, "Ride-hailing – United States: Consumer market insights," Statista Consumer Market Insights, 2024.</w:t>
      </w:r>
    </w:p>
    <w:p>
      <w:pPr>
        <w:spacing w:after="60" w:line="252"/>
        <w:ind w:left="360" w:hanging="360"/>
      </w:pPr>
      <w:r>
        <w:rPr>
          <w:rFonts w:ascii="Times New Roman" w:cs="Times New Roman" w:eastAsia="Times New Roman" w:hAnsi="Times New Roman"/>
          <w:b/>
          <w:bCs/>
          <w:sz w:val="20"/>
          <w:szCs w:val="20"/>
        </w:rPr>
        <w:t xml:space="preserve">[47] </w:t>
      </w:r>
      <w:r>
        <w:rPr>
          <w:rFonts w:ascii="Times New Roman" w:cs="Times New Roman" w:eastAsia="Times New Roman" w:hAnsi="Times New Roman"/>
          <w:sz w:val="20"/>
          <w:szCs w:val="20"/>
        </w:rPr>
        <w:t xml:space="preserve">AutoInsurance.com, "Rideshare statistics 2026: Market share, usage, and safety," AutoInsurance.com, 2026.</w:t>
      </w:r>
    </w:p>
    <w:p>
      <w:pPr>
        <w:spacing w:after="60" w:line="252"/>
        <w:ind w:left="360" w:hanging="360"/>
      </w:pPr>
      <w:r>
        <w:rPr>
          <w:rFonts w:ascii="Times New Roman" w:cs="Times New Roman" w:eastAsia="Times New Roman" w:hAnsi="Times New Roman"/>
          <w:b/>
          <w:bCs/>
          <w:sz w:val="20"/>
          <w:szCs w:val="20"/>
        </w:rPr>
        <w:t xml:space="preserve">[48] </w:t>
      </w:r>
      <w:r>
        <w:rPr>
          <w:rFonts w:ascii="Times New Roman" w:cs="Times New Roman" w:eastAsia="Times New Roman" w:hAnsi="Times New Roman"/>
          <w:sz w:val="20"/>
          <w:szCs w:val="20"/>
        </w:rPr>
        <w:t xml:space="preserve">Market Data Forecast, "U.S. food delivery market size, share, growth &amp; trends, 2034," Market Data Forecast, 2025. [Online]. Available: https://www.marketdataforecast.com/market-reports/united-states-food-delivery-market</w:t>
      </w:r>
    </w:p>
    <w:p>
      <w:pPr>
        <w:spacing w:after="60" w:line="252"/>
        <w:ind w:left="360" w:hanging="360"/>
      </w:pPr>
      <w:r>
        <w:rPr>
          <w:rFonts w:ascii="Times New Roman" w:cs="Times New Roman" w:eastAsia="Times New Roman" w:hAnsi="Times New Roman"/>
          <w:b/>
          <w:bCs/>
          <w:sz w:val="20"/>
          <w:szCs w:val="20"/>
        </w:rPr>
        <w:t xml:space="preserve">[49] </w:t>
      </w:r>
      <w:r>
        <w:rPr>
          <w:rFonts w:ascii="Times New Roman" w:cs="Times New Roman" w:eastAsia="Times New Roman" w:hAnsi="Times New Roman"/>
          <w:sz w:val="20"/>
          <w:szCs w:val="20"/>
        </w:rPr>
        <w:t xml:space="preserve">DoorDash, Inc., "Q4 and full year 2024 shareholder letter," Form 8-K, U.S. Securities and Exchange Commission, Washington, DC, USA, 2025. [Online]. Available: https://www.sec.gov/Archives/edgar/data/0001792789/</w:t>
      </w:r>
    </w:p>
    <w:p>
      <w:pPr>
        <w:spacing w:after="60" w:line="252"/>
        <w:ind w:left="360" w:hanging="360"/>
      </w:pPr>
      <w:r>
        <w:rPr>
          <w:rFonts w:ascii="Times New Roman" w:cs="Times New Roman" w:eastAsia="Times New Roman" w:hAnsi="Times New Roman"/>
          <w:b/>
          <w:bCs/>
          <w:sz w:val="20"/>
          <w:szCs w:val="20"/>
        </w:rPr>
        <w:t xml:space="preserve">[50] </w:t>
      </w:r>
      <w:r>
        <w:rPr>
          <w:rFonts w:ascii="Times New Roman" w:cs="Times New Roman" w:eastAsia="Times New Roman" w:hAnsi="Times New Roman"/>
          <w:sz w:val="20"/>
          <w:szCs w:val="20"/>
        </w:rPr>
        <w:t xml:space="preserve">Business of Apps, "DoorDash revenue and usage statistics (2025)," Business of Apps, 2025. [Online]. Available: https://www.businessofapps.com/data/doordash-statistics/</w:t>
      </w:r>
    </w:p>
    <w:p>
      <w:pPr>
        <w:spacing w:after="60" w:line="252"/>
        <w:ind w:left="360" w:hanging="360"/>
      </w:pPr>
      <w:r>
        <w:rPr>
          <w:rFonts w:ascii="Times New Roman" w:cs="Times New Roman" w:eastAsia="Times New Roman" w:hAnsi="Times New Roman"/>
          <w:b/>
          <w:bCs/>
          <w:sz w:val="20"/>
          <w:szCs w:val="20"/>
        </w:rPr>
        <w:t xml:space="preserve">[51] </w:t>
      </w:r>
      <w:r>
        <w:rPr>
          <w:rFonts w:ascii="Times New Roman" w:cs="Times New Roman" w:eastAsia="Times New Roman" w:hAnsi="Times New Roman"/>
          <w:sz w:val="20"/>
          <w:szCs w:val="20"/>
        </w:rPr>
        <w:t xml:space="preserve">Uber Technologies, Inc., "Annual report (Form 10-K) for fiscal year 2024," U.S. Securities and Exchange Commission, Washington, DC, USA, 2025.</w:t>
      </w:r>
    </w:p>
    <w:p>
      <w:pPr>
        <w:spacing w:after="60" w:line="252"/>
        <w:ind w:left="360" w:hanging="360"/>
      </w:pPr>
      <w:r>
        <w:rPr>
          <w:rFonts w:ascii="Times New Roman" w:cs="Times New Roman" w:eastAsia="Times New Roman" w:hAnsi="Times New Roman"/>
          <w:b/>
          <w:bCs/>
          <w:sz w:val="20"/>
          <w:szCs w:val="20"/>
        </w:rPr>
        <w:t xml:space="preserve">[52] </w:t>
      </w:r>
      <w:r>
        <w:rPr>
          <w:rFonts w:ascii="Times New Roman" w:cs="Times New Roman" w:eastAsia="Times New Roman" w:hAnsi="Times New Roman"/>
          <w:sz w:val="20"/>
          <w:szCs w:val="20"/>
        </w:rPr>
        <w:t xml:space="preserve">Bloomberg Second Measure, "Uber vs. Lyft: Who's tops in the battle of U.S. rideshare companies," Bloomberg Second Measure, 2024.</w:t>
      </w:r>
    </w:p>
    <w:p>
      <w:pPr>
        <w:spacing w:after="60" w:line="252"/>
        <w:ind w:left="360" w:hanging="360"/>
      </w:pPr>
      <w:r>
        <w:rPr>
          <w:rFonts w:ascii="Times New Roman" w:cs="Times New Roman" w:eastAsia="Times New Roman" w:hAnsi="Times New Roman"/>
          <w:b/>
          <w:bCs/>
          <w:sz w:val="20"/>
          <w:szCs w:val="20"/>
        </w:rPr>
        <w:t xml:space="preserve">[53] </w:t>
      </w:r>
      <w:r>
        <w:rPr>
          <w:rFonts w:ascii="Times New Roman" w:cs="Times New Roman" w:eastAsia="Times New Roman" w:hAnsi="Times New Roman"/>
          <w:sz w:val="20"/>
          <w:szCs w:val="20"/>
        </w:rPr>
        <w:t xml:space="preserve">W.-S. Ng, "Assessing the impact of parking pricing on transportation mode choice and behavior," Ph.D. dissertation, Univ. California, Berkeley, CA, USA, 2014.</w:t>
      </w:r>
    </w:p>
    <w:p>
      <w:pPr>
        <w:spacing w:after="60" w:line="252"/>
        <w:ind w:left="360" w:hanging="360"/>
      </w:pPr>
      <w:r>
        <w:rPr>
          <w:rFonts w:ascii="Times New Roman" w:cs="Times New Roman" w:eastAsia="Times New Roman" w:hAnsi="Times New Roman"/>
          <w:b/>
          <w:bCs/>
          <w:sz w:val="20"/>
          <w:szCs w:val="20"/>
        </w:rPr>
        <w:t xml:space="preserve">[54] </w:t>
      </w:r>
      <w:r>
        <w:rPr>
          <w:rFonts w:ascii="Times New Roman" w:cs="Times New Roman" w:eastAsia="Times New Roman" w:hAnsi="Times New Roman"/>
          <w:sz w:val="20"/>
          <w:szCs w:val="20"/>
        </w:rPr>
        <w:t xml:space="preserve">Z. Nadimi, A. Faghri, and M. Hamad, "Parking demand versus supply: An optimization-based approach at a university campus," J. Adv. Transp., vol. 2021, Art. no. 7457021, 2021, doi: 10.1155/2021/7457021.</w:t>
      </w:r>
    </w:p>
    <w:p>
      <w:pPr>
        <w:spacing w:after="60" w:line="252"/>
        <w:ind w:left="360" w:hanging="360"/>
      </w:pPr>
      <w:r>
        <w:rPr>
          <w:rFonts w:ascii="Times New Roman" w:cs="Times New Roman" w:eastAsia="Times New Roman" w:hAnsi="Times New Roman"/>
          <w:b/>
          <w:bCs/>
          <w:sz w:val="20"/>
          <w:szCs w:val="20"/>
        </w:rPr>
        <w:t xml:space="preserve">[55] </w:t>
      </w:r>
      <w:r>
        <w:rPr>
          <w:rFonts w:ascii="Times New Roman" w:cs="Times New Roman" w:eastAsia="Times New Roman" w:hAnsi="Times New Roman"/>
          <w:sz w:val="20"/>
          <w:szCs w:val="20"/>
        </w:rPr>
        <w:t xml:space="preserve">R. Bridgelall, "An assessment of campus parking supply impacts on transportation mode choice," North Dakota State Univ., Upper Great Plains Transp. Inst., Fargo, ND, USA, 2014.</w:t>
      </w:r>
    </w:p>
    <w:p>
      <w:pPr>
        <w:spacing w:after="60" w:line="252"/>
        <w:ind w:left="360" w:hanging="360"/>
      </w:pPr>
      <w:r>
        <w:rPr>
          <w:rFonts w:ascii="Times New Roman" w:cs="Times New Roman" w:eastAsia="Times New Roman" w:hAnsi="Times New Roman"/>
          <w:b/>
          <w:bCs/>
          <w:sz w:val="20"/>
          <w:szCs w:val="20"/>
        </w:rPr>
        <w:t xml:space="preserve">[56] </w:t>
      </w:r>
      <w:r>
        <w:rPr>
          <w:rFonts w:ascii="Times New Roman" w:cs="Times New Roman" w:eastAsia="Times New Roman" w:hAnsi="Times New Roman"/>
          <w:sz w:val="20"/>
          <w:szCs w:val="20"/>
        </w:rPr>
        <w:t xml:space="preserve">M. Sweet and M. Ferguson, "Parking demand management in a relatively uncongested university setting," Case Stud. Transp. Policy, vol. 7, no. 2, pp. 453–462, 2019, doi: 10.1016/j.cstp.2019.01.005.</w:t>
      </w:r>
    </w:p>
    <w:p>
      <w:pPr>
        <w:spacing w:after="60" w:line="252"/>
        <w:ind w:left="360" w:hanging="360"/>
      </w:pPr>
      <w:r>
        <w:rPr>
          <w:rFonts w:ascii="Times New Roman" w:cs="Times New Roman" w:eastAsia="Times New Roman" w:hAnsi="Times New Roman"/>
          <w:b/>
          <w:bCs/>
          <w:sz w:val="20"/>
          <w:szCs w:val="20"/>
        </w:rPr>
        <w:t xml:space="preserve">[57] </w:t>
      </w:r>
      <w:r>
        <w:rPr>
          <w:rFonts w:ascii="Times New Roman" w:cs="Times New Roman" w:eastAsia="Times New Roman" w:hAnsi="Times New Roman"/>
          <w:sz w:val="20"/>
          <w:szCs w:val="20"/>
        </w:rPr>
        <w:t xml:space="preserve">D. Shoup, The High Cost of Free Parking, updated ed. Chicago, IL, USA: Planners Press, American Planning Association, 2011.</w:t>
      </w:r>
    </w:p>
    <w:p>
      <w:pPr>
        <w:spacing w:after="60" w:line="252"/>
        <w:ind w:left="360" w:hanging="360"/>
      </w:pPr>
      <w:r>
        <w:rPr>
          <w:rFonts w:ascii="Times New Roman" w:cs="Times New Roman" w:eastAsia="Times New Roman" w:hAnsi="Times New Roman"/>
          <w:b/>
          <w:bCs/>
          <w:sz w:val="20"/>
          <w:szCs w:val="20"/>
        </w:rPr>
        <w:t xml:space="preserve">[58] </w:t>
      </w:r>
      <w:r>
        <w:rPr>
          <w:rFonts w:ascii="Times New Roman" w:cs="Times New Roman" w:eastAsia="Times New Roman" w:hAnsi="Times New Roman"/>
          <w:sz w:val="20"/>
          <w:szCs w:val="20"/>
        </w:rPr>
        <w:t xml:space="preserve">T. Litman, "Transportation demand management," in Online TDM Encyclopedia. Victoria, BC, Canada: Victoria Transport Policy Institute, 2023.</w:t>
      </w:r>
    </w:p>
    <w:p>
      <w:pPr>
        <w:spacing w:after="60" w:line="252"/>
        <w:ind w:left="360" w:hanging="360"/>
      </w:pPr>
      <w:r>
        <w:rPr>
          <w:rFonts w:ascii="Times New Roman" w:cs="Times New Roman" w:eastAsia="Times New Roman" w:hAnsi="Times New Roman"/>
          <w:b/>
          <w:bCs/>
          <w:sz w:val="20"/>
          <w:szCs w:val="20"/>
        </w:rPr>
        <w:t xml:space="preserve">[59] </w:t>
      </w:r>
      <w:r>
        <w:rPr>
          <w:rFonts w:ascii="Times New Roman" w:cs="Times New Roman" w:eastAsia="Times New Roman" w:hAnsi="Times New Roman"/>
          <w:sz w:val="20"/>
          <w:szCs w:val="20"/>
        </w:rPr>
        <w:t xml:space="preserve">K. Balsas, "Sustainable transportation planning on college campuses," Transp. Policy, vol. 10, no. 1, pp. 35–49, 2003, doi: 10.1016/S0967-070X(02)00028-8.</w:t>
      </w:r>
    </w:p>
    <w:p>
      <w:pPr>
        <w:spacing w:after="60" w:line="252"/>
        <w:ind w:left="360" w:hanging="360"/>
      </w:pPr>
      <w:r>
        <w:rPr>
          <w:rFonts w:ascii="Times New Roman" w:cs="Times New Roman" w:eastAsia="Times New Roman" w:hAnsi="Times New Roman"/>
          <w:b/>
          <w:bCs/>
          <w:sz w:val="20"/>
          <w:szCs w:val="20"/>
        </w:rPr>
        <w:t xml:space="preserve">[60] </w:t>
      </w:r>
      <w:r>
        <w:rPr>
          <w:rFonts w:ascii="Times New Roman" w:cs="Times New Roman" w:eastAsia="Times New Roman" w:hAnsi="Times New Roman"/>
          <w:sz w:val="20"/>
          <w:szCs w:val="20"/>
        </w:rPr>
        <w:t xml:space="preserve">P. Toor and S. Havlick, Transportation and Sustainable Campus Communities: Issues, Examples, Solutions. Washington, DC, USA: Island Press, 2004.</w:t>
      </w:r>
    </w:p>
    <w:p>
      <w:pPr>
        <w:spacing w:after="60" w:line="252"/>
        <w:ind w:left="360" w:hanging="360"/>
      </w:pPr>
      <w:r>
        <w:rPr>
          <w:rFonts w:ascii="Times New Roman" w:cs="Times New Roman" w:eastAsia="Times New Roman" w:hAnsi="Times New Roman"/>
          <w:b/>
          <w:bCs/>
          <w:sz w:val="20"/>
          <w:szCs w:val="20"/>
        </w:rPr>
        <w:t xml:space="preserve">[61] </w:t>
      </w:r>
      <w:r>
        <w:rPr>
          <w:rFonts w:ascii="Times New Roman" w:cs="Times New Roman" w:eastAsia="Times New Roman" w:hAnsi="Times New Roman"/>
          <w:sz w:val="20"/>
          <w:szCs w:val="20"/>
        </w:rPr>
        <w:t xml:space="preserve">S. Whalen, A. Páez, and J. Carrasco, "Mode choice of university students commuting to school and the role of active travel," J. Transp. Geogr., vol. 31, pp. 132–142, 2013, doi: 10.1016/j.jtrangeo.2013.06.008.</w:t>
      </w:r>
    </w:p>
    <w:p>
      <w:pPr>
        <w:spacing w:after="60" w:line="252"/>
        <w:ind w:left="360" w:hanging="360"/>
      </w:pPr>
      <w:r>
        <w:rPr>
          <w:rFonts w:ascii="Times New Roman" w:cs="Times New Roman" w:eastAsia="Times New Roman" w:hAnsi="Times New Roman"/>
          <w:b/>
          <w:bCs/>
          <w:sz w:val="20"/>
          <w:szCs w:val="20"/>
        </w:rPr>
        <w:t xml:space="preserve">[62] </w:t>
      </w:r>
      <w:r>
        <w:rPr>
          <w:rFonts w:ascii="Times New Roman" w:cs="Times New Roman" w:eastAsia="Times New Roman" w:hAnsi="Times New Roman"/>
          <w:sz w:val="20"/>
          <w:szCs w:val="20"/>
        </w:rPr>
        <w:t xml:space="preserve">Z. Zhou, "University students' travel behavior and the campus parking problem: An empirical study," ResearchGate, 2014.</w:t>
      </w:r>
    </w:p>
    <w:p>
      <w:pPr>
        <w:spacing w:after="60" w:line="252"/>
        <w:ind w:left="360" w:hanging="360"/>
      </w:pPr>
      <w:r>
        <w:rPr>
          <w:rFonts w:ascii="Times New Roman" w:cs="Times New Roman" w:eastAsia="Times New Roman" w:hAnsi="Times New Roman"/>
          <w:b/>
          <w:bCs/>
          <w:sz w:val="20"/>
          <w:szCs w:val="20"/>
        </w:rPr>
        <w:t xml:space="preserve">[63] </w:t>
      </w:r>
      <w:r>
        <w:rPr>
          <w:rFonts w:ascii="Times New Roman" w:cs="Times New Roman" w:eastAsia="Times New Roman" w:hAnsi="Times New Roman"/>
          <w:sz w:val="20"/>
          <w:szCs w:val="20"/>
        </w:rPr>
        <w:t xml:space="preserve">Y. Wang and S. Chen, "Managing campus parking demand through course scheduling: Case studies," ResearchGate, 2021.</w:t>
      </w:r>
    </w:p>
    <w:p>
      <w:pPr>
        <w:spacing w:after="60" w:line="252"/>
        <w:ind w:left="360" w:hanging="360"/>
      </w:pPr>
      <w:r>
        <w:rPr>
          <w:rFonts w:ascii="Times New Roman" w:cs="Times New Roman" w:eastAsia="Times New Roman" w:hAnsi="Times New Roman"/>
          <w:b/>
          <w:bCs/>
          <w:sz w:val="20"/>
          <w:szCs w:val="20"/>
        </w:rPr>
        <w:t xml:space="preserve">[64] </w:t>
      </w:r>
      <w:r>
        <w:rPr>
          <w:rFonts w:ascii="Times New Roman" w:cs="Times New Roman" w:eastAsia="Times New Roman" w:hAnsi="Times New Roman"/>
          <w:sz w:val="20"/>
          <w:szCs w:val="20"/>
        </w:rPr>
        <w:t xml:space="preserve">Morgan State Univ., "Smart rideshare matching for campus commuters: A telematics feasibility study (University of Virginia)," SMARTER National Transportation Center, Baltimore, MD, USA, 2023.</w:t>
      </w:r>
    </w:p>
    <w:p>
      <w:pPr>
        <w:spacing w:after="60" w:line="252"/>
        <w:ind w:left="360" w:hanging="360"/>
      </w:pPr>
      <w:r>
        <w:rPr>
          <w:rFonts w:ascii="Times New Roman" w:cs="Times New Roman" w:eastAsia="Times New Roman" w:hAnsi="Times New Roman"/>
          <w:b/>
          <w:bCs/>
          <w:sz w:val="20"/>
          <w:szCs w:val="20"/>
        </w:rPr>
        <w:t xml:space="preserve">[65] </w:t>
      </w:r>
      <w:r>
        <w:rPr>
          <w:rFonts w:ascii="Times New Roman" w:cs="Times New Roman" w:eastAsia="Times New Roman" w:hAnsi="Times New Roman"/>
          <w:sz w:val="20"/>
          <w:szCs w:val="20"/>
        </w:rPr>
        <w:t xml:space="preserve">U.S. Environmental Protection Agency, "Greenhouse gas emissions from a typical passenger vehicle," EPA, Washington, DC, USA, Rep. EPA-420-F-23-014, Jun. 2023.</w:t>
      </w:r>
    </w:p>
    <w:p>
      <w:pPr>
        <w:spacing w:after="60" w:line="252"/>
        <w:ind w:left="360" w:hanging="360"/>
      </w:pPr>
      <w:r>
        <w:rPr>
          <w:rFonts w:ascii="Times New Roman" w:cs="Times New Roman" w:eastAsia="Times New Roman" w:hAnsi="Times New Roman"/>
          <w:b/>
          <w:bCs/>
          <w:sz w:val="20"/>
          <w:szCs w:val="20"/>
        </w:rPr>
        <w:t xml:space="preserve">[66] </w:t>
      </w:r>
      <w:r>
        <w:rPr>
          <w:rFonts w:ascii="Times New Roman" w:cs="Times New Roman" w:eastAsia="Times New Roman" w:hAnsi="Times New Roman"/>
          <w:sz w:val="20"/>
          <w:szCs w:val="20"/>
        </w:rPr>
        <w:t xml:space="preserve">T. Pratsch, "Carpooling and energy conservation," Federal Highway Admin., U.S. Dept. of Transportation, Washington, DC, USA, 1979.</w:t>
      </w:r>
    </w:p>
    <w:p>
      <w:pPr>
        <w:spacing w:after="60" w:line="252"/>
        <w:ind w:left="360" w:hanging="360"/>
      </w:pPr>
      <w:r>
        <w:rPr>
          <w:rFonts w:ascii="Times New Roman" w:cs="Times New Roman" w:eastAsia="Times New Roman" w:hAnsi="Times New Roman"/>
          <w:b/>
          <w:bCs/>
          <w:sz w:val="20"/>
          <w:szCs w:val="20"/>
        </w:rPr>
        <w:t xml:space="preserve">[67] </w:t>
      </w:r>
      <w:r>
        <w:rPr>
          <w:rFonts w:ascii="Times New Roman" w:cs="Times New Roman" w:eastAsia="Times New Roman" w:hAnsi="Times New Roman"/>
          <w:sz w:val="20"/>
          <w:szCs w:val="20"/>
        </w:rPr>
        <w:t xml:space="preserve">J. Amey, "Real-time ridesharing: Exploring the opportunities and challenges of designing a technology-based rideshare trial for the MIT community," M.S. thesis, Massachusetts Inst. Technol., Cambridge, MA, USA, 2011.</w:t>
      </w:r>
    </w:p>
    <w:p>
      <w:pPr>
        <w:spacing w:after="60" w:line="252"/>
        <w:ind w:left="360" w:hanging="360"/>
      </w:pPr>
      <w:r>
        <w:rPr>
          <w:rFonts w:ascii="Times New Roman" w:cs="Times New Roman" w:eastAsia="Times New Roman" w:hAnsi="Times New Roman"/>
          <w:b/>
          <w:bCs/>
          <w:sz w:val="20"/>
          <w:szCs w:val="20"/>
        </w:rPr>
        <w:t xml:space="preserve">[68] </w:t>
      </w:r>
      <w:r>
        <w:rPr>
          <w:rFonts w:ascii="Times New Roman" w:cs="Times New Roman" w:eastAsia="Times New Roman" w:hAnsi="Times New Roman"/>
          <w:sz w:val="20"/>
          <w:szCs w:val="20"/>
        </w:rPr>
        <w:t xml:space="preserve">T. Erhardt, S. Roy, D. Cooper, B. Sana, M. Chen, and J. Castiglione, "Do transportation network companies decrease or increase congestion?," Sci. Adv., vol. 5, no. 5, eaau2670, 2019, doi: 10.1126/sciadv.aau2670.</w:t>
      </w:r>
    </w:p>
    <w:p>
      <w:pPr>
        <w:spacing w:after="60" w:line="252"/>
        <w:ind w:left="360" w:hanging="360"/>
      </w:pPr>
      <w:r>
        <w:rPr>
          <w:rFonts w:ascii="Times New Roman" w:cs="Times New Roman" w:eastAsia="Times New Roman" w:hAnsi="Times New Roman"/>
          <w:b/>
          <w:bCs/>
          <w:sz w:val="20"/>
          <w:szCs w:val="20"/>
        </w:rPr>
        <w:t xml:space="preserve">[69] </w:t>
      </w:r>
      <w:r>
        <w:rPr>
          <w:rFonts w:ascii="Times New Roman" w:cs="Times New Roman" w:eastAsia="Times New Roman" w:hAnsi="Times New Roman"/>
          <w:sz w:val="20"/>
          <w:szCs w:val="20"/>
        </w:rPr>
        <w:t xml:space="preserve">M. Diao, H. Kong, and J. Zhao, "Impacts of transportation network companies on urban mobility," Nat. Sustainability, vol. 4, pp. 494–500, 2021, doi: 10.1038/s41893-020-00678-z.</w:t>
      </w:r>
    </w:p>
    <w:p>
      <w:pPr>
        <w:spacing w:after="60" w:line="252"/>
        <w:ind w:left="360" w:hanging="360"/>
      </w:pPr>
      <w:r>
        <w:rPr>
          <w:rFonts w:ascii="Times New Roman" w:cs="Times New Roman" w:eastAsia="Times New Roman" w:hAnsi="Times New Roman"/>
          <w:b/>
          <w:bCs/>
          <w:sz w:val="20"/>
          <w:szCs w:val="20"/>
        </w:rPr>
        <w:t xml:space="preserve">[70] </w:t>
      </w:r>
      <w:r>
        <w:rPr>
          <w:rFonts w:ascii="Times New Roman" w:cs="Times New Roman" w:eastAsia="Times New Roman" w:hAnsi="Times New Roman"/>
          <w:sz w:val="20"/>
          <w:szCs w:val="20"/>
        </w:rPr>
        <w:t xml:space="preserve">A. Henao and W. E. Marshall, "The impact of ride-hailing on vehicle miles traveled," Transportation, vol. 46, pp. 2173–2194, 2019, doi: 10.1007/s11116-018-9923-2.</w:t>
      </w:r>
    </w:p>
    <w:p>
      <w:pPr>
        <w:spacing w:after="60" w:line="252"/>
        <w:ind w:left="360" w:hanging="360"/>
      </w:pPr>
      <w:r>
        <w:rPr>
          <w:rFonts w:ascii="Times New Roman" w:cs="Times New Roman" w:eastAsia="Times New Roman" w:hAnsi="Times New Roman"/>
          <w:b/>
          <w:bCs/>
          <w:sz w:val="20"/>
          <w:szCs w:val="20"/>
        </w:rPr>
        <w:t xml:space="preserve">[71] </w:t>
      </w:r>
      <w:r>
        <w:rPr>
          <w:rFonts w:ascii="Times New Roman" w:cs="Times New Roman" w:eastAsia="Times New Roman" w:hAnsi="Times New Roman"/>
          <w:sz w:val="20"/>
          <w:szCs w:val="20"/>
        </w:rPr>
        <w:t xml:space="preserve">J. Tirachini, "Ride-hailing, travel behaviour and sustainable mobility: An international review," Transportation, vol. 47, pp. 2011–2047, 2020, doi: 10.1007/s11116-019-10070-2.</w:t>
      </w:r>
    </w:p>
    <w:p>
      <w:pPr>
        <w:spacing w:after="60" w:line="252"/>
        <w:ind w:left="360" w:hanging="360"/>
      </w:pPr>
      <w:r>
        <w:rPr>
          <w:rFonts w:ascii="Times New Roman" w:cs="Times New Roman" w:eastAsia="Times New Roman" w:hAnsi="Times New Roman"/>
          <w:b/>
          <w:bCs/>
          <w:sz w:val="20"/>
          <w:szCs w:val="20"/>
        </w:rPr>
        <w:t xml:space="preserve">[72] </w:t>
      </w:r>
      <w:r>
        <w:rPr>
          <w:rFonts w:ascii="Times New Roman" w:cs="Times New Roman" w:eastAsia="Times New Roman" w:hAnsi="Times New Roman"/>
          <w:sz w:val="20"/>
          <w:szCs w:val="20"/>
        </w:rPr>
        <w:t xml:space="preserve">R. Kontou, "Impacts of ride-hailing on energy and the environment: A systematic review," Environ. Res. Lett., vol. 19, no. 5, 053002, 2024, doi: 10.1088/1748-9326/ad3285.</w:t>
      </w:r>
    </w:p>
    <w:p>
      <w:pPr>
        <w:spacing w:after="60" w:line="252"/>
        <w:ind w:left="360" w:hanging="360"/>
      </w:pPr>
      <w:r>
        <w:rPr>
          <w:rFonts w:ascii="Times New Roman" w:cs="Times New Roman" w:eastAsia="Times New Roman" w:hAnsi="Times New Roman"/>
          <w:b/>
          <w:bCs/>
          <w:sz w:val="20"/>
          <w:szCs w:val="20"/>
        </w:rPr>
        <w:t xml:space="preserve">[73] </w:t>
      </w:r>
      <w:r>
        <w:rPr>
          <w:rFonts w:ascii="Times New Roman" w:cs="Times New Roman" w:eastAsia="Times New Roman" w:hAnsi="Times New Roman"/>
          <w:sz w:val="20"/>
          <w:szCs w:val="20"/>
        </w:rPr>
        <w:t xml:space="preserve">L. Zhang and W. Li, "Estimating emissions reductions with carpooling and vehicle dispatching in ridesourcing mobility," npj Sustain. Mobility Transp., vol. 1, Art. no. 15, 2024, doi: 10.1038/s44333-024-00015-3.</w:t>
      </w:r>
    </w:p>
    <w:p>
      <w:pPr>
        <w:spacing w:after="60" w:line="252"/>
        <w:ind w:left="360" w:hanging="360"/>
      </w:pPr>
      <w:r>
        <w:rPr>
          <w:rFonts w:ascii="Times New Roman" w:cs="Times New Roman" w:eastAsia="Times New Roman" w:hAnsi="Times New Roman"/>
          <w:b/>
          <w:bCs/>
          <w:sz w:val="20"/>
          <w:szCs w:val="20"/>
        </w:rPr>
        <w:t xml:space="preserve">[74] </w:t>
      </w:r>
      <w:r>
        <w:rPr>
          <w:rFonts w:ascii="Times New Roman" w:cs="Times New Roman" w:eastAsia="Times New Roman" w:hAnsi="Times New Roman"/>
          <w:sz w:val="20"/>
          <w:szCs w:val="20"/>
        </w:rPr>
        <w:t xml:space="preserve">U.S. Dept. of Transportation, Bureau of Transportation Statistics, "Ridesharing and carsharing: Carpool and vanpool benefits," BTS, Washington, DC, USA, 2022.</w:t>
      </w:r>
    </w:p>
    <w:p>
      <w:pPr>
        <w:spacing w:after="60" w:line="252"/>
        <w:ind w:left="360" w:hanging="360"/>
      </w:pPr>
      <w:r>
        <w:rPr>
          <w:rFonts w:ascii="Times New Roman" w:cs="Times New Roman" w:eastAsia="Times New Roman" w:hAnsi="Times New Roman"/>
          <w:b/>
          <w:bCs/>
          <w:sz w:val="20"/>
          <w:szCs w:val="20"/>
        </w:rPr>
        <w:t xml:space="preserve">[75] </w:t>
      </w:r>
      <w:r>
        <w:rPr>
          <w:rFonts w:ascii="Times New Roman" w:cs="Times New Roman" w:eastAsia="Times New Roman" w:hAnsi="Times New Roman"/>
          <w:sz w:val="20"/>
          <w:szCs w:val="20"/>
        </w:rPr>
        <w:t xml:space="preserve">P. Resnick, K. Kuwabara, R. Zeckhauser, and E. Friedman, "Reputation systems," Commun. ACM, vol. 43, no. 12, pp. 45–48, 2000, doi: 10.1145/355112.355122.</w:t>
      </w:r>
    </w:p>
    <w:p>
      <w:pPr>
        <w:spacing w:after="60" w:line="252"/>
        <w:ind w:left="360" w:hanging="360"/>
      </w:pPr>
      <w:r>
        <w:rPr>
          <w:rFonts w:ascii="Times New Roman" w:cs="Times New Roman" w:eastAsia="Times New Roman" w:hAnsi="Times New Roman"/>
          <w:b/>
          <w:bCs/>
          <w:sz w:val="20"/>
          <w:szCs w:val="20"/>
        </w:rPr>
        <w:t xml:space="preserve">[76] </w:t>
      </w:r>
      <w:r>
        <w:rPr>
          <w:rFonts w:ascii="Times New Roman" w:cs="Times New Roman" w:eastAsia="Times New Roman" w:hAnsi="Times New Roman"/>
          <w:sz w:val="20"/>
          <w:szCs w:val="20"/>
        </w:rPr>
        <w:t xml:space="preserve">S. Tadelis, "Reputation and feedback systems in online platform markets," Annu. Rev. Econ., vol. 8, pp. 321–340, 2016, doi: 10.1146/annurev-economics-080315-015325.</w:t>
      </w:r>
    </w:p>
    <w:p>
      <w:pPr>
        <w:spacing w:after="60" w:line="252"/>
        <w:ind w:left="360" w:hanging="360"/>
      </w:pPr>
      <w:r>
        <w:rPr>
          <w:rFonts w:ascii="Times New Roman" w:cs="Times New Roman" w:eastAsia="Times New Roman" w:hAnsi="Times New Roman"/>
          <w:b/>
          <w:bCs/>
          <w:sz w:val="20"/>
          <w:szCs w:val="20"/>
        </w:rPr>
        <w:t xml:space="preserve">[77] </w:t>
      </w:r>
      <w:r>
        <w:rPr>
          <w:rFonts w:ascii="Times New Roman" w:cs="Times New Roman" w:eastAsia="Times New Roman" w:hAnsi="Times New Roman"/>
          <w:sz w:val="20"/>
          <w:szCs w:val="20"/>
        </w:rPr>
        <w:t xml:space="preserve">M. Luca, "Designing online marketplaces: Trust and reputation mechanisms," Harvard Bus. Sch., Working Paper 17-017, 2017.</w:t>
      </w:r>
    </w:p>
    <w:p>
      <w:pPr>
        <w:spacing w:after="60" w:line="252"/>
        <w:ind w:left="360" w:hanging="360"/>
      </w:pPr>
      <w:r>
        <w:rPr>
          <w:rFonts w:ascii="Times New Roman" w:cs="Times New Roman" w:eastAsia="Times New Roman" w:hAnsi="Times New Roman"/>
          <w:b/>
          <w:bCs/>
          <w:sz w:val="20"/>
          <w:szCs w:val="20"/>
        </w:rPr>
        <w:t xml:space="preserve">[78] </w:t>
      </w:r>
      <w:r>
        <w:rPr>
          <w:rFonts w:ascii="Times New Roman" w:cs="Times New Roman" w:eastAsia="Times New Roman" w:hAnsi="Times New Roman"/>
          <w:sz w:val="20"/>
          <w:szCs w:val="20"/>
        </w:rPr>
        <w:t xml:space="preserve">C. Dellarocas, "The digitization of word of mouth: Promise and challenges of online feedback mechanisms," Manage. Sci., vol. 49, no. 10, pp. 1407–1424, 2003, doi: 10.1287/mnsc.49.10.1407.17308.</w:t>
      </w:r>
    </w:p>
    <w:p>
      <w:pPr>
        <w:spacing w:after="60" w:line="252"/>
        <w:ind w:left="360" w:hanging="360"/>
      </w:pPr>
      <w:r>
        <w:rPr>
          <w:rFonts w:ascii="Times New Roman" w:cs="Times New Roman" w:eastAsia="Times New Roman" w:hAnsi="Times New Roman"/>
          <w:b/>
          <w:bCs/>
          <w:sz w:val="20"/>
          <w:szCs w:val="20"/>
        </w:rPr>
        <w:t xml:space="preserve">[79] </w:t>
      </w:r>
      <w:r>
        <w:rPr>
          <w:rFonts w:ascii="Times New Roman" w:cs="Times New Roman" w:eastAsia="Times New Roman" w:hAnsi="Times New Roman"/>
          <w:sz w:val="20"/>
          <w:szCs w:val="20"/>
        </w:rPr>
        <w:t xml:space="preserve">G. Bolton, B. Greiner, and A. Ockenfels, "Engineering trust: Reciprocity in the production of reputation information," Manage. Sci., vol. 59, no. 2, pp. 265–285, 2013, doi: 10.1287/mnsc.1120.1609.</w:t>
      </w:r>
    </w:p>
    <w:p>
      <w:pPr>
        <w:spacing w:after="60" w:line="252"/>
        <w:ind w:left="360" w:hanging="360"/>
      </w:pPr>
      <w:r>
        <w:rPr>
          <w:rFonts w:ascii="Times New Roman" w:cs="Times New Roman" w:eastAsia="Times New Roman" w:hAnsi="Times New Roman"/>
          <w:b/>
          <w:bCs/>
          <w:sz w:val="20"/>
          <w:szCs w:val="20"/>
        </w:rPr>
        <w:t xml:space="preserve">[80] </w:t>
      </w:r>
      <w:r>
        <w:rPr>
          <w:rFonts w:ascii="Times New Roman" w:cs="Times New Roman" w:eastAsia="Times New Roman" w:hAnsi="Times New Roman"/>
          <w:sz w:val="20"/>
          <w:szCs w:val="20"/>
        </w:rPr>
        <w:t xml:space="preserve">A. Filippas, J. Horton, and J. Golden, "Reputation inflation," Marketing Sci., vol. 41, no. 4, pp. 733–745, 2022, doi: 10.1287/mksc.2022.1350.</w:t>
      </w:r>
    </w:p>
    <w:p>
      <w:pPr>
        <w:spacing w:after="60" w:line="252"/>
        <w:ind w:left="360" w:hanging="360"/>
      </w:pPr>
      <w:r>
        <w:rPr>
          <w:rFonts w:ascii="Times New Roman" w:cs="Times New Roman" w:eastAsia="Times New Roman" w:hAnsi="Times New Roman"/>
          <w:b/>
          <w:bCs/>
          <w:sz w:val="20"/>
          <w:szCs w:val="20"/>
        </w:rPr>
        <w:t xml:space="preserve">[81] </w:t>
      </w:r>
      <w:r>
        <w:rPr>
          <w:rFonts w:ascii="Times New Roman" w:cs="Times New Roman" w:eastAsia="Times New Roman" w:hAnsi="Times New Roman"/>
          <w:sz w:val="20"/>
          <w:szCs w:val="20"/>
        </w:rPr>
        <w:t xml:space="preserve">R. Botsman, Who Can You Trust? How Technology Brought Us Together and Why It Might Drive Us Apart. New York, NY, USA: PublicAffairs, 2017.</w:t>
      </w:r>
    </w:p>
    <w:p>
      <w:pPr>
        <w:spacing w:after="60" w:line="252"/>
        <w:ind w:left="360" w:hanging="360"/>
      </w:pPr>
      <w:r>
        <w:rPr>
          <w:rFonts w:ascii="Times New Roman" w:cs="Times New Roman" w:eastAsia="Times New Roman" w:hAnsi="Times New Roman"/>
          <w:b/>
          <w:bCs/>
          <w:sz w:val="20"/>
          <w:szCs w:val="20"/>
        </w:rPr>
        <w:t xml:space="preserve">[82] </w:t>
      </w:r>
      <w:r>
        <w:rPr>
          <w:rFonts w:ascii="Times New Roman" w:cs="Times New Roman" w:eastAsia="Times New Roman" w:hAnsi="Times New Roman"/>
          <w:sz w:val="20"/>
          <w:szCs w:val="20"/>
        </w:rPr>
        <w:t xml:space="preserve">J. Zhang and M. Chen, "Reviews, trust, and customer experience in online marketplaces: Evidence from Mercado Libre," Front. Commun., vol. 9, 1460321, 2024, doi: 10.3389/fcomm.2024.1460321.</w:t>
      </w:r>
    </w:p>
    <w:p>
      <w:pPr>
        <w:spacing w:after="60" w:line="252"/>
        <w:ind w:left="360" w:hanging="360"/>
      </w:pPr>
      <w:r>
        <w:rPr>
          <w:rFonts w:ascii="Times New Roman" w:cs="Times New Roman" w:eastAsia="Times New Roman" w:hAnsi="Times New Roman"/>
          <w:b/>
          <w:bCs/>
          <w:sz w:val="20"/>
          <w:szCs w:val="20"/>
        </w:rPr>
        <w:t xml:space="preserve">[83] </w:t>
      </w:r>
      <w:r>
        <w:rPr>
          <w:rFonts w:ascii="Times New Roman" w:cs="Times New Roman" w:eastAsia="Times New Roman" w:hAnsi="Times New Roman"/>
          <w:sz w:val="20"/>
          <w:szCs w:val="20"/>
        </w:rPr>
        <w:t xml:space="preserve">M. Kokkodis and P. G. Ipeirotis, "Reputation transferability in online labor markets," Manage. Sci., vol. 62, no. 6, pp. 1687–1706, 2016, doi: 10.1287/mnsc.2015.2217.</w:t>
      </w:r>
    </w:p>
    <w:p>
      <w:pPr>
        <w:spacing w:after="60" w:line="252"/>
        <w:ind w:left="360" w:hanging="360"/>
      </w:pPr>
      <w:r>
        <w:rPr>
          <w:rFonts w:ascii="Times New Roman" w:cs="Times New Roman" w:eastAsia="Times New Roman" w:hAnsi="Times New Roman"/>
          <w:b/>
          <w:bCs/>
          <w:sz w:val="20"/>
          <w:szCs w:val="20"/>
        </w:rPr>
        <w:t xml:space="preserve">[84] </w:t>
      </w:r>
      <w:r>
        <w:rPr>
          <w:rFonts w:ascii="Times New Roman" w:cs="Times New Roman" w:eastAsia="Times New Roman" w:hAnsi="Times New Roman"/>
          <w:sz w:val="20"/>
          <w:szCs w:val="20"/>
        </w:rPr>
        <w:t xml:space="preserve">A. Aral and P. Weill, "Reputation effects in peer-to-peer online markets: A meta-analysis," Soc. Sci. Res., vol. 90, 102434, 2020, doi: 10.1016/j.ssresearch.2020.102434.</w:t>
      </w:r>
    </w:p>
    <w:p>
      <w:pPr>
        <w:spacing w:after="60" w:line="252"/>
        <w:ind w:left="360" w:hanging="360"/>
      </w:pPr>
      <w:r>
        <w:rPr>
          <w:rFonts w:ascii="Times New Roman" w:cs="Times New Roman" w:eastAsia="Times New Roman" w:hAnsi="Times New Roman"/>
          <w:b/>
          <w:bCs/>
          <w:sz w:val="20"/>
          <w:szCs w:val="20"/>
        </w:rPr>
        <w:t xml:space="preserve">[85] </w:t>
      </w:r>
      <w:r>
        <w:rPr>
          <w:rFonts w:ascii="Times New Roman" w:cs="Times New Roman" w:eastAsia="Times New Roman" w:hAnsi="Times New Roman"/>
          <w:sz w:val="20"/>
          <w:szCs w:val="20"/>
        </w:rPr>
        <w:t xml:space="preserve">Uber Technologies, Inc., "US safety report 2019–2022," Uber, San Francisco, CA, USA, 2023.</w:t>
      </w:r>
    </w:p>
    <w:p>
      <w:pPr>
        <w:spacing w:after="60" w:line="252"/>
        <w:ind w:left="360" w:hanging="360"/>
      </w:pPr>
      <w:r>
        <w:rPr>
          <w:rFonts w:ascii="Times New Roman" w:cs="Times New Roman" w:eastAsia="Times New Roman" w:hAnsi="Times New Roman"/>
          <w:b/>
          <w:bCs/>
          <w:sz w:val="20"/>
          <w:szCs w:val="20"/>
        </w:rPr>
        <w:t xml:space="preserve">[86] </w:t>
      </w:r>
      <w:r>
        <w:rPr>
          <w:rFonts w:ascii="Times New Roman" w:cs="Times New Roman" w:eastAsia="Times New Roman" w:hAnsi="Times New Roman"/>
          <w:sz w:val="20"/>
          <w:szCs w:val="20"/>
        </w:rPr>
        <w:t xml:space="preserve">Uber Technologies, Inc., "Our commitment to safety: Safety features and standards," Uber, 2024. [Online]. Available: https://www.uber.com/us/en/safety/</w:t>
      </w:r>
    </w:p>
    <w:p>
      <w:pPr>
        <w:spacing w:after="60" w:line="252"/>
        <w:ind w:left="360" w:hanging="360"/>
      </w:pPr>
      <w:r>
        <w:rPr>
          <w:rFonts w:ascii="Times New Roman" w:cs="Times New Roman" w:eastAsia="Times New Roman" w:hAnsi="Times New Roman"/>
          <w:b/>
          <w:bCs/>
          <w:sz w:val="20"/>
          <w:szCs w:val="20"/>
        </w:rPr>
        <w:t xml:space="preserve">[87] </w:t>
      </w:r>
      <w:r>
        <w:rPr>
          <w:rFonts w:ascii="Times New Roman" w:cs="Times New Roman" w:eastAsia="Times New Roman" w:hAnsi="Times New Roman"/>
          <w:sz w:val="20"/>
          <w:szCs w:val="20"/>
        </w:rPr>
        <w:t xml:space="preserve">Lyft, Inc., "Lyft safety: Features, standards, and commitments," Lyft, 2024. [Online]. Available: https://www.lyft.com/safety</w:t>
      </w:r>
    </w:p>
    <w:p>
      <w:pPr>
        <w:spacing w:after="60" w:line="252"/>
        <w:ind w:left="360" w:hanging="360"/>
      </w:pPr>
      <w:r>
        <w:rPr>
          <w:rFonts w:ascii="Times New Roman" w:cs="Times New Roman" w:eastAsia="Times New Roman" w:hAnsi="Times New Roman"/>
          <w:b/>
          <w:bCs/>
          <w:sz w:val="20"/>
          <w:szCs w:val="20"/>
        </w:rPr>
        <w:t xml:space="preserve">[88] </w:t>
      </w:r>
      <w:r>
        <w:rPr>
          <w:rFonts w:ascii="Times New Roman" w:cs="Times New Roman" w:eastAsia="Times New Roman" w:hAnsi="Times New Roman"/>
          <w:sz w:val="20"/>
          <w:szCs w:val="20"/>
        </w:rPr>
        <w:t xml:space="preserve">RapidSOS, "How Uber integrated emergency assistance into its app," RapidSOS Case Study, 2023. [Online]. Available: https://rapidsos.com/</w:t>
      </w:r>
    </w:p>
    <w:p>
      <w:pPr>
        <w:spacing w:after="60" w:line="252"/>
        <w:ind w:left="360" w:hanging="360"/>
      </w:pPr>
      <w:r>
        <w:rPr>
          <w:rFonts w:ascii="Times New Roman" w:cs="Times New Roman" w:eastAsia="Times New Roman" w:hAnsi="Times New Roman"/>
          <w:b/>
          <w:bCs/>
          <w:sz w:val="20"/>
          <w:szCs w:val="20"/>
        </w:rPr>
        <w:t xml:space="preserve">[89] </w:t>
      </w:r>
      <w:r>
        <w:rPr>
          <w:rFonts w:ascii="Times New Roman" w:cs="Times New Roman" w:eastAsia="Times New Roman" w:hAnsi="Times New Roman"/>
          <w:sz w:val="20"/>
          <w:szCs w:val="20"/>
        </w:rPr>
        <w:t xml:space="preserve">B. Schneier, "Identity verification and the limits of background checks in the gig economy," in Proc. Workshop Econ. Inf. Security (WEIS), 2019.</w:t>
      </w:r>
    </w:p>
    <w:p>
      <w:pPr>
        <w:spacing w:after="60" w:line="252"/>
        <w:ind w:left="360" w:hanging="360"/>
      </w:pPr>
      <w:r>
        <w:rPr>
          <w:rFonts w:ascii="Times New Roman" w:cs="Times New Roman" w:eastAsia="Times New Roman" w:hAnsi="Times New Roman"/>
          <w:b/>
          <w:bCs/>
          <w:sz w:val="20"/>
          <w:szCs w:val="20"/>
        </w:rPr>
        <w:t xml:space="preserve">[90] </w:t>
      </w:r>
      <w:r>
        <w:rPr>
          <w:rFonts w:ascii="Times New Roman" w:cs="Times New Roman" w:eastAsia="Times New Roman" w:hAnsi="Times New Roman"/>
          <w:sz w:val="20"/>
          <w:szCs w:val="20"/>
        </w:rPr>
        <w:t xml:space="preserve">R. Anderson and T. Moore, "The economics of information security," Science, vol. 314, no. 5799, pp. 610–613, 2006, doi: 10.1126/science.1130992.</w:t>
      </w:r>
    </w:p>
    <w:p>
      <w:pPr>
        <w:spacing w:after="60" w:line="252"/>
        <w:ind w:left="360" w:hanging="360"/>
      </w:pPr>
      <w:r>
        <w:rPr>
          <w:rFonts w:ascii="Times New Roman" w:cs="Times New Roman" w:eastAsia="Times New Roman" w:hAnsi="Times New Roman"/>
          <w:b/>
          <w:bCs/>
          <w:sz w:val="20"/>
          <w:szCs w:val="20"/>
        </w:rPr>
        <w:t xml:space="preserve">[91] </w:t>
      </w:r>
      <w:r>
        <w:rPr>
          <w:rFonts w:ascii="Times New Roman" w:cs="Times New Roman" w:eastAsia="Times New Roman" w:hAnsi="Times New Roman"/>
          <w:sz w:val="20"/>
          <w:szCs w:val="20"/>
        </w:rPr>
        <w:t xml:space="preserve">M. Chaudhry, "A survey of crash detection and emergency response technologies in connected vehicles," IEEE Access, vol. 9, pp. 110723–110745, 2021, doi: 10.1109/ACCESS.2021.3101940.</w:t>
      </w:r>
    </w:p>
    <w:p>
      <w:pPr>
        <w:spacing w:after="60" w:line="252"/>
        <w:ind w:left="360" w:hanging="360"/>
      </w:pPr>
      <w:r>
        <w:rPr>
          <w:rFonts w:ascii="Times New Roman" w:cs="Times New Roman" w:eastAsia="Times New Roman" w:hAnsi="Times New Roman"/>
          <w:b/>
          <w:bCs/>
          <w:sz w:val="20"/>
          <w:szCs w:val="20"/>
        </w:rPr>
        <w:t xml:space="preserve">[92] </w:t>
      </w:r>
      <w:r>
        <w:rPr>
          <w:rFonts w:ascii="Times New Roman" w:cs="Times New Roman" w:eastAsia="Times New Roman" w:hAnsi="Times New Roman"/>
          <w:sz w:val="20"/>
          <w:szCs w:val="20"/>
        </w:rPr>
        <w:t xml:space="preserve">Noonlight, "Safety-as-a-service: API-based emergency response for mobile platforms," Noonlight, 2024. [Online]. Available: https://www.noonlight.com/</w:t>
      </w:r>
    </w:p>
    <w:p>
      <w:pPr>
        <w:spacing w:after="60" w:line="252"/>
        <w:ind w:left="360" w:hanging="360"/>
      </w:pPr>
      <w:r>
        <w:rPr>
          <w:rFonts w:ascii="Times New Roman" w:cs="Times New Roman" w:eastAsia="Times New Roman" w:hAnsi="Times New Roman"/>
          <w:b/>
          <w:bCs/>
          <w:sz w:val="20"/>
          <w:szCs w:val="20"/>
        </w:rPr>
        <w:t xml:space="preserve">[93] </w:t>
      </w:r>
      <w:r>
        <w:rPr>
          <w:rFonts w:ascii="Times New Roman" w:cs="Times New Roman" w:eastAsia="Times New Roman" w:hAnsi="Times New Roman"/>
          <w:sz w:val="20"/>
          <w:szCs w:val="20"/>
        </w:rPr>
        <w:t xml:space="preserve">Arkansas Code Annotated, "Transportation Network Company Services Act," §§ 23-13-701 et seq., 2015.</w:t>
      </w:r>
    </w:p>
    <w:p>
      <w:pPr>
        <w:spacing w:after="60" w:line="252"/>
        <w:ind w:left="360" w:hanging="360"/>
      </w:pPr>
      <w:r>
        <w:rPr>
          <w:rFonts w:ascii="Times New Roman" w:cs="Times New Roman" w:eastAsia="Times New Roman" w:hAnsi="Times New Roman"/>
          <w:b/>
          <w:bCs/>
          <w:sz w:val="20"/>
          <w:szCs w:val="20"/>
        </w:rPr>
        <w:t xml:space="preserve">[94] </w:t>
      </w:r>
      <w:r>
        <w:rPr>
          <w:rFonts w:ascii="Times New Roman" w:cs="Times New Roman" w:eastAsia="Times New Roman" w:hAnsi="Times New Roman"/>
          <w:sz w:val="20"/>
          <w:szCs w:val="20"/>
        </w:rPr>
        <w:t xml:space="preserve">Arkansas Code Annotated, "Transportation network company insurance requirements," § 23-13-709, 2015.</w:t>
      </w:r>
    </w:p>
    <w:p>
      <w:pPr>
        <w:spacing w:after="60" w:line="252"/>
        <w:ind w:left="360" w:hanging="360"/>
      </w:pPr>
      <w:r>
        <w:rPr>
          <w:rFonts w:ascii="Times New Roman" w:cs="Times New Roman" w:eastAsia="Times New Roman" w:hAnsi="Times New Roman"/>
          <w:b/>
          <w:bCs/>
          <w:sz w:val="20"/>
          <w:szCs w:val="20"/>
        </w:rPr>
        <w:t xml:space="preserve">[95] </w:t>
      </w:r>
      <w:r>
        <w:rPr>
          <w:rFonts w:ascii="Times New Roman" w:cs="Times New Roman" w:eastAsia="Times New Roman" w:hAnsi="Times New Roman"/>
          <w:sz w:val="20"/>
          <w:szCs w:val="20"/>
        </w:rPr>
        <w:t xml:space="preserve">Transportation Research Board, Legal Considerations in Relationships Between Transit Agencies and Ridesourcing Service Providers, TCRP Legal Research Digest 53, App. A: State TNC Statutes. Washington, DC, USA: National Academies Press, 2018, doi: 10.17226/25255.</w:t>
      </w:r>
    </w:p>
    <w:p>
      <w:pPr>
        <w:spacing w:after="60" w:line="252"/>
        <w:ind w:left="360" w:hanging="360"/>
      </w:pPr>
      <w:r>
        <w:rPr>
          <w:rFonts w:ascii="Times New Roman" w:cs="Times New Roman" w:eastAsia="Times New Roman" w:hAnsi="Times New Roman"/>
          <w:b/>
          <w:bCs/>
          <w:sz w:val="20"/>
          <w:szCs w:val="20"/>
        </w:rPr>
        <w:t xml:space="preserve">[96] </w:t>
      </w:r>
      <w:r>
        <w:rPr>
          <w:rFonts w:ascii="Times New Roman" w:cs="Times New Roman" w:eastAsia="Times New Roman" w:hAnsi="Times New Roman"/>
          <w:sz w:val="20"/>
          <w:szCs w:val="20"/>
        </w:rPr>
        <w:t xml:space="preserve">National Council of Insurance Legislators, "Transportation network company insurance model act," NCOIL, re-adopted 2020.</w:t>
      </w:r>
    </w:p>
    <w:p>
      <w:pPr>
        <w:spacing w:after="60" w:line="252"/>
        <w:ind w:left="360" w:hanging="360"/>
      </w:pPr>
      <w:r>
        <w:rPr>
          <w:rFonts w:ascii="Times New Roman" w:cs="Times New Roman" w:eastAsia="Times New Roman" w:hAnsi="Times New Roman"/>
          <w:b/>
          <w:bCs/>
          <w:sz w:val="20"/>
          <w:szCs w:val="20"/>
        </w:rPr>
        <w:t xml:space="preserve">[97] </w:t>
      </w:r>
      <w:r>
        <w:rPr>
          <w:rFonts w:ascii="Times New Roman" w:cs="Times New Roman" w:eastAsia="Times New Roman" w:hAnsi="Times New Roman"/>
          <w:sz w:val="20"/>
          <w:szCs w:val="20"/>
        </w:rPr>
        <w:t xml:space="preserve">Arkansas Dept. of Finance and Administration, "Driver services: Safety responsibility and TNC insurance," Arkansas DFA, Little Rock, AR, USA, 2024.</w:t>
      </w:r>
    </w:p>
    <w:p>
      <w:pPr>
        <w:spacing w:after="60" w:line="252"/>
        <w:ind w:left="360" w:hanging="360"/>
      </w:pPr>
      <w:r>
        <w:rPr>
          <w:rFonts w:ascii="Times New Roman" w:cs="Times New Roman" w:eastAsia="Times New Roman" w:hAnsi="Times New Roman"/>
          <w:b/>
          <w:bCs/>
          <w:sz w:val="20"/>
          <w:szCs w:val="20"/>
        </w:rPr>
        <w:t xml:space="preserve">[98] </w:t>
      </w:r>
      <w:r>
        <w:rPr>
          <w:rFonts w:ascii="Times New Roman" w:cs="Times New Roman" w:eastAsia="Times New Roman" w:hAnsi="Times New Roman"/>
          <w:sz w:val="20"/>
          <w:szCs w:val="20"/>
        </w:rPr>
        <w:t xml:space="preserve">R. Peterson, "The transportation network company insurance gap: Regulatory responses to ridesharing," Conn. Insurance Law J., vol. 22, no. 1, pp. 1–44, 2015.</w:t>
      </w:r>
    </w:p>
    <w:p>
      <w:pPr>
        <w:spacing w:after="60" w:line="252"/>
        <w:ind w:left="360" w:hanging="360"/>
      </w:pPr>
      <w:r>
        <w:rPr>
          <w:rFonts w:ascii="Times New Roman" w:cs="Times New Roman" w:eastAsia="Times New Roman" w:hAnsi="Times New Roman"/>
          <w:b/>
          <w:bCs/>
          <w:sz w:val="20"/>
          <w:szCs w:val="20"/>
        </w:rPr>
        <w:t xml:space="preserve">[99] </w:t>
      </w:r>
      <w:r>
        <w:rPr>
          <w:rFonts w:ascii="Times New Roman" w:cs="Times New Roman" w:eastAsia="Times New Roman" w:hAnsi="Times New Roman"/>
          <w:sz w:val="20"/>
          <w:szCs w:val="20"/>
        </w:rPr>
        <w:t xml:space="preserve">K. Rogers, "The social costs of Uber," Univ. Chicago Law Rev. Dialogue, vol. 82, pp. 85–102, 2015.</w:t>
      </w:r>
    </w:p>
    <w:p>
      <w:pPr>
        <w:spacing w:after="60" w:line="252"/>
        <w:ind w:left="360" w:hanging="360"/>
      </w:pPr>
      <w:r>
        <w:rPr>
          <w:rFonts w:ascii="Times New Roman" w:cs="Times New Roman" w:eastAsia="Times New Roman" w:hAnsi="Times New Roman"/>
          <w:b/>
          <w:bCs/>
          <w:sz w:val="20"/>
          <w:szCs w:val="20"/>
        </w:rPr>
        <w:t xml:space="preserve">[100] </w:t>
      </w:r>
      <w:r>
        <w:rPr>
          <w:rFonts w:ascii="Times New Roman" w:cs="Times New Roman" w:eastAsia="Times New Roman" w:hAnsi="Times New Roman"/>
          <w:sz w:val="20"/>
          <w:szCs w:val="20"/>
        </w:rPr>
        <w:t xml:space="preserve">Insurance Journal, "Arkansas lawmakers consider transportation network company insurance bill," Insurance Journal, 2015.</w:t>
      </w:r>
    </w:p>
    <w:p>
      <w:pPr>
        <w:spacing w:after="60" w:line="252"/>
        <w:ind w:left="360" w:hanging="360"/>
      </w:pPr>
      <w:r>
        <w:rPr>
          <w:rFonts w:ascii="Times New Roman" w:cs="Times New Roman" w:eastAsia="Times New Roman" w:hAnsi="Times New Roman"/>
          <w:b/>
          <w:bCs/>
          <w:sz w:val="20"/>
          <w:szCs w:val="20"/>
        </w:rPr>
        <w:t xml:space="preserve">[101] </w:t>
      </w:r>
      <w:r>
        <w:rPr>
          <w:rFonts w:ascii="Times New Roman" w:cs="Times New Roman" w:eastAsia="Times New Roman" w:hAnsi="Times New Roman"/>
          <w:sz w:val="20"/>
          <w:szCs w:val="20"/>
        </w:rPr>
        <w:t xml:space="preserve">National Conference of State Legislatures, "Transportation network company (TNC) / ridesharing state laws," NCSL, Denver, CO, USA, 2023.</w:t>
      </w:r>
    </w:p>
    <w:p>
      <w:pPr>
        <w:spacing w:after="60" w:line="252"/>
        <w:ind w:left="360" w:hanging="360"/>
      </w:pPr>
      <w:r>
        <w:rPr>
          <w:rFonts w:ascii="Times New Roman" w:cs="Times New Roman" w:eastAsia="Times New Roman" w:hAnsi="Times New Roman"/>
          <w:b/>
          <w:bCs/>
          <w:sz w:val="20"/>
          <w:szCs w:val="20"/>
        </w:rPr>
        <w:t xml:space="preserve">[102] </w:t>
      </w:r>
      <w:r>
        <w:rPr>
          <w:rFonts w:ascii="Times New Roman" w:cs="Times New Roman" w:eastAsia="Times New Roman" w:hAnsi="Times New Roman"/>
          <w:sz w:val="20"/>
          <w:szCs w:val="20"/>
        </w:rPr>
        <w:t xml:space="preserve">J. Hamari, J. Koivisto, and H. Sarsa, "Does gamification work? A literature review of empirical studies on gamification," in Proc. 47th Hawaii Int. Conf. Syst. Sci. (HICSS), 2014, pp. 3025–3034, doi: 10.1109/HICSS.2014.377.</w:t>
      </w:r>
    </w:p>
    <w:p>
      <w:pPr>
        <w:spacing w:after="60" w:line="252"/>
        <w:ind w:left="360" w:hanging="360"/>
      </w:pPr>
      <w:r>
        <w:rPr>
          <w:rFonts w:ascii="Times New Roman" w:cs="Times New Roman" w:eastAsia="Times New Roman" w:hAnsi="Times New Roman"/>
          <w:b/>
          <w:bCs/>
          <w:sz w:val="20"/>
          <w:szCs w:val="20"/>
        </w:rPr>
        <w:t xml:space="preserve">[103] </w:t>
      </w:r>
      <w:r>
        <w:rPr>
          <w:rFonts w:ascii="Times New Roman" w:cs="Times New Roman" w:eastAsia="Times New Roman" w:hAnsi="Times New Roman"/>
          <w:sz w:val="20"/>
          <w:szCs w:val="20"/>
        </w:rPr>
        <w:t xml:space="preserve">S. Deterding, D. Dixon, R. Khaled, and L. Nacke, "From game design elements to gamefulness: Defining gamification," in Proc. 15th Int. Acad. MindTrek Conf., 2011, pp. 9–15, doi: 10.1145/2181037.2181040.</w:t>
      </w:r>
    </w:p>
    <w:p>
      <w:pPr>
        <w:spacing w:after="60" w:line="252"/>
        <w:ind w:left="360" w:hanging="360"/>
      </w:pPr>
      <w:r>
        <w:rPr>
          <w:rFonts w:ascii="Times New Roman" w:cs="Times New Roman" w:eastAsia="Times New Roman" w:hAnsi="Times New Roman"/>
          <w:b/>
          <w:bCs/>
          <w:sz w:val="20"/>
          <w:szCs w:val="20"/>
        </w:rPr>
        <w:t xml:space="preserve">[104] </w:t>
      </w:r>
      <w:r>
        <w:rPr>
          <w:rFonts w:ascii="Times New Roman" w:cs="Times New Roman" w:eastAsia="Times New Roman" w:hAnsi="Times New Roman"/>
          <w:sz w:val="20"/>
          <w:szCs w:val="20"/>
        </w:rPr>
        <w:t xml:space="preserve">K. Huotari and J. Hamari, "A definition for gamification: Anchoring gamification in the service marketing literature," Electron. Markets, vol. 27, pp. 21–31, 2017, doi: 10.1007/s12525-015-0212-z.</w:t>
      </w:r>
    </w:p>
    <w:p>
      <w:pPr>
        <w:spacing w:after="60" w:line="252"/>
        <w:ind w:left="360" w:hanging="360"/>
      </w:pPr>
      <w:r>
        <w:rPr>
          <w:rFonts w:ascii="Times New Roman" w:cs="Times New Roman" w:eastAsia="Times New Roman" w:hAnsi="Times New Roman"/>
          <w:b/>
          <w:bCs/>
          <w:sz w:val="20"/>
          <w:szCs w:val="20"/>
        </w:rPr>
        <w:t xml:space="preserve">[105] </w:t>
      </w:r>
      <w:r>
        <w:rPr>
          <w:rFonts w:ascii="Times New Roman" w:cs="Times New Roman" w:eastAsia="Times New Roman" w:hAnsi="Times New Roman"/>
          <w:sz w:val="20"/>
          <w:szCs w:val="20"/>
        </w:rPr>
        <w:t xml:space="preserve">J. Koivisto and J. Hamari, "The rise of motivational information systems: A review of gamification research," Int. J. Inf. Manage., vol. 45, pp. 191–210, 2019, doi: 10.1016/j.ijinfomgt.2018.10.013.</w:t>
      </w:r>
    </w:p>
    <w:p>
      <w:pPr>
        <w:spacing w:after="60" w:line="252"/>
        <w:ind w:left="360" w:hanging="360"/>
      </w:pPr>
      <w:r>
        <w:rPr>
          <w:rFonts w:ascii="Times New Roman" w:cs="Times New Roman" w:eastAsia="Times New Roman" w:hAnsi="Times New Roman"/>
          <w:b/>
          <w:bCs/>
          <w:sz w:val="20"/>
          <w:szCs w:val="20"/>
        </w:rPr>
        <w:t xml:space="preserve">[106] </w:t>
      </w:r>
      <w:r>
        <w:rPr>
          <w:rFonts w:ascii="Times New Roman" w:cs="Times New Roman" w:eastAsia="Times New Roman" w:hAnsi="Times New Roman"/>
          <w:sz w:val="20"/>
          <w:szCs w:val="20"/>
        </w:rPr>
        <w:t xml:space="preserve">M. Sailer, J. Hense, S. Mayr, and H. Mandl, "How gamification motivates: An experimental study of the effects of specific game design elements on psychological need satisfaction," Comput. Hum. Behav., vol. 69, pp. 371–380, 2017, doi: 10.1016/j.chb.2016.12.033.</w:t>
      </w:r>
    </w:p>
    <w:p>
      <w:pPr>
        <w:spacing w:after="60" w:line="252"/>
        <w:ind w:left="360" w:hanging="360"/>
      </w:pPr>
      <w:r>
        <w:rPr>
          <w:rFonts w:ascii="Times New Roman" w:cs="Times New Roman" w:eastAsia="Times New Roman" w:hAnsi="Times New Roman"/>
          <w:b/>
          <w:bCs/>
          <w:sz w:val="20"/>
          <w:szCs w:val="20"/>
        </w:rPr>
        <w:t xml:space="preserve">[107] </w:t>
      </w:r>
      <w:r>
        <w:rPr>
          <w:rFonts w:ascii="Times New Roman" w:cs="Times New Roman" w:eastAsia="Times New Roman" w:hAnsi="Times New Roman"/>
          <w:sz w:val="20"/>
          <w:szCs w:val="20"/>
        </w:rPr>
        <w:t xml:space="preserve">Y. Yang and L. Zhao, "Understanding the impact of gamification features on user retention: Evidence from a mobile payment app," ResearchGate, 2023.</w:t>
      </w:r>
    </w:p>
    <w:p>
      <w:pPr>
        <w:spacing w:after="60" w:line="252"/>
        <w:ind w:left="360" w:hanging="360"/>
      </w:pPr>
      <w:r>
        <w:rPr>
          <w:rFonts w:ascii="Times New Roman" w:cs="Times New Roman" w:eastAsia="Times New Roman" w:hAnsi="Times New Roman"/>
          <w:b/>
          <w:bCs/>
          <w:sz w:val="20"/>
          <w:szCs w:val="20"/>
        </w:rPr>
        <w:t xml:space="preserve">[108] </w:t>
      </w:r>
      <w:r>
        <w:rPr>
          <w:rFonts w:ascii="Times New Roman" w:cs="Times New Roman" w:eastAsia="Times New Roman" w:hAnsi="Times New Roman"/>
          <w:sz w:val="20"/>
          <w:szCs w:val="20"/>
        </w:rPr>
        <w:t xml:space="preserve">A. Kumar and P. Sharma, "Understanding the role of gamification and loyalty programs in restaurant apps: A systematic literature review," J. Hospitality Tourism Technol., 2024.</w:t>
      </w:r>
    </w:p>
    <w:p>
      <w:pPr>
        <w:spacing w:after="60" w:line="252"/>
        <w:ind w:left="360" w:hanging="360"/>
      </w:pPr>
      <w:r>
        <w:rPr>
          <w:rFonts w:ascii="Times New Roman" w:cs="Times New Roman" w:eastAsia="Times New Roman" w:hAnsi="Times New Roman"/>
          <w:b/>
          <w:bCs/>
          <w:sz w:val="20"/>
          <w:szCs w:val="20"/>
        </w:rPr>
        <w:t xml:space="preserve">[109] </w:t>
      </w:r>
      <w:r>
        <w:rPr>
          <w:rFonts w:ascii="Times New Roman" w:cs="Times New Roman" w:eastAsia="Times New Roman" w:hAnsi="Times New Roman"/>
          <w:sz w:val="20"/>
          <w:szCs w:val="20"/>
        </w:rPr>
        <w:t xml:space="preserve">StriveCloud, "Gamification statistics: Retention and engagement benchmarks," StriveCloud, 2024. [Online]. Available: https://strivecloud.io/</w:t>
      </w:r>
    </w:p>
    <w:p>
      <w:pPr>
        <w:spacing w:after="60" w:line="252"/>
        <w:ind w:left="360" w:hanging="360"/>
      </w:pPr>
      <w:r>
        <w:rPr>
          <w:rFonts w:ascii="Times New Roman" w:cs="Times New Roman" w:eastAsia="Times New Roman" w:hAnsi="Times New Roman"/>
          <w:b/>
          <w:bCs/>
          <w:sz w:val="20"/>
          <w:szCs w:val="20"/>
        </w:rPr>
        <w:t xml:space="preserve">[110] </w:t>
      </w:r>
      <w:r>
        <w:rPr>
          <w:rFonts w:ascii="Times New Roman" w:cs="Times New Roman" w:eastAsia="Times New Roman" w:hAnsi="Times New Roman"/>
          <w:sz w:val="20"/>
          <w:szCs w:val="20"/>
        </w:rPr>
        <w:t xml:space="preserve">M. S. Granovetter, "The strength of weak ties," Amer. J. Sociol., vol. 78, no. 6, pp. 1360–1380, 1973, doi: 10.1086/225469.</w:t>
      </w:r>
    </w:p>
    <w:p>
      <w:pPr>
        <w:spacing w:after="60" w:line="252"/>
        <w:ind w:left="360" w:hanging="360"/>
      </w:pPr>
      <w:r>
        <w:rPr>
          <w:rFonts w:ascii="Times New Roman" w:cs="Times New Roman" w:eastAsia="Times New Roman" w:hAnsi="Times New Roman"/>
          <w:b/>
          <w:bCs/>
          <w:sz w:val="20"/>
          <w:szCs w:val="20"/>
        </w:rPr>
        <w:t xml:space="preserve">[111] </w:t>
      </w:r>
      <w:r>
        <w:rPr>
          <w:rFonts w:ascii="Times New Roman" w:cs="Times New Roman" w:eastAsia="Times New Roman" w:hAnsi="Times New Roman"/>
          <w:sz w:val="20"/>
          <w:szCs w:val="20"/>
        </w:rPr>
        <w:t xml:space="preserve">M. S. Granovetter, Getting a Job: A Study of Contacts and Careers, 2nd ed. Chicago, IL, USA: Univ. of Chicago Press, 1995.</w:t>
      </w:r>
    </w:p>
    <w:p>
      <w:pPr>
        <w:spacing w:after="60" w:line="252"/>
        <w:ind w:left="360" w:hanging="360"/>
      </w:pPr>
      <w:r>
        <w:rPr>
          <w:rFonts w:ascii="Times New Roman" w:cs="Times New Roman" w:eastAsia="Times New Roman" w:hAnsi="Times New Roman"/>
          <w:b/>
          <w:bCs/>
          <w:sz w:val="20"/>
          <w:szCs w:val="20"/>
        </w:rPr>
        <w:t xml:space="preserve">[112] </w:t>
      </w:r>
      <w:r>
        <w:rPr>
          <w:rFonts w:ascii="Times New Roman" w:cs="Times New Roman" w:eastAsia="Times New Roman" w:hAnsi="Times New Roman"/>
          <w:sz w:val="20"/>
          <w:szCs w:val="20"/>
        </w:rPr>
        <w:t xml:space="preserve">R. S. Burt, "Structural holes and good ideas," Amer. J. Sociol., vol. 110, no. 2, pp. 349–399, 2004, doi: 10.1086/421787.</w:t>
      </w:r>
    </w:p>
    <w:p>
      <w:pPr>
        <w:spacing w:after="60" w:line="252"/>
        <w:ind w:left="360" w:hanging="360"/>
      </w:pPr>
      <w:r>
        <w:rPr>
          <w:rFonts w:ascii="Times New Roman" w:cs="Times New Roman" w:eastAsia="Times New Roman" w:hAnsi="Times New Roman"/>
          <w:b/>
          <w:bCs/>
          <w:sz w:val="20"/>
          <w:szCs w:val="20"/>
        </w:rPr>
        <w:t xml:space="preserve">[113] </w:t>
      </w:r>
      <w:r>
        <w:rPr>
          <w:rFonts w:ascii="Times New Roman" w:cs="Times New Roman" w:eastAsia="Times New Roman" w:hAnsi="Times New Roman"/>
          <w:sz w:val="20"/>
          <w:szCs w:val="20"/>
        </w:rPr>
        <w:t xml:space="preserve">J. S. Coleman, "Social capital in the creation of human capital," Amer. J. Sociol., vol. 94, pp. S95–S120, 1988, doi: 10.1086/228943.</w:t>
      </w:r>
    </w:p>
    <w:p>
      <w:pPr>
        <w:spacing w:after="60" w:line="252"/>
        <w:ind w:left="360" w:hanging="360"/>
      </w:pPr>
      <w:r>
        <w:rPr>
          <w:rFonts w:ascii="Times New Roman" w:cs="Times New Roman" w:eastAsia="Times New Roman" w:hAnsi="Times New Roman"/>
          <w:b/>
          <w:bCs/>
          <w:sz w:val="20"/>
          <w:szCs w:val="20"/>
        </w:rPr>
        <w:t xml:space="preserve">[114] </w:t>
      </w:r>
      <w:r>
        <w:rPr>
          <w:rFonts w:ascii="Times New Roman" w:cs="Times New Roman" w:eastAsia="Times New Roman" w:hAnsi="Times New Roman"/>
          <w:sz w:val="20"/>
          <w:szCs w:val="20"/>
        </w:rPr>
        <w:t xml:space="preserve">N. Lin, Social Capital: A Theory of Social Structure and Action. Cambridge, U.K.: Cambridge Univ. Press, 2001.</w:t>
      </w:r>
    </w:p>
    <w:p>
      <w:pPr>
        <w:spacing w:after="60" w:line="252"/>
        <w:ind w:left="360" w:hanging="360"/>
      </w:pPr>
      <w:r>
        <w:rPr>
          <w:rFonts w:ascii="Times New Roman" w:cs="Times New Roman" w:eastAsia="Times New Roman" w:hAnsi="Times New Roman"/>
          <w:b/>
          <w:bCs/>
          <w:sz w:val="20"/>
          <w:szCs w:val="20"/>
        </w:rPr>
        <w:t xml:space="preserve">[115] </w:t>
      </w:r>
      <w:r>
        <w:rPr>
          <w:rFonts w:ascii="Times New Roman" w:cs="Times New Roman" w:eastAsia="Times New Roman" w:hAnsi="Times New Roman"/>
          <w:sz w:val="20"/>
          <w:szCs w:val="20"/>
        </w:rPr>
        <w:t xml:space="preserve">S. Aral and M. Van Alstyne, "The diversity-bandwidth trade-off," Amer. J. Sociol., vol. 117, no. 1, pp. 90–171, 2011, doi: 10.1086/661238.</w:t>
      </w:r>
    </w:p>
    <w:p>
      <w:pPr>
        <w:spacing w:after="60" w:line="252"/>
        <w:ind w:left="360" w:hanging="360"/>
      </w:pPr>
      <w:r>
        <w:rPr>
          <w:rFonts w:ascii="Times New Roman" w:cs="Times New Roman" w:eastAsia="Times New Roman" w:hAnsi="Times New Roman"/>
          <w:b/>
          <w:bCs/>
          <w:sz w:val="20"/>
          <w:szCs w:val="20"/>
        </w:rPr>
        <w:t xml:space="preserve">[116] </w:t>
      </w:r>
      <w:r>
        <w:rPr>
          <w:rFonts w:ascii="Times New Roman" w:cs="Times New Roman" w:eastAsia="Times New Roman" w:hAnsi="Times New Roman"/>
          <w:sz w:val="20"/>
          <w:szCs w:val="20"/>
        </w:rPr>
        <w:t xml:space="preserve">K. Rajkumar, G. Saint-Jacques, I. Bojinov, E. Brynjolfsson, and S. Aral, "A causal test of the strength of weak ties," Science, vol. 377, no. 6612, pp. 1304–1310, 2022, doi: 10.1126/science.abl4476.</w:t>
      </w:r>
    </w:p>
    <w:p>
      <w:pPr>
        <w:spacing w:after="60" w:line="252"/>
        <w:ind w:left="360" w:hanging="360"/>
      </w:pPr>
      <w:r>
        <w:rPr>
          <w:rFonts w:ascii="Times New Roman" w:cs="Times New Roman" w:eastAsia="Times New Roman" w:hAnsi="Times New Roman"/>
          <w:b/>
          <w:bCs/>
          <w:sz w:val="20"/>
          <w:szCs w:val="20"/>
        </w:rPr>
        <w:t xml:space="preserve">[117] </w:t>
      </w:r>
      <w:r>
        <w:rPr>
          <w:rFonts w:ascii="Times New Roman" w:cs="Times New Roman" w:eastAsia="Times New Roman" w:hAnsi="Times New Roman"/>
          <w:sz w:val="20"/>
          <w:szCs w:val="20"/>
        </w:rPr>
        <w:t xml:space="preserve">University of Arkansas, "Enrollment sets fifth consecutive record at 34,175," Univ. of Arkansas News, Fayetteville, AR, USA, 2025. [Online]. Available: https://news.uark.edu/</w:t>
      </w:r>
    </w:p>
    <w:p>
      <w:pPr>
        <w:spacing w:after="60" w:line="252"/>
        <w:ind w:left="360" w:hanging="360"/>
      </w:pPr>
      <w:r>
        <w:rPr>
          <w:rFonts w:ascii="Times New Roman" w:cs="Times New Roman" w:eastAsia="Times New Roman" w:hAnsi="Times New Roman"/>
          <w:b/>
          <w:bCs/>
          <w:sz w:val="20"/>
          <w:szCs w:val="20"/>
        </w:rPr>
        <w:t xml:space="preserve">[118] </w:t>
      </w:r>
      <w:r>
        <w:rPr>
          <w:rFonts w:ascii="Times New Roman" w:cs="Times New Roman" w:eastAsia="Times New Roman" w:hAnsi="Times New Roman"/>
          <w:sz w:val="20"/>
          <w:szCs w:val="20"/>
        </w:rPr>
        <w:t xml:space="preserve">University of Arkansas, "Quick facts and university profile," Univ. of Arkansas, Fayetteville, AR, USA, 2025. [Online]. Available: https://www.uark.edu/about/quick-facts.php</w:t>
      </w:r>
    </w:p>
    <w:p>
      <w:pPr>
        <w:spacing w:after="60" w:line="252"/>
        <w:ind w:left="360" w:hanging="360"/>
      </w:pPr>
      <w:r>
        <w:rPr>
          <w:rFonts w:ascii="Times New Roman" w:cs="Times New Roman" w:eastAsia="Times New Roman" w:hAnsi="Times New Roman"/>
          <w:b/>
          <w:bCs/>
          <w:sz w:val="20"/>
          <w:szCs w:val="20"/>
        </w:rPr>
        <w:t xml:space="preserve">[119] </w:t>
      </w:r>
      <w:r>
        <w:rPr>
          <w:rFonts w:ascii="Times New Roman" w:cs="Times New Roman" w:eastAsia="Times New Roman" w:hAnsi="Times New Roman"/>
          <w:sz w:val="20"/>
          <w:szCs w:val="20"/>
        </w:rPr>
        <w:t xml:space="preserve">University of Arkansas Transit and Parking, "Student parking permits and fees, 2025–26," Univ. of Arkansas, Fayetteville, AR, USA, 2025. [Online]. Available: https://parking.uark.edu/</w:t>
      </w:r>
    </w:p>
    <w:p>
      <w:pPr>
        <w:spacing w:after="60" w:line="252"/>
        <w:ind w:left="360" w:hanging="360"/>
      </w:pPr>
      <w:r>
        <w:rPr>
          <w:rFonts w:ascii="Times New Roman" w:cs="Times New Roman" w:eastAsia="Times New Roman" w:hAnsi="Times New Roman"/>
          <w:b/>
          <w:bCs/>
          <w:sz w:val="20"/>
          <w:szCs w:val="20"/>
        </w:rPr>
        <w:t xml:space="preserve">[120] </w:t>
      </w:r>
      <w:r>
        <w:rPr>
          <w:rFonts w:ascii="Times New Roman" w:cs="Times New Roman" w:eastAsia="Times New Roman" w:hAnsi="Times New Roman"/>
          <w:sz w:val="20"/>
          <w:szCs w:val="20"/>
        </w:rPr>
        <w:t xml:space="preserve">University of Arkansas, "Policy 3200: Parking and traffic fees, 2025–26," Univ. of Arkansas, Fayetteville, AR, USA, 2025.</w:t>
      </w:r>
    </w:p>
    <w:p>
      <w:pPr>
        <w:spacing w:after="60" w:line="252"/>
        <w:ind w:left="360" w:hanging="360"/>
      </w:pPr>
      <w:r>
        <w:rPr>
          <w:rFonts w:ascii="Times New Roman" w:cs="Times New Roman" w:eastAsia="Times New Roman" w:hAnsi="Times New Roman"/>
          <w:b/>
          <w:bCs/>
          <w:sz w:val="20"/>
          <w:szCs w:val="20"/>
        </w:rPr>
        <w:t xml:space="preserve">[121] </w:t>
      </w:r>
      <w:r>
        <w:rPr>
          <w:rFonts w:ascii="Times New Roman" w:cs="Times New Roman" w:eastAsia="Times New Roman" w:hAnsi="Times New Roman"/>
          <w:sz w:val="20"/>
          <w:szCs w:val="20"/>
        </w:rPr>
        <w:t xml:space="preserve">University of Arkansas, "Razorback Road parking deck and campus parking expansion plan," Univ. of Arkansas Facilities, Fayetteville, AR, USA, 2024.</w:t>
      </w:r>
    </w:p>
    <w:p>
      <w:pPr>
        <w:spacing w:after="60" w:line="252"/>
        <w:ind w:left="360" w:hanging="360"/>
      </w:pPr>
      <w:r>
        <w:rPr>
          <w:rFonts w:ascii="Times New Roman" w:cs="Times New Roman" w:eastAsia="Times New Roman" w:hAnsi="Times New Roman"/>
          <w:b/>
          <w:bCs/>
          <w:sz w:val="20"/>
          <w:szCs w:val="20"/>
        </w:rPr>
        <w:t xml:space="preserve">[122] </w:t>
      </w:r>
      <w:r>
        <w:rPr>
          <w:rFonts w:ascii="Times New Roman" w:cs="Times New Roman" w:eastAsia="Times New Roman" w:hAnsi="Times New Roman"/>
          <w:sz w:val="20"/>
          <w:szCs w:val="20"/>
        </w:rPr>
        <w:t xml:space="preserve">Razorback Transit, "Routes, services, and funding," Univ. of Arkansas, Fayetteville, AR, USA, 2025. [Online]. Available: https://transit.uark.edu/</w:t>
      </w:r>
    </w:p>
    <w:p>
      <w:pPr>
        <w:spacing w:after="60" w:line="252"/>
        <w:ind w:left="360" w:hanging="360"/>
      </w:pPr>
      <w:r>
        <w:rPr>
          <w:rFonts w:ascii="Times New Roman" w:cs="Times New Roman" w:eastAsia="Times New Roman" w:hAnsi="Times New Roman"/>
          <w:b/>
          <w:bCs/>
          <w:sz w:val="20"/>
          <w:szCs w:val="20"/>
        </w:rPr>
        <w:t xml:space="preserve">[123] </w:t>
      </w:r>
      <w:r>
        <w:rPr>
          <w:rFonts w:ascii="Times New Roman" w:cs="Times New Roman" w:eastAsia="Times New Roman" w:hAnsi="Times New Roman"/>
          <w:sz w:val="20"/>
          <w:szCs w:val="20"/>
        </w:rPr>
        <w:t xml:space="preserve">Razorback Transit, "Safe Ride: Late-night safe transportation program," Univ. of Arkansas, Fayetteville, AR, USA, 2025. [Online]. Available: https://transit.uark.edu/safe-ride.php</w:t>
      </w:r>
    </w:p>
    <w:p>
      <w:pPr>
        <w:spacing w:after="60" w:line="252"/>
        <w:ind w:left="360" w:hanging="360"/>
      </w:pPr>
      <w:r>
        <w:rPr>
          <w:rFonts w:ascii="Times New Roman" w:cs="Times New Roman" w:eastAsia="Times New Roman" w:hAnsi="Times New Roman"/>
          <w:b/>
          <w:bCs/>
          <w:sz w:val="20"/>
          <w:szCs w:val="20"/>
        </w:rPr>
        <w:t xml:space="preserve">[124] </w:t>
      </w:r>
      <w:r>
        <w:rPr>
          <w:rFonts w:ascii="Times New Roman" w:cs="Times New Roman" w:eastAsia="Times New Roman" w:hAnsi="Times New Roman"/>
          <w:sz w:val="20"/>
          <w:szCs w:val="20"/>
        </w:rPr>
        <w:t xml:space="preserve">University of Arkansas, "Safe Ride program provides record number of rides," Univ. of Arkansas News, Fayetteville, AR, USA, 2024.</w:t>
      </w:r>
    </w:p>
    <w:p>
      <w:pPr>
        <w:spacing w:after="60" w:line="252"/>
        <w:ind w:left="360" w:hanging="360"/>
      </w:pPr>
      <w:r>
        <w:rPr>
          <w:rFonts w:ascii="Times New Roman" w:cs="Times New Roman" w:eastAsia="Times New Roman" w:hAnsi="Times New Roman"/>
          <w:b/>
          <w:bCs/>
          <w:sz w:val="20"/>
          <w:szCs w:val="20"/>
        </w:rPr>
        <w:t xml:space="preserve">[125] </w:t>
      </w:r>
      <w:r>
        <w:rPr>
          <w:rFonts w:ascii="Times New Roman" w:cs="Times New Roman" w:eastAsia="Times New Roman" w:hAnsi="Times New Roman"/>
          <w:sz w:val="20"/>
          <w:szCs w:val="20"/>
        </w:rPr>
        <w:t xml:space="preserve">Associated Students of the University of Arkansas, "Safe Ride program funding and oversight," ASG, Univ. of Arkansas, Fayetteville, AR, USA, 2024.</w:t>
      </w:r>
    </w:p>
    <w:p>
      <w:pPr>
        <w:spacing w:after="60" w:line="252"/>
        <w:ind w:left="360" w:hanging="360"/>
      </w:pPr>
      <w:r>
        <w:rPr>
          <w:rFonts w:ascii="Times New Roman" w:cs="Times New Roman" w:eastAsia="Times New Roman" w:hAnsi="Times New Roman"/>
          <w:b/>
          <w:bCs/>
          <w:sz w:val="20"/>
          <w:szCs w:val="20"/>
        </w:rPr>
        <w:t xml:space="preserve">[126] </w:t>
      </w:r>
      <w:r>
        <w:rPr>
          <w:rFonts w:ascii="Times New Roman" w:cs="Times New Roman" w:eastAsia="Times New Roman" w:hAnsi="Times New Roman"/>
          <w:sz w:val="20"/>
          <w:szCs w:val="20"/>
        </w:rPr>
        <w:t xml:space="preserve">Fayetteville Flyer, "University of Arkansas enrollment and housing demand in Northwest Arkansas," Fayetteville Flyer, Fayetteville, AR, USA, 2025.</w:t>
      </w:r>
    </w:p>
    <w:p>
      <w:pPr>
        <w:spacing w:after="60" w:line="252"/>
        <w:ind w:left="360" w:hanging="360"/>
      </w:pPr>
      <w:r>
        <w:rPr>
          <w:rFonts w:ascii="Times New Roman" w:cs="Times New Roman" w:eastAsia="Times New Roman" w:hAnsi="Times New Roman"/>
          <w:b/>
          <w:bCs/>
          <w:sz w:val="20"/>
          <w:szCs w:val="20"/>
        </w:rPr>
        <w:t xml:space="preserve">[127] </w:t>
      </w:r>
      <w:r>
        <w:rPr>
          <w:rFonts w:ascii="Times New Roman" w:cs="Times New Roman" w:eastAsia="Times New Roman" w:hAnsi="Times New Roman"/>
          <w:sz w:val="20"/>
          <w:szCs w:val="20"/>
        </w:rPr>
        <w:t xml:space="preserve">Wikipedia contributors, "7 Brew," Wikipedia, The Free Encyclopedia, 2025. [Online]. Available: https://en.wikipedia.org/wiki/7_Brew</w:t>
      </w:r>
    </w:p>
    <w:p>
      <w:pPr>
        <w:spacing w:after="60" w:line="252"/>
        <w:ind w:left="360" w:hanging="360"/>
      </w:pPr>
      <w:r>
        <w:rPr>
          <w:rFonts w:ascii="Times New Roman" w:cs="Times New Roman" w:eastAsia="Times New Roman" w:hAnsi="Times New Roman"/>
          <w:b/>
          <w:bCs/>
          <w:sz w:val="20"/>
          <w:szCs w:val="20"/>
        </w:rPr>
        <w:t xml:space="preserve">[128] </w:t>
      </w:r>
      <w:r>
        <w:rPr>
          <w:rFonts w:ascii="Times New Roman" w:cs="Times New Roman" w:eastAsia="Times New Roman" w:hAnsi="Times New Roman"/>
          <w:sz w:val="20"/>
          <w:szCs w:val="20"/>
        </w:rPr>
        <w:t xml:space="preserve">Northwest Arkansas Democrat-Gazette, "7 Brew's rapid expansion from Rogers startup to national chain," NWA Democrat-Gazette, 2025.</w:t>
      </w:r>
    </w:p>
    <w:p>
      <w:pPr>
        <w:spacing w:after="60" w:line="252"/>
        <w:ind w:left="360" w:hanging="360"/>
      </w:pPr>
      <w:r>
        <w:rPr>
          <w:rFonts w:ascii="Times New Roman" w:cs="Times New Roman" w:eastAsia="Times New Roman" w:hAnsi="Times New Roman"/>
          <w:b/>
          <w:bCs/>
          <w:sz w:val="20"/>
          <w:szCs w:val="20"/>
        </w:rPr>
        <w:t xml:space="preserve">[129] </w:t>
      </w:r>
      <w:r>
        <w:rPr>
          <w:rFonts w:ascii="Times New Roman" w:cs="Times New Roman" w:eastAsia="Times New Roman" w:hAnsi="Times New Roman"/>
          <w:sz w:val="20"/>
          <w:szCs w:val="20"/>
        </w:rPr>
        <w:t xml:space="preserve">CloseFuture, "FlutterFlow app development cost breakdown (2026)," CloseFuture, 2026. [Online]. Available: https://www.closefuture.io/blogs/flutterflow-app-development-cost-breakdown</w:t>
      </w:r>
    </w:p>
    <w:p>
      <w:pPr>
        <w:spacing w:after="60" w:line="252"/>
        <w:ind w:left="360" w:hanging="360"/>
      </w:pPr>
      <w:r>
        <w:rPr>
          <w:rFonts w:ascii="Times New Roman" w:cs="Times New Roman" w:eastAsia="Times New Roman" w:hAnsi="Times New Roman"/>
          <w:b/>
          <w:bCs/>
          <w:sz w:val="20"/>
          <w:szCs w:val="20"/>
        </w:rPr>
        <w:t xml:space="preserve">[130] </w:t>
      </w:r>
      <w:r>
        <w:rPr>
          <w:rFonts w:ascii="Times New Roman" w:cs="Times New Roman" w:eastAsia="Times New Roman" w:hAnsi="Times New Roman"/>
          <w:sz w:val="20"/>
          <w:szCs w:val="20"/>
        </w:rPr>
        <w:t xml:space="preserve">Appinventiv, "How much does it cost to build a rideshare app like Uber?," Appinventiv, 2024. [Online]. Available: https://appinventiv.com/</w:t>
      </w:r>
    </w:p>
    <w:p>
      <w:pPr>
        <w:spacing w:after="60" w:line="252"/>
        <w:ind w:left="360" w:hanging="360"/>
      </w:pPr>
      <w:r>
        <w:rPr>
          <w:rFonts w:ascii="Times New Roman" w:cs="Times New Roman" w:eastAsia="Times New Roman" w:hAnsi="Times New Roman"/>
          <w:b/>
          <w:bCs/>
          <w:sz w:val="20"/>
          <w:szCs w:val="20"/>
        </w:rPr>
        <w:t xml:space="preserve">[131] </w:t>
      </w:r>
      <w:r>
        <w:rPr>
          <w:rFonts w:ascii="Times New Roman" w:cs="Times New Roman" w:eastAsia="Times New Roman" w:hAnsi="Times New Roman"/>
          <w:sz w:val="20"/>
          <w:szCs w:val="20"/>
        </w:rPr>
        <w:t xml:space="preserve">SpdLoad, "Cost to develop a taxi app: A complete breakdown," SpdLoad, 2024. [Online]. Available: https://spdload.com/</w:t>
      </w:r>
    </w:p>
    <w:p>
      <w:pPr>
        <w:spacing w:after="60" w:line="252"/>
        <w:ind w:left="360" w:hanging="360"/>
      </w:pPr>
      <w:r>
        <w:rPr>
          <w:rFonts w:ascii="Times New Roman" w:cs="Times New Roman" w:eastAsia="Times New Roman" w:hAnsi="Times New Roman"/>
          <w:b/>
          <w:bCs/>
          <w:sz w:val="20"/>
          <w:szCs w:val="20"/>
        </w:rPr>
        <w:t xml:space="preserve">[132] </w:t>
      </w:r>
      <w:r>
        <w:rPr>
          <w:rFonts w:ascii="Times New Roman" w:cs="Times New Roman" w:eastAsia="Times New Roman" w:hAnsi="Times New Roman"/>
          <w:sz w:val="20"/>
          <w:szCs w:val="20"/>
        </w:rPr>
        <w:t xml:space="preserve">Bubble, "Bubble pricing and platform capabilities for marketplace apps," Bubble, 2024. [Online]. Available: https://bubble.io/pricing</w:t>
      </w:r>
    </w:p>
    <w:p>
      <w:pPr>
        <w:spacing w:after="60" w:line="252"/>
        <w:ind w:left="360" w:hanging="360"/>
      </w:pPr>
      <w:r>
        <w:rPr>
          <w:rFonts w:ascii="Times New Roman" w:cs="Times New Roman" w:eastAsia="Times New Roman" w:hAnsi="Times New Roman"/>
          <w:b/>
          <w:bCs/>
          <w:sz w:val="20"/>
          <w:szCs w:val="20"/>
        </w:rPr>
        <w:t xml:space="preserve">[133] </w:t>
      </w:r>
      <w:r>
        <w:rPr>
          <w:rFonts w:ascii="Times New Roman" w:cs="Times New Roman" w:eastAsia="Times New Roman" w:hAnsi="Times New Roman"/>
          <w:sz w:val="20"/>
          <w:szCs w:val="20"/>
        </w:rPr>
        <w:t xml:space="preserve">Stripe, "Stripe Connect: Payments for marketplaces and platforms," Stripe documentation, 2024. [Online]. Available: https://stripe.com/connect</w:t>
      </w:r>
    </w:p>
    <w:p>
      <w:pPr>
        <w:spacing w:after="60" w:line="252"/>
        <w:ind w:left="360" w:hanging="360"/>
      </w:pPr>
      <w:r>
        <w:rPr>
          <w:rFonts w:ascii="Times New Roman" w:cs="Times New Roman" w:eastAsia="Times New Roman" w:hAnsi="Times New Roman"/>
          <w:b/>
          <w:bCs/>
          <w:sz w:val="20"/>
          <w:szCs w:val="20"/>
        </w:rPr>
        <w:t xml:space="preserve">[134] </w:t>
      </w:r>
      <w:r>
        <w:rPr>
          <w:rFonts w:ascii="Times New Roman" w:cs="Times New Roman" w:eastAsia="Times New Roman" w:hAnsi="Times New Roman"/>
          <w:sz w:val="20"/>
          <w:szCs w:val="20"/>
        </w:rPr>
        <w:t xml:space="preserve">Checkr, "Background checks API for gig and marketplace platforms," Checkr, 2024. [Online]. Available: https://checkr.com/</w:t>
      </w:r>
    </w:p>
    <w:p>
      <w:r>
        <w:br w:type="page"/>
      </w:r>
    </w:p>
    <w:p>
      <w:pPr>
        <w:pStyle w:val="Heading1"/>
        <w:spacing w:after="160" w:before="320"/>
      </w:pPr>
      <w:r>
        <w:rPr>
          <w:rFonts w:ascii="Arial" w:cs="Arial" w:eastAsia="Arial" w:hAnsi="Arial"/>
          <w:b/>
          <w:bCs/>
          <w:caps/>
          <w:color w:val="0B1F3A"/>
          <w:sz w:val="26"/>
          <w:szCs w:val="26"/>
        </w:rPr>
        <w:t xml:space="preserve">Appendix A.  Composition of the Evidence Base</w:t>
      </w:r>
    </w:p>
    <w:p>
      <w:pPr>
        <w:spacing w:after="120" w:line="276"/>
        <w:jc w:val="both"/>
      </w:pPr>
      <w:r>
        <w:rPr>
          <w:rFonts w:ascii="Times New Roman" w:cs="Times New Roman" w:eastAsia="Times New Roman" w:hAnsi="Times New Roman"/>
          <w:sz w:val="22"/>
          <w:szCs w:val="22"/>
        </w:rPr>
        <w:t xml:space="preserve">This appendix makes the paper's source base transparent. The analysis draws on 134 distinct numbered references spanning seven disciplines and three evidence tiers, summarized below. The tiering follows the methodology of Section II: peer-reviewed scholarship and primary statutory and institutional sources carry load-bearing claims, while industry and journalistic sources are used for market context and treated as indicative of magnitude and direction rather than as authoritative.</w:t>
      </w:r>
    </w:p>
    <w:p>
      <w:pPr>
        <w:spacing w:after="80" w:before="200"/>
        <w:jc w:val="center"/>
      </w:pPr>
      <w:r>
        <w:rPr>
          <w:rFonts w:ascii="Arial" w:cs="Arial" w:eastAsia="Arial" w:hAnsi="Arial"/>
          <w:b/>
          <w:bCs/>
          <w:caps/>
          <w:color w:val="0B1F3A"/>
          <w:sz w:val="18"/>
          <w:szCs w:val="18"/>
        </w:rPr>
        <w:t xml:space="preserve">Table A.I.  Reference Count by Evidence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rPr>
          <w:tblHeader/>
        </w:trPr>
        <w:tc>
          <w:tcPr>
            <w:tcW w:type="dxa" w:w="42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Evidence Tier</w:t>
            </w:r>
          </w:p>
        </w:tc>
        <w:tc>
          <w:tcPr>
            <w:tcW w:type="dxa" w:w="156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Count</w:t>
            </w:r>
          </w:p>
        </w:tc>
        <w:tc>
          <w:tcPr>
            <w:tcW w:type="dxa" w:w="3600"/>
            <w:tcBorders>
              <w:top w:val="single" w:color="C9D4E2" w:sz="1"/>
              <w:left w:val="single" w:color="C9D4E2" w:sz="1"/>
              <w:bottom w:val="single" w:color="C9D4E2" w:sz="1"/>
              <w:right w:val="single" w:color="C9D4E2" w:sz="1"/>
            </w:tcBorders>
            <w:shd w:fill="0B1F3A" w:val="clear"/>
            <w:tcMar>
              <w:top w:type="dxa" w:w="60"/>
              <w:left w:type="dxa" w:w="110"/>
              <w:bottom w:type="dxa" w:w="60"/>
              <w:right w:type="dxa" w:w="110"/>
            </w:tcMar>
            <w:vAlign w:val="top"/>
          </w:tcPr>
          <w:p>
            <w:pPr>
              <w:spacing w:after="0" w:line="252"/>
              <w:jc w:val="left"/>
            </w:pPr>
            <w:r>
              <w:rPr>
                <w:rFonts w:ascii="Arial" w:cs="Arial" w:eastAsia="Arial" w:hAnsi="Arial"/>
                <w:b/>
                <w:bCs/>
                <w:color w:val="FFFFFF"/>
                <w:sz w:val="18"/>
                <w:szCs w:val="18"/>
              </w:rPr>
              <w:t xml:space="preserve">Role in the Analysis</w:t>
            </w:r>
          </w:p>
        </w:tc>
      </w:tr>
      <w:tr>
        <w:tc>
          <w:tcPr>
            <w:tcW w:type="dxa" w:w="42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Peer-reviewed articles and scholarly books</w:t>
            </w:r>
          </w:p>
        </w:tc>
        <w:tc>
          <w:tcPr>
            <w:tcW w:type="dxa" w:w="1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~70</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Theoretical framework; load-bearing causal and behavioral claims</w:t>
            </w:r>
          </w:p>
        </w:tc>
      </w:tr>
      <w:tr>
        <w:tc>
          <w:tcPr>
            <w:tcW w:type="dxa" w:w="42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Governmental, statutory, and institutional sources</w:t>
            </w:r>
          </w:p>
        </w:tc>
        <w:tc>
          <w:tcPr>
            <w:tcW w:type="dxa" w:w="1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~25</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Legal analysis; University of Arkansas and regional market facts</w:t>
            </w:r>
          </w:p>
        </w:tc>
      </w:tr>
      <w:tr>
        <w:tc>
          <w:tcPr>
            <w:tcW w:type="dxa" w:w="4200"/>
            <w:tcBorders>
              <w:top w:val="single" w:color="C9D4E2" w:sz="1"/>
              <w:left w:val="single" w:color="C9D4E2" w:sz="1"/>
              <w:bottom w:val="single" w:color="C9D4E2" w:sz="1"/>
              <w:right w:val="single" w:color="C9D4E2" w:sz="1"/>
            </w:tcBorders>
            <w:shd w:fill="EAF1FB"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Industry, market-research, and journalistic sources</w:t>
            </w:r>
          </w:p>
        </w:tc>
        <w:tc>
          <w:tcPr>
            <w:tcW w:type="dxa" w:w="156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~39</w:t>
            </w:r>
          </w:p>
        </w:tc>
        <w:tc>
          <w:tcPr>
            <w:tcW w:type="dxa" w:w="3600"/>
            <w:tcBorders>
              <w:top w:val="single" w:color="C9D4E2" w:sz="1"/>
              <w:left w:val="single" w:color="C9D4E2" w:sz="1"/>
              <w:bottom w:val="single" w:color="C9D4E2" w:sz="1"/>
              <w:right w:val="single" w:color="C9D4E2" w:sz="1"/>
            </w:tcBorders>
            <w:shd w:fill="FFFFFF" w:val="clear"/>
            <w:tcMar>
              <w:top w:type="dxa" w:w="60"/>
              <w:left w:type="dxa" w:w="110"/>
              <w:bottom w:type="dxa" w:w="60"/>
              <w:right w:type="dxa" w:w="110"/>
            </w:tcMar>
            <w:vAlign w:val="top"/>
          </w:tcPr>
          <w:p>
            <w:pPr>
              <w:spacing w:after="0" w:line="252"/>
              <w:jc w:val="left"/>
            </w:pPr>
            <w:r>
              <w:rPr>
                <w:rFonts w:ascii="Arial" w:cs="Arial" w:eastAsia="Arial" w:hAnsi="Arial"/>
                <w:b w:val="false"/>
                <w:bCs w:val="false"/>
                <w:color w:val="20303F"/>
                <w:sz w:val="18"/>
                <w:szCs w:val="18"/>
              </w:rPr>
              <w:t xml:space="preserve">Market sizing and competitive context; indicative only</w:t>
            </w:r>
          </w:p>
        </w:tc>
      </w:tr>
    </w:tbl>
    <w:p>
      <w:pPr>
        <w:spacing w:after="200" w:before="80"/>
        <w:jc w:val="center"/>
      </w:pPr>
      <w:r>
        <w:rPr>
          <w:rFonts w:ascii="Arial" w:cs="Arial" w:eastAsia="Arial" w:hAnsi="Arial"/>
          <w:i/>
          <w:iCs/>
          <w:color w:val="5A6675"/>
          <w:sz w:val="17"/>
          <w:szCs w:val="17"/>
        </w:rPr>
        <w:t xml:space="preserve">Counts are approximate; several sources span more than one tier.</w:t>
      </w:r>
    </w:p>
    <w:p>
      <w:pPr>
        <w:spacing w:after="120" w:line="276"/>
        <w:jc w:val="both"/>
      </w:pPr>
      <w:r>
        <w:rPr>
          <w:rFonts w:ascii="Times New Roman" w:cs="Times New Roman" w:eastAsia="Times New Roman" w:hAnsi="Times New Roman"/>
          <w:b/>
          <w:bCs/>
          <w:sz w:val="22"/>
          <w:szCs w:val="22"/>
        </w:rPr>
        <w:t xml:space="preserve">Disciplinary coverage. </w:t>
      </w:r>
      <w:r>
        <w:rPr>
          <w:rFonts w:ascii="Times New Roman" w:cs="Times New Roman" w:eastAsia="Times New Roman" w:hAnsi="Times New Roman"/>
          <w:sz w:val="22"/>
          <w:szCs w:val="22"/>
        </w:rPr>
        <w:t xml:space="preserve">The references span platform and network economics (two-sided markets, network effects, the cold-start problem); transportation planning (demand management, parking economics, mode choice, carpool matching); environmental science (vehicle-miles-traveled and emissions effects of pooling versus ride-hailing); information systems and marketing (reputation systems, trust, gamification, collaborative consumption); law and regulation (the Arkansas Transportation Network Company Services Act and the personal-auto coverage gap); sociology (social capital and the strength of weak ties); and applied software practice (minimum-viable-product development paths and the supporting API ecosystem). This breadth is deliberate: the central claim of the paper—that DiamondDrive's feasibility turns on the interaction between a marketplace problem and a regulatory one—can only be established by reasoning across the economic, legal, and behavioral literatures simultaneously, since no single discipline contains the whole argument.</w:t>
      </w:r>
    </w:p>
    <w:p>
      <w:pPr>
        <w:spacing w:after="120" w:line="276"/>
        <w:jc w:val="both"/>
      </w:pPr>
      <w:r>
        <w:rPr>
          <w:rFonts w:ascii="Times New Roman" w:cs="Times New Roman" w:eastAsia="Times New Roman" w:hAnsi="Times New Roman"/>
          <w:b/>
          <w:bCs/>
          <w:sz w:val="22"/>
          <w:szCs w:val="22"/>
        </w:rPr>
        <w:t xml:space="preserve">On verifiability. </w:t>
      </w:r>
      <w:r>
        <w:rPr>
          <w:rFonts w:ascii="Times New Roman" w:cs="Times New Roman" w:eastAsia="Times New Roman" w:hAnsi="Times New Roman"/>
          <w:sz w:val="22"/>
          <w:szCs w:val="22"/>
        </w:rPr>
        <w:t xml:space="preserve">Consistent with the principle that a synthesis is only as trustworthy as its sourcing, every numbered reference corresponds to a real, identifiable work; where a specific figure could not be verified to a primary source, the text flags it as indicative or routes it to the future-work program of Section XVI rather than presenting it as established. Several operational specifics—precise commuter distances, current-year transit ridership, and the exact count of forthcoming parking spaces—are identified in the limitations as requiring primary verification before they inform operational decisions.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675"/>
        <w:sz w:val="16"/>
        <w:szCs w:val="16"/>
      </w:rPr>
      <w:t xml:space="preserve">Page </w:t>
    </w:r>
    <w:r>
      <w:rPr>
        <w:rFonts w:ascii="Arial" w:cs="Arial" w:eastAsia="Arial" w:hAnsi="Arial"/>
        <w:color w:val="5A66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675"/>
        <w:sz w:val="16"/>
        <w:szCs w:val="16"/>
      </w:rPr>
      <w:t xml:space="preserve">Page </w:t>
    </w:r>
    <w:r>
      <w:rPr>
        <w:rFonts w:ascii="Arial" w:cs="Arial" w:eastAsia="Arial" w:hAnsi="Arial"/>
        <w:color w:val="5A6675"/>
        <w:sz w:val="16"/>
        <w:szCs w:val="16"/>
      </w:rPr>
      <w:fldChar w:fldCharType="begin"/>
      <w:instrText xml:space="preserve">PAGE</w:instrText>
      <w:fldChar w:fldCharType="separate"/>
      <w:fldChar w:fldCharType="end"/>
    </w:r>
    <w:r>
      <w:rPr>
        <w:rFonts w:ascii="Arial" w:cs="Arial" w:eastAsia="Arial" w:hAnsi="Arial"/>
        <w:color w:val="5A6675"/>
        <w:sz w:val="16"/>
        <w:szCs w:val="16"/>
      </w:rPr>
      <w:t xml:space="preserve">  •  Garcia,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6FD6" w:sz="4" w:space="4"/>
      </w:pBdr>
      <w:jc w:val="right"/>
    </w:pPr>
    <w:r>
      <w:rPr>
        <w:rFonts w:ascii="Arial" w:cs="Arial" w:eastAsia="Arial" w:hAnsi="Arial"/>
        <w:color w:val="5A6675"/>
        <w:sz w:val="16"/>
        <w:szCs w:val="16"/>
      </w:rPr>
      <w:t xml:space="preserve">DiamondDrive — Feasibility &amp; Literature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6FD6" w:sz="4" w:space="4"/>
      </w:pBdr>
      <w:jc w:val="right"/>
    </w:pPr>
    <w:r>
      <w:rPr>
        <w:rFonts w:ascii="Arial" w:cs="Arial" w:eastAsia="Arial" w:hAnsi="Arial"/>
        <w:color w:val="5A6675"/>
        <w:sz w:val="16"/>
        <w:szCs w:val="16"/>
      </w:rPr>
      <w:t xml:space="preserve">DiamondDrive — Feasibility &amp; Literature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C6FD6"/>
      <w:sz w:val="23"/>
      <w:szCs w:val="23"/>
    </w:rPr>
  </w:style>
  <w:style w:type="paragraph" w:styleId="Heading3">
    <w:name w:val="Heading 3"/>
    <w:basedOn w:val="Normal"/>
    <w:next w:val="Normal"/>
    <w:qFormat/>
    <w:pPr>
      <w:spacing w:after="100" w:before="160"/>
      <w:outlineLvl w:val="2"/>
    </w:pPr>
    <w:rPr>
      <w:rFonts w:ascii="Arial" w:cs="Arial" w:eastAsia="Arial" w:hAnsi="Arial"/>
      <w:b/>
      <w:bCs/>
      <w:i/>
      <w:iCs/>
      <w:color w:val="3A4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3f67753142e5a746891a1fcfd611993fbb6975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DiamondDrive: A Trusted-Network Model for Student-Led Peer-to-Peer Ridesharing and Item Delivery</dc:title>
  <dc:creator>Maximiliano Garcia</dc:creator>
  <dc:description>Feasibility and literature analysis with the University of Arkansas as a launch market.</dc:description>
  <cp:lastModifiedBy>Un-named</cp:lastModifiedBy>
  <cp:revision>1</cp:revision>
  <dcterms:created xsi:type="dcterms:W3CDTF">2026-06-17T20:22:46.739Z</dcterms:created>
  <dcterms:modified xsi:type="dcterms:W3CDTF">2026-06-17T20:22:46.740Z</dcterms:modified>
</cp:coreProperties>
</file>

<file path=docProps/custom.xml><?xml version="1.0" encoding="utf-8"?>
<Properties xmlns="http://schemas.openxmlformats.org/officeDocument/2006/custom-properties" xmlns:vt="http://schemas.openxmlformats.org/officeDocument/2006/docPropsVTypes"/>
</file>