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0"/>
        <w:rPr/>
      </w:pPr>
      <w:r>
        <w:rPr/>
      </w:r>
    </w:p>
    <w:p>
      <w:pPr>
        <w:pStyle w:val="Normal"/>
        <w:spacing w:before="0" w:after="60"/>
        <w:jc w:val="center"/>
        <w:rPr/>
      </w:pPr>
      <w:r>
        <w:rPr/>
        <w:drawing>
          <wp:inline distT="0" distB="0" distL="0" distR="0">
            <wp:extent cx="4381500" cy="2733675"/>
            <wp:effectExtent l="0" t="0" r="0" b="0"/>
            <wp:docPr id="1" name="FlockLogo" descr="Flock logo&#10;Seagulls over water with an at-symbol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ckLogo" descr="Flock logo&#10;Seagulls over water with an at-symbol wave"/>
                    <pic:cNvPicPr>
                      <a:picLocks noChangeAspect="1" noChangeArrowheads="1"/>
                    </pic:cNvPicPr>
                  </pic:nvPicPr>
                  <pic:blipFill>
                    <a:blip r:embed="rId2"/>
                    <a:stretch>
                      <a:fillRect/>
                    </a:stretch>
                  </pic:blipFill>
                  <pic:spPr bwMode="auto">
                    <a:xfrm>
                      <a:off x="0" y="0"/>
                      <a:ext cx="4381500" cy="2733675"/>
                    </a:xfrm>
                    <a:prstGeom prst="rect">
                      <a:avLst/>
                    </a:prstGeom>
                  </pic:spPr>
                </pic:pic>
              </a:graphicData>
            </a:graphic>
          </wp:inline>
        </w:drawing>
      </w:r>
    </w:p>
    <w:p>
      <w:pPr>
        <w:pStyle w:val="Normal"/>
        <w:pBdr>
          <w:bottom w:val="single" w:sz="18" w:space="8" w:color="5FC8C0"/>
        </w:pBdr>
        <w:spacing w:before="80" w:after="40"/>
        <w:jc w:val="center"/>
        <w:rPr/>
      </w:pPr>
      <w:r>
        <w:rPr/>
      </w:r>
    </w:p>
    <w:p>
      <w:pPr>
        <w:pStyle w:val="Normal"/>
        <w:spacing w:before="220" w:after="0"/>
        <w:jc w:val="center"/>
        <w:rPr/>
      </w:pPr>
      <w:r>
        <w:rPr>
          <w:rFonts w:eastAsia="Arial" w:cs="Arial" w:ascii="Arial" w:hAnsi="Arial"/>
          <w:b/>
          <w:bCs/>
          <w:color w:val="0B3D6B"/>
          <w:sz w:val="76"/>
          <w:szCs w:val="76"/>
        </w:rPr>
        <w:t>FLOCK</w:t>
      </w:r>
    </w:p>
    <w:p>
      <w:pPr>
        <w:pStyle w:val="Normal"/>
        <w:spacing w:before="40" w:after="0"/>
        <w:jc w:val="center"/>
        <w:rPr/>
      </w:pPr>
      <w:r>
        <w:rPr>
          <w:rFonts w:eastAsia="Arial" w:cs="Arial" w:ascii="Arial" w:hAnsi="Arial"/>
          <w:b w:val="false"/>
          <w:bCs w:val="false"/>
          <w:color w:val="1B6CA8"/>
          <w:sz w:val="36"/>
          <w:szCs w:val="36"/>
        </w:rPr>
        <w:t>Project Management Plan</w:t>
      </w:r>
    </w:p>
    <w:p>
      <w:pPr>
        <w:pStyle w:val="Normal"/>
        <w:spacing w:before="140" w:after="0"/>
        <w:jc w:val="center"/>
        <w:rPr/>
      </w:pPr>
      <w:r>
        <w:rPr>
          <w:rFonts w:eastAsia="Georgia" w:cs="Georgia"/>
          <w:i/>
          <w:iCs/>
          <w:color w:val="44505A"/>
          <w:sz w:val="22"/>
          <w:szCs w:val="22"/>
        </w:rPr>
        <w:t>A Decentralized, Blockchain-Powered Exchange for Tokenized Multi-Investment Vehicles</w:t>
      </w:r>
    </w:p>
    <w:p>
      <w:pPr>
        <w:pStyle w:val="Normal"/>
        <w:pBdr>
          <w:bottom w:val="single" w:sz="12" w:space="8" w:color="5FC8C0"/>
        </w:pBdr>
        <w:spacing w:before="220" w:after="260"/>
        <w:jc w:val="center"/>
        <w:rPr/>
      </w:pPr>
      <w:r>
        <w:rPr/>
      </w:r>
    </w:p>
    <w:p>
      <w:pPr>
        <w:pStyle w:val="Normal"/>
        <w:spacing w:before="0" w:after="36"/>
        <w:jc w:val="center"/>
        <w:rPr/>
      </w:pPr>
      <w:r>
        <w:rPr>
          <w:rFonts w:eastAsia="Arial" w:cs="Arial" w:ascii="Arial" w:hAnsi="Arial"/>
          <w:b/>
          <w:bCs/>
          <w:color w:val="16242E"/>
          <w:sz w:val="26"/>
          <w:szCs w:val="26"/>
        </w:rPr>
        <w:t>Maximiliano Garcia</w:t>
      </w:r>
    </w:p>
    <w:p>
      <w:pPr>
        <w:pStyle w:val="Normal"/>
        <w:spacing w:before="0" w:after="28"/>
        <w:jc w:val="center"/>
        <w:rPr/>
      </w:pPr>
      <w:r>
        <w:rPr>
          <w:rFonts w:eastAsia="Georgia" w:cs="Georgia"/>
          <w:color w:val="44505A"/>
          <w:sz w:val="21"/>
          <w:szCs w:val="21"/>
        </w:rPr>
        <w:t>Sam M. Walton College of Business · University of Arkansas</w:t>
      </w:r>
    </w:p>
    <w:p>
      <w:pPr>
        <w:pStyle w:val="Normal"/>
        <w:spacing w:before="0" w:after="200"/>
        <w:jc w:val="center"/>
        <w:rPr/>
      </w:pPr>
      <w:r>
        <w:rPr>
          <w:rFonts w:eastAsia="Georgia" w:cs="Georgia"/>
          <w:color w:val="44505A"/>
          <w:sz w:val="21"/>
          <w:szCs w:val="21"/>
        </w:rPr>
        <w:t>Information Systems · Fayetteville, Arkansas</w:t>
      </w:r>
    </w:p>
    <w:p>
      <w:pPr>
        <w:pStyle w:val="Normal"/>
        <w:spacing w:before="120" w:after="24"/>
        <w:jc w:val="center"/>
        <w:rPr/>
      </w:pPr>
      <w:r>
        <w:rPr>
          <w:rFonts w:eastAsia="Georgia" w:cs="Georgia"/>
          <w:i/>
          <w:iCs/>
          <w:color w:val="5E6B75"/>
          <w:sz w:val="20"/>
          <w:szCs w:val="20"/>
        </w:rPr>
        <w:t>Version 1.0  ·  June 2026</w:t>
      </w:r>
    </w:p>
    <w:p>
      <w:pPr>
        <w:pStyle w:val="Normal"/>
        <w:spacing w:before="360" w:after="0"/>
        <w:jc w:val="center"/>
        <w:rPr/>
      </w:pPr>
      <w:r>
        <w:rPr>
          <w:rFonts w:eastAsia="Georgia" w:cs="Georgia"/>
          <w:i/>
          <w:iCs/>
          <w:color w:val="C9882B"/>
          <w:sz w:val="23"/>
          <w:szCs w:val="23"/>
        </w:rPr>
        <w:t>“</w:t>
      </w:r>
      <w:r>
        <w:rPr>
          <w:rFonts w:eastAsia="Georgia" w:cs="Georgia"/>
          <w:i/>
          <w:iCs/>
          <w:color w:val="C9882B"/>
          <w:sz w:val="23"/>
          <w:szCs w:val="23"/>
        </w:rPr>
        <w:t>Patience pays.” 🦞</w:t>
      </w:r>
    </w:p>
    <w:p>
      <w:pPr>
        <w:pStyle w:val="Normal"/>
        <w:rPr/>
      </w:pPr>
      <w:r>
        <w:rPr/>
      </w:r>
      <w:r>
        <w:br w:type="page"/>
      </w:r>
    </w:p>
    <w:p>
      <w:pPr>
        <w:pStyle w:val="Normal"/>
        <w:spacing w:before="0" w:after="180"/>
        <w:rPr/>
      </w:pPr>
      <w:r>
        <w:rPr>
          <w:rFonts w:eastAsia="Arial" w:cs="Arial" w:ascii="Arial" w:hAnsi="Arial"/>
          <w:b/>
          <w:bCs/>
          <w:color w:val="0B3D6B"/>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710_705121531">
            <w:r>
              <w:rPr>
                <w:rStyle w:val="IndexLink"/>
              </w:rPr>
              <w:t>Executive Summary</w:t>
              <w:tab/>
              <w:t>4</w:t>
            </w:r>
          </w:hyperlink>
        </w:p>
        <w:p>
          <w:pPr>
            <w:pStyle w:val="TOC2"/>
            <w:tabs>
              <w:tab w:val="clear" w:pos="9077"/>
              <w:tab w:val="right" w:pos="9359" w:leader="dot"/>
            </w:tabs>
            <w:rPr/>
          </w:pPr>
          <w:hyperlink w:anchor="__RefHeading___Toc2712_705121531">
            <w:r>
              <w:rPr>
                <w:rStyle w:val="IndexLink"/>
              </w:rPr>
              <w:t>What This Plan Commits To</w:t>
              <w:tab/>
              <w:t>4</w:t>
            </w:r>
          </w:hyperlink>
        </w:p>
        <w:p>
          <w:pPr>
            <w:pStyle w:val="TOC1"/>
            <w:tabs>
              <w:tab w:val="clear" w:pos="9360"/>
              <w:tab w:val="right" w:pos="9359" w:leader="dot"/>
            </w:tabs>
            <w:rPr/>
          </w:pPr>
          <w:hyperlink w:anchor="__RefHeading___Toc2714_705121531">
            <w:r>
              <w:rPr>
                <w:rStyle w:val="IndexLink"/>
              </w:rPr>
              <w:t>1. Project Charter and Vision</w:t>
              <w:tab/>
              <w:t>6</w:t>
            </w:r>
          </w:hyperlink>
        </w:p>
        <w:p>
          <w:pPr>
            <w:pStyle w:val="TOC2"/>
            <w:tabs>
              <w:tab w:val="clear" w:pos="9077"/>
              <w:tab w:val="right" w:pos="9359" w:leader="dot"/>
            </w:tabs>
            <w:rPr/>
          </w:pPr>
          <w:hyperlink w:anchor="__RefHeading___Toc2716_705121531">
            <w:r>
              <w:rPr>
                <w:rStyle w:val="IndexLink"/>
              </w:rPr>
              <w:t>1.1 The Problem</w:t>
              <w:tab/>
              <w:t>6</w:t>
            </w:r>
          </w:hyperlink>
        </w:p>
        <w:p>
          <w:pPr>
            <w:pStyle w:val="TOC2"/>
            <w:tabs>
              <w:tab w:val="clear" w:pos="9077"/>
              <w:tab w:val="right" w:pos="9359" w:leader="dot"/>
            </w:tabs>
            <w:rPr/>
          </w:pPr>
          <w:hyperlink w:anchor="__RefHeading___Toc2718_705121531">
            <w:r>
              <w:rPr>
                <w:rStyle w:val="IndexLink"/>
              </w:rPr>
              <w:t>1.2 Vision and Mission</w:t>
              <w:tab/>
              <w:t>6</w:t>
            </w:r>
          </w:hyperlink>
        </w:p>
        <w:p>
          <w:pPr>
            <w:pStyle w:val="TOC2"/>
            <w:tabs>
              <w:tab w:val="clear" w:pos="9077"/>
              <w:tab w:val="right" w:pos="9359" w:leader="dot"/>
            </w:tabs>
            <w:rPr/>
          </w:pPr>
          <w:hyperlink w:anchor="__RefHeading___Toc2720_705121531">
            <w:r>
              <w:rPr>
                <w:rStyle w:val="IndexLink"/>
              </w:rPr>
              <w:t>1.3 Strategic Objectives</w:t>
              <w:tab/>
              <w:t>6</w:t>
            </w:r>
          </w:hyperlink>
        </w:p>
        <w:p>
          <w:pPr>
            <w:pStyle w:val="TOC2"/>
            <w:tabs>
              <w:tab w:val="clear" w:pos="9077"/>
              <w:tab w:val="right" w:pos="9359" w:leader="dot"/>
            </w:tabs>
            <w:rPr/>
          </w:pPr>
          <w:hyperlink w:anchor="__RefHeading___Toc2722_705121531">
            <w:r>
              <w:rPr>
                <w:rStyle w:val="IndexLink"/>
              </w:rPr>
              <w:t>1.4 Scope</w:t>
              <w:tab/>
              <w:t>7</w:t>
            </w:r>
          </w:hyperlink>
        </w:p>
        <w:p>
          <w:pPr>
            <w:pStyle w:val="TOC2"/>
            <w:tabs>
              <w:tab w:val="clear" w:pos="9077"/>
              <w:tab w:val="right" w:pos="9359" w:leader="dot"/>
            </w:tabs>
            <w:rPr/>
          </w:pPr>
          <w:hyperlink w:anchor="__RefHeading___Toc2724_705121531">
            <w:r>
              <w:rPr>
                <w:rStyle w:val="IndexLink"/>
              </w:rPr>
              <w:t>1.5 Success Criteria</w:t>
              <w:tab/>
              <w:t>7</w:t>
            </w:r>
          </w:hyperlink>
        </w:p>
        <w:p>
          <w:pPr>
            <w:pStyle w:val="TOC1"/>
            <w:tabs>
              <w:tab w:val="clear" w:pos="9360"/>
              <w:tab w:val="right" w:pos="9359" w:leader="dot"/>
            </w:tabs>
            <w:rPr/>
          </w:pPr>
          <w:hyperlink w:anchor="__RefHeading___Toc2726_705121531">
            <w:r>
              <w:rPr>
                <w:rStyle w:val="IndexLink"/>
              </w:rPr>
              <w:t>2. Governance and Delivery Methodology</w:t>
              <w:tab/>
              <w:t>9</w:t>
            </w:r>
          </w:hyperlink>
        </w:p>
        <w:p>
          <w:pPr>
            <w:pStyle w:val="TOC2"/>
            <w:tabs>
              <w:tab w:val="clear" w:pos="9077"/>
              <w:tab w:val="right" w:pos="9359" w:leader="dot"/>
            </w:tabs>
            <w:rPr/>
          </w:pPr>
          <w:hyperlink w:anchor="__RefHeading___Toc2728_705121531">
            <w:r>
              <w:rPr>
                <w:rStyle w:val="IndexLink"/>
              </w:rPr>
              <w:t>2.1 The Hybrid Model</w:t>
              <w:tab/>
              <w:t>9</w:t>
            </w:r>
          </w:hyperlink>
        </w:p>
        <w:p>
          <w:pPr>
            <w:pStyle w:val="TOC2"/>
            <w:tabs>
              <w:tab w:val="clear" w:pos="9077"/>
              <w:tab w:val="right" w:pos="9359" w:leader="dot"/>
            </w:tabs>
            <w:rPr/>
          </w:pPr>
          <w:hyperlink w:anchor="__RefHeading___Toc2730_705121531">
            <w:r>
              <w:rPr>
                <w:rStyle w:val="IndexLink"/>
              </w:rPr>
              <w:t>2.2 Roles and Decision Rights</w:t>
              <w:tab/>
              <w:t>9</w:t>
            </w:r>
          </w:hyperlink>
        </w:p>
        <w:p>
          <w:pPr>
            <w:pStyle w:val="TOC2"/>
            <w:tabs>
              <w:tab w:val="clear" w:pos="9077"/>
              <w:tab w:val="right" w:pos="9359" w:leader="dot"/>
            </w:tabs>
            <w:rPr/>
          </w:pPr>
          <w:hyperlink w:anchor="__RefHeading___Toc2732_705121531">
            <w:r>
              <w:rPr>
                <w:rStyle w:val="IndexLink"/>
              </w:rPr>
              <w:t>2.3 Cadence and Controls</w:t>
              <w:tab/>
              <w:t>9</w:t>
            </w:r>
          </w:hyperlink>
        </w:p>
        <w:p>
          <w:pPr>
            <w:pStyle w:val="TOC1"/>
            <w:tabs>
              <w:tab w:val="clear" w:pos="9360"/>
              <w:tab w:val="right" w:pos="9359" w:leader="dot"/>
            </w:tabs>
            <w:rPr/>
          </w:pPr>
          <w:hyperlink w:anchor="__RefHeading___Toc2734_705121531">
            <w:r>
              <w:rPr>
                <w:rStyle w:val="IndexLink"/>
              </w:rPr>
              <w:t>3. Product Architecture: The Three-Tier Model</w:t>
              <w:tab/>
              <w:t>11</w:t>
            </w:r>
          </w:hyperlink>
        </w:p>
        <w:p>
          <w:pPr>
            <w:pStyle w:val="TOC2"/>
            <w:tabs>
              <w:tab w:val="clear" w:pos="9077"/>
              <w:tab w:val="right" w:pos="9359" w:leader="dot"/>
            </w:tabs>
            <w:rPr/>
          </w:pPr>
          <w:hyperlink w:anchor="__RefHeading___Toc2736_705121531">
            <w:r>
              <w:rPr>
                <w:rStyle w:val="IndexLink"/>
              </w:rPr>
              <w:t>3.1 The Progression Model</w:t>
              <w:tab/>
              <w:t>11</w:t>
            </w:r>
          </w:hyperlink>
        </w:p>
        <w:p>
          <w:pPr>
            <w:pStyle w:val="TOC2"/>
            <w:tabs>
              <w:tab w:val="clear" w:pos="9077"/>
              <w:tab w:val="right" w:pos="9359" w:leader="dot"/>
            </w:tabs>
            <w:rPr/>
          </w:pPr>
          <w:hyperlink w:anchor="__RefHeading___Toc2738_705121531">
            <w:r>
              <w:rPr>
                <w:rStyle w:val="IndexLink"/>
              </w:rPr>
              <w:t>3.2 The Protocol Stack</w:t>
              <w:tab/>
              <w:t>11</w:t>
            </w:r>
          </w:hyperlink>
        </w:p>
        <w:p>
          <w:pPr>
            <w:pStyle w:val="TOC2"/>
            <w:tabs>
              <w:tab w:val="clear" w:pos="9077"/>
              <w:tab w:val="right" w:pos="9359" w:leader="dot"/>
            </w:tabs>
            <w:rPr/>
          </w:pPr>
          <w:hyperlink w:anchor="__RefHeading___Toc2740_705121531">
            <w:r>
              <w:rPr>
                <w:rStyle w:val="IndexLink"/>
              </w:rPr>
              <w:t>3.3 The Three Differentiators</w:t>
              <w:tab/>
              <w:t>12</w:t>
            </w:r>
          </w:hyperlink>
        </w:p>
        <w:p>
          <w:pPr>
            <w:pStyle w:val="TOC2"/>
            <w:tabs>
              <w:tab w:val="clear" w:pos="9077"/>
              <w:tab w:val="right" w:pos="9359" w:leader="dot"/>
            </w:tabs>
            <w:rPr/>
          </w:pPr>
          <w:hyperlink w:anchor="__RefHeading___Toc2742_705121531">
            <w:r>
              <w:rPr>
                <w:rStyle w:val="IndexLink"/>
              </w:rPr>
              <w:t>3.4 A User’s Progression</w:t>
              <w:tab/>
              <w:t>12</w:t>
            </w:r>
          </w:hyperlink>
        </w:p>
        <w:p>
          <w:pPr>
            <w:pStyle w:val="TOC1"/>
            <w:tabs>
              <w:tab w:val="clear" w:pos="9360"/>
              <w:tab w:val="right" w:pos="9359" w:leader="dot"/>
            </w:tabs>
            <w:rPr/>
          </w:pPr>
          <w:hyperlink w:anchor="__RefHeading___Toc2744_705121531">
            <w:r>
              <w:rPr>
                <w:rStyle w:val="IndexLink"/>
              </w:rPr>
              <w:t>4. Market and Asset Taxonomy</w:t>
              <w:tab/>
              <w:t>13</w:t>
            </w:r>
          </w:hyperlink>
        </w:p>
        <w:p>
          <w:pPr>
            <w:pStyle w:val="TOC2"/>
            <w:tabs>
              <w:tab w:val="clear" w:pos="9077"/>
              <w:tab w:val="right" w:pos="9359" w:leader="dot"/>
            </w:tabs>
            <w:rPr/>
          </w:pPr>
          <w:hyperlink w:anchor="__RefHeading___Toc2746_705121531">
            <w:r>
              <w:rPr>
                <w:rStyle w:val="IndexLink"/>
              </w:rPr>
              <w:t>4.1 Asset Classes</w:t>
              <w:tab/>
              <w:t>13</w:t>
            </w:r>
          </w:hyperlink>
        </w:p>
        <w:p>
          <w:pPr>
            <w:pStyle w:val="TOC2"/>
            <w:tabs>
              <w:tab w:val="clear" w:pos="9077"/>
              <w:tab w:val="right" w:pos="9359" w:leader="dot"/>
            </w:tabs>
            <w:rPr/>
          </w:pPr>
          <w:hyperlink w:anchor="__RefHeading___Toc2748_705121531">
            <w:r>
              <w:rPr>
                <w:rStyle w:val="IndexLink"/>
              </w:rPr>
              <w:t>4.2 Market Types</w:t>
              <w:tab/>
              <w:t>13</w:t>
            </w:r>
          </w:hyperlink>
        </w:p>
        <w:p>
          <w:pPr>
            <w:pStyle w:val="TOC2"/>
            <w:tabs>
              <w:tab w:val="clear" w:pos="9077"/>
              <w:tab w:val="right" w:pos="9359" w:leader="dot"/>
            </w:tabs>
            <w:rPr/>
          </w:pPr>
          <w:hyperlink w:anchor="__RefHeading___Toc2750_705121531">
            <w:r>
              <w:rPr>
                <w:rStyle w:val="IndexLink"/>
              </w:rPr>
              <w:t>4.3 Prediction and Event Markets</w:t>
              <w:tab/>
              <w:t>14</w:t>
            </w:r>
          </w:hyperlink>
        </w:p>
        <w:p>
          <w:pPr>
            <w:pStyle w:val="TOC2"/>
            <w:tabs>
              <w:tab w:val="clear" w:pos="9077"/>
              <w:tab w:val="right" w:pos="9359" w:leader="dot"/>
            </w:tabs>
            <w:rPr/>
          </w:pPr>
          <w:hyperlink w:anchor="__RefHeading___Toc2752_705121531">
            <w:r>
              <w:rPr>
                <w:rStyle w:val="IndexLink"/>
              </w:rPr>
              <w:t>4.4 Derivatives and Perpetual Swaps</w:t>
              <w:tab/>
              <w:t>14</w:t>
            </w:r>
          </w:hyperlink>
        </w:p>
        <w:p>
          <w:pPr>
            <w:pStyle w:val="TOC2"/>
            <w:tabs>
              <w:tab w:val="clear" w:pos="9077"/>
              <w:tab w:val="right" w:pos="9359" w:leader="dot"/>
            </w:tabs>
            <w:rPr/>
          </w:pPr>
          <w:hyperlink w:anchor="__RefHeading___Toc2754_705121531">
            <w:r>
              <w:rPr>
                <w:rStyle w:val="IndexLink"/>
              </w:rPr>
              <w:t>4.5 Parametric and Decentralized Insurance</w:t>
              <w:tab/>
              <w:t>14</w:t>
            </w:r>
          </w:hyperlink>
        </w:p>
        <w:p>
          <w:pPr>
            <w:pStyle w:val="TOC2"/>
            <w:tabs>
              <w:tab w:val="clear" w:pos="9077"/>
              <w:tab w:val="right" w:pos="9359" w:leader="dot"/>
            </w:tabs>
            <w:rPr/>
          </w:pPr>
          <w:hyperlink w:anchor="__RefHeading___Toc2756_705121531">
            <w:r>
              <w:rPr>
                <w:rStyle w:val="IndexLink"/>
              </w:rPr>
              <w:t>4.6 Peer-to-Peer Securities Lending</w:t>
              <w:tab/>
              <w:t>15</w:t>
            </w:r>
          </w:hyperlink>
        </w:p>
        <w:p>
          <w:pPr>
            <w:pStyle w:val="TOC2"/>
            <w:tabs>
              <w:tab w:val="clear" w:pos="9077"/>
              <w:tab w:val="right" w:pos="9359" w:leader="dot"/>
            </w:tabs>
            <w:rPr/>
          </w:pPr>
          <w:hyperlink w:anchor="__RefHeading___Toc2758_705121531">
            <w:r>
              <w:rPr>
                <w:rStyle w:val="IndexLink"/>
              </w:rPr>
              <w:t>4.7 A Worked Example: An Asset’s Journey Through Flock</w:t>
              <w:tab/>
              <w:t>15</w:t>
            </w:r>
          </w:hyperlink>
        </w:p>
        <w:p>
          <w:pPr>
            <w:pStyle w:val="TOC1"/>
            <w:tabs>
              <w:tab w:val="clear" w:pos="9360"/>
              <w:tab w:val="right" w:pos="9359" w:leader="dot"/>
            </w:tabs>
            <w:rPr/>
          </w:pPr>
          <w:hyperlink w:anchor="__RefHeading___Toc2760_705121531">
            <w:r>
              <w:rPr>
                <w:rStyle w:val="IndexLink"/>
              </w:rPr>
              <w:t>5. Competitive Landscape and Positioning</w:t>
              <w:tab/>
              <w:t>17</w:t>
            </w:r>
          </w:hyperlink>
        </w:p>
        <w:p>
          <w:pPr>
            <w:pStyle w:val="TOC2"/>
            <w:tabs>
              <w:tab w:val="clear" w:pos="9077"/>
              <w:tab w:val="right" w:pos="9359" w:leader="dot"/>
            </w:tabs>
            <w:rPr/>
          </w:pPr>
          <w:hyperlink w:anchor="__RefHeading___Toc2762_705121531">
            <w:r>
              <w:rPr>
                <w:rStyle w:val="IndexLink"/>
              </w:rPr>
              <w:t>5.1 Categories of Incumbent</w:t>
              <w:tab/>
              <w:t>17</w:t>
            </w:r>
          </w:hyperlink>
        </w:p>
        <w:p>
          <w:pPr>
            <w:pStyle w:val="TOC2"/>
            <w:tabs>
              <w:tab w:val="clear" w:pos="9077"/>
              <w:tab w:val="right" w:pos="9359" w:leader="dot"/>
            </w:tabs>
            <w:rPr/>
          </w:pPr>
          <w:hyperlink w:anchor="__RefHeading___Toc2764_705121531">
            <w:r>
              <w:rPr>
                <w:rStyle w:val="IndexLink"/>
              </w:rPr>
              <w:t>5.2 Flock’s Differentiated Position</w:t>
              <w:tab/>
              <w:t>17</w:t>
            </w:r>
          </w:hyperlink>
        </w:p>
        <w:p>
          <w:pPr>
            <w:pStyle w:val="TOC2"/>
            <w:tabs>
              <w:tab w:val="clear" w:pos="9077"/>
              <w:tab w:val="right" w:pos="9359" w:leader="dot"/>
            </w:tabs>
            <w:rPr/>
          </w:pPr>
          <w:hyperlink w:anchor="__RefHeading___Toc2766_705121531">
            <w:r>
              <w:rPr>
                <w:rStyle w:val="IndexLink"/>
              </w:rPr>
              <w:t>5.3 Why Now: Market Timing</w:t>
              <w:tab/>
              <w:t>17</w:t>
            </w:r>
          </w:hyperlink>
        </w:p>
        <w:p>
          <w:pPr>
            <w:pStyle w:val="TOC2"/>
            <w:tabs>
              <w:tab w:val="clear" w:pos="9077"/>
              <w:tab w:val="right" w:pos="9359" w:leader="dot"/>
            </w:tabs>
            <w:rPr/>
          </w:pPr>
          <w:hyperlink w:anchor="__RefHeading___Toc2768_705121531">
            <w:r>
              <w:rPr>
                <w:rStyle w:val="IndexLink"/>
              </w:rPr>
              <w:t>5.4 Defensibility and Moats</w:t>
              <w:tab/>
              <w:t>18</w:t>
            </w:r>
          </w:hyperlink>
        </w:p>
        <w:p>
          <w:pPr>
            <w:pStyle w:val="TOC1"/>
            <w:tabs>
              <w:tab w:val="clear" w:pos="9360"/>
              <w:tab w:val="right" w:pos="9359" w:leader="dot"/>
            </w:tabs>
            <w:rPr/>
          </w:pPr>
          <w:hyperlink w:anchor="__RefHeading___Toc2770_705121531">
            <w:r>
              <w:rPr>
                <w:rStyle w:val="IndexLink"/>
              </w:rPr>
              <w:t>6. Technology Stack and System Architecture</w:t>
              <w:tab/>
              <w:t>19</w:t>
            </w:r>
          </w:hyperlink>
        </w:p>
        <w:p>
          <w:pPr>
            <w:pStyle w:val="TOC2"/>
            <w:tabs>
              <w:tab w:val="clear" w:pos="9077"/>
              <w:tab w:val="right" w:pos="9359" w:leader="dot"/>
            </w:tabs>
            <w:rPr/>
          </w:pPr>
          <w:hyperlink w:anchor="__RefHeading___Toc2772_705121531">
            <w:r>
              <w:rPr>
                <w:rStyle w:val="IndexLink"/>
              </w:rPr>
              <w:t>6.1 Architecture Overview</w:t>
              <w:tab/>
              <w:t>19</w:t>
            </w:r>
          </w:hyperlink>
        </w:p>
        <w:p>
          <w:pPr>
            <w:pStyle w:val="TOC2"/>
            <w:tabs>
              <w:tab w:val="clear" w:pos="9077"/>
              <w:tab w:val="right" w:pos="9359" w:leader="dot"/>
            </w:tabs>
            <w:rPr/>
          </w:pPr>
          <w:hyperlink w:anchor="__RefHeading___Toc2774_705121531">
            <w:r>
              <w:rPr>
                <w:rStyle w:val="IndexLink"/>
              </w:rPr>
              <w:t>6.2 Blockchain and Token-Standard Selection</w:t>
              <w:tab/>
              <w:t>19</w:t>
            </w:r>
          </w:hyperlink>
        </w:p>
        <w:p>
          <w:pPr>
            <w:pStyle w:val="TOC2"/>
            <w:tabs>
              <w:tab w:val="clear" w:pos="9077"/>
              <w:tab w:val="right" w:pos="9359" w:leader="dot"/>
            </w:tabs>
            <w:rPr/>
          </w:pPr>
          <w:hyperlink w:anchor="__RefHeading___Toc2776_705121531">
            <w:r>
              <w:rPr>
                <w:rStyle w:val="IndexLink"/>
              </w:rPr>
              <w:t>6.3 The Intelligence Layer</w:t>
              <w:tab/>
              <w:t>20</w:t>
            </w:r>
          </w:hyperlink>
        </w:p>
        <w:p>
          <w:pPr>
            <w:pStyle w:val="TOC2"/>
            <w:tabs>
              <w:tab w:val="clear" w:pos="9077"/>
              <w:tab w:val="right" w:pos="9359" w:leader="dot"/>
            </w:tabs>
            <w:rPr/>
          </w:pPr>
          <w:hyperlink w:anchor="__RefHeading___Toc2778_705121531">
            <w:r>
              <w:rPr>
                <w:rStyle w:val="IndexLink"/>
              </w:rPr>
              <w:t>6.4 Liquidity and Matching</w:t>
              <w:tab/>
              <w:t>20</w:t>
            </w:r>
          </w:hyperlink>
        </w:p>
        <w:p>
          <w:pPr>
            <w:pStyle w:val="TOC2"/>
            <w:tabs>
              <w:tab w:val="clear" w:pos="9077"/>
              <w:tab w:val="right" w:pos="9359" w:leader="dot"/>
            </w:tabs>
            <w:rPr/>
          </w:pPr>
          <w:hyperlink w:anchor="__RefHeading___Toc2780_705121531">
            <w:r>
              <w:rPr>
                <w:rStyle w:val="IndexLink"/>
              </w:rPr>
              <w:t>6.5 Hybrid Ownership: Custody and Proof-of-Reserve</w:t>
              <w:tab/>
              <w:t>20</w:t>
            </w:r>
          </w:hyperlink>
        </w:p>
        <w:p>
          <w:pPr>
            <w:pStyle w:val="TOC2"/>
            <w:tabs>
              <w:tab w:val="clear" w:pos="9077"/>
              <w:tab w:val="right" w:pos="9359" w:leader="dot"/>
            </w:tabs>
            <w:rPr/>
          </w:pPr>
          <w:hyperlink w:anchor="__RefHeading___Toc2782_705121531">
            <w:r>
              <w:rPr>
                <w:rStyle w:val="IndexLink"/>
              </w:rPr>
              <w:t>6.6 Cross-Chain Posture</w:t>
              <w:tab/>
              <w:t>20</w:t>
            </w:r>
          </w:hyperlink>
        </w:p>
        <w:p>
          <w:pPr>
            <w:pStyle w:val="TOC1"/>
            <w:tabs>
              <w:tab w:val="clear" w:pos="9360"/>
              <w:tab w:val="right" w:pos="9359" w:leader="dot"/>
            </w:tabs>
            <w:rPr/>
          </w:pPr>
          <w:hyperlink w:anchor="__RefHeading___Toc2784_705121531">
            <w:r>
              <w:rPr>
                <w:rStyle w:val="IndexLink"/>
              </w:rPr>
              <w:t>7. Security, Compliance, and Regulatory Plan</w:t>
              <w:tab/>
              <w:t>21</w:t>
            </w:r>
          </w:hyperlink>
        </w:p>
        <w:p>
          <w:pPr>
            <w:pStyle w:val="TOC2"/>
            <w:tabs>
              <w:tab w:val="clear" w:pos="9077"/>
              <w:tab w:val="right" w:pos="9359" w:leader="dot"/>
            </w:tabs>
            <w:rPr/>
          </w:pPr>
          <w:hyperlink w:anchor="__RefHeading___Toc2786_705121531">
            <w:r>
              <w:rPr>
                <w:rStyle w:val="IndexLink"/>
              </w:rPr>
              <w:t>7.1 The Compliance Layer</w:t>
              <w:tab/>
              <w:t>21</w:t>
            </w:r>
          </w:hyperlink>
        </w:p>
        <w:p>
          <w:pPr>
            <w:pStyle w:val="TOC2"/>
            <w:tabs>
              <w:tab w:val="clear" w:pos="9077"/>
              <w:tab w:val="right" w:pos="9359" w:leader="dot"/>
            </w:tabs>
            <w:rPr/>
          </w:pPr>
          <w:hyperlink w:anchor="__RefHeading___Toc2788_705121531">
            <w:r>
              <w:rPr>
                <w:rStyle w:val="IndexLink"/>
              </w:rPr>
              <w:t>7.2 Jurisdiction Strategy</w:t>
              <w:tab/>
              <w:t>21</w:t>
            </w:r>
          </w:hyperlink>
        </w:p>
        <w:p>
          <w:pPr>
            <w:pStyle w:val="TOC2"/>
            <w:tabs>
              <w:tab w:val="clear" w:pos="9077"/>
              <w:tab w:val="right" w:pos="9359" w:leader="dot"/>
            </w:tabs>
            <w:rPr/>
          </w:pPr>
          <w:hyperlink w:anchor="__RefHeading___Toc2790_705121531">
            <w:r>
              <w:rPr>
                <w:rStyle w:val="IndexLink"/>
              </w:rPr>
              <w:t>7.3 The Security Program</w:t>
              <w:tab/>
              <w:t>22</w:t>
            </w:r>
          </w:hyperlink>
        </w:p>
        <w:p>
          <w:pPr>
            <w:pStyle w:val="TOC2"/>
            <w:tabs>
              <w:tab w:val="clear" w:pos="9077"/>
              <w:tab w:val="right" w:pos="9359" w:leader="dot"/>
            </w:tabs>
            <w:rPr/>
          </w:pPr>
          <w:hyperlink w:anchor="__RefHeading___Toc2792_705121531">
            <w:r>
              <w:rPr>
                <w:rStyle w:val="IndexLink"/>
              </w:rPr>
              <w:t>7.4 Consumer Protection by Design</w:t>
              <w:tab/>
              <w:t>22</w:t>
            </w:r>
          </w:hyperlink>
        </w:p>
        <w:p>
          <w:pPr>
            <w:pStyle w:val="TOC1"/>
            <w:tabs>
              <w:tab w:val="clear" w:pos="9360"/>
              <w:tab w:val="right" w:pos="9359" w:leader="dot"/>
            </w:tabs>
            <w:rPr/>
          </w:pPr>
          <w:hyperlink w:anchor="__RefHeading___Toc2794_705121531">
            <w:r>
              <w:rPr>
                <w:rStyle w:val="IndexLink"/>
              </w:rPr>
              <w:t>8. Staged Delivery Roadmap</w:t>
              <w:tab/>
              <w:t>23</w:t>
            </w:r>
          </w:hyperlink>
        </w:p>
        <w:p>
          <w:pPr>
            <w:pStyle w:val="TOC2"/>
            <w:tabs>
              <w:tab w:val="clear" w:pos="9077"/>
              <w:tab w:val="right" w:pos="9359" w:leader="dot"/>
            </w:tabs>
            <w:rPr/>
          </w:pPr>
          <w:hyperlink w:anchor="__RefHeading___Toc2796_705121531">
            <w:r>
              <w:rPr>
                <w:rStyle w:val="IndexLink"/>
              </w:rPr>
              <w:t>8.1 Phase Overview</w:t>
              <w:tab/>
              <w:t>23</w:t>
            </w:r>
          </w:hyperlink>
        </w:p>
        <w:p>
          <w:pPr>
            <w:pStyle w:val="TOC2"/>
            <w:tabs>
              <w:tab w:val="clear" w:pos="9077"/>
              <w:tab w:val="right" w:pos="9359" w:leader="dot"/>
            </w:tabs>
            <w:rPr/>
          </w:pPr>
          <w:hyperlink w:anchor="__RefHeading___Toc2798_705121531">
            <w:r>
              <w:rPr>
                <w:rStyle w:val="IndexLink"/>
              </w:rPr>
              <w:t>8.2 Phase 1 — The Regulated Foundation (Months 0–18)</w:t>
              <w:tab/>
              <w:t>23</w:t>
            </w:r>
          </w:hyperlink>
        </w:p>
        <w:p>
          <w:pPr>
            <w:pStyle w:val="TOC2"/>
            <w:tabs>
              <w:tab w:val="clear" w:pos="9077"/>
              <w:tab w:val="right" w:pos="9359" w:leader="dot"/>
            </w:tabs>
            <w:rPr/>
          </w:pPr>
          <w:hyperlink w:anchor="__RefHeading___Toc2800_705121531">
            <w:r>
              <w:rPr>
                <w:rStyle w:val="IndexLink"/>
              </w:rPr>
              <w:t>8.3 Phase 2 — Social, Advisory, and Event Markets (Months 18–36)</w:t>
              <w:tab/>
              <w:t>23</w:t>
            </w:r>
          </w:hyperlink>
        </w:p>
        <w:p>
          <w:pPr>
            <w:pStyle w:val="TOC2"/>
            <w:tabs>
              <w:tab w:val="clear" w:pos="9077"/>
              <w:tab w:val="right" w:pos="9359" w:leader="dot"/>
            </w:tabs>
            <w:rPr/>
          </w:pPr>
          <w:hyperlink w:anchor="__RefHeading___Toc2802_705121531">
            <w:r>
              <w:rPr>
                <w:rStyle w:val="IndexLink"/>
              </w:rPr>
              <w:t>8.4 Phase 3 — Differentiators and Hybrid Assets (Months 36+)</w:t>
              <w:tab/>
              <w:t>24</w:t>
            </w:r>
          </w:hyperlink>
        </w:p>
        <w:p>
          <w:pPr>
            <w:pStyle w:val="TOC2"/>
            <w:tabs>
              <w:tab w:val="clear" w:pos="9077"/>
              <w:tab w:val="right" w:pos="9359" w:leader="dot"/>
            </w:tabs>
            <w:rPr/>
          </w:pPr>
          <w:hyperlink w:anchor="__RefHeading___Toc2804_705121531">
            <w:r>
              <w:rPr>
                <w:rStyle w:val="IndexLink"/>
              </w:rPr>
              <w:t>8.5 Indicative Schedule</w:t>
              <w:tab/>
              <w:t>24</w:t>
            </w:r>
          </w:hyperlink>
        </w:p>
        <w:p>
          <w:pPr>
            <w:pStyle w:val="TOC1"/>
            <w:tabs>
              <w:tab w:val="clear" w:pos="9360"/>
              <w:tab w:val="right" w:pos="9359" w:leader="dot"/>
            </w:tabs>
            <w:rPr/>
          </w:pPr>
          <w:hyperlink w:anchor="__RefHeading___Toc2806_705121531">
            <w:r>
              <w:rPr>
                <w:rStyle w:val="IndexLink"/>
              </w:rPr>
              <w:t>9. Team, Organization, and Resource Plan</w:t>
              <w:tab/>
              <w:t>25</w:t>
            </w:r>
          </w:hyperlink>
        </w:p>
        <w:p>
          <w:pPr>
            <w:pStyle w:val="TOC2"/>
            <w:tabs>
              <w:tab w:val="clear" w:pos="9077"/>
              <w:tab w:val="right" w:pos="9359" w:leader="dot"/>
            </w:tabs>
            <w:rPr/>
          </w:pPr>
          <w:hyperlink w:anchor="__RefHeading___Toc2808_705121531">
            <w:r>
              <w:rPr>
                <w:rStyle w:val="IndexLink"/>
              </w:rPr>
              <w:t>9.1 Founding Team and Early Roles</w:t>
              <w:tab/>
              <w:t>25</w:t>
            </w:r>
          </w:hyperlink>
        </w:p>
        <w:p>
          <w:pPr>
            <w:pStyle w:val="TOC2"/>
            <w:tabs>
              <w:tab w:val="clear" w:pos="9077"/>
              <w:tab w:val="right" w:pos="9359" w:leader="dot"/>
            </w:tabs>
            <w:rPr/>
          </w:pPr>
          <w:hyperlink w:anchor="__RefHeading___Toc2810_705121531">
            <w:r>
              <w:rPr>
                <w:rStyle w:val="IndexLink"/>
              </w:rPr>
              <w:t>9.2 Target Operating Model by Phase</w:t>
              <w:tab/>
              <w:t>25</w:t>
            </w:r>
          </w:hyperlink>
        </w:p>
        <w:p>
          <w:pPr>
            <w:pStyle w:val="TOC2"/>
            <w:tabs>
              <w:tab w:val="clear" w:pos="9077"/>
              <w:tab w:val="right" w:pos="9359" w:leader="dot"/>
            </w:tabs>
            <w:rPr/>
          </w:pPr>
          <w:hyperlink w:anchor="__RefHeading___Toc2812_705121531">
            <w:r>
              <w:rPr>
                <w:rStyle w:val="IndexLink"/>
              </w:rPr>
              <w:t>9.3 Extended Team and Partners</w:t>
              <w:tab/>
              <w:t>25</w:t>
            </w:r>
          </w:hyperlink>
        </w:p>
        <w:p>
          <w:pPr>
            <w:pStyle w:val="TOC2"/>
            <w:tabs>
              <w:tab w:val="clear" w:pos="9077"/>
              <w:tab w:val="right" w:pos="9359" w:leader="dot"/>
            </w:tabs>
            <w:rPr/>
          </w:pPr>
          <w:hyperlink w:anchor="__RefHeading___Toc2814_705121531">
            <w:r>
              <w:rPr>
                <w:rStyle w:val="IndexLink"/>
              </w:rPr>
              <w:t>9.4 Ways of Working</w:t>
              <w:tab/>
              <w:t>26</w:t>
            </w:r>
          </w:hyperlink>
        </w:p>
        <w:p>
          <w:pPr>
            <w:pStyle w:val="TOC1"/>
            <w:tabs>
              <w:tab w:val="clear" w:pos="9360"/>
              <w:tab w:val="right" w:pos="9359" w:leader="dot"/>
            </w:tabs>
            <w:rPr/>
          </w:pPr>
          <w:hyperlink w:anchor="__RefHeading___Toc2816_705121531">
            <w:r>
              <w:rPr>
                <w:rStyle w:val="IndexLink"/>
              </w:rPr>
              <w:t>10. Work Breakdown Structure</w:t>
              <w:tab/>
              <w:t>27</w:t>
            </w:r>
          </w:hyperlink>
        </w:p>
        <w:p>
          <w:pPr>
            <w:pStyle w:val="TOC1"/>
            <w:tabs>
              <w:tab w:val="clear" w:pos="9360"/>
              <w:tab w:val="right" w:pos="9359" w:leader="dot"/>
            </w:tabs>
            <w:rPr/>
          </w:pPr>
          <w:hyperlink w:anchor="__RefHeading___Toc2818_705121531">
            <w:r>
              <w:rPr>
                <w:rStyle w:val="IndexLink"/>
              </w:rPr>
              <w:t>11. Risk Register</w:t>
              <w:tab/>
              <w:t>28</w:t>
            </w:r>
          </w:hyperlink>
        </w:p>
        <w:p>
          <w:pPr>
            <w:pStyle w:val="TOC1"/>
            <w:tabs>
              <w:tab w:val="clear" w:pos="9360"/>
              <w:tab w:val="right" w:pos="9359" w:leader="dot"/>
            </w:tabs>
            <w:rPr/>
          </w:pPr>
          <w:hyperlink w:anchor="__RefHeading___Toc2820_705121531">
            <w:r>
              <w:rPr>
                <w:rStyle w:val="IndexLink"/>
              </w:rPr>
              <w:t>12. Budget and Financial Model</w:t>
              <w:tab/>
              <w:t>29</w:t>
            </w:r>
          </w:hyperlink>
        </w:p>
        <w:p>
          <w:pPr>
            <w:pStyle w:val="TOC2"/>
            <w:tabs>
              <w:tab w:val="clear" w:pos="9077"/>
              <w:tab w:val="right" w:pos="9359" w:leader="dot"/>
            </w:tabs>
            <w:rPr/>
          </w:pPr>
          <w:hyperlink w:anchor="__RefHeading___Toc2822_705121531">
            <w:r>
              <w:rPr>
                <w:rStyle w:val="IndexLink"/>
              </w:rPr>
              <w:t>12.1 Cost Drivers</w:t>
              <w:tab/>
              <w:t>29</w:t>
            </w:r>
          </w:hyperlink>
        </w:p>
        <w:p>
          <w:pPr>
            <w:pStyle w:val="TOC2"/>
            <w:tabs>
              <w:tab w:val="clear" w:pos="9077"/>
              <w:tab w:val="right" w:pos="9359" w:leader="dot"/>
            </w:tabs>
            <w:rPr/>
          </w:pPr>
          <w:hyperlink w:anchor="__RefHeading___Toc2824_705121531">
            <w:r>
              <w:rPr>
                <w:rStyle w:val="IndexLink"/>
              </w:rPr>
              <w:t>12.2 Indicative Phased Budget</w:t>
              <w:tab/>
              <w:t>29</w:t>
            </w:r>
          </w:hyperlink>
        </w:p>
        <w:p>
          <w:pPr>
            <w:pStyle w:val="TOC2"/>
            <w:tabs>
              <w:tab w:val="clear" w:pos="9077"/>
              <w:tab w:val="right" w:pos="9359" w:leader="dot"/>
            </w:tabs>
            <w:rPr/>
          </w:pPr>
          <w:hyperlink w:anchor="__RefHeading___Toc2826_705121531">
            <w:r>
              <w:rPr>
                <w:rStyle w:val="IndexLink"/>
              </w:rPr>
              <w:t>12.3 Funding Strategy</w:t>
              <w:tab/>
              <w:t>29</w:t>
            </w:r>
          </w:hyperlink>
        </w:p>
        <w:p>
          <w:pPr>
            <w:pStyle w:val="TOC1"/>
            <w:tabs>
              <w:tab w:val="clear" w:pos="9360"/>
              <w:tab w:val="right" w:pos="9359" w:leader="dot"/>
            </w:tabs>
            <w:rPr/>
          </w:pPr>
          <w:hyperlink w:anchor="__RefHeading___Toc2828_705121531">
            <w:r>
              <w:rPr>
                <w:rStyle w:val="IndexLink"/>
              </w:rPr>
              <w:t>13. Financial Projections and Scenarios</w:t>
              <w:tab/>
              <w:t>31</w:t>
            </w:r>
          </w:hyperlink>
        </w:p>
        <w:p>
          <w:pPr>
            <w:pStyle w:val="TOC2"/>
            <w:tabs>
              <w:tab w:val="clear" w:pos="9077"/>
              <w:tab w:val="right" w:pos="9359" w:leader="dot"/>
            </w:tabs>
            <w:rPr/>
          </w:pPr>
          <w:hyperlink w:anchor="__RefHeading___Toc2830_705121531">
            <w:r>
              <w:rPr>
                <w:rStyle w:val="IndexLink"/>
              </w:rPr>
              <w:t>13.1 Revenue Build-Up Logic</w:t>
              <w:tab/>
              <w:t>31</w:t>
            </w:r>
          </w:hyperlink>
        </w:p>
        <w:p>
          <w:pPr>
            <w:pStyle w:val="TOC2"/>
            <w:tabs>
              <w:tab w:val="clear" w:pos="9077"/>
              <w:tab w:val="right" w:pos="9359" w:leader="dot"/>
            </w:tabs>
            <w:rPr/>
          </w:pPr>
          <w:hyperlink w:anchor="__RefHeading___Toc2832_705121531">
            <w:r>
              <w:rPr>
                <w:rStyle w:val="IndexLink"/>
              </w:rPr>
              <w:t>13.2 Illustrative Scenario</w:t>
              <w:tab/>
              <w:t>31</w:t>
            </w:r>
          </w:hyperlink>
        </w:p>
        <w:p>
          <w:pPr>
            <w:pStyle w:val="TOC2"/>
            <w:tabs>
              <w:tab w:val="clear" w:pos="9077"/>
              <w:tab w:val="right" w:pos="9359" w:leader="dot"/>
            </w:tabs>
            <w:rPr/>
          </w:pPr>
          <w:hyperlink w:anchor="__RefHeading___Toc2834_705121531">
            <w:r>
              <w:rPr>
                <w:rStyle w:val="IndexLink"/>
              </w:rPr>
              <w:t>13.3 Sensitivity and Break-Even Logic</w:t>
              <w:tab/>
              <w:t>31</w:t>
            </w:r>
          </w:hyperlink>
        </w:p>
        <w:p>
          <w:pPr>
            <w:pStyle w:val="TOC1"/>
            <w:tabs>
              <w:tab w:val="clear" w:pos="9360"/>
              <w:tab w:val="right" w:pos="9359" w:leader="dot"/>
            </w:tabs>
            <w:rPr/>
          </w:pPr>
          <w:hyperlink w:anchor="__RefHeading___Toc2836_705121531">
            <w:r>
              <w:rPr>
                <w:rStyle w:val="IndexLink"/>
              </w:rPr>
              <w:t>14. Stakeholder Management and Communications</w:t>
              <w:tab/>
              <w:t>32</w:t>
            </w:r>
          </w:hyperlink>
        </w:p>
        <w:p>
          <w:pPr>
            <w:pStyle w:val="TOC2"/>
            <w:tabs>
              <w:tab w:val="clear" w:pos="9077"/>
              <w:tab w:val="right" w:pos="9359" w:leader="dot"/>
            </w:tabs>
            <w:rPr/>
          </w:pPr>
          <w:hyperlink w:anchor="__RefHeading___Toc2838_705121531">
            <w:r>
              <w:rPr>
                <w:rStyle w:val="IndexLink"/>
              </w:rPr>
              <w:t>14.1 Stakeholder Map</w:t>
              <w:tab/>
              <w:t>32</w:t>
            </w:r>
          </w:hyperlink>
        </w:p>
        <w:p>
          <w:pPr>
            <w:pStyle w:val="TOC2"/>
            <w:tabs>
              <w:tab w:val="clear" w:pos="9077"/>
              <w:tab w:val="right" w:pos="9359" w:leader="dot"/>
            </w:tabs>
            <w:rPr/>
          </w:pPr>
          <w:hyperlink w:anchor="__RefHeading___Toc2840_705121531">
            <w:r>
              <w:rPr>
                <w:rStyle w:val="IndexLink"/>
              </w:rPr>
              <w:t>14.2 Communication Principles</w:t>
              <w:tab/>
              <w:t>32</w:t>
            </w:r>
          </w:hyperlink>
        </w:p>
        <w:p>
          <w:pPr>
            <w:pStyle w:val="TOC1"/>
            <w:tabs>
              <w:tab w:val="clear" w:pos="9360"/>
              <w:tab w:val="right" w:pos="9359" w:leader="dot"/>
            </w:tabs>
            <w:rPr/>
          </w:pPr>
          <w:hyperlink w:anchor="__RefHeading___Toc2842_705121531">
            <w:r>
              <w:rPr>
                <w:rStyle w:val="IndexLink"/>
              </w:rPr>
              <w:t>15. Quality Management and Testing Strategy</w:t>
              <w:tab/>
              <w:t>33</w:t>
            </w:r>
          </w:hyperlink>
        </w:p>
        <w:p>
          <w:pPr>
            <w:pStyle w:val="TOC2"/>
            <w:tabs>
              <w:tab w:val="clear" w:pos="9077"/>
              <w:tab w:val="right" w:pos="9359" w:leader="dot"/>
            </w:tabs>
            <w:rPr/>
          </w:pPr>
          <w:hyperlink w:anchor="__RefHeading___Toc2844_705121531">
            <w:r>
              <w:rPr>
                <w:rStyle w:val="IndexLink"/>
              </w:rPr>
              <w:t>15.1 Testing Layers</w:t>
              <w:tab/>
              <w:t>33</w:t>
            </w:r>
          </w:hyperlink>
        </w:p>
        <w:p>
          <w:pPr>
            <w:pStyle w:val="TOC2"/>
            <w:tabs>
              <w:tab w:val="clear" w:pos="9077"/>
              <w:tab w:val="right" w:pos="9359" w:leader="dot"/>
            </w:tabs>
            <w:rPr/>
          </w:pPr>
          <w:hyperlink w:anchor="__RefHeading___Toc2846_705121531">
            <w:r>
              <w:rPr>
                <w:rStyle w:val="IndexLink"/>
              </w:rPr>
              <w:t>15.2 Definition of Done</w:t>
              <w:tab/>
              <w:t>33</w:t>
            </w:r>
          </w:hyperlink>
        </w:p>
        <w:p>
          <w:pPr>
            <w:pStyle w:val="TOC2"/>
            <w:tabs>
              <w:tab w:val="clear" w:pos="9077"/>
              <w:tab w:val="right" w:pos="9359" w:leader="dot"/>
            </w:tabs>
            <w:rPr/>
          </w:pPr>
          <w:hyperlink w:anchor="__RefHeading___Toc2848_705121531">
            <w:r>
              <w:rPr>
                <w:rStyle w:val="IndexLink"/>
              </w:rPr>
              <w:t>15.3 Continuous Improvement</w:t>
              <w:tab/>
              <w:t>33</w:t>
            </w:r>
          </w:hyperlink>
        </w:p>
        <w:p>
          <w:pPr>
            <w:pStyle w:val="TOC1"/>
            <w:tabs>
              <w:tab w:val="clear" w:pos="9360"/>
              <w:tab w:val="right" w:pos="9359" w:leader="dot"/>
            </w:tabs>
            <w:rPr/>
          </w:pPr>
          <w:hyperlink w:anchor="__RefHeading___Toc2850_705121531">
            <w:r>
              <w:rPr>
                <w:rStyle w:val="IndexLink"/>
              </w:rPr>
              <w:t>16. Go-to-Market Strategy</w:t>
              <w:tab/>
              <w:t>34</w:t>
            </w:r>
          </w:hyperlink>
        </w:p>
        <w:p>
          <w:pPr>
            <w:pStyle w:val="TOC2"/>
            <w:tabs>
              <w:tab w:val="clear" w:pos="9077"/>
              <w:tab w:val="right" w:pos="9359" w:leader="dot"/>
            </w:tabs>
            <w:rPr/>
          </w:pPr>
          <w:hyperlink w:anchor="__RefHeading___Toc2852_705121531">
            <w:r>
              <w:rPr>
                <w:rStyle w:val="IndexLink"/>
              </w:rPr>
              <w:t>16.1 The University Wedge</w:t>
              <w:tab/>
              <w:t>34</w:t>
            </w:r>
          </w:hyperlink>
        </w:p>
        <w:p>
          <w:pPr>
            <w:pStyle w:val="TOC2"/>
            <w:tabs>
              <w:tab w:val="clear" w:pos="9077"/>
              <w:tab w:val="right" w:pos="9359" w:leader="dot"/>
            </w:tabs>
            <w:rPr/>
          </w:pPr>
          <w:hyperlink w:anchor="__RefHeading___Toc2854_705121531">
            <w:r>
              <w:rPr>
                <w:rStyle w:val="IndexLink"/>
              </w:rPr>
              <w:t>16.2 Expansion Path</w:t>
              <w:tab/>
              <w:t>34</w:t>
            </w:r>
          </w:hyperlink>
        </w:p>
        <w:p>
          <w:pPr>
            <w:pStyle w:val="TOC2"/>
            <w:tabs>
              <w:tab w:val="clear" w:pos="9077"/>
              <w:tab w:val="right" w:pos="9359" w:leader="dot"/>
            </w:tabs>
            <w:rPr/>
          </w:pPr>
          <w:hyperlink w:anchor="__RefHeading___Toc2856_705121531">
            <w:r>
              <w:rPr>
                <w:rStyle w:val="IndexLink"/>
              </w:rPr>
              <w:t>16.3 Growth Engine and Positioning</w:t>
              <w:tab/>
              <w:t>34</w:t>
            </w:r>
          </w:hyperlink>
        </w:p>
        <w:p>
          <w:pPr>
            <w:pStyle w:val="TOC1"/>
            <w:tabs>
              <w:tab w:val="clear" w:pos="9360"/>
              <w:tab w:val="right" w:pos="9359" w:leader="dot"/>
            </w:tabs>
            <w:rPr/>
          </w:pPr>
          <w:hyperlink w:anchor="__RefHeading___Toc2858_705121531">
            <w:r>
              <w:rPr>
                <w:rStyle w:val="IndexLink"/>
              </w:rPr>
              <w:t>17. Monetization and Unit Economics</w:t>
              <w:tab/>
              <w:t>36</w:t>
            </w:r>
          </w:hyperlink>
        </w:p>
        <w:p>
          <w:pPr>
            <w:pStyle w:val="TOC2"/>
            <w:tabs>
              <w:tab w:val="clear" w:pos="9077"/>
              <w:tab w:val="right" w:pos="9359" w:leader="dot"/>
            </w:tabs>
            <w:rPr/>
          </w:pPr>
          <w:hyperlink w:anchor="__RefHeading___Toc2860_705121531">
            <w:r>
              <w:rPr>
                <w:rStyle w:val="IndexLink"/>
              </w:rPr>
              <w:t>17.1 Revenue Lines</w:t>
              <w:tab/>
              <w:t>36</w:t>
            </w:r>
          </w:hyperlink>
        </w:p>
        <w:p>
          <w:pPr>
            <w:pStyle w:val="TOC2"/>
            <w:tabs>
              <w:tab w:val="clear" w:pos="9077"/>
              <w:tab w:val="right" w:pos="9359" w:leader="dot"/>
            </w:tabs>
            <w:rPr/>
          </w:pPr>
          <w:hyperlink w:anchor="__RefHeading___Toc2862_705121531">
            <w:r>
              <w:rPr>
                <w:rStyle w:val="IndexLink"/>
              </w:rPr>
              <w:t>17.2 Unit-Economics Logic</w:t>
              <w:tab/>
              <w:t>36</w:t>
            </w:r>
          </w:hyperlink>
        </w:p>
        <w:p>
          <w:pPr>
            <w:pStyle w:val="TOC1"/>
            <w:tabs>
              <w:tab w:val="clear" w:pos="9360"/>
              <w:tab w:val="right" w:pos="9359" w:leader="dot"/>
            </w:tabs>
            <w:rPr/>
          </w:pPr>
          <w:hyperlink w:anchor="__RefHeading___Toc2864_705121531">
            <w:r>
              <w:rPr>
                <w:rStyle w:val="IndexLink"/>
              </w:rPr>
              <w:t>18. Key Performance Indicators and Success Metrics</w:t>
              <w:tab/>
              <w:t>37</w:t>
            </w:r>
          </w:hyperlink>
        </w:p>
        <w:p>
          <w:pPr>
            <w:pStyle w:val="TOC1"/>
            <w:tabs>
              <w:tab w:val="clear" w:pos="9360"/>
              <w:tab w:val="right" w:pos="9359" w:leader="dot"/>
            </w:tabs>
            <w:rPr/>
          </w:pPr>
          <w:hyperlink w:anchor="__RefHeading___Toc2866_705121531">
            <w:r>
              <w:rPr>
                <w:rStyle w:val="IndexLink"/>
              </w:rPr>
              <w:t>19. Conclusion</w:t>
              <w:tab/>
              <w:t>38</w:t>
            </w:r>
          </w:hyperlink>
        </w:p>
        <w:p>
          <w:pPr>
            <w:pStyle w:val="TOC1"/>
            <w:tabs>
              <w:tab w:val="clear" w:pos="9360"/>
              <w:tab w:val="right" w:pos="9359" w:leader="dot"/>
            </w:tabs>
            <w:rPr/>
          </w:pPr>
          <w:hyperlink w:anchor="__RefHeading___Toc2868_705121531">
            <w:r>
              <w:rPr>
                <w:rStyle w:val="IndexLink"/>
              </w:rPr>
              <w:t>Appendix A. Glossary of Key Terms</w:t>
              <w:tab/>
              <w:t>38</w:t>
            </w:r>
          </w:hyperlink>
        </w:p>
        <w:p>
          <w:pPr>
            <w:pStyle w:val="TOC1"/>
            <w:tabs>
              <w:tab w:val="clear" w:pos="9360"/>
              <w:tab w:val="right" w:pos="9359" w:leader="dot"/>
            </w:tabs>
            <w:rPr/>
          </w:pPr>
          <w:hyperlink w:anchor="__RefHeading___Toc2870_705121531">
            <w:r>
              <w:rPr>
                <w:rStyle w:val="IndexLink"/>
              </w:rPr>
              <w:t>Appendix B. Key Planning Assumptions</w:t>
              <w:tab/>
              <w:t>40</w:t>
            </w:r>
          </w:hyperlink>
        </w:p>
        <w:p>
          <w:pPr>
            <w:pStyle w:val="TOC1"/>
            <w:tabs>
              <w:tab w:val="clear" w:pos="9360"/>
              <w:tab w:val="right" w:pos="9359" w:leader="dot"/>
            </w:tabs>
            <w:rPr/>
          </w:pPr>
          <w:hyperlink w:anchor="__RefHeading___Toc2872_705121531">
            <w:r>
              <w:rPr>
                <w:rStyle w:val="IndexLink"/>
              </w:rPr>
              <w:t>Appendix C. Summary RACI</w:t>
              <w:tab/>
              <w:t>41</w:t>
            </w:r>
          </w:hyperlink>
          <w:r>
            <w:rPr>
              <w:rStyle w:val="IndexLink"/>
            </w:rPr>
            <w:fldChar w:fldCharType="end"/>
          </w:r>
        </w:p>
      </w:sdtContent>
    </w:sdt>
    <w:p>
      <w:pPr>
        <w:pStyle w:val="Normal"/>
        <w:rPr/>
      </w:pPr>
      <w:r>
        <w:rPr/>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Heading1"/>
        <w:rPr/>
      </w:pPr>
      <w:bookmarkStart w:id="0" w:name="__RefHeading___Toc2710_705121531"/>
      <w:bookmarkEnd w:id="0"/>
      <w:r>
        <w:rPr/>
        <w:t>Executive Summary</w:t>
      </w:r>
    </w:p>
    <w:p>
      <w:pPr>
        <w:pStyle w:val="Normal"/>
        <w:spacing w:lineRule="auto" w:line="266" w:before="0" w:after="130"/>
        <w:jc w:val="both"/>
        <w:rPr/>
      </w:pPr>
      <w:r>
        <w:rPr>
          <w:rFonts w:eastAsia="Georgia" w:cs="Georgia"/>
          <w:b/>
          <w:bCs/>
          <w:i w:val="false"/>
          <w:iCs w:val="false"/>
          <w:color w:val="16242E"/>
          <w:sz w:val="21"/>
          <w:szCs w:val="21"/>
        </w:rPr>
        <w:t>Flock</w:t>
      </w:r>
      <w:r>
        <w:rPr>
          <w:rFonts w:eastAsia="Georgia" w:cs="Georgia"/>
          <w:b w:val="false"/>
          <w:bCs w:val="false"/>
          <w:i w:val="false"/>
          <w:iCs w:val="false"/>
          <w:color w:val="16242E"/>
          <w:sz w:val="21"/>
          <w:szCs w:val="21"/>
        </w:rPr>
        <w:t xml:space="preserve"> is a decentralized, blockchain-powered exchange that unifies—on a single, compliance-first platform—the tokenized trading of many investment vehicles: public equities and funds, fixed income, real estate, commodities, private placements, art, and collectibles, alongside a full complement of market types including prediction and event markets, derivatives, perpetual swaps, and parametric insurance. Around this exchange Flock layers artificial-intelligence advising, social and “copy” trading, a freelance-advisory marketplace, and a gamified financial-literacy progression that gates complexity behind demonstrated competence rather than wealth.</w:t>
      </w:r>
    </w:p>
    <w:p>
      <w:pPr>
        <w:pStyle w:val="Normal"/>
        <w:spacing w:lineRule="auto" w:line="266" w:before="0" w:after="130"/>
        <w:jc w:val="both"/>
        <w:rPr/>
      </w:pPr>
      <w:r>
        <w:rPr>
          <w:rFonts w:eastAsia="Georgia" w:cs="Georgia"/>
          <w:b w:val="false"/>
          <w:bCs w:val="false"/>
          <w:i w:val="false"/>
          <w:iCs w:val="false"/>
          <w:color w:val="16242E"/>
          <w:sz w:val="21"/>
          <w:szCs w:val="21"/>
        </w:rPr>
        <w:t xml:space="preserve">This Project Management Plan translates that vision into an executable program of work. It defines the product architecture, the market and asset taxonomy, the technology stack, a staged three-phase delivery roadmap with falsifiable go/no-go gates, the organization and hiring plan, a phased budget and financial model, a comprehensive risk register, the regulatory and compliance plan, the go-to-market strategy anchored in the University of Arkansas innovation ecosystem, and the metrics by which success will be judged. It is written to serve simultaneously as an </w:t>
      </w:r>
      <w:r>
        <w:rPr>
          <w:rFonts w:eastAsia="Georgia" w:cs="Georgia"/>
          <w:b/>
          <w:bCs/>
          <w:i w:val="false"/>
          <w:iCs w:val="false"/>
          <w:color w:val="16242E"/>
          <w:sz w:val="21"/>
          <w:szCs w:val="21"/>
        </w:rPr>
        <w:t>investor-facing prospectus</w:t>
      </w:r>
      <w:r>
        <w:rPr>
          <w:rFonts w:eastAsia="Georgia" w:cs="Georgia"/>
          <w:b w:val="false"/>
          <w:bCs w:val="false"/>
          <w:i w:val="false"/>
          <w:iCs w:val="false"/>
          <w:color w:val="16242E"/>
          <w:sz w:val="21"/>
          <w:szCs w:val="21"/>
        </w:rPr>
        <w:t xml:space="preserve">, an </w:t>
      </w:r>
      <w:r>
        <w:rPr>
          <w:rFonts w:eastAsia="Georgia" w:cs="Georgia"/>
          <w:b/>
          <w:bCs/>
          <w:i w:val="false"/>
          <w:iCs w:val="false"/>
          <w:color w:val="16242E"/>
          <w:sz w:val="21"/>
          <w:szCs w:val="21"/>
        </w:rPr>
        <w:t>internal build blueprint</w:t>
      </w:r>
      <w:r>
        <w:rPr>
          <w:rFonts w:eastAsia="Georgia" w:cs="Georgia"/>
          <w:b w:val="false"/>
          <w:bCs w:val="false"/>
          <w:i w:val="false"/>
          <w:iCs w:val="false"/>
          <w:color w:val="16242E"/>
          <w:sz w:val="21"/>
          <w:szCs w:val="21"/>
        </w:rPr>
        <w:t xml:space="preserve">, and an </w:t>
      </w:r>
      <w:r>
        <w:rPr>
          <w:rFonts w:eastAsia="Georgia" w:cs="Georgia"/>
          <w:b/>
          <w:bCs/>
          <w:i w:val="false"/>
          <w:iCs w:val="false"/>
          <w:color w:val="16242E"/>
          <w:sz w:val="21"/>
          <w:szCs w:val="21"/>
        </w:rPr>
        <w:t>academic and competition submission</w:t>
      </w:r>
      <w:r>
        <w:rPr>
          <w:rFonts w:eastAsia="Georgia" w:cs="Georgia"/>
          <w:b w:val="false"/>
          <w:bCs w:val="false"/>
          <w:i w:val="false"/>
          <w:iCs w:val="false"/>
          <w:color w:val="16242E"/>
          <w:sz w:val="21"/>
          <w:szCs w:val="21"/>
        </w:rPr>
        <w:t>.</w:t>
      </w:r>
    </w:p>
    <w:p>
      <w:pPr>
        <w:pStyle w:val="Normal"/>
        <w:spacing w:before="0" w:after="40"/>
        <w:rPr/>
      </w:pPr>
      <w:r>
        <w:rPr/>
      </w:r>
    </w:p>
    <w:tbl>
      <w:tblPr>
        <w:tblW w:w="9360" w:type="dxa"/>
        <w:jc w:val="left"/>
        <w:tblInd w:w="0" w:type="dxa"/>
        <w:tblLayout w:type="fixed"/>
        <w:tblCellMar>
          <w:top w:w="120" w:type="dxa"/>
          <w:left w:w="110" w:type="dxa"/>
          <w:bottom w:w="120" w:type="dxa"/>
          <w:right w:w="110" w:type="dxa"/>
        </w:tblCellMar>
      </w:tblPr>
      <w:tblGrid>
        <w:gridCol w:w="3120"/>
        <w:gridCol w:w="3120"/>
        <w:gridCol w:w="3120"/>
      </w:tblGrid>
      <w:tr>
        <w:trPr/>
        <w:tc>
          <w:tcPr>
            <w:tcW w:w="3120" w:type="dxa"/>
            <w:tcBorders>
              <w:top w:val="single" w:sz="4" w:space="0" w:color="FFFFFF"/>
              <w:left w:val="single" w:sz="4" w:space="0" w:color="FFFFFF"/>
              <w:bottom w:val="single" w:sz="4" w:space="0" w:color="FFFFFF"/>
              <w:right w:val="single" w:sz="4" w:space="0" w:color="FFFFFF"/>
            </w:tcBorders>
            <w:shd w:fill="DCF0F2" w:val="clear"/>
            <w:vAlign w:val="center"/>
          </w:tcPr>
          <w:p>
            <w:pPr>
              <w:pStyle w:val="Normal"/>
              <w:spacing w:before="0" w:after="30"/>
              <w:jc w:val="center"/>
              <w:rPr/>
            </w:pPr>
            <w:r>
              <w:rPr>
                <w:rFonts w:eastAsia="Arial" w:cs="Arial" w:ascii="Arial" w:hAnsi="Arial"/>
                <w:b/>
                <w:bCs/>
                <w:color w:val="0B3D6B"/>
                <w:sz w:val="36"/>
                <w:szCs w:val="36"/>
              </w:rPr>
              <w:t>$18.6B</w:t>
            </w:r>
          </w:p>
          <w:p>
            <w:pPr>
              <w:pStyle w:val="Normal"/>
              <w:spacing w:before="0" w:after="0"/>
              <w:jc w:val="center"/>
              <w:rPr/>
            </w:pPr>
            <w:r>
              <w:rPr>
                <w:rFonts w:eastAsia="Arial" w:cs="Arial" w:ascii="Arial" w:hAnsi="Arial"/>
                <w:color w:val="44505A"/>
                <w:sz w:val="15"/>
                <w:szCs w:val="15"/>
              </w:rPr>
              <w:t>On-chain real-world assets, late 2025</w:t>
            </w:r>
          </w:p>
        </w:tc>
        <w:tc>
          <w:tcPr>
            <w:tcW w:w="3120" w:type="dxa"/>
            <w:tcBorders>
              <w:top w:val="single" w:sz="4" w:space="0" w:color="FFFFFF"/>
              <w:left w:val="single" w:sz="4" w:space="0" w:color="FFFFFF"/>
              <w:bottom w:val="single" w:sz="4" w:space="0" w:color="FFFFFF"/>
              <w:right w:val="single" w:sz="4" w:space="0" w:color="FFFFFF"/>
            </w:tcBorders>
            <w:shd w:fill="E3EEF7" w:val="clear"/>
            <w:vAlign w:val="center"/>
          </w:tcPr>
          <w:p>
            <w:pPr>
              <w:pStyle w:val="Normal"/>
              <w:spacing w:before="0" w:after="30"/>
              <w:jc w:val="center"/>
              <w:rPr/>
            </w:pPr>
            <w:r>
              <w:rPr>
                <w:rFonts w:eastAsia="Arial" w:cs="Arial" w:ascii="Arial" w:hAnsi="Arial"/>
                <w:b/>
                <w:bCs/>
                <w:color w:val="0B3D6B"/>
                <w:sz w:val="36"/>
                <w:szCs w:val="36"/>
              </w:rPr>
              <w:t>3 Tiers</w:t>
            </w:r>
          </w:p>
          <w:p>
            <w:pPr>
              <w:pStyle w:val="Normal"/>
              <w:spacing w:before="0" w:after="0"/>
              <w:jc w:val="center"/>
              <w:rPr/>
            </w:pPr>
            <w:r>
              <w:rPr>
                <w:rFonts w:eastAsia="Arial" w:cs="Arial" w:ascii="Arial" w:hAnsi="Arial"/>
                <w:color w:val="44505A"/>
                <w:sz w:val="15"/>
                <w:szCs w:val="15"/>
              </w:rPr>
              <w:t>Competence-gated product model</w:t>
            </w:r>
          </w:p>
        </w:tc>
        <w:tc>
          <w:tcPr>
            <w:tcW w:w="3120" w:type="dxa"/>
            <w:tcBorders>
              <w:top w:val="single" w:sz="4" w:space="0" w:color="FFFFFF"/>
              <w:left w:val="single" w:sz="4" w:space="0" w:color="FFFFFF"/>
              <w:bottom w:val="single" w:sz="4" w:space="0" w:color="FFFFFF"/>
              <w:right w:val="single" w:sz="4" w:space="0" w:color="FFFFFF"/>
            </w:tcBorders>
            <w:shd w:fill="E4F4EC" w:val="clear"/>
            <w:vAlign w:val="center"/>
          </w:tcPr>
          <w:p>
            <w:pPr>
              <w:pStyle w:val="Normal"/>
              <w:spacing w:before="0" w:after="30"/>
              <w:jc w:val="center"/>
              <w:rPr/>
            </w:pPr>
            <w:r>
              <w:rPr>
                <w:rFonts w:eastAsia="Arial" w:cs="Arial" w:ascii="Arial" w:hAnsi="Arial"/>
                <w:b/>
                <w:bCs/>
                <w:color w:val="0B3D6B"/>
                <w:sz w:val="36"/>
                <w:szCs w:val="36"/>
              </w:rPr>
              <w:t>36+ mo.</w:t>
            </w:r>
          </w:p>
          <w:p>
            <w:pPr>
              <w:pStyle w:val="Normal"/>
              <w:spacing w:before="0" w:after="0"/>
              <w:jc w:val="center"/>
              <w:rPr/>
            </w:pPr>
            <w:r>
              <w:rPr>
                <w:rFonts w:eastAsia="Arial" w:cs="Arial" w:ascii="Arial" w:hAnsi="Arial"/>
                <w:color w:val="44505A"/>
                <w:sz w:val="15"/>
                <w:szCs w:val="15"/>
              </w:rPr>
              <w:t>Staged roadmap to full platform</w:t>
            </w:r>
          </w:p>
        </w:tc>
      </w:tr>
    </w:tbl>
    <w:p>
      <w:pPr>
        <w:pStyle w:val="Normal"/>
        <w:spacing w:before="0" w:after="120"/>
        <w:rPr/>
      </w:pPr>
      <w:r>
        <w:rPr/>
      </w:r>
    </w:p>
    <w:p>
      <w:pPr>
        <w:pStyle w:val="Normal"/>
        <w:spacing w:lineRule="auto" w:line="266" w:before="0" w:after="130"/>
        <w:jc w:val="both"/>
        <w:rPr/>
      </w:pPr>
      <w:r>
        <w:rPr>
          <w:rFonts w:eastAsia="Georgia" w:cs="Georgia"/>
          <w:b w:val="false"/>
          <w:bCs w:val="false"/>
          <w:i w:val="false"/>
          <w:iCs w:val="false"/>
          <w:color w:val="16242E"/>
          <w:sz w:val="21"/>
          <w:szCs w:val="21"/>
        </w:rPr>
        <w:t xml:space="preserve">The strategic premise, established by an accompanying feasibility study, is that </w:t>
      </w:r>
      <w:r>
        <w:rPr>
          <w:rFonts w:eastAsia="Georgia" w:cs="Georgia"/>
          <w:b/>
          <w:bCs/>
          <w:i w:val="false"/>
          <w:iCs w:val="false"/>
          <w:color w:val="16242E"/>
          <w:sz w:val="21"/>
          <w:szCs w:val="21"/>
        </w:rPr>
        <w:t>every capability Flock requires is technically demonstrated and at least partially commercialized today</w:t>
      </w:r>
      <w:r>
        <w:rPr>
          <w:rFonts w:eastAsia="Georgia" w:cs="Georgia"/>
          <w:b w:val="false"/>
          <w:bCs w:val="false"/>
          <w:i w:val="false"/>
          <w:iCs w:val="false"/>
          <w:color w:val="16242E"/>
          <w:sz w:val="21"/>
          <w:szCs w:val="21"/>
        </w:rPr>
        <w:t xml:space="preserve">; the binding constraints are regulatory architecture and liquidity, not technology. Flock’s plan is therefore deliberately </w:t>
      </w:r>
      <w:r>
        <w:rPr>
          <w:rFonts w:eastAsia="Georgia" w:cs="Georgia"/>
          <w:b/>
          <w:bCs/>
          <w:i w:val="false"/>
          <w:iCs w:val="false"/>
          <w:color w:val="16242E"/>
          <w:sz w:val="21"/>
          <w:szCs w:val="21"/>
        </w:rPr>
        <w:t>regulated-first</w:t>
      </w:r>
      <w:r>
        <w:rPr>
          <w:rFonts w:eastAsia="Georgia" w:cs="Georgia"/>
          <w:b w:val="false"/>
          <w:bCs w:val="false"/>
          <w:i w:val="false"/>
          <w:iCs w:val="false"/>
          <w:color w:val="16242E"/>
          <w:sz w:val="21"/>
          <w:szCs w:val="21"/>
        </w:rPr>
        <w:t xml:space="preserve"> and staged: it earns the right to add each more-complex capability by first proving compliant operation and real liquidity in the simpler layers beneath it.</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C9882B"/>
              <w:left w:val="single" w:sz="22" w:space="0" w:color="C9882B"/>
              <w:bottom w:val="single" w:sz="2" w:space="0" w:color="C9882B"/>
              <w:right w:val="single" w:sz="2" w:space="0" w:color="C9882B"/>
            </w:tcBorders>
            <w:shd w:fill="F5ECD9" w:val="clear"/>
          </w:tcPr>
          <w:p>
            <w:pPr>
              <w:pStyle w:val="Normal"/>
              <w:spacing w:before="0" w:after="70"/>
              <w:rPr/>
            </w:pPr>
            <w:r>
              <w:rPr>
                <w:rFonts w:eastAsia="Arial" w:cs="Arial" w:ascii="Arial" w:hAnsi="Arial"/>
                <w:b/>
                <w:bCs/>
                <w:color w:val="8A5E18"/>
                <w:sz w:val="21"/>
                <w:szCs w:val="21"/>
              </w:rPr>
              <w:t>The Flock Thesis in One Sentence</w:t>
            </w:r>
          </w:p>
          <w:p>
            <w:pPr>
              <w:pStyle w:val="Normal"/>
              <w:spacing w:lineRule="auto" w:line="261" w:before="0" w:after="0"/>
              <w:rPr/>
            </w:pPr>
            <w:r>
              <w:rPr>
                <w:rFonts w:eastAsia="Georgia" w:cs="Georgia"/>
                <w:color w:val="16242E"/>
                <w:sz w:val="20"/>
                <w:szCs w:val="20"/>
              </w:rPr>
              <w:t>Any asset can be made liquid, ownable, and exchangeable—and participation can be broadened responsibly—if, and only if, the platform is built on disciplined constraints: compliance embedded in the token, liquidity bootstrapped without dangerous concentration, risk disclosed honestly, and speculation gated behind demonstrated competence.</w:t>
            </w:r>
          </w:p>
        </w:tc>
      </w:tr>
    </w:tbl>
    <w:p>
      <w:pPr>
        <w:pStyle w:val="Normal"/>
        <w:spacing w:before="0" w:after="80"/>
        <w:rPr/>
      </w:pPr>
      <w:r>
        <w:rPr/>
      </w:r>
    </w:p>
    <w:p>
      <w:pPr>
        <w:pStyle w:val="Heading2"/>
        <w:rPr/>
      </w:pPr>
      <w:bookmarkStart w:id="1" w:name="__RefHeading___Toc2712_705121531"/>
      <w:bookmarkEnd w:id="1"/>
      <w:r>
        <w:rPr/>
        <w:t>What This Plan Commits To</w:t>
      </w:r>
    </w:p>
    <w:p>
      <w:pPr>
        <w:pStyle w:val="ListParagraph"/>
        <w:numPr>
          <w:ilvl w:val="0"/>
          <w:numId w:val="6"/>
        </w:numPr>
        <w:spacing w:lineRule="auto" w:line="259" w:before="0" w:after="76"/>
        <w:jc w:val="both"/>
        <w:rPr/>
      </w:pPr>
      <w:r>
        <w:rPr>
          <w:rFonts w:eastAsia="Georgia" w:cs="Georgia"/>
          <w:b/>
          <w:bCs/>
          <w:i w:val="false"/>
          <w:iCs w:val="false"/>
          <w:color w:val="16242E"/>
          <w:sz w:val="21"/>
          <w:szCs w:val="21"/>
        </w:rPr>
        <w:t xml:space="preserve">A compliant foundation first. </w:t>
      </w:r>
      <w:r>
        <w:rPr>
          <w:rFonts w:eastAsia="Georgia" w:cs="Georgia"/>
          <w:b w:val="false"/>
          <w:bCs w:val="false"/>
          <w:i w:val="false"/>
          <w:iCs w:val="false"/>
          <w:color w:val="16242E"/>
          <w:sz w:val="21"/>
          <w:szCs w:val="21"/>
        </w:rPr>
        <w:t>Phase 1 launches tokenized Treasuries, money-market instruments, and regulated funds on a permissioned token standard, traded through a licensed venue, with a qualified custodian—before any speculative capability is added.</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A full market taxonomy, sequenced by risk. </w:t>
      </w:r>
      <w:r>
        <w:rPr>
          <w:rFonts w:eastAsia="Georgia" w:cs="Georgia"/>
          <w:b w:val="false"/>
          <w:bCs w:val="false"/>
          <w:i w:val="false"/>
          <w:iCs w:val="false"/>
          <w:color w:val="16242E"/>
          <w:sz w:val="21"/>
          <w:szCs w:val="21"/>
        </w:rPr>
        <w:t>Prediction markets, derivatives, perpetual swaps, and parametric insurance are first-class citizens of the platform, but they are introduced in Phase 2 and beyond, under regulated venue structures and behind competence gates.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Three genuine differentiators. </w:t>
      </w:r>
      <w:r>
        <w:rPr>
          <w:rFonts w:eastAsia="Georgia" w:cs="Georgia"/>
          <w:b w:val="false"/>
          <w:bCs w:val="false"/>
          <w:i w:val="false"/>
          <w:iCs w:val="false"/>
          <w:color w:val="16242E"/>
          <w:sz w:val="21"/>
          <w:szCs w:val="21"/>
        </w:rPr>
        <w:t>Hybrid physical-digital ownership, peer-to-peer securities lending with counterparty choice, and learning-anchored gamification—each implemented under the specific conditions that make it defensible rather than hazardous.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Falsifiable gates. </w:t>
      </w:r>
      <w:r>
        <w:rPr>
          <w:rFonts w:eastAsia="Georgia" w:cs="Georgia"/>
          <w:b w:val="false"/>
          <w:bCs w:val="false"/>
          <w:i w:val="false"/>
          <w:iCs w:val="false"/>
          <w:color w:val="16242E"/>
          <w:sz w:val="21"/>
          <w:szCs w:val="21"/>
        </w:rPr>
        <w:t>Each phase must clear an explicit go/no-go threshold before the next begins; failure to clear a gate triggers revision, not progression.</w:t>
      </w:r>
    </w:p>
    <w:p>
      <w:pPr>
        <w:pStyle w:val="Normal"/>
        <w:rPr/>
      </w:pPr>
      <w:r>
        <w:rPr/>
      </w:r>
      <w:r>
        <w:br w:type="page"/>
      </w:r>
    </w:p>
    <w:p>
      <w:pPr>
        <w:pStyle w:val="Heading1"/>
        <w:spacing w:before="0" w:after="190"/>
        <w:rPr/>
      </w:pPr>
      <w:bookmarkStart w:id="2" w:name="__RefHeading___Toc2714_705121531"/>
      <w:bookmarkEnd w:id="2"/>
      <w:r>
        <w:rPr/>
        <w:t>1. Project Charter and Vision</w:t>
      </w:r>
    </w:p>
    <w:p>
      <w:pPr>
        <w:pStyle w:val="Normal"/>
        <w:spacing w:lineRule="auto" w:line="266" w:before="0" w:after="130"/>
        <w:jc w:val="both"/>
        <w:rPr/>
      </w:pPr>
      <w:r>
        <w:rPr>
          <w:rFonts w:eastAsia="Georgia" w:cs="Georgia"/>
          <w:b w:val="false"/>
          <w:bCs w:val="false"/>
          <w:i w:val="false"/>
          <w:iCs w:val="false"/>
          <w:color w:val="16242E"/>
          <w:sz w:val="21"/>
          <w:szCs w:val="21"/>
        </w:rPr>
        <w:t>This section establishes the foundational “why” and “what” of the Flock program: the problem it addresses, the vision and mission, the measurable objectives, the scope boundaries, and the success criteria against which the program will be evaluated.</w:t>
      </w:r>
    </w:p>
    <w:p>
      <w:pPr>
        <w:pStyle w:val="Heading2"/>
        <w:rPr/>
      </w:pPr>
      <w:bookmarkStart w:id="3" w:name="__RefHeading___Toc2716_705121531"/>
      <w:bookmarkEnd w:id="3"/>
      <w:r>
        <w:rPr/>
        <w:t>1.1 The Problem</w:t>
      </w:r>
    </w:p>
    <w:p>
      <w:pPr>
        <w:pStyle w:val="Normal"/>
        <w:spacing w:lineRule="auto" w:line="266" w:before="0" w:after="130"/>
        <w:jc w:val="both"/>
        <w:rPr/>
      </w:pPr>
      <w:r>
        <w:rPr>
          <w:rFonts w:eastAsia="Georgia" w:cs="Georgia"/>
          <w:b w:val="false"/>
          <w:bCs w:val="false"/>
          <w:i w:val="false"/>
          <w:iCs w:val="false"/>
          <w:color w:val="16242E"/>
          <w:sz w:val="21"/>
          <w:szCs w:val="21"/>
        </w:rPr>
        <w:t>Retail investment access in 2026 is fragmented across incompatible silos. A typical investor maintains separate relationships for public equities (a brokerage), digital assets (a crypto exchange), retirement savings (a custodian), and—only if they meet accredited-investor wealth thresholds—alternative assets such as private equity, venture capital, real estate, farmland, and fine art (a scattering of specialized platforms that do not interoperate). The breadth of an investor’s opportunity set is determined less by their judgment or diligence than by the gatekeeping structure of incumbent finance. The friction is not merely inconvenient; it concentrates the wealth-building power of alternative assets among those who already hold wealth.</w:t>
      </w:r>
    </w:p>
    <w:p>
      <w:pPr>
        <w:pStyle w:val="Normal"/>
        <w:spacing w:lineRule="auto" w:line="266" w:before="0" w:after="130"/>
        <w:jc w:val="both"/>
        <w:rPr/>
      </w:pPr>
      <w:r>
        <w:rPr>
          <w:rFonts w:eastAsia="Georgia" w:cs="Georgia"/>
          <w:b w:val="false"/>
          <w:bCs w:val="false"/>
          <w:i w:val="false"/>
          <w:iCs w:val="false"/>
          <w:color w:val="16242E"/>
          <w:sz w:val="21"/>
          <w:szCs w:val="21"/>
        </w:rPr>
        <w:t>No single institution offers a unified, consumer-facing interface that spans the full spectrum of legal entity structures and investment vehicles, applies intelligent advice across them, and onboards newcomers responsibly. That absence is Flock’s opportunity—and, because the absence is explained by genuine regulatory and liquidity difficulty rather than by a lack of imagination, it is also the source of the program’s central risks.</w:t>
      </w:r>
    </w:p>
    <w:p>
      <w:pPr>
        <w:pStyle w:val="Heading2"/>
        <w:rPr/>
      </w:pPr>
      <w:bookmarkStart w:id="4" w:name="__RefHeading___Toc2718_705121531"/>
      <w:bookmarkEnd w:id="4"/>
      <w:r>
        <w:rPr/>
        <w:t>1.2 Vision and Mission</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FA7D6"/>
              <w:left w:val="single" w:sz="22" w:space="0" w:color="3FA7D6"/>
              <w:bottom w:val="single" w:sz="2" w:space="0" w:color="3FA7D6"/>
              <w:right w:val="single" w:sz="2" w:space="0" w:color="3FA7D6"/>
            </w:tcBorders>
            <w:shd w:fill="E3EEF7" w:val="clear"/>
          </w:tcPr>
          <w:p>
            <w:pPr>
              <w:pStyle w:val="Normal"/>
              <w:spacing w:before="0" w:after="70"/>
              <w:rPr/>
            </w:pPr>
            <w:r>
              <w:rPr>
                <w:rFonts w:eastAsia="Arial" w:cs="Arial" w:ascii="Arial" w:hAnsi="Arial"/>
                <w:b/>
                <w:bCs/>
                <w:color w:val="0B3D6B"/>
                <w:sz w:val="21"/>
                <w:szCs w:val="21"/>
              </w:rPr>
              <w:t>Vision</w:t>
            </w:r>
          </w:p>
          <w:p>
            <w:pPr>
              <w:pStyle w:val="Normal"/>
              <w:spacing w:lineRule="auto" w:line="261" w:before="0" w:after="0"/>
              <w:rPr/>
            </w:pPr>
            <w:r>
              <w:rPr>
                <w:rFonts w:eastAsia="Georgia" w:cs="Georgia"/>
                <w:color w:val="16242E"/>
                <w:sz w:val="20"/>
                <w:szCs w:val="20"/>
              </w:rPr>
              <w:t>A financial system in which any asset can be made liquid, ownable, and exchangeable by anyone competent to do so—where the barrier to sophisticated investing is demonstrated understanding, not inherited wealth.</w:t>
            </w:r>
          </w:p>
        </w:tc>
      </w:tr>
    </w:tbl>
    <w:p>
      <w:pPr>
        <w:pStyle w:val="Normal"/>
        <w:spacing w:before="0" w:after="70"/>
        <w:rPr/>
      </w:pPr>
      <w:r>
        <w:rPr/>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5FC8C0"/>
              <w:left w:val="single" w:sz="22" w:space="0" w:color="5FC8C0"/>
              <w:bottom w:val="single" w:sz="2" w:space="0" w:color="5FC8C0"/>
              <w:right w:val="single" w:sz="2" w:space="0" w:color="5FC8C0"/>
            </w:tcBorders>
            <w:shd w:fill="DCF0F2" w:val="clear"/>
          </w:tcPr>
          <w:p>
            <w:pPr>
              <w:pStyle w:val="Normal"/>
              <w:spacing w:before="0" w:after="70"/>
              <w:rPr/>
            </w:pPr>
            <w:r>
              <w:rPr>
                <w:rFonts w:eastAsia="Arial" w:cs="Arial" w:ascii="Arial" w:hAnsi="Arial"/>
                <w:b/>
                <w:bCs/>
                <w:color w:val="0B3D6B"/>
                <w:sz w:val="21"/>
                <w:szCs w:val="21"/>
              </w:rPr>
              <w:t>Mission</w:t>
            </w:r>
          </w:p>
          <w:p>
            <w:pPr>
              <w:pStyle w:val="Normal"/>
              <w:spacing w:lineRule="auto" w:line="261" w:before="0" w:after="0"/>
              <w:rPr/>
            </w:pPr>
            <w:r>
              <w:rPr>
                <w:rFonts w:eastAsia="Georgia" w:cs="Georgia"/>
                <w:color w:val="16242E"/>
                <w:sz w:val="20"/>
                <w:szCs w:val="20"/>
              </w:rPr>
              <w:t>To build a decentralized, compliance-first exchange that unifies tokenized multi-asset investing, intelligent advice, social participation, and a full range of market types behind a gamified progression that broadens access responsibly and rewards patience over speculation.</w:t>
            </w:r>
          </w:p>
        </w:tc>
      </w:tr>
    </w:tbl>
    <w:p>
      <w:pPr>
        <w:pStyle w:val="Normal"/>
        <w:spacing w:before="0" w:after="90"/>
        <w:rPr/>
      </w:pPr>
      <w:r>
        <w:rPr/>
      </w:r>
    </w:p>
    <w:p>
      <w:pPr>
        <w:pStyle w:val="Heading2"/>
        <w:rPr/>
      </w:pPr>
      <w:bookmarkStart w:id="5" w:name="__RefHeading___Toc2720_705121531"/>
      <w:bookmarkEnd w:id="5"/>
      <w:r>
        <w:rPr/>
        <w:t>1.3 Strategic Objectives</w:t>
      </w:r>
    </w:p>
    <w:p>
      <w:pPr>
        <w:pStyle w:val="Normal"/>
        <w:spacing w:lineRule="auto" w:line="266" w:before="0" w:after="130"/>
        <w:jc w:val="both"/>
        <w:rPr/>
      </w:pPr>
      <w:r>
        <w:rPr>
          <w:rFonts w:eastAsia="Georgia" w:cs="Georgia"/>
          <w:color w:val="16242E"/>
          <w:sz w:val="21"/>
          <w:szCs w:val="21"/>
        </w:rPr>
        <w:t>The program pursues five strategic objectives, each with associated key results tracked throughout delivery (Section 13):</w:t>
      </w:r>
    </w:p>
    <w:p>
      <w:pPr>
        <w:pStyle w:val="ListParagraph"/>
        <w:numPr>
          <w:ilvl w:val="0"/>
          <w:numId w:val="7"/>
        </w:numPr>
        <w:spacing w:lineRule="auto" w:line="259" w:before="0" w:after="76"/>
        <w:jc w:val="both"/>
        <w:rPr/>
      </w:pPr>
      <w:r>
        <w:rPr>
          <w:rFonts w:eastAsia="Georgia" w:cs="Georgia"/>
          <w:b/>
          <w:bCs/>
          <w:i w:val="false"/>
          <w:iCs w:val="false"/>
          <w:color w:val="16242E"/>
          <w:sz w:val="21"/>
          <w:szCs w:val="21"/>
        </w:rPr>
        <w:t xml:space="preserve">Establish a compliant tokenization core. </w:t>
      </w:r>
      <w:r>
        <w:rPr>
          <w:rFonts w:eastAsia="Georgia" w:cs="Georgia"/>
          <w:b w:val="false"/>
          <w:bCs w:val="false"/>
          <w:i w:val="false"/>
          <w:iCs w:val="false"/>
          <w:color w:val="16242E"/>
          <w:sz w:val="21"/>
          <w:szCs w:val="21"/>
        </w:rPr>
        <w:t>Stand up a licensed, custodied venue trading tokenized regulated assets in at least one jurisdiction.</w:t>
      </w:r>
    </w:p>
    <w:p>
      <w:pPr>
        <w:pStyle w:val="ListParagraph"/>
        <w:numPr>
          <w:ilvl w:val="0"/>
          <w:numId w:val="2"/>
        </w:numPr>
        <w:spacing w:lineRule="auto" w:line="259" w:before="0" w:after="76"/>
        <w:jc w:val="both"/>
        <w:rPr/>
      </w:pPr>
      <w:r>
        <w:rPr>
          <w:rFonts w:eastAsia="Georgia" w:cs="Georgia"/>
          <w:b/>
          <w:bCs/>
          <w:i w:val="false"/>
          <w:iCs w:val="false"/>
          <w:color w:val="16242E"/>
          <w:sz w:val="21"/>
          <w:szCs w:val="21"/>
        </w:rPr>
        <w:t xml:space="preserve">Build genuine multi-asset breadth. </w:t>
      </w:r>
      <w:r>
        <w:rPr>
          <w:rFonts w:eastAsia="Georgia" w:cs="Georgia"/>
          <w:b w:val="false"/>
          <w:bCs w:val="false"/>
          <w:i w:val="false"/>
          <w:iCs w:val="false"/>
          <w:color w:val="16242E"/>
          <w:sz w:val="21"/>
          <w:szCs w:val="21"/>
        </w:rPr>
        <w:t>Progressively list assets across all target classes and market types, sequenced by risk and regulatory readiness.</w:t>
      </w:r>
    </w:p>
    <w:p>
      <w:pPr>
        <w:pStyle w:val="ListParagraph"/>
        <w:numPr>
          <w:ilvl w:val="0"/>
          <w:numId w:val="2"/>
        </w:numPr>
        <w:spacing w:lineRule="auto" w:line="259" w:before="0" w:after="76"/>
        <w:jc w:val="both"/>
        <w:rPr/>
      </w:pPr>
      <w:r>
        <w:rPr>
          <w:rFonts w:eastAsia="Georgia" w:cs="Georgia"/>
          <w:b/>
          <w:bCs/>
          <w:i w:val="false"/>
          <w:iCs w:val="false"/>
          <w:color w:val="16242E"/>
          <w:sz w:val="21"/>
          <w:szCs w:val="21"/>
        </w:rPr>
        <w:t xml:space="preserve">Deliver intelligent, transparent advice. </w:t>
      </w:r>
      <w:r>
        <w:rPr>
          <w:rFonts w:eastAsia="Georgia" w:cs="Georgia"/>
          <w:b w:val="false"/>
          <w:bCs w:val="false"/>
          <w:i w:val="false"/>
          <w:iCs w:val="false"/>
          <w:color w:val="16242E"/>
          <w:sz w:val="21"/>
          <w:szCs w:val="21"/>
        </w:rPr>
        <w:t>Ship robo-advisory and social-trading features that demonstrably improve diversification and disclose risk in standardized terms.</w:t>
      </w:r>
    </w:p>
    <w:p>
      <w:pPr>
        <w:pStyle w:val="ListParagraph"/>
        <w:numPr>
          <w:ilvl w:val="0"/>
          <w:numId w:val="2"/>
        </w:numPr>
        <w:spacing w:lineRule="auto" w:line="259" w:before="0" w:after="76"/>
        <w:jc w:val="both"/>
        <w:rPr/>
      </w:pPr>
      <w:r>
        <w:rPr>
          <w:rFonts w:eastAsia="Georgia" w:cs="Georgia"/>
          <w:b/>
          <w:bCs/>
          <w:i w:val="false"/>
          <w:iCs w:val="false"/>
          <w:color w:val="16242E"/>
          <w:sz w:val="21"/>
          <w:szCs w:val="21"/>
        </w:rPr>
        <w:t xml:space="preserve">Broaden participation responsibly. </w:t>
      </w:r>
      <w:r>
        <w:rPr>
          <w:rFonts w:eastAsia="Georgia" w:cs="Georgia"/>
          <w:b w:val="false"/>
          <w:bCs w:val="false"/>
          <w:i w:val="false"/>
          <w:iCs w:val="false"/>
          <w:color w:val="16242E"/>
          <w:sz w:val="21"/>
          <w:szCs w:val="21"/>
        </w:rPr>
        <w:t>Operate a gamified literacy progression whose advancement is tied to learning and risk calibration, not trading volume.</w:t>
      </w:r>
    </w:p>
    <w:p>
      <w:pPr>
        <w:pStyle w:val="ListParagraph"/>
        <w:numPr>
          <w:ilvl w:val="0"/>
          <w:numId w:val="2"/>
        </w:numPr>
        <w:spacing w:lineRule="auto" w:line="259" w:before="0" w:after="76"/>
        <w:jc w:val="both"/>
        <w:rPr/>
      </w:pPr>
      <w:r>
        <w:rPr>
          <w:rFonts w:eastAsia="Georgia" w:cs="Georgia"/>
          <w:b/>
          <w:bCs/>
          <w:i w:val="false"/>
          <w:iCs w:val="false"/>
          <w:color w:val="16242E"/>
          <w:sz w:val="21"/>
          <w:szCs w:val="21"/>
        </w:rPr>
        <w:t xml:space="preserve">Achieve sustainable unit economics. </w:t>
      </w:r>
      <w:r>
        <w:rPr>
          <w:rFonts w:eastAsia="Georgia" w:cs="Georgia"/>
          <w:b w:val="false"/>
          <w:bCs w:val="false"/>
          <w:i w:val="false"/>
          <w:iCs w:val="false"/>
          <w:color w:val="16242E"/>
          <w:sz w:val="21"/>
          <w:szCs w:val="21"/>
        </w:rPr>
        <w:t>Reach a monetization model—sub-one-percent fees plus ancillary revenue—that covers compliance and operating cost at target scale.</w:t>
      </w:r>
    </w:p>
    <w:p>
      <w:pPr>
        <w:pStyle w:val="Heading2"/>
        <w:rPr/>
      </w:pPr>
      <w:bookmarkStart w:id="6" w:name="__RefHeading___Toc2722_705121531"/>
      <w:bookmarkEnd w:id="6"/>
      <w:r>
        <w:rPr/>
        <w:t>1.4 Scope</w:t>
      </w:r>
    </w:p>
    <w:p>
      <w:pPr>
        <w:pStyle w:val="Heading3"/>
        <w:rPr/>
      </w:pPr>
      <w:r>
        <w:rPr/>
        <w:t>1.4.1 In Scope</w:t>
      </w:r>
    </w:p>
    <w:p>
      <w:pPr>
        <w:pStyle w:val="ListParagraph"/>
        <w:numPr>
          <w:ilvl w:val="0"/>
          <w:numId w:val="1"/>
        </w:numPr>
        <w:spacing w:lineRule="auto" w:line="259" w:before="0" w:after="76"/>
        <w:jc w:val="both"/>
        <w:rPr/>
      </w:pPr>
      <w:r>
        <w:rPr>
          <w:rFonts w:eastAsia="Georgia" w:cs="Georgia"/>
          <w:color w:val="16242E"/>
          <w:sz w:val="21"/>
          <w:szCs w:val="21"/>
        </w:rPr>
        <w:t>A multi-tier web and mobile exchange application for tokenized assets across the defined asset classes and market types (Section 4).</w:t>
      </w:r>
    </w:p>
    <w:p>
      <w:pPr>
        <w:pStyle w:val="ListParagraph"/>
        <w:numPr>
          <w:ilvl w:val="0"/>
          <w:numId w:val="1"/>
        </w:numPr>
        <w:spacing w:lineRule="auto" w:line="259" w:before="0" w:after="76"/>
        <w:jc w:val="both"/>
        <w:rPr/>
      </w:pPr>
      <w:r>
        <w:rPr>
          <w:rFonts w:eastAsia="Georgia" w:cs="Georgia"/>
          <w:color w:val="16242E"/>
          <w:sz w:val="21"/>
          <w:szCs w:val="21"/>
        </w:rPr>
        <w:t>A compliance layer with on-chain identity, KYC/AML, jurisdiction-aware permissioning, and accredited-investor verification.</w:t>
      </w:r>
    </w:p>
    <w:p>
      <w:pPr>
        <w:pStyle w:val="ListParagraph"/>
        <w:numPr>
          <w:ilvl w:val="0"/>
          <w:numId w:val="1"/>
        </w:numPr>
        <w:spacing w:lineRule="auto" w:line="259" w:before="0" w:after="76"/>
        <w:jc w:val="both"/>
        <w:rPr/>
      </w:pPr>
      <w:r>
        <w:rPr>
          <w:rFonts w:eastAsia="Georgia" w:cs="Georgia"/>
          <w:color w:val="16242E"/>
          <w:sz w:val="21"/>
          <w:szCs w:val="21"/>
        </w:rPr>
        <w:t>An intelligence layer for portfolio construction, risk assessment, sentiment analysis, and conversational advisory.</w:t>
      </w:r>
    </w:p>
    <w:p>
      <w:pPr>
        <w:pStyle w:val="ListParagraph"/>
        <w:numPr>
          <w:ilvl w:val="0"/>
          <w:numId w:val="1"/>
        </w:numPr>
        <w:spacing w:lineRule="auto" w:line="259" w:before="0" w:after="76"/>
        <w:jc w:val="both"/>
        <w:rPr/>
      </w:pPr>
      <w:r>
        <w:rPr>
          <w:rFonts w:eastAsia="Georgia" w:cs="Georgia"/>
          <w:color w:val="16242E"/>
          <w:sz w:val="21"/>
          <w:szCs w:val="21"/>
        </w:rPr>
        <w:t>A social layer (copy trading, reputation, freelance advisory) and a gamified financial-literacy progression.</w:t>
      </w:r>
    </w:p>
    <w:p>
      <w:pPr>
        <w:pStyle w:val="ListParagraph"/>
        <w:numPr>
          <w:ilvl w:val="0"/>
          <w:numId w:val="1"/>
        </w:numPr>
        <w:spacing w:lineRule="auto" w:line="259" w:before="0" w:after="76"/>
        <w:jc w:val="both"/>
        <w:rPr/>
      </w:pPr>
      <w:r>
        <w:rPr>
          <w:rFonts w:eastAsia="Georgia" w:cs="Georgia"/>
          <w:color w:val="16242E"/>
          <w:sz w:val="21"/>
          <w:szCs w:val="21"/>
        </w:rPr>
        <w:t>Prediction and event markets, derivatives, perpetual swaps, and parametric insurance, introduced per the staged roadmap.</w:t>
      </w:r>
    </w:p>
    <w:p>
      <w:pPr>
        <w:pStyle w:val="ListParagraph"/>
        <w:numPr>
          <w:ilvl w:val="0"/>
          <w:numId w:val="1"/>
        </w:numPr>
        <w:spacing w:lineRule="auto" w:line="259" w:before="0" w:after="76"/>
        <w:jc w:val="both"/>
        <w:rPr/>
      </w:pPr>
      <w:r>
        <w:rPr>
          <w:rFonts w:eastAsia="Georgia" w:cs="Georgia"/>
          <w:color w:val="16242E"/>
          <w:sz w:val="21"/>
          <w:szCs w:val="21"/>
        </w:rPr>
        <w:t>The three differentiators: hybrid physical-digital ownership, peer-to-peer securities lending, and learning-anchored gamification.</w:t>
      </w:r>
    </w:p>
    <w:p>
      <w:pPr>
        <w:pStyle w:val="Heading3"/>
        <w:rPr/>
      </w:pPr>
      <w:r>
        <w:rPr/>
        <w:t>1.4.2 Out of Scope (Initial Program)</w:t>
      </w:r>
    </w:p>
    <w:p>
      <w:pPr>
        <w:pStyle w:val="ListParagraph"/>
        <w:numPr>
          <w:ilvl w:val="0"/>
          <w:numId w:val="1"/>
        </w:numPr>
        <w:spacing w:lineRule="auto" w:line="259" w:before="0" w:after="76"/>
        <w:jc w:val="both"/>
        <w:rPr/>
      </w:pPr>
      <w:r>
        <w:rPr>
          <w:rFonts w:eastAsia="Georgia" w:cs="Georgia"/>
          <w:color w:val="16242E"/>
          <w:sz w:val="21"/>
          <w:szCs w:val="21"/>
        </w:rPr>
        <w:t>Speculative metaverse virtual-land markets and play-to-earn token economies, which the feasibility analysis identifies as wealth transfers from latecomers to early entrants. A metaverse layer, if pursued, is limited to a non-speculative experiential interface and is the most deferrable component.</w:t>
      </w:r>
    </w:p>
    <w:p>
      <w:pPr>
        <w:pStyle w:val="ListParagraph"/>
        <w:numPr>
          <w:ilvl w:val="0"/>
          <w:numId w:val="1"/>
        </w:numPr>
        <w:spacing w:lineRule="auto" w:line="259" w:before="0" w:after="76"/>
        <w:jc w:val="both"/>
        <w:rPr/>
      </w:pPr>
      <w:r>
        <w:rPr>
          <w:rFonts w:eastAsia="Georgia" w:cs="Georgia"/>
          <w:color w:val="16242E"/>
          <w:sz w:val="21"/>
          <w:szCs w:val="21"/>
        </w:rPr>
        <w:t>Issuance of a proprietary platform cryptocurrency or governance token in the initial phases; any such instrument raises additional securities questions and is deferred pending regulatory clarity.</w:t>
      </w:r>
    </w:p>
    <w:p>
      <w:pPr>
        <w:pStyle w:val="ListParagraph"/>
        <w:numPr>
          <w:ilvl w:val="0"/>
          <w:numId w:val="1"/>
        </w:numPr>
        <w:spacing w:lineRule="auto" w:line="259" w:before="0" w:after="76"/>
        <w:jc w:val="both"/>
        <w:rPr/>
      </w:pPr>
      <w:r>
        <w:rPr>
          <w:rFonts w:eastAsia="Georgia" w:cs="Georgia"/>
          <w:color w:val="16242E"/>
          <w:sz w:val="21"/>
          <w:szCs w:val="21"/>
        </w:rPr>
        <w:t>Operation in jurisdictions where required licensing has not been secured; expansion is explicitly market-by-market.</w:t>
      </w:r>
    </w:p>
    <w:p>
      <w:pPr>
        <w:pStyle w:val="Heading2"/>
        <w:rPr/>
      </w:pPr>
      <w:bookmarkStart w:id="7" w:name="__RefHeading___Toc2724_705121531"/>
      <w:bookmarkEnd w:id="7"/>
      <w:r>
        <w:rPr/>
        <w:t>1.5 Success Criteria</w:t>
      </w:r>
    </w:p>
    <w:p>
      <w:pPr>
        <w:pStyle w:val="Normal"/>
        <w:spacing w:lineRule="auto" w:line="266" w:before="0" w:after="130"/>
        <w:jc w:val="both"/>
        <w:rPr/>
      </w:pPr>
      <w:r>
        <w:rPr>
          <w:rFonts w:eastAsia="Georgia" w:cs="Georgia"/>
          <w:color w:val="16242E"/>
          <w:sz w:val="21"/>
          <w:szCs w:val="21"/>
        </w:rPr>
        <w:t>The program is judged successful against the following high-level criteria, decomposed into phase gates in Section 7 and metrics in Section 13:</w:t>
      </w:r>
    </w:p>
    <w:tbl>
      <w:tblPr>
        <w:tblW w:w="9360" w:type="dxa"/>
        <w:jc w:val="left"/>
        <w:tblInd w:w="0" w:type="dxa"/>
        <w:tblLayout w:type="fixed"/>
        <w:tblCellMar>
          <w:top w:w="66" w:type="dxa"/>
          <w:left w:w="100" w:type="dxa"/>
          <w:bottom w:w="66" w:type="dxa"/>
          <w:right w:w="100" w:type="dxa"/>
        </w:tblCellMar>
      </w:tblPr>
      <w:tblGrid>
        <w:gridCol w:w="2299"/>
        <w:gridCol w:w="7060"/>
      </w:tblGrid>
      <w:tr>
        <w:trPr>
          <w:tblHeader w:val="true"/>
        </w:trPr>
        <w:tc>
          <w:tcPr>
            <w:tcW w:w="22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Dimension</w:t>
            </w:r>
          </w:p>
        </w:tc>
        <w:tc>
          <w:tcPr>
            <w:tcW w:w="70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Definition of Success</w:t>
            </w:r>
          </w:p>
        </w:tc>
      </w:tr>
      <w:tr>
        <w:trPr/>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Regulatory</w:t>
            </w:r>
          </w:p>
        </w:tc>
        <w:tc>
          <w:tcPr>
            <w:tcW w:w="70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Compliant settlement of tokenized securities through a licensed venue in at least one jurisdiction, with a clear path to additional markets.</w:t>
            </w:r>
          </w:p>
        </w:tc>
      </w:tr>
      <w:tr>
        <w:trPr/>
        <w:tc>
          <w:tcPr>
            <w:tcW w:w="22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9"/>
                <w:szCs w:val="19"/>
              </w:rPr>
              <w:t>Liquidity</w:t>
            </w:r>
          </w:p>
        </w:tc>
        <w:tc>
          <w:tcPr>
            <w:tcW w:w="70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9"/>
                <w:szCs w:val="19"/>
              </w:rPr>
              <w:t>Functioning secondary markets across listed assets without dangerous dependence on a single issuer or counterparty.</w:t>
            </w:r>
          </w:p>
        </w:tc>
      </w:tr>
      <w:tr>
        <w:trPr/>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Participant welfare</w:t>
            </w:r>
          </w:p>
        </w:tc>
        <w:tc>
          <w:tcPr>
            <w:tcW w:w="70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Demonstrated improvement in diversification and risk-awareness among users, with gamification tied to learning rather than trade volume.</w:t>
            </w:r>
          </w:p>
        </w:tc>
      </w:tr>
      <w:tr>
        <w:trPr/>
        <w:tc>
          <w:tcPr>
            <w:tcW w:w="22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9"/>
                <w:szCs w:val="19"/>
              </w:rPr>
              <w:t>Financial</w:t>
            </w:r>
          </w:p>
        </w:tc>
        <w:tc>
          <w:tcPr>
            <w:tcW w:w="70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9"/>
                <w:szCs w:val="19"/>
              </w:rPr>
              <w:t>A monetization model that covers compliance and operating cost at target scale, with sustainable unit economics.</w:t>
            </w:r>
          </w:p>
        </w:tc>
      </w:tr>
      <w:tr>
        <w:trPr/>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Differentiation</w:t>
            </w:r>
          </w:p>
        </w:tc>
        <w:tc>
          <w:tcPr>
            <w:tcW w:w="70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9"/>
                <w:szCs w:val="19"/>
              </w:rPr>
              <w:t>All three signature features live and operating under the conditions that make them defensible.</w:t>
            </w:r>
          </w:p>
        </w:tc>
      </w:tr>
    </w:tbl>
    <w:p>
      <w:pPr>
        <w:pStyle w:val="Normal"/>
        <w:spacing w:before="70" w:after="180"/>
        <w:rPr/>
      </w:pPr>
      <w:r>
        <w:rPr>
          <w:rFonts w:eastAsia="Arial" w:cs="Arial" w:ascii="Arial" w:hAnsi="Arial"/>
          <w:i/>
          <w:iCs/>
          <w:color w:val="5E6B75"/>
          <w:sz w:val="17"/>
          <w:szCs w:val="17"/>
        </w:rPr>
        <w:t>Table 1.1 — Program-level success criteria. Each is decomposed into phase-gate thresholds (Section 7) and tracked metrics (Section 13).</w:t>
      </w:r>
    </w:p>
    <w:p>
      <w:pPr>
        <w:pStyle w:val="Normal"/>
        <w:rPr/>
      </w:pPr>
      <w:r>
        <w:rPr/>
      </w:r>
      <w:r>
        <w:br w:type="page"/>
      </w:r>
    </w:p>
    <w:p>
      <w:pPr>
        <w:pStyle w:val="Heading1"/>
        <w:spacing w:before="0" w:after="190"/>
        <w:rPr/>
      </w:pPr>
      <w:bookmarkStart w:id="8" w:name="__RefHeading___Toc2726_705121531"/>
      <w:bookmarkEnd w:id="8"/>
      <w:r>
        <w:rPr/>
        <w:t>2. Governance and Delivery Methodology</w:t>
      </w:r>
    </w:p>
    <w:p>
      <w:pPr>
        <w:pStyle w:val="Normal"/>
        <w:spacing w:lineRule="auto" w:line="266" w:before="0" w:after="130"/>
        <w:jc w:val="both"/>
        <w:rPr/>
      </w:pPr>
      <w:r>
        <w:rPr>
          <w:rFonts w:eastAsia="Georgia" w:cs="Georgia"/>
          <w:b w:val="false"/>
          <w:bCs w:val="false"/>
          <w:i w:val="false"/>
          <w:iCs w:val="false"/>
          <w:color w:val="16242E"/>
          <w:sz w:val="21"/>
          <w:szCs w:val="21"/>
        </w:rPr>
        <w:t>Flock spans regulated financial infrastructure, security-critical smart contracts, machine-learning systems, and consumer software. No single delivery methodology fits all of these, so the program adopts a hybrid governance model: stage-gated at the program level, iterative within each stage.</w:t>
      </w:r>
    </w:p>
    <w:p>
      <w:pPr>
        <w:pStyle w:val="Heading2"/>
        <w:rPr/>
      </w:pPr>
      <w:bookmarkStart w:id="9" w:name="__RefHeading___Toc2728_705121531"/>
      <w:bookmarkEnd w:id="9"/>
      <w:r>
        <w:rPr/>
        <w:t>2.1 The Hybrid Model</w:t>
      </w:r>
    </w:p>
    <w:p>
      <w:pPr>
        <w:pStyle w:val="Normal"/>
        <w:spacing w:lineRule="auto" w:line="266" w:before="0" w:after="130"/>
        <w:jc w:val="both"/>
        <w:rPr/>
      </w:pPr>
      <w:r>
        <w:rPr>
          <w:rFonts w:eastAsia="Georgia" w:cs="Georgia"/>
          <w:b w:val="false"/>
          <w:bCs w:val="false"/>
          <w:i w:val="false"/>
          <w:iCs w:val="false"/>
          <w:color w:val="16242E"/>
          <w:sz w:val="21"/>
          <w:szCs w:val="21"/>
        </w:rPr>
        <w:t xml:space="preserve">At the program level, Flock is governed by </w:t>
      </w:r>
      <w:r>
        <w:rPr>
          <w:rFonts w:eastAsia="Georgia" w:cs="Georgia"/>
          <w:b/>
          <w:bCs/>
          <w:i w:val="false"/>
          <w:iCs w:val="false"/>
          <w:color w:val="16242E"/>
          <w:sz w:val="21"/>
          <w:szCs w:val="21"/>
        </w:rPr>
        <w:t>stage gates</w:t>
      </w:r>
      <w:r>
        <w:rPr>
          <w:rFonts w:eastAsia="Georgia" w:cs="Georgia"/>
          <w:b w:val="false"/>
          <w:bCs w:val="false"/>
          <w:i w:val="false"/>
          <w:iCs w:val="false"/>
          <w:color w:val="16242E"/>
          <w:sz w:val="21"/>
          <w:szCs w:val="21"/>
        </w:rPr>
        <w:t xml:space="preserve"> (Section 7): each of the three delivery phases must clear an explicit, falsifiable go/no-go threshold before the next begins. This protects against the cardinal risk of a multi-capability platform—adding complexity and speculative surface area before the compliant foundation is proven. Within each stage, delivery is </w:t>
      </w:r>
      <w:r>
        <w:rPr>
          <w:rFonts w:eastAsia="Georgia" w:cs="Georgia"/>
          <w:b/>
          <w:bCs/>
          <w:i w:val="false"/>
          <w:iCs w:val="false"/>
          <w:color w:val="16242E"/>
          <w:sz w:val="21"/>
          <w:szCs w:val="21"/>
        </w:rPr>
        <w:t>iterative and incremental</w:t>
      </w:r>
      <w:r>
        <w:rPr>
          <w:rFonts w:eastAsia="Georgia" w:cs="Georgia"/>
          <w:b w:val="false"/>
          <w:bCs w:val="false"/>
          <w:i w:val="false"/>
          <w:iCs w:val="false"/>
          <w:color w:val="16242E"/>
          <w:sz w:val="21"/>
          <w:szCs w:val="21"/>
        </w:rPr>
        <w:t xml:space="preserve">, organized into time-boxed development cycles with continuous integration, pre-merge review gates, and frequent internal releases. Security-critical components (smart contracts, custody, the compliance layer) additionally pass through a </w:t>
      </w:r>
      <w:r>
        <w:rPr>
          <w:rFonts w:eastAsia="Georgia" w:cs="Georgia"/>
          <w:b/>
          <w:bCs/>
          <w:i w:val="false"/>
          <w:iCs w:val="false"/>
          <w:color w:val="16242E"/>
          <w:sz w:val="21"/>
          <w:szCs w:val="21"/>
        </w:rPr>
        <w:t>formal verification and external-audit gate</w:t>
      </w:r>
      <w:r>
        <w:rPr>
          <w:rFonts w:eastAsia="Georgia" w:cs="Georgia"/>
          <w:b w:val="false"/>
          <w:bCs w:val="false"/>
          <w:i w:val="false"/>
          <w:iCs w:val="false"/>
          <w:color w:val="16242E"/>
          <w:sz w:val="21"/>
          <w:szCs w:val="21"/>
        </w:rPr>
        <w:t xml:space="preserve"> before any production deployment.</w:t>
      </w:r>
    </w:p>
    <w:p>
      <w:pPr>
        <w:pStyle w:val="Heading2"/>
        <w:rPr/>
      </w:pPr>
      <w:bookmarkStart w:id="10" w:name="__RefHeading___Toc2730_705121531"/>
      <w:bookmarkEnd w:id="10"/>
      <w:r>
        <w:rPr/>
        <w:t>2.2 Roles and Decision Rights</w:t>
      </w:r>
    </w:p>
    <w:tbl>
      <w:tblPr>
        <w:tblW w:w="9360" w:type="dxa"/>
        <w:jc w:val="left"/>
        <w:tblInd w:w="0" w:type="dxa"/>
        <w:tblLayout w:type="fixed"/>
        <w:tblCellMar>
          <w:top w:w="66" w:type="dxa"/>
          <w:left w:w="100" w:type="dxa"/>
          <w:bottom w:w="66" w:type="dxa"/>
          <w:right w:w="100" w:type="dxa"/>
        </w:tblCellMar>
      </w:tblPr>
      <w:tblGrid>
        <w:gridCol w:w="2500"/>
        <w:gridCol w:w="3460"/>
        <w:gridCol w:w="3400"/>
      </w:tblGrid>
      <w:tr>
        <w:trPr>
          <w:tblHeader w:val="true"/>
        </w:trPr>
        <w:tc>
          <w:tcPr>
            <w:tcW w:w="25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Body / Role</w:t>
            </w:r>
          </w:p>
        </w:tc>
        <w:tc>
          <w:tcPr>
            <w:tcW w:w="34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Mandate</w:t>
            </w:r>
          </w:p>
        </w:tc>
        <w:tc>
          <w:tcPr>
            <w:tcW w:w="34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Key Decisions</w:t>
            </w:r>
          </w:p>
        </w:tc>
      </w:tr>
      <w:tr>
        <w:trPr/>
        <w:tc>
          <w:tcPr>
            <w:tcW w:w="2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Program Sponsor / Founder</w:t>
            </w:r>
          </w:p>
        </w:tc>
        <w:tc>
          <w:tcPr>
            <w:tcW w:w="34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Owns vision, strategy, and external relationships</w:t>
            </w:r>
          </w:p>
        </w:tc>
        <w:tc>
          <w:tcPr>
            <w:tcW w:w="34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Phase go/no-go; fundraising; key hires; regulatory posture</w:t>
            </w:r>
          </w:p>
        </w:tc>
      </w:tr>
      <w:tr>
        <w:trPr/>
        <w:tc>
          <w:tcPr>
            <w:tcW w:w="2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Compliance &amp; Legal Lead</w:t>
            </w:r>
          </w:p>
        </w:tc>
        <w:tc>
          <w:tcPr>
            <w:tcW w:w="34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Owns the regulatory architecture and licensing</w:t>
            </w:r>
          </w:p>
        </w:tc>
        <w:tc>
          <w:tcPr>
            <w:tcW w:w="34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Jurisdiction sequencing; venue structure; product eligibility</w:t>
            </w:r>
          </w:p>
        </w:tc>
      </w:tr>
      <w:tr>
        <w:trPr/>
        <w:tc>
          <w:tcPr>
            <w:tcW w:w="2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Technical Lead / Architect</w:t>
            </w:r>
          </w:p>
        </w:tc>
        <w:tc>
          <w:tcPr>
            <w:tcW w:w="34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Owns system architecture and security</w:t>
            </w:r>
          </w:p>
        </w:tc>
        <w:tc>
          <w:tcPr>
            <w:tcW w:w="34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Chain selection; token standard; audit sign-off; release gate</w:t>
            </w:r>
          </w:p>
        </w:tc>
      </w:tr>
      <w:tr>
        <w:trPr/>
        <w:tc>
          <w:tcPr>
            <w:tcW w:w="2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Product Lead</w:t>
            </w:r>
          </w:p>
        </w:tc>
        <w:tc>
          <w:tcPr>
            <w:tcW w:w="34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Owns the tiered experience and roadmap priority</w:t>
            </w:r>
          </w:p>
        </w:tc>
        <w:tc>
          <w:tcPr>
            <w:tcW w:w="34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Feature sequencing; tier-gating rules; UX standards</w:t>
            </w:r>
          </w:p>
        </w:tc>
      </w:tr>
      <w:tr>
        <w:trPr/>
        <w:tc>
          <w:tcPr>
            <w:tcW w:w="2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Data / AI Lead</w:t>
            </w:r>
          </w:p>
        </w:tc>
        <w:tc>
          <w:tcPr>
            <w:tcW w:w="34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Owns the intelligence layer</w:t>
            </w:r>
          </w:p>
        </w:tc>
        <w:tc>
          <w:tcPr>
            <w:tcW w:w="34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8"/>
                <w:szCs w:val="18"/>
              </w:rPr>
              <w:t>Model selection; explainability standards; risk-comms format</w:t>
            </w:r>
          </w:p>
        </w:tc>
      </w:tr>
      <w:tr>
        <w:trPr/>
        <w:tc>
          <w:tcPr>
            <w:tcW w:w="2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Risk Committee</w:t>
            </w:r>
          </w:p>
        </w:tc>
        <w:tc>
          <w:tcPr>
            <w:tcW w:w="34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Cross-functional oversight of the risk register</w:t>
            </w:r>
          </w:p>
        </w:tc>
        <w:tc>
          <w:tcPr>
            <w:tcW w:w="34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8"/>
                <w:szCs w:val="18"/>
              </w:rPr>
              <w:t>Risk acceptance; circuit-breaker thresholds; incident response</w:t>
            </w:r>
          </w:p>
        </w:tc>
      </w:tr>
    </w:tbl>
    <w:p>
      <w:pPr>
        <w:pStyle w:val="Normal"/>
        <w:spacing w:before="70" w:after="180"/>
        <w:rPr/>
      </w:pPr>
      <w:r>
        <w:rPr>
          <w:rFonts w:eastAsia="Arial" w:cs="Arial" w:ascii="Arial" w:hAnsi="Arial"/>
          <w:i/>
          <w:iCs/>
          <w:color w:val="5E6B75"/>
          <w:sz w:val="17"/>
          <w:szCs w:val="17"/>
        </w:rPr>
        <w:t>Table 2.1 — Core roles and decision rights. Early-stage, several roles are held by the founder and a small team; the table defines the target operating model the org plan (Section 9) builds toward.</w:t>
      </w:r>
    </w:p>
    <w:p>
      <w:pPr>
        <w:pStyle w:val="Heading2"/>
        <w:rPr/>
      </w:pPr>
      <w:bookmarkStart w:id="11" w:name="__RefHeading___Toc2732_705121531"/>
      <w:bookmarkEnd w:id="11"/>
      <w:r>
        <w:rPr/>
        <w:t>2.3 Cadence and Controls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Development cycles: </w:t>
      </w:r>
      <w:r>
        <w:rPr>
          <w:rFonts w:eastAsia="Georgia" w:cs="Georgia"/>
          <w:b w:val="false"/>
          <w:bCs w:val="false"/>
          <w:i w:val="false"/>
          <w:iCs w:val="false"/>
          <w:color w:val="16242E"/>
          <w:sz w:val="21"/>
          <w:szCs w:val="21"/>
        </w:rPr>
        <w:t>two-week iterations with planning, review, and retrospective; a demoable increment at the end of each.</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Pre-merge review gates: </w:t>
      </w:r>
      <w:r>
        <w:rPr>
          <w:rFonts w:eastAsia="Georgia" w:cs="Georgia"/>
          <w:b w:val="false"/>
          <w:bCs w:val="false"/>
          <w:i w:val="false"/>
          <w:iCs w:val="false"/>
          <w:color w:val="16242E"/>
          <w:sz w:val="21"/>
          <w:szCs w:val="21"/>
        </w:rPr>
        <w:t>every change reviewed before merge; security-relevant changes require a second reviewer and, for contracts, a passing test and analysis suite.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Phase gates: </w:t>
      </w:r>
      <w:r>
        <w:rPr>
          <w:rFonts w:eastAsia="Georgia" w:cs="Georgia"/>
          <w:b w:val="false"/>
          <w:bCs w:val="false"/>
          <w:i w:val="false"/>
          <w:iCs w:val="false"/>
          <w:color w:val="16242E"/>
          <w:sz w:val="21"/>
          <w:szCs w:val="21"/>
        </w:rPr>
        <w:t>formal go/no-go review at the end of each phase against the published threshold (Section 7), with explicit authority to halt or revise.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Audit gates: </w:t>
      </w:r>
      <w:r>
        <w:rPr>
          <w:rFonts w:eastAsia="Georgia" w:cs="Georgia"/>
          <w:b w:val="false"/>
          <w:bCs w:val="false"/>
          <w:i w:val="false"/>
          <w:iCs w:val="false"/>
          <w:color w:val="16242E"/>
          <w:sz w:val="21"/>
          <w:szCs w:val="21"/>
        </w:rPr>
        <w:t>independent smart-contract and security audits before any production deployment of custody, settlement, or lending logic.</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Change control: </w:t>
      </w:r>
      <w:r>
        <w:rPr>
          <w:rFonts w:eastAsia="Georgia" w:cs="Georgia"/>
          <w:b w:val="false"/>
          <w:bCs w:val="false"/>
          <w:i w:val="false"/>
          <w:iCs w:val="false"/>
          <w:color w:val="16242E"/>
          <w:sz w:val="21"/>
          <w:szCs w:val="21"/>
        </w:rPr>
        <w:t>scope changes assessed for regulatory, security, and liquidity impact before acceptance; the risk register (Section 9) is updated at every phase gate.</w:t>
      </w:r>
    </w:p>
    <w:p>
      <w:pPr>
        <w:pStyle w:val="Normal"/>
        <w:rPr/>
      </w:pPr>
      <w:r>
        <w:rPr/>
      </w:r>
      <w:r>
        <w:br w:type="page"/>
      </w:r>
    </w:p>
    <w:p>
      <w:pPr>
        <w:pStyle w:val="Heading1"/>
        <w:spacing w:before="0" w:after="190"/>
        <w:rPr/>
      </w:pPr>
      <w:bookmarkStart w:id="12" w:name="__RefHeading___Toc2734_705121531"/>
      <w:bookmarkEnd w:id="12"/>
      <w:r>
        <w:rPr/>
        <w:t>3. Product Architecture: The Three-Tier Model</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Flock’s product is organized as a three-tier progression that maps increasing financial complexity and risk onto demonstrated user competence. The model borrows the staged-unlock logic of mastery-based learning software and inverts the accredited-investor paradigm: access to sophisticated instruments is </w:t>
      </w:r>
      <w:r>
        <w:rPr>
          <w:rFonts w:eastAsia="Georgia" w:cs="Georgia"/>
          <w:b/>
          <w:bCs/>
          <w:i w:val="false"/>
          <w:iCs w:val="false"/>
          <w:color w:val="16242E"/>
          <w:sz w:val="21"/>
          <w:szCs w:val="21"/>
        </w:rPr>
        <w:t>earned through understanding</w:t>
      </w:r>
      <w:r>
        <w:rPr>
          <w:rFonts w:eastAsia="Georgia" w:cs="Georgia"/>
          <w:b w:val="false"/>
          <w:bCs w:val="false"/>
          <w:i w:val="false"/>
          <w:iCs w:val="false"/>
          <w:color w:val="16242E"/>
          <w:sz w:val="21"/>
          <w:szCs w:val="21"/>
        </w:rPr>
        <w:t>, not purchased through wealth.</w:t>
      </w:r>
    </w:p>
    <w:p>
      <w:pPr>
        <w:pStyle w:val="Heading2"/>
        <w:rPr/>
      </w:pPr>
      <w:bookmarkStart w:id="13" w:name="__RefHeading___Toc2736_705121531"/>
      <w:bookmarkEnd w:id="13"/>
      <w:r>
        <w:rPr/>
        <w:t>3.1 The Progression Model</w:t>
      </w:r>
    </w:p>
    <w:tbl>
      <w:tblPr>
        <w:tblW w:w="9360" w:type="dxa"/>
        <w:jc w:val="left"/>
        <w:tblInd w:w="0" w:type="dxa"/>
        <w:tblLayout w:type="fixed"/>
        <w:tblCellMar>
          <w:top w:w="66" w:type="dxa"/>
          <w:left w:w="100" w:type="dxa"/>
          <w:bottom w:w="66" w:type="dxa"/>
          <w:right w:w="100" w:type="dxa"/>
        </w:tblCellMar>
      </w:tblPr>
      <w:tblGrid>
        <w:gridCol w:w="900"/>
        <w:gridCol w:w="1499"/>
        <w:gridCol w:w="5161"/>
        <w:gridCol w:w="1799"/>
      </w:tblGrid>
      <w:tr>
        <w:trPr>
          <w:tblHeader w:val="true"/>
        </w:trPr>
        <w:tc>
          <w:tcPr>
            <w:tcW w:w="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Tier</w:t>
            </w:r>
          </w:p>
        </w:tc>
        <w:tc>
          <w:tcPr>
            <w:tcW w:w="14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Name</w:t>
            </w:r>
          </w:p>
        </w:tc>
        <w:tc>
          <w:tcPr>
            <w:tcW w:w="516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Representative Capabilities</w:t>
            </w:r>
          </w:p>
        </w:tc>
        <w:tc>
          <w:tcPr>
            <w:tcW w:w="17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8"/>
                <w:szCs w:val="18"/>
              </w:rPr>
              <w:t>Risk</w:t>
            </w:r>
          </w:p>
        </w:tc>
      </w:tr>
      <w:tr>
        <w:trPr/>
        <w:tc>
          <w:tcPr>
            <w:tcW w:w="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Tier 1</w:t>
            </w:r>
          </w:p>
        </w:tc>
        <w:tc>
          <w:tcPr>
            <w:tcW w:w="1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Foundation</w:t>
            </w:r>
          </w:p>
        </w:tc>
        <w:tc>
          <w:tcPr>
            <w:tcW w:w="516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Entity formation; mainstream equities, ETFs, and major digital assets; basic photo-to-token minting; unified portfolio dashboard; financial-literacy quests</w:t>
            </w:r>
          </w:p>
        </w:tc>
        <w:tc>
          <w:tcPr>
            <w:tcW w:w="17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Lower</w:t>
            </w:r>
          </w:p>
        </w:tc>
      </w:tr>
      <w:tr>
        <w:trPr/>
        <w:tc>
          <w:tcPr>
            <w:tcW w:w="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Tier 2</w:t>
            </w:r>
          </w:p>
        </w:tc>
        <w:tc>
          <w:tcPr>
            <w:tcW w:w="14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7"/>
                <w:szCs w:val="17"/>
              </w:rPr>
              <w:t>Marketplace</w:t>
            </w:r>
          </w:p>
        </w:tc>
        <w:tc>
          <w:tcPr>
            <w:tcW w:w="516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7"/>
                <w:szCs w:val="17"/>
              </w:rPr>
              <w:t>Peer-to-peer lending with counterparty choice; local and startup SPVs; embedded wallet and payment card; AI-versus-human advisory contests; introductory event markets</w:t>
            </w:r>
          </w:p>
        </w:tc>
        <w:tc>
          <w:tcPr>
            <w:tcW w:w="17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7"/>
                <w:szCs w:val="17"/>
              </w:rPr>
              <w:t>Moderate</w:t>
            </w:r>
          </w:p>
        </w:tc>
      </w:tr>
      <w:tr>
        <w:trPr/>
        <w:tc>
          <w:tcPr>
            <w:tcW w:w="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Tier 3</w:t>
            </w:r>
          </w:p>
        </w:tc>
        <w:tc>
          <w:tcPr>
            <w:tcW w:w="1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Alternatives</w:t>
            </w:r>
          </w:p>
        </w:tc>
        <w:tc>
          <w:tcPr>
            <w:tcW w:w="516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Tokenized real estate, art, commodities, and private equity; hybrid physical-digital redemption; cross-chain settlement; full derivatives, perpetuals, and parametric insurance</w:t>
            </w:r>
          </w:p>
        </w:tc>
        <w:tc>
          <w:tcPr>
            <w:tcW w:w="17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7"/>
                <w:szCs w:val="17"/>
              </w:rPr>
              <w:t>Higher</w:t>
            </w:r>
          </w:p>
        </w:tc>
      </w:tr>
    </w:tbl>
    <w:p>
      <w:pPr>
        <w:pStyle w:val="Normal"/>
        <w:spacing w:before="70" w:after="180"/>
        <w:rPr/>
      </w:pPr>
      <w:r>
        <w:rPr>
          <w:rFonts w:eastAsia="Arial" w:cs="Arial" w:ascii="Arial" w:hAnsi="Arial"/>
          <w:i/>
          <w:iCs/>
          <w:color w:val="5E6B75"/>
          <w:sz w:val="17"/>
          <w:szCs w:val="17"/>
        </w:rPr>
        <w:t>Table 3.1 — The three-tier progression. Advancement is gated by competence checks (knowledge and risk-assessment), not by wealth thresholds alone.</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AA76D"/>
              <w:left w:val="single" w:sz="22" w:space="0" w:color="3AA76D"/>
              <w:bottom w:val="single" w:sz="2" w:space="0" w:color="3AA76D"/>
              <w:right w:val="single" w:sz="2" w:space="0" w:color="3AA76D"/>
            </w:tcBorders>
            <w:shd w:fill="E4F4EC" w:val="clear"/>
          </w:tcPr>
          <w:p>
            <w:pPr>
              <w:pStyle w:val="Normal"/>
              <w:spacing w:before="0" w:after="70"/>
              <w:rPr/>
            </w:pPr>
            <w:r>
              <w:rPr>
                <w:rFonts w:eastAsia="Arial" w:cs="Arial" w:ascii="Arial" w:hAnsi="Arial"/>
                <w:b/>
                <w:bCs/>
                <w:color w:val="1E6B43"/>
                <w:sz w:val="21"/>
                <w:szCs w:val="21"/>
              </w:rPr>
              <w:t>Why Tiering Is a Safety Mechanism, Not Just UX</w:t>
            </w:r>
          </w:p>
          <w:p>
            <w:pPr>
              <w:pStyle w:val="Normal"/>
              <w:spacing w:lineRule="auto" w:line="261" w:before="0" w:after="0"/>
              <w:rPr/>
            </w:pPr>
            <w:r>
              <w:rPr>
                <w:rFonts w:eastAsia="Georgia" w:cs="Georgia"/>
                <w:color w:val="16242E"/>
                <w:sz w:val="20"/>
                <w:szCs w:val="20"/>
              </w:rPr>
              <w:t>Across prediction markets, liquidity provision, copy trading, and speculative virtual assets, the evidence shows that markets can be sound in aggregate while most participants lose money. Tiering is Flock’s primary defense: it keeps inexperienced users away from instruments whose loss distributions they are not equipped to navigate, and it makes “advancement” contingent on demonstrated understanding rather than on the platform’s interest in trading volume.</w:t>
            </w:r>
          </w:p>
        </w:tc>
      </w:tr>
    </w:tbl>
    <w:p>
      <w:pPr>
        <w:pStyle w:val="Normal"/>
        <w:spacing w:before="0" w:after="90"/>
        <w:rPr/>
      </w:pPr>
      <w:r>
        <w:rPr/>
      </w:r>
    </w:p>
    <w:p>
      <w:pPr>
        <w:pStyle w:val="Heading2"/>
        <w:rPr/>
      </w:pPr>
      <w:bookmarkStart w:id="14" w:name="__RefHeading___Toc2738_705121531"/>
      <w:bookmarkEnd w:id="14"/>
      <w:r>
        <w:rPr/>
        <w:t>3.2 The Protocol Stack</w:t>
      </w:r>
    </w:p>
    <w:p>
      <w:pPr>
        <w:pStyle w:val="Normal"/>
        <w:spacing w:lineRule="auto" w:line="266" w:before="0" w:after="130"/>
        <w:jc w:val="both"/>
        <w:rPr/>
      </w:pPr>
      <w:r>
        <w:rPr>
          <w:rFonts w:eastAsia="Georgia" w:cs="Georgia"/>
          <w:color w:val="16242E"/>
          <w:sz w:val="21"/>
          <w:szCs w:val="21"/>
        </w:rPr>
        <w:t>Beneath the tiered interface sits a stack of functional layers. Each is the subject of detailed technical planning in Section 5 and risk planning in Section 9:</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Tokenization &amp; custody layer — </w:t>
      </w:r>
      <w:r>
        <w:rPr>
          <w:rFonts w:eastAsia="Georgia" w:cs="Georgia"/>
          <w:b w:val="false"/>
          <w:bCs w:val="false"/>
          <w:i w:val="false"/>
          <w:iCs w:val="false"/>
          <w:color w:val="16242E"/>
          <w:sz w:val="21"/>
          <w:szCs w:val="21"/>
        </w:rPr>
        <w:t>mints, holds, and transfers tokenized claims; backed where necessary by SPVs, qualified custodians, and proof-of-reserve attestation.</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Liquidity &amp; settlement layer — </w:t>
      </w:r>
      <w:r>
        <w:rPr>
          <w:rFonts w:eastAsia="Georgia" w:cs="Georgia"/>
          <w:b w:val="false"/>
          <w:bCs w:val="false"/>
          <w:i w:val="false"/>
          <w:iCs w:val="false"/>
          <w:color w:val="16242E"/>
          <w:sz w:val="21"/>
          <w:szCs w:val="21"/>
        </w:rPr>
        <w:t>automated market makers, order books, and tokenized vaults for price discovery and exit; conservative cross-chain messaging where unavoidable.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Compliance layer — </w:t>
      </w:r>
      <w:r>
        <w:rPr>
          <w:rFonts w:eastAsia="Georgia" w:cs="Georgia"/>
          <w:b w:val="false"/>
          <w:bCs w:val="false"/>
          <w:i w:val="false"/>
          <w:iCs w:val="false"/>
          <w:color w:val="16242E"/>
          <w:sz w:val="21"/>
          <w:szCs w:val="21"/>
        </w:rPr>
        <w:t>on-chain identity, KYC/AML, jurisdiction-aware permissioning, and accreditation, embedded at the token-standard level.</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Intelligence layer — </w:t>
      </w:r>
      <w:r>
        <w:rPr>
          <w:rFonts w:eastAsia="Georgia" w:cs="Georgia"/>
          <w:b w:val="false"/>
          <w:bCs w:val="false"/>
          <w:i w:val="false"/>
          <w:iCs w:val="false"/>
          <w:color w:val="16242E"/>
          <w:sz w:val="21"/>
          <w:szCs w:val="21"/>
        </w:rPr>
        <w:t>explainable models for portfolio construction, risk assessment, sentiment analysis, and conversational advice.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Social &amp; market layer — </w:t>
      </w:r>
      <w:r>
        <w:rPr>
          <w:rFonts w:eastAsia="Georgia" w:cs="Georgia"/>
          <w:b w:val="false"/>
          <w:bCs w:val="false"/>
          <w:i w:val="false"/>
          <w:iCs w:val="false"/>
          <w:color w:val="16242E"/>
          <w:sz w:val="21"/>
          <w:szCs w:val="21"/>
        </w:rPr>
        <w:t>copy trading, reputation, freelance advisory, and the full set of market types (Section 4).</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Experience layer — </w:t>
      </w:r>
      <w:r>
        <w:rPr>
          <w:rFonts w:eastAsia="Georgia" w:cs="Georgia"/>
          <w:b w:val="false"/>
          <w:bCs w:val="false"/>
          <w:i w:val="false"/>
          <w:iCs w:val="false"/>
          <w:color w:val="16242E"/>
          <w:sz w:val="21"/>
          <w:szCs w:val="21"/>
        </w:rPr>
        <w:t>the gamified literacy progression and an optional, non-speculative metaverse interface.</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architectural principle is </w:t>
      </w:r>
      <w:r>
        <w:rPr>
          <w:rFonts w:eastAsia="Georgia" w:cs="Georgia"/>
          <w:b/>
          <w:bCs/>
          <w:i w:val="false"/>
          <w:iCs w:val="false"/>
          <w:color w:val="16242E"/>
          <w:sz w:val="21"/>
          <w:szCs w:val="21"/>
        </w:rPr>
        <w:t>modularity as risk containment</w:t>
      </w:r>
      <w:r>
        <w:rPr>
          <w:rFonts w:eastAsia="Georgia" w:cs="Georgia"/>
          <w:b w:val="false"/>
          <w:bCs w:val="false"/>
          <w:i w:val="false"/>
          <w:iCs w:val="false"/>
          <w:color w:val="16242E"/>
          <w:sz w:val="21"/>
          <w:szCs w:val="21"/>
        </w:rPr>
        <w:t>: each layer exposes defined interfaces so capabilities can be added without rewriting the core, and so that a failure in one layer—especially the optional experience layer—does not compromise the tokenization and custody foundation.</w:t>
      </w:r>
    </w:p>
    <w:p>
      <w:pPr>
        <w:pStyle w:val="Heading2"/>
        <w:rPr/>
      </w:pPr>
      <w:bookmarkStart w:id="15" w:name="__RefHeading___Toc2740_705121531"/>
      <w:bookmarkEnd w:id="15"/>
      <w:r>
        <w:rPr/>
        <w:t>3.3 The Three Differentiators</w:t>
      </w:r>
    </w:p>
    <w:p>
      <w:pPr>
        <w:pStyle w:val="Normal"/>
        <w:spacing w:lineRule="auto" w:line="266" w:before="0" w:after="130"/>
        <w:jc w:val="both"/>
        <w:rPr/>
      </w:pPr>
      <w:r>
        <w:rPr>
          <w:rFonts w:eastAsia="Georgia" w:cs="Georgia"/>
          <w:color w:val="16242E"/>
          <w:sz w:val="21"/>
          <w:szCs w:val="21"/>
        </w:rPr>
        <w:t>Three features distinguish Flock from incumbents. Each is genuinely novel relative to current practice, and each is feasible only under a specific binding condition that the plan commits to honoring:</w:t>
      </w:r>
    </w:p>
    <w:p>
      <w:pPr>
        <w:pStyle w:val="ListParagraph"/>
        <w:numPr>
          <w:ilvl w:val="0"/>
          <w:numId w:val="8"/>
        </w:numPr>
        <w:spacing w:lineRule="auto" w:line="259" w:before="0" w:after="76"/>
        <w:jc w:val="both"/>
        <w:rPr/>
      </w:pPr>
      <w:r>
        <w:rPr>
          <w:rFonts w:eastAsia="Georgia" w:cs="Georgia"/>
          <w:b/>
          <w:bCs/>
          <w:i w:val="false"/>
          <w:iCs w:val="false"/>
          <w:color w:val="16242E"/>
          <w:sz w:val="21"/>
          <w:szCs w:val="21"/>
        </w:rPr>
        <w:t xml:space="preserve">Hybrid physical-digital ownership. </w:t>
      </w:r>
      <w:r>
        <w:rPr>
          <w:rFonts w:eastAsia="Georgia" w:cs="Georgia"/>
          <w:b w:val="false"/>
          <w:bCs w:val="false"/>
          <w:i w:val="false"/>
          <w:iCs w:val="false"/>
          <w:color w:val="16242E"/>
          <w:sz w:val="21"/>
          <w:szCs w:val="21"/>
        </w:rPr>
        <w:t>Tokens confer genuine, redeemable beneficial ownership of a real-world asset—not a synthetic price-tracker. Condition: an SPV/custody arrangement and a robust proof-of-reserve oracle per asset class, introduced selectively atop mature custody infrastructure (Section 6.5).</w:t>
      </w:r>
    </w:p>
    <w:p>
      <w:pPr>
        <w:pStyle w:val="ListParagraph"/>
        <w:numPr>
          <w:ilvl w:val="0"/>
          <w:numId w:val="3"/>
        </w:numPr>
        <w:spacing w:lineRule="auto" w:line="259" w:before="0" w:after="76"/>
        <w:jc w:val="both"/>
        <w:rPr/>
      </w:pPr>
      <w:r>
        <w:rPr>
          <w:rFonts w:eastAsia="Georgia" w:cs="Georgia"/>
          <w:b/>
          <w:bCs/>
          <w:i w:val="false"/>
          <w:iCs w:val="false"/>
          <w:color w:val="16242E"/>
          <w:sz w:val="21"/>
          <w:szCs w:val="21"/>
        </w:rPr>
        <w:t xml:space="preserve">Peer-to-peer securities lending with counterparty choice. </w:t>
      </w:r>
      <w:r>
        <w:rPr>
          <w:rFonts w:eastAsia="Georgia" w:cs="Georgia"/>
          <w:b w:val="false"/>
          <w:bCs w:val="false"/>
          <w:i w:val="false"/>
          <w:iCs w:val="false"/>
          <w:color w:val="16242E"/>
          <w:sz w:val="21"/>
          <w:szCs w:val="21"/>
        </w:rPr>
        <w:t>Owners lend directly to selected borrowers on transparent on-chain terms, recovering the spread a centralized intermediary would capture. Condition: over-collateralization, automated margining, default insurance, and clear disclosure that the lender bears counterparty risk (Section 4.6).</w:t>
      </w:r>
    </w:p>
    <w:p>
      <w:pPr>
        <w:pStyle w:val="ListParagraph"/>
        <w:numPr>
          <w:ilvl w:val="0"/>
          <w:numId w:val="3"/>
        </w:numPr>
        <w:spacing w:lineRule="auto" w:line="259" w:before="0" w:after="76"/>
        <w:jc w:val="both"/>
        <w:rPr/>
      </w:pPr>
      <w:r>
        <w:rPr>
          <w:rFonts w:eastAsia="Georgia" w:cs="Georgia"/>
          <w:b/>
          <w:bCs/>
          <w:i w:val="false"/>
          <w:iCs w:val="false"/>
          <w:color w:val="16242E"/>
          <w:sz w:val="21"/>
          <w:szCs w:val="21"/>
        </w:rPr>
        <w:t xml:space="preserve">Learning-anchored gamification. </w:t>
      </w:r>
      <w:r>
        <w:rPr>
          <w:rFonts w:eastAsia="Georgia" w:cs="Georgia"/>
          <w:b w:val="false"/>
          <w:bCs w:val="false"/>
          <w:i w:val="false"/>
          <w:iCs w:val="false"/>
          <w:color w:val="16242E"/>
          <w:sz w:val="21"/>
          <w:szCs w:val="21"/>
        </w:rPr>
        <w:t>Engagement and tier advancement are tied to demonstrated learning and prudent behavior, not to trade frequency. Condition: progression metrics auditable against learning and risk-calibration outcomes—the precise line drawn by prior regulatory action against gamified brokerages (Section 7.4).</w:t>
      </w:r>
    </w:p>
    <w:p>
      <w:pPr>
        <w:pStyle w:val="Heading2"/>
        <w:rPr/>
      </w:pPr>
      <w:bookmarkStart w:id="16" w:name="__RefHeading___Toc2742_705121531"/>
      <w:bookmarkEnd w:id="16"/>
      <w:r>
        <w:rPr/>
        <w:t>3.4 A User’s Progression</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tiers are best understood through the path a single user takes. A newcomer enters at </w:t>
      </w:r>
      <w:r>
        <w:rPr>
          <w:rFonts w:eastAsia="Georgia" w:cs="Georgia"/>
          <w:b/>
          <w:bCs/>
          <w:i w:val="false"/>
          <w:iCs w:val="false"/>
          <w:color w:val="16242E"/>
          <w:sz w:val="21"/>
          <w:szCs w:val="21"/>
        </w:rPr>
        <w:t>Tier 1</w:t>
      </w:r>
      <w:r>
        <w:rPr>
          <w:rFonts w:eastAsia="Georgia" w:cs="Georgia"/>
          <w:b w:val="false"/>
          <w:bCs w:val="false"/>
          <w:i w:val="false"/>
          <w:iCs w:val="false"/>
          <w:color w:val="16242E"/>
          <w:sz w:val="21"/>
          <w:szCs w:val="21"/>
        </w:rPr>
        <w:t xml:space="preserve">, forms an entity if they wish, invests in mainstream equities, funds, and major digital assets, and works through literacy quests that teach diversification and risk—earning, rather than buying, the right to advance. Having demonstrated competence, they unlock </w:t>
      </w:r>
      <w:r>
        <w:rPr>
          <w:rFonts w:eastAsia="Georgia" w:cs="Georgia"/>
          <w:b/>
          <w:bCs/>
          <w:i w:val="false"/>
          <w:iCs w:val="false"/>
          <w:color w:val="16242E"/>
          <w:sz w:val="21"/>
          <w:szCs w:val="21"/>
        </w:rPr>
        <w:t>Tier 2</w:t>
      </w:r>
      <w:r>
        <w:rPr>
          <w:rFonts w:eastAsia="Georgia" w:cs="Georgia"/>
          <w:b w:val="false"/>
          <w:bCs w:val="false"/>
          <w:i w:val="false"/>
          <w:iCs w:val="false"/>
          <w:color w:val="16242E"/>
          <w:sz w:val="21"/>
          <w:szCs w:val="21"/>
        </w:rPr>
        <w:t xml:space="preserve">, where they can lend securities peer-to-peer with counterparty choice, back local and startup SPVs, follow vetted lead traders under herding controls, and take introductory positions in event markets framed as forecasting tools. Only after further demonstrated understanding do they reach </w:t>
      </w:r>
      <w:r>
        <w:rPr>
          <w:rFonts w:eastAsia="Georgia" w:cs="Georgia"/>
          <w:b/>
          <w:bCs/>
          <w:i w:val="false"/>
          <w:iCs w:val="false"/>
          <w:color w:val="16242E"/>
          <w:sz w:val="21"/>
          <w:szCs w:val="21"/>
        </w:rPr>
        <w:t>Tier 3</w:t>
      </w:r>
      <w:r>
        <w:rPr>
          <w:rFonts w:eastAsia="Georgia" w:cs="Georgia"/>
          <w:b w:val="false"/>
          <w:bCs w:val="false"/>
          <w:i w:val="false"/>
          <w:iCs w:val="false"/>
          <w:color w:val="16242E"/>
          <w:sz w:val="21"/>
          <w:szCs w:val="21"/>
        </w:rPr>
        <w:t>, with access to tokenized real estate, art, and commodities, genuine hybrid-ownership redemption, and the full derivatives, perpetuals, and parametric-insurance complement. At every step, advancement reflects what the user has learned and how prudently they behave—never how much they trade or how wealthy they are. This is the progression model functioning as designed: a ladder of competence, not a paywall.</w:t>
      </w:r>
    </w:p>
    <w:p>
      <w:pPr>
        <w:pStyle w:val="Normal"/>
        <w:rPr/>
      </w:pPr>
      <w:r>
        <w:rPr/>
      </w:r>
      <w:r>
        <w:br w:type="page"/>
      </w:r>
    </w:p>
    <w:p>
      <w:pPr>
        <w:pStyle w:val="Heading1"/>
        <w:spacing w:before="0" w:after="190"/>
        <w:rPr/>
      </w:pPr>
      <w:bookmarkStart w:id="17" w:name="__RefHeading___Toc2744_705121531"/>
      <w:bookmarkEnd w:id="17"/>
      <w:r>
        <w:rPr/>
        <w:t>4. Market and Asset Taxonomy</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 is a multi-asset </w:t>
      </w:r>
      <w:r>
        <w:rPr>
          <w:rFonts w:eastAsia="Georgia" w:cs="Georgia"/>
          <w:b w:val="false"/>
          <w:bCs w:val="false"/>
          <w:i/>
          <w:iCs/>
          <w:color w:val="16242E"/>
          <w:sz w:val="21"/>
          <w:szCs w:val="21"/>
        </w:rPr>
        <w:t>and</w:t>
      </w:r>
      <w:r>
        <w:rPr>
          <w:rFonts w:eastAsia="Georgia" w:cs="Georgia"/>
          <w:b w:val="false"/>
          <w:bCs w:val="false"/>
          <w:i w:val="false"/>
          <w:iCs w:val="false"/>
          <w:color w:val="16242E"/>
          <w:sz w:val="21"/>
          <w:szCs w:val="21"/>
        </w:rPr>
        <w:t xml:space="preserve"> multi-market platform. This section defines the full taxonomy of what can be traded: first the asset classes (the underlying instruments), then the market types (the mechanisms by which they trade), including prediction and event markets, derivatives, perpetual swaps, and parametric insurance. Every category carries a target tier and a regulatory note, because breadth of market type multiplies—rather than merely adds to—the compliance burden.</w:t>
      </w:r>
    </w:p>
    <w:p>
      <w:pPr>
        <w:pStyle w:val="Heading2"/>
        <w:rPr/>
      </w:pPr>
      <w:bookmarkStart w:id="18" w:name="__RefHeading___Toc2746_705121531"/>
      <w:bookmarkEnd w:id="18"/>
      <w:r>
        <w:rPr/>
        <w:t>4.1 Asset Classes</w:t>
      </w:r>
    </w:p>
    <w:tbl>
      <w:tblPr>
        <w:tblW w:w="9360" w:type="dxa"/>
        <w:jc w:val="left"/>
        <w:tblInd w:w="0" w:type="dxa"/>
        <w:tblLayout w:type="fixed"/>
        <w:tblCellMar>
          <w:top w:w="66" w:type="dxa"/>
          <w:left w:w="100" w:type="dxa"/>
          <w:bottom w:w="66" w:type="dxa"/>
          <w:right w:w="100" w:type="dxa"/>
        </w:tblCellMar>
      </w:tblPr>
      <w:tblGrid>
        <w:gridCol w:w="1900"/>
        <w:gridCol w:w="2700"/>
        <w:gridCol w:w="560"/>
        <w:gridCol w:w="4199"/>
      </w:tblGrid>
      <w:tr>
        <w:trPr>
          <w:tblHeader w:val="true"/>
        </w:trPr>
        <w:tc>
          <w:tcPr>
            <w:tcW w:w="1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Asset Class</w:t>
            </w:r>
          </w:p>
        </w:tc>
        <w:tc>
          <w:tcPr>
            <w:tcW w:w="27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Examples</w:t>
            </w:r>
          </w:p>
        </w:tc>
        <w:tc>
          <w:tcPr>
            <w:tcW w:w="5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Tier</w:t>
            </w:r>
          </w:p>
        </w:tc>
        <w:tc>
          <w:tcPr>
            <w:tcW w:w="41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Regulatory / Structural Note</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Public equities &amp; funds</w:t>
            </w:r>
          </w:p>
        </w:tc>
        <w:tc>
          <w:tcPr>
            <w:tcW w:w="27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Stocks, ETFs, money-market funds</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w:t>
            </w:r>
          </w:p>
        </w:tc>
        <w:tc>
          <w:tcPr>
            <w:tcW w:w="41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Tokenized securities remain securities; traded via licensed venue (ATS / DLT Pilot)</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Fixed income</w:t>
            </w:r>
          </w:p>
        </w:tc>
        <w:tc>
          <w:tcPr>
            <w:tcW w:w="27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Treasuries, corporate &amp; muni bonds</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1</w:t>
            </w:r>
          </w:p>
        </w:tc>
        <w:tc>
          <w:tcPr>
            <w:tcW w:w="41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Most mature tokenized category; anchor of the Phase 1 liquidity base</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Digital assets</w:t>
            </w:r>
          </w:p>
        </w:tc>
        <w:tc>
          <w:tcPr>
            <w:tcW w:w="27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Major cryptocurrencies, stablecoins</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w:t>
            </w:r>
          </w:p>
        </w:tc>
        <w:tc>
          <w:tcPr>
            <w:tcW w:w="41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Custody and AML controls; stablecoins treated as settlement, not investment advice</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Private placements</w:t>
            </w:r>
          </w:p>
        </w:tc>
        <w:tc>
          <w:tcPr>
            <w:tcW w:w="27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Startup SPVs, private credit, venture</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w:t>
            </w:r>
          </w:p>
        </w:tc>
        <w:tc>
          <w:tcPr>
            <w:tcW w:w="41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Reg D / Reg A in the U.S.; accreditation-gated; ADDX-style model</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Real estate</w:t>
            </w:r>
          </w:p>
        </w:tc>
        <w:tc>
          <w:tcPr>
            <w:tcW w:w="27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Tokenized property, REIT-like vehicles</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41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Requires title registry + custody; candidate for hybrid ownership</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Commodities</w:t>
            </w:r>
          </w:p>
        </w:tc>
        <w:tc>
          <w:tcPr>
            <w:tcW w:w="27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Tokenized metals, agricultural goods</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41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Requires bonded warehouse / vault + proof-of-reserve oracle</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Art &amp; collectibles</w:t>
            </w:r>
          </w:p>
        </w:tc>
        <w:tc>
          <w:tcPr>
            <w:tcW w:w="27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Fractionalized fine art, high-value collectibles</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41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Unique-asset tokenization (NFT-class); appraisal and custody intensive</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Intellectual property</w:t>
            </w:r>
          </w:p>
        </w:tc>
        <w:tc>
          <w:tcPr>
            <w:tcW w:w="27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Royalty streams, licensed creative works</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41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Enforcement must be protocol-level or legal, never convention (Section 9)</w:t>
            </w:r>
          </w:p>
        </w:tc>
      </w:tr>
    </w:tbl>
    <w:p>
      <w:pPr>
        <w:pStyle w:val="Normal"/>
        <w:spacing w:before="70" w:after="180"/>
        <w:rPr/>
      </w:pPr>
      <w:r>
        <w:rPr>
          <w:rFonts w:eastAsia="Arial" w:cs="Arial" w:ascii="Arial" w:hAnsi="Arial"/>
          <w:i/>
          <w:iCs/>
          <w:color w:val="5E6B75"/>
          <w:sz w:val="17"/>
          <w:szCs w:val="17"/>
        </w:rPr>
        <w:t>Table 4.1 — Asset classes, target tiers, and structural notes. Classes are introduced in tier order, beginning with the most liquid and least legally contested.</w:t>
      </w:r>
    </w:p>
    <w:p>
      <w:pPr>
        <w:pStyle w:val="Heading2"/>
        <w:rPr/>
      </w:pPr>
      <w:bookmarkStart w:id="19" w:name="__RefHeading___Toc2748_705121531"/>
      <w:bookmarkEnd w:id="19"/>
      <w:r>
        <w:rPr/>
        <w:t>4.2 Market Types</w:t>
      </w:r>
    </w:p>
    <w:p>
      <w:pPr>
        <w:pStyle w:val="Normal"/>
        <w:spacing w:lineRule="auto" w:line="266" w:before="0" w:after="130"/>
        <w:jc w:val="both"/>
        <w:rPr/>
      </w:pPr>
      <w:r>
        <w:rPr>
          <w:rFonts w:eastAsia="Georgia" w:cs="Georgia"/>
          <w:b w:val="false"/>
          <w:bCs w:val="false"/>
          <w:i w:val="false"/>
          <w:iCs w:val="false"/>
          <w:color w:val="16242E"/>
          <w:sz w:val="21"/>
          <w:szCs w:val="21"/>
        </w:rPr>
        <w:t>A defining feature of Flock is that assets can trade through multiple market mechanisms, and that the platform hosts event-driven and risk-transfer markets alongside conventional spot trading. Each market type is a distinct product with its own liquidity model, risk profile, and regulatory classification.</w:t>
      </w:r>
    </w:p>
    <w:tbl>
      <w:tblPr>
        <w:tblW w:w="9360" w:type="dxa"/>
        <w:jc w:val="left"/>
        <w:tblInd w:w="0" w:type="dxa"/>
        <w:tblLayout w:type="fixed"/>
        <w:tblCellMar>
          <w:top w:w="66" w:type="dxa"/>
          <w:left w:w="100" w:type="dxa"/>
          <w:bottom w:w="66" w:type="dxa"/>
          <w:right w:w="100" w:type="dxa"/>
        </w:tblCellMar>
      </w:tblPr>
      <w:tblGrid>
        <w:gridCol w:w="1750"/>
        <w:gridCol w:w="2050"/>
        <w:gridCol w:w="2299"/>
        <w:gridCol w:w="560"/>
        <w:gridCol w:w="2701"/>
      </w:tblGrid>
      <w:tr>
        <w:trPr>
          <w:tblHeader w:val="true"/>
        </w:trPr>
        <w:tc>
          <w:tcPr>
            <w:tcW w:w="17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Market Type</w:t>
            </w:r>
          </w:p>
        </w:tc>
        <w:tc>
          <w:tcPr>
            <w:tcW w:w="20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What Trades</w:t>
            </w:r>
          </w:p>
        </w:tc>
        <w:tc>
          <w:tcPr>
            <w:tcW w:w="22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Mechanism</w:t>
            </w:r>
          </w:p>
        </w:tc>
        <w:tc>
          <w:tcPr>
            <w:tcW w:w="5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Tier</w:t>
            </w:r>
          </w:p>
        </w:tc>
        <w:tc>
          <w:tcPr>
            <w:tcW w:w="270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Regulatory Note</w:t>
            </w:r>
          </w:p>
        </w:tc>
      </w:tr>
      <w:tr>
        <w:trPr/>
        <w:tc>
          <w:tcPr>
            <w:tcW w:w="17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Spot exchange</w:t>
            </w:r>
          </w:p>
        </w:tc>
        <w:tc>
          <w:tcPr>
            <w:tcW w:w="20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Tokenized assets, outright</w:t>
            </w:r>
          </w:p>
        </w:tc>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AMM and/or order book</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w:t>
            </w:r>
          </w:p>
        </w:tc>
        <w:tc>
          <w:tcPr>
            <w:tcW w:w="27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Securities via licensed venue; crypto under AML regime</w:t>
            </w:r>
          </w:p>
        </w:tc>
      </w:tr>
      <w:tr>
        <w:trPr/>
        <w:tc>
          <w:tcPr>
            <w:tcW w:w="17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Prediction / event markets</w:t>
            </w:r>
          </w:p>
        </w:tc>
        <w:tc>
          <w:tcPr>
            <w:tcW w:w="20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Contracts on future event outcomes</w:t>
            </w:r>
          </w:p>
        </w:tc>
        <w:tc>
          <w:tcPr>
            <w:tcW w:w="22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Scoring-rule or order-book; oracle resolution</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w:t>
            </w:r>
          </w:p>
        </w:tc>
        <w:tc>
          <w:tcPr>
            <w:tcW w:w="27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CFTC designated-contract-market structure; jurisdiction-gated</w:t>
            </w:r>
          </w:p>
        </w:tc>
      </w:tr>
      <w:tr>
        <w:trPr/>
        <w:tc>
          <w:tcPr>
            <w:tcW w:w="17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Derivatives (futures/options)</w:t>
            </w:r>
          </w:p>
        </w:tc>
        <w:tc>
          <w:tcPr>
            <w:tcW w:w="20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Contracts referencing an underlying</w:t>
            </w:r>
          </w:p>
        </w:tc>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Margined contracts; clearing</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27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Commodities/securities derivatives regime; clearing and margin rules</w:t>
            </w:r>
          </w:p>
        </w:tc>
      </w:tr>
      <w:tr>
        <w:trPr/>
        <w:tc>
          <w:tcPr>
            <w:tcW w:w="17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Perpetual swaps</w:t>
            </w:r>
          </w:p>
        </w:tc>
        <w:tc>
          <w:tcPr>
            <w:tcW w:w="20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Perpetual leveraged exposure</w:t>
            </w:r>
          </w:p>
        </w:tc>
        <w:tc>
          <w:tcPr>
            <w:tcW w:w="22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Funding-rate mechanism; liquidation engine</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27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Leverage and liquidation controls; derivatives classification</w:t>
            </w:r>
          </w:p>
        </w:tc>
      </w:tr>
      <w:tr>
        <w:trPr/>
        <w:tc>
          <w:tcPr>
            <w:tcW w:w="17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Parametric insurance</w:t>
            </w:r>
          </w:p>
        </w:tc>
        <w:tc>
          <w:tcPr>
            <w:tcW w:w="20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Coverage against defined triggers</w:t>
            </w:r>
          </w:p>
        </w:tc>
        <w:tc>
          <w:tcPr>
            <w:tcW w:w="22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Risk pool; oracle-verified payout</w:t>
            </w:r>
          </w:p>
        </w:tc>
        <w:tc>
          <w:tcPr>
            <w:tcW w:w="5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27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Insurance regulation; capital adequacy of the risk pool</w:t>
            </w:r>
          </w:p>
        </w:tc>
      </w:tr>
      <w:tr>
        <w:trPr/>
        <w:tc>
          <w:tcPr>
            <w:tcW w:w="17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Securities lending (P2P)</w:t>
            </w:r>
          </w:p>
        </w:tc>
        <w:tc>
          <w:tcPr>
            <w:tcW w:w="20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Loans of held securities</w:t>
            </w:r>
          </w:p>
        </w:tc>
        <w:tc>
          <w:tcPr>
            <w:tcW w:w="22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Peer-matched; collateralized</w:t>
            </w:r>
          </w:p>
        </w:tc>
        <w:tc>
          <w:tcPr>
            <w:tcW w:w="5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w:t>
            </w:r>
          </w:p>
        </w:tc>
        <w:tc>
          <w:tcPr>
            <w:tcW w:w="27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Lender bears counterparty risk; collateral and default machinery (Section 4.6)</w:t>
            </w:r>
          </w:p>
        </w:tc>
      </w:tr>
    </w:tbl>
    <w:p>
      <w:pPr>
        <w:pStyle w:val="Normal"/>
        <w:spacing w:before="70" w:after="180"/>
        <w:rPr/>
      </w:pPr>
      <w:r>
        <w:rPr>
          <w:rFonts w:eastAsia="Arial" w:cs="Arial" w:ascii="Arial" w:hAnsi="Arial"/>
          <w:i/>
          <w:iCs/>
          <w:color w:val="5E6B75"/>
          <w:sz w:val="17"/>
          <w:szCs w:val="17"/>
        </w:rPr>
        <w:t>Table 4.2 — Market types supported by Flock. Prediction markets, derivatives, perpetual swaps, and parametric insurance are first-class capabilities, introduced under regulated venue structures in Phase 2 and beyond.</w:t>
      </w:r>
    </w:p>
    <w:p>
      <w:pPr>
        <w:pStyle w:val="Heading2"/>
        <w:rPr/>
      </w:pPr>
      <w:bookmarkStart w:id="20" w:name="__RefHeading___Toc2750_705121531"/>
      <w:bookmarkEnd w:id="20"/>
      <w:r>
        <w:rPr/>
        <w:t>4.3 Prediction and Event Markets</w:t>
      </w:r>
    </w:p>
    <w:p>
      <w:pPr>
        <w:pStyle w:val="Normal"/>
        <w:spacing w:lineRule="auto" w:line="266" w:before="0" w:after="130"/>
        <w:jc w:val="both"/>
        <w:rPr/>
      </w:pPr>
      <w:r>
        <w:rPr>
          <w:rFonts w:eastAsia="Georgia" w:cs="Georgia"/>
          <w:b w:val="false"/>
          <w:bCs w:val="false"/>
          <w:i w:val="false"/>
          <w:iCs w:val="false"/>
          <w:color w:val="16242E"/>
          <w:sz w:val="21"/>
          <w:szCs w:val="21"/>
        </w:rPr>
        <w:t xml:space="preserve">Prediction markets—venues where participants trade contracts paying out on the realized outcome of future events—are theoretically valuable for information aggregation and hedging, and Flock treats them as a core market type. The plan is disciplined about how they are offered. The empirical record is unambiguous that, while such markets are accurate in aggregate, </w:t>
      </w:r>
      <w:r>
        <w:rPr>
          <w:rFonts w:eastAsia="Georgia" w:cs="Georgia"/>
          <w:b/>
          <w:bCs/>
          <w:i w:val="false"/>
          <w:iCs w:val="false"/>
          <w:color w:val="16242E"/>
          <w:sz w:val="21"/>
          <w:szCs w:val="21"/>
        </w:rPr>
        <w:t>price discovery is driven by a small skilled minority while the majority of participants lose money</w:t>
      </w:r>
      <w:r>
        <w:rPr>
          <w:rFonts w:eastAsia="Georgia" w:cs="Georgia"/>
          <w:b w:val="false"/>
          <w:bCs w:val="false"/>
          <w:i w:val="false"/>
          <w:iCs w:val="false"/>
          <w:color w:val="16242E"/>
          <w:sz w:val="21"/>
          <w:szCs w:val="21"/>
        </w:rPr>
        <w:t xml:space="preserve">. Accordingly, Flock positions event contracts primarily as </w:t>
      </w:r>
      <w:r>
        <w:rPr>
          <w:rFonts w:eastAsia="Georgia" w:cs="Georgia"/>
          <w:b/>
          <w:bCs/>
          <w:i w:val="false"/>
          <w:iCs w:val="false"/>
          <w:color w:val="16242E"/>
          <w:sz w:val="21"/>
          <w:szCs w:val="21"/>
        </w:rPr>
        <w:t>forecasting and hedging instruments</w:t>
      </w:r>
      <w:r>
        <w:rPr>
          <w:rFonts w:eastAsia="Georgia" w:cs="Georgia"/>
          <w:b w:val="false"/>
          <w:bCs w:val="false"/>
          <w:i w:val="false"/>
          <w:iCs w:val="false"/>
          <w:color w:val="16242E"/>
          <w:sz w:val="21"/>
          <w:szCs w:val="21"/>
        </w:rPr>
        <w:t>, discloses the documented loss distribution prominently, gates speculative participation behind Tier 2 competence, and operates them only through a regulated designated-contract-market structure with jurisdiction-aware eligibility. The same disciplined posture extends to politically or socially sensitive event contracts, which are subject to additional eligibility and conduct constraints.</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FA7D6"/>
              <w:left w:val="single" w:sz="22" w:space="0" w:color="3FA7D6"/>
              <w:bottom w:val="single" w:sz="2" w:space="0" w:color="3FA7D6"/>
              <w:right w:val="single" w:sz="2" w:space="0" w:color="3FA7D6"/>
            </w:tcBorders>
            <w:shd w:fill="E3EEF7" w:val="clear"/>
          </w:tcPr>
          <w:p>
            <w:pPr>
              <w:pStyle w:val="Normal"/>
              <w:spacing w:before="0" w:after="70"/>
              <w:rPr/>
            </w:pPr>
            <w:r>
              <w:rPr>
                <w:rFonts w:eastAsia="Arial" w:cs="Arial" w:ascii="Arial" w:hAnsi="Arial"/>
                <w:b/>
                <w:bCs/>
                <w:color w:val="0B3D6B"/>
                <w:sz w:val="21"/>
                <w:szCs w:val="21"/>
              </w:rPr>
              <w:t>Design Rule — Event Markets</w:t>
            </w:r>
          </w:p>
          <w:p>
            <w:pPr>
              <w:pStyle w:val="Normal"/>
              <w:spacing w:lineRule="auto" w:line="261" w:before="0" w:after="0"/>
              <w:rPr/>
            </w:pPr>
            <w:r>
              <w:rPr>
                <w:rFonts w:eastAsia="Georgia" w:cs="Georgia"/>
                <w:color w:val="16242E"/>
                <w:sz w:val="20"/>
                <w:szCs w:val="20"/>
              </w:rPr>
              <w:t>Event and prediction markets are never marketed to inexperienced users as a casual earning opportunity. They are framed as hedging and forecasting tools, gated by competence tier and jurisdiction, offered under a regulated venue structure, and accompanied by prominent disclosure that most participants historically lose money.</w:t>
            </w:r>
          </w:p>
        </w:tc>
      </w:tr>
    </w:tbl>
    <w:p>
      <w:pPr>
        <w:pStyle w:val="Normal"/>
        <w:spacing w:before="0" w:after="80"/>
        <w:rPr/>
      </w:pPr>
      <w:r>
        <w:rPr/>
      </w:r>
    </w:p>
    <w:p>
      <w:pPr>
        <w:pStyle w:val="Heading2"/>
        <w:rPr/>
      </w:pPr>
      <w:bookmarkStart w:id="21" w:name="__RefHeading___Toc2752_705121531"/>
      <w:bookmarkEnd w:id="21"/>
      <w:r>
        <w:rPr/>
        <w:t>4.4 Derivatives and Perpetual Swaps</w:t>
      </w:r>
    </w:p>
    <w:p>
      <w:pPr>
        <w:pStyle w:val="Normal"/>
        <w:spacing w:lineRule="auto" w:line="266" w:before="0" w:after="130"/>
        <w:jc w:val="both"/>
        <w:rPr/>
      </w:pPr>
      <w:r>
        <w:rPr>
          <w:rFonts w:eastAsia="Georgia" w:cs="Georgia"/>
          <w:b w:val="false"/>
          <w:bCs w:val="false"/>
          <w:i w:val="false"/>
          <w:iCs w:val="false"/>
          <w:color w:val="16242E"/>
          <w:sz w:val="21"/>
          <w:szCs w:val="21"/>
        </w:rPr>
        <w:t>Conventional derivatives (futures and options) and their decentralized analogue, the perpetual swap, extend the platform into leveraged and hedging strategies. These instruments carry leverage, liquidation, and counterparty risks that demand a robust liquidation engine, conservative margin requirements, and clear risk disclosure. They are Tier 3 capabilities, introduced only after the spot and event-market layers are operating under clear regulatory authority. Perpetual swaps in particular require a well-tested funding-rate mechanism and liquidation system; the platform will favor proven designs and rigorous testing over novel, unaudited mechanisms.</w:t>
      </w:r>
    </w:p>
    <w:p>
      <w:pPr>
        <w:pStyle w:val="Heading2"/>
        <w:rPr/>
      </w:pPr>
      <w:bookmarkStart w:id="22" w:name="__RefHeading___Toc2754_705121531"/>
      <w:bookmarkEnd w:id="22"/>
      <w:r>
        <w:rPr/>
        <w:t>4.5 Parametric and Decentralized Insurance</w:t>
      </w:r>
    </w:p>
    <w:p>
      <w:pPr>
        <w:pStyle w:val="Normal"/>
        <w:spacing w:lineRule="auto" w:line="266" w:before="0" w:after="130"/>
        <w:jc w:val="both"/>
        <w:rPr/>
      </w:pPr>
      <w:r>
        <w:rPr>
          <w:rFonts w:eastAsia="Georgia" w:cs="Georgia"/>
          <w:b w:val="false"/>
          <w:bCs w:val="false"/>
          <w:i w:val="false"/>
          <w:iCs w:val="false"/>
          <w:color w:val="16242E"/>
          <w:sz w:val="21"/>
          <w:szCs w:val="21"/>
        </w:rPr>
        <w:t>Parametric insurance—coverage that pays out automatically when an objective, oracle-verifiable trigger is met (a flight delay, a weather event, a smart-contract failure)—rounds out the market taxonomy as a risk-transfer mechanism. It is attractive precisely because payout can be automated and transparent, but it requires a well-capitalized risk pool, sound actuarial design, and oracle integrity for the trigger. It is a Tier 3 capability subject to insurance regulation and to capital-adequacy discipline on the underlying pool.</w:t>
      </w:r>
    </w:p>
    <w:p>
      <w:pPr>
        <w:pStyle w:val="Heading2"/>
        <w:rPr/>
      </w:pPr>
      <w:bookmarkStart w:id="23" w:name="__RefHeading___Toc2756_705121531"/>
      <w:bookmarkEnd w:id="23"/>
      <w:r>
        <w:rPr/>
        <w:t>4.6 Peer-to-Peer Securities Lending</w:t>
      </w:r>
    </w:p>
    <w:p>
      <w:pPr>
        <w:pStyle w:val="Normal"/>
        <w:spacing w:lineRule="auto" w:line="266" w:before="0" w:after="130"/>
        <w:jc w:val="both"/>
        <w:rPr/>
      </w:pPr>
      <w:r>
        <w:rPr>
          <w:rFonts w:eastAsia="Georgia" w:cs="Georgia"/>
          <w:b w:val="false"/>
          <w:bCs w:val="false"/>
          <w:i w:val="false"/>
          <w:iCs w:val="false"/>
          <w:color w:val="16242E"/>
          <w:sz w:val="21"/>
          <w:szCs w:val="21"/>
        </w:rPr>
        <w:t>Securities lending is both an asset-utilization feature and one of Flock’s three differentiators. The incumbent benchmark—a centralized stock-yield-enhancement program—pays the lender roughly half the market lending rate, makes the broker the sole counterparty, removes counterparty choice, and strips proxy-voting rights. Flock’s peer-to-peer model lets owners lend directly to selected borrowers on transparent on-chain terms, returning the intermediary’s spread to the lender. This is a genuine improvement, and it carries a genuine cost: the lender, not an intermediary, bears counterparty-default risk. The plan therefore requires over-collateralization, automated on-chain margining, default-insurance provisioning, and unambiguous disclosure of where the risk sits. It is a Tier 2 capability, gated behind the competence and disclosure controls that make it responsible.</w:t>
      </w:r>
    </w:p>
    <w:p>
      <w:pPr>
        <w:pStyle w:val="Heading2"/>
        <w:rPr/>
      </w:pPr>
      <w:bookmarkStart w:id="24" w:name="__RefHeading___Toc2758_705121531"/>
      <w:bookmarkEnd w:id="24"/>
      <w:r>
        <w:rPr/>
        <w:t>4.7 A Worked Example: An Asset’s Journey Through Flock</w:t>
      </w:r>
    </w:p>
    <w:p>
      <w:pPr>
        <w:pStyle w:val="Normal"/>
        <w:spacing w:lineRule="auto" w:line="266" w:before="0" w:after="130"/>
        <w:jc w:val="both"/>
        <w:rPr/>
      </w:pPr>
      <w:r>
        <w:rPr>
          <w:rFonts w:eastAsia="Georgia" w:cs="Georgia"/>
          <w:b w:val="false"/>
          <w:bCs w:val="false"/>
          <w:i w:val="false"/>
          <w:iCs w:val="false"/>
          <w:color w:val="16242E"/>
          <w:sz w:val="21"/>
          <w:szCs w:val="21"/>
        </w:rPr>
        <w:t>To make the taxonomy concrete, consider how a single real-world asset—a fractional interest in a commercial property—moves through the platform end to end. The example illustrates how the layers (Section 3.2), the compliance gates (Section 7), and the differentiators interlock in practice.</w:t>
      </w:r>
    </w:p>
    <w:p>
      <w:pPr>
        <w:pStyle w:val="ListParagraph"/>
        <w:numPr>
          <w:ilvl w:val="0"/>
          <w:numId w:val="9"/>
        </w:numPr>
        <w:spacing w:lineRule="auto" w:line="259" w:before="0" w:after="76"/>
        <w:jc w:val="both"/>
        <w:rPr/>
      </w:pPr>
      <w:r>
        <w:rPr>
          <w:rFonts w:eastAsia="Georgia" w:cs="Georgia"/>
          <w:b/>
          <w:bCs/>
          <w:i w:val="false"/>
          <w:iCs w:val="false"/>
          <w:color w:val="16242E"/>
          <w:sz w:val="21"/>
          <w:szCs w:val="21"/>
        </w:rPr>
        <w:t xml:space="preserve">Onboarding and structuring. </w:t>
      </w:r>
      <w:r>
        <w:rPr>
          <w:rFonts w:eastAsia="Georgia" w:cs="Georgia"/>
          <w:b w:val="false"/>
          <w:bCs w:val="false"/>
          <w:i w:val="false"/>
          <w:iCs w:val="false"/>
          <w:color w:val="16242E"/>
          <w:sz w:val="21"/>
          <w:szCs w:val="21"/>
        </w:rPr>
        <w:t>The property is placed in a special-purpose vehicle that holds legal title; a qualified custodian or title registry records the holding, and a per-asset legal opinion confirms that a token will confer an enforceable beneficial interest (the Phase 3 gate, Section 8.4).</w:t>
      </w:r>
    </w:p>
    <w:p>
      <w:pPr>
        <w:pStyle w:val="ListParagraph"/>
        <w:numPr>
          <w:ilvl w:val="0"/>
          <w:numId w:val="4"/>
        </w:numPr>
        <w:spacing w:lineRule="auto" w:line="259" w:before="0" w:after="76"/>
        <w:jc w:val="both"/>
        <w:rPr/>
      </w:pPr>
      <w:r>
        <w:rPr>
          <w:rFonts w:eastAsia="Georgia" w:cs="Georgia"/>
          <w:b/>
          <w:bCs/>
          <w:i w:val="false"/>
          <w:iCs w:val="false"/>
          <w:color w:val="16242E"/>
          <w:sz w:val="21"/>
          <w:szCs w:val="21"/>
        </w:rPr>
        <w:t xml:space="preserve">Tokenization. </w:t>
      </w:r>
      <w:r>
        <w:rPr>
          <w:rFonts w:eastAsia="Georgia" w:cs="Georgia"/>
          <w:b w:val="false"/>
          <w:bCs w:val="false"/>
          <w:i w:val="false"/>
          <w:iCs w:val="false"/>
          <w:color w:val="16242E"/>
          <w:sz w:val="21"/>
          <w:szCs w:val="21"/>
        </w:rPr>
        <w:t>Tokens are minted on a permissioned standard that binds each token to a verified, eligible holder identity and enforces transfer restrictions at the contract level. A proof-of-reserve oracle begins attesting, on-chain, that the tokens remain fully backed.</w:t>
      </w:r>
    </w:p>
    <w:p>
      <w:pPr>
        <w:pStyle w:val="ListParagraph"/>
        <w:numPr>
          <w:ilvl w:val="0"/>
          <w:numId w:val="4"/>
        </w:numPr>
        <w:spacing w:lineRule="auto" w:line="259" w:before="0" w:after="76"/>
        <w:jc w:val="both"/>
        <w:rPr/>
      </w:pPr>
      <w:r>
        <w:rPr>
          <w:rFonts w:eastAsia="Georgia" w:cs="Georgia"/>
          <w:b/>
          <w:bCs/>
          <w:i w:val="false"/>
          <w:iCs w:val="false"/>
          <w:color w:val="16242E"/>
          <w:sz w:val="21"/>
          <w:szCs w:val="21"/>
        </w:rPr>
        <w:t xml:space="preserve">Listing and eligibility. </w:t>
      </w:r>
      <w:r>
        <w:rPr>
          <w:rFonts w:eastAsia="Georgia" w:cs="Georgia"/>
          <w:b w:val="false"/>
          <w:bCs w:val="false"/>
          <w:i w:val="false"/>
          <w:iCs w:val="false"/>
          <w:color w:val="16242E"/>
          <w:sz w:val="21"/>
          <w:szCs w:val="21"/>
        </w:rPr>
        <w:t>The asset is listed as a Tier 3 instrument. Only users who have advanced through the competence tiers and whose verified jurisdiction and accreditation status permit it can access the listing.</w:t>
      </w:r>
    </w:p>
    <w:p>
      <w:pPr>
        <w:pStyle w:val="ListParagraph"/>
        <w:numPr>
          <w:ilvl w:val="0"/>
          <w:numId w:val="4"/>
        </w:numPr>
        <w:spacing w:lineRule="auto" w:line="259" w:before="0" w:after="76"/>
        <w:jc w:val="both"/>
        <w:rPr/>
      </w:pPr>
      <w:r>
        <w:rPr>
          <w:rFonts w:eastAsia="Georgia" w:cs="Georgia"/>
          <w:b/>
          <w:bCs/>
          <w:i w:val="false"/>
          <w:iCs w:val="false"/>
          <w:color w:val="16242E"/>
          <w:sz w:val="21"/>
          <w:szCs w:val="21"/>
        </w:rPr>
        <w:t xml:space="preserve">Trading and liquidity. </w:t>
      </w:r>
      <w:r>
        <w:rPr>
          <w:rFonts w:eastAsia="Georgia" w:cs="Georgia"/>
          <w:b w:val="false"/>
          <w:bCs w:val="false"/>
          <w:i w:val="false"/>
          <w:iCs w:val="false"/>
          <w:color w:val="16242E"/>
          <w:sz w:val="21"/>
          <w:szCs w:val="21"/>
        </w:rPr>
        <w:t>Holders trade tokens on an automated-market-maker or order-book market; ordinary users are routed toward managed, risk-aware strategies rather than unhedged liquidity provision, with impermanent-loss risk disclosed.</w:t>
      </w:r>
    </w:p>
    <w:p>
      <w:pPr>
        <w:pStyle w:val="ListParagraph"/>
        <w:numPr>
          <w:ilvl w:val="0"/>
          <w:numId w:val="4"/>
        </w:numPr>
        <w:spacing w:lineRule="auto" w:line="259" w:before="0" w:after="76"/>
        <w:jc w:val="both"/>
        <w:rPr/>
      </w:pPr>
      <w:r>
        <w:rPr>
          <w:rFonts w:eastAsia="Georgia" w:cs="Georgia"/>
          <w:b/>
          <w:bCs/>
          <w:i w:val="false"/>
          <w:iCs w:val="false"/>
          <w:color w:val="16242E"/>
          <w:sz w:val="21"/>
          <w:szCs w:val="21"/>
        </w:rPr>
        <w:t xml:space="preserve">Utilization. </w:t>
      </w:r>
      <w:r>
        <w:rPr>
          <w:rFonts w:eastAsia="Georgia" w:cs="Georgia"/>
          <w:b w:val="false"/>
          <w:bCs w:val="false"/>
          <w:i w:val="false"/>
          <w:iCs w:val="false"/>
          <w:color w:val="16242E"/>
          <w:sz w:val="21"/>
          <w:szCs w:val="21"/>
        </w:rPr>
        <w:t>A holder may lend tokens through the peer-to-peer securities-lending market—selecting the counterparty, on transparent on-chain terms, over-collateralized and insured—earning the spread a centralized intermediary would otherwise capture.</w:t>
      </w:r>
    </w:p>
    <w:p>
      <w:pPr>
        <w:pStyle w:val="ListParagraph"/>
        <w:numPr>
          <w:ilvl w:val="0"/>
          <w:numId w:val="4"/>
        </w:numPr>
        <w:spacing w:lineRule="auto" w:line="259" w:before="0" w:after="76"/>
        <w:jc w:val="both"/>
        <w:rPr/>
      </w:pPr>
      <w:r>
        <w:rPr>
          <w:rFonts w:eastAsia="Georgia" w:cs="Georgia"/>
          <w:b/>
          <w:bCs/>
          <w:i w:val="false"/>
          <w:iCs w:val="false"/>
          <w:color w:val="16242E"/>
          <w:sz w:val="21"/>
          <w:szCs w:val="21"/>
        </w:rPr>
        <w:t xml:space="preserve">Redemption. </w:t>
      </w:r>
      <w:r>
        <w:rPr>
          <w:rFonts w:eastAsia="Georgia" w:cs="Georgia"/>
          <w:b w:val="false"/>
          <w:bCs w:val="false"/>
          <w:i w:val="false"/>
          <w:iCs w:val="false"/>
          <w:color w:val="16242E"/>
          <w:sz w:val="21"/>
          <w:szCs w:val="21"/>
        </w:rPr>
        <w:t>Subject to the SPV’s terms, a holder can redeem the token for the underlying beneficial interest—the hybrid physical-digital ownership guarantee—because the legal wrapper, custody, and proof-of-reserve were established at onboarding rather than promised after the fact.</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FA7D6"/>
              <w:left w:val="single" w:sz="22" w:space="0" w:color="3FA7D6"/>
              <w:bottom w:val="single" w:sz="2" w:space="0" w:color="3FA7D6"/>
              <w:right w:val="single" w:sz="2" w:space="0" w:color="3FA7D6"/>
            </w:tcBorders>
            <w:shd w:fill="F2F9FB" w:val="clear"/>
          </w:tcPr>
          <w:p>
            <w:pPr>
              <w:pStyle w:val="Normal"/>
              <w:spacing w:before="0" w:after="70"/>
              <w:rPr/>
            </w:pPr>
            <w:r>
              <w:rPr>
                <w:rFonts w:eastAsia="Arial" w:cs="Arial" w:ascii="Arial" w:hAnsi="Arial"/>
                <w:b/>
                <w:bCs/>
                <w:color w:val="0B3D6B"/>
                <w:sz w:val="21"/>
                <w:szCs w:val="21"/>
              </w:rPr>
              <w:t>What the Example Shows</w:t>
            </w:r>
          </w:p>
          <w:p>
            <w:pPr>
              <w:pStyle w:val="Normal"/>
              <w:spacing w:lineRule="auto" w:line="261" w:before="0" w:after="0"/>
              <w:rPr/>
            </w:pPr>
            <w:r>
              <w:rPr>
                <w:rFonts w:eastAsia="Georgia" w:cs="Georgia"/>
                <w:color w:val="16242E"/>
                <w:sz w:val="20"/>
                <w:szCs w:val="20"/>
              </w:rPr>
              <w:t>Every step depends on a constraint established earlier: redemption works because the legal wrapper exists; eligibility works because identity is bound at the token level; lending is safe because collateral and disclosure are built in. The platform’s value is not any single step but the disciplined chain that connects them—which is precisely why piecemeal incumbents cannot easily replicate it.</w:t>
            </w:r>
          </w:p>
        </w:tc>
      </w:tr>
    </w:tbl>
    <w:p>
      <w:pPr>
        <w:pStyle w:val="Normal"/>
        <w:rPr/>
      </w:pPr>
      <w:r>
        <w:rPr/>
      </w:r>
      <w:r>
        <w:br w:type="page"/>
      </w:r>
    </w:p>
    <w:p>
      <w:pPr>
        <w:pStyle w:val="Heading1"/>
        <w:spacing w:before="0" w:after="190"/>
        <w:rPr/>
      </w:pPr>
      <w:bookmarkStart w:id="25" w:name="__RefHeading___Toc2760_705121531"/>
      <w:bookmarkEnd w:id="25"/>
      <w:r>
        <w:rPr/>
        <w:t>5. Competitive Landscape and Positioning</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Flock’s claim is not that any single capability is unprecedented—several incumbents offer pieces of the picture—but that </w:t>
      </w:r>
      <w:r>
        <w:rPr>
          <w:rFonts w:eastAsia="Georgia" w:cs="Georgia"/>
          <w:b/>
          <w:bCs/>
          <w:i w:val="false"/>
          <w:iCs w:val="false"/>
          <w:color w:val="16242E"/>
          <w:sz w:val="21"/>
          <w:szCs w:val="21"/>
        </w:rPr>
        <w:t>integration across the full spectrum, behind a compliance-first, competence-gated experience, is the unmet need</w:t>
      </w:r>
      <w:r>
        <w:rPr>
          <w:rFonts w:eastAsia="Georgia" w:cs="Georgia"/>
          <w:b w:val="false"/>
          <w:bCs w:val="false"/>
          <w:i w:val="false"/>
          <w:iCs w:val="false"/>
          <w:color w:val="16242E"/>
          <w:sz w:val="21"/>
          <w:szCs w:val="21"/>
        </w:rPr>
        <w:t>. This section maps the competitive field and locates Flock within it.</w:t>
      </w:r>
    </w:p>
    <w:p>
      <w:pPr>
        <w:pStyle w:val="Heading2"/>
        <w:rPr/>
      </w:pPr>
      <w:bookmarkStart w:id="26" w:name="__RefHeading___Toc2762_705121531"/>
      <w:bookmarkEnd w:id="26"/>
      <w:r>
        <w:rPr/>
        <w:t>5.1 Categories of Incumbent</w:t>
      </w:r>
    </w:p>
    <w:tbl>
      <w:tblPr>
        <w:tblW w:w="9360" w:type="dxa"/>
        <w:jc w:val="left"/>
        <w:tblInd w:w="0" w:type="dxa"/>
        <w:tblLayout w:type="fixed"/>
        <w:tblCellMar>
          <w:top w:w="66" w:type="dxa"/>
          <w:left w:w="100" w:type="dxa"/>
          <w:bottom w:w="66" w:type="dxa"/>
          <w:right w:w="100" w:type="dxa"/>
        </w:tblCellMar>
      </w:tblPr>
      <w:tblGrid>
        <w:gridCol w:w="2049"/>
        <w:gridCol w:w="2250"/>
        <w:gridCol w:w="2300"/>
        <w:gridCol w:w="2760"/>
      </w:tblGrid>
      <w:tr>
        <w:trPr>
          <w:tblHeader w:val="true"/>
        </w:trPr>
        <w:tc>
          <w:tcPr>
            <w:tcW w:w="204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Category</w:t>
            </w:r>
          </w:p>
        </w:tc>
        <w:tc>
          <w:tcPr>
            <w:tcW w:w="22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Examples (illustrative)</w:t>
            </w:r>
          </w:p>
        </w:tc>
        <w:tc>
          <w:tcPr>
            <w:tcW w:w="23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Strength</w:t>
            </w:r>
          </w:p>
        </w:tc>
        <w:tc>
          <w:tcPr>
            <w:tcW w:w="27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Gap Flock Addresses</w:t>
            </w:r>
          </w:p>
        </w:tc>
      </w:tr>
      <w:tr>
        <w:trPr/>
        <w:tc>
          <w:tcPr>
            <w:tcW w:w="20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Multi-asset brokerages</w:t>
            </w:r>
          </w:p>
        </w:tc>
        <w:tc>
          <w:tcPr>
            <w:tcW w:w="22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Discount and full-service brokers</w:t>
            </w:r>
          </w:p>
        </w:tc>
        <w:tc>
          <w:tcPr>
            <w:tcW w:w="23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Broad public-market access; mature tooling</w:t>
            </w:r>
          </w:p>
        </w:tc>
        <w:tc>
          <w:tcPr>
            <w:tcW w:w="27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No native tokenization; no true alternative-asset ownership; centralized lending; no learning progression</w:t>
            </w:r>
          </w:p>
        </w:tc>
      </w:tr>
      <w:tr>
        <w:trPr/>
        <w:tc>
          <w:tcPr>
            <w:tcW w:w="20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Crypto exchanges</w:t>
            </w:r>
          </w:p>
        </w:tc>
        <w:tc>
          <w:tcPr>
            <w:tcW w:w="22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Major centralized exchanges</w:t>
            </w:r>
          </w:p>
        </w:tc>
        <w:tc>
          <w:tcPr>
            <w:tcW w:w="23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Deep digital-asset liquidity; on/off-ramps</w:t>
            </w:r>
          </w:p>
        </w:tc>
        <w:tc>
          <w:tcPr>
            <w:tcW w:w="27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Limited regulated-securities access; speculation-led; thin advisory and education</w:t>
            </w:r>
          </w:p>
        </w:tc>
      </w:tr>
      <w:tr>
        <w:trPr/>
        <w:tc>
          <w:tcPr>
            <w:tcW w:w="20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Alt-asset platforms</w:t>
            </w:r>
          </w:p>
        </w:tc>
        <w:tc>
          <w:tcPr>
            <w:tcW w:w="22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Private-market, real-estate, and art platforms</w:t>
            </w:r>
          </w:p>
        </w:tc>
        <w:tc>
          <w:tcPr>
            <w:tcW w:w="23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Access to one alternative class</w:t>
            </w:r>
          </w:p>
        </w:tc>
        <w:tc>
          <w:tcPr>
            <w:tcW w:w="27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Single-class silos; accreditation-gated; no interoperation; no unified advice</w:t>
            </w:r>
          </w:p>
        </w:tc>
      </w:tr>
      <w:tr>
        <w:trPr/>
        <w:tc>
          <w:tcPr>
            <w:tcW w:w="20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Regulated tokenization venues</w:t>
            </w:r>
          </w:p>
        </w:tc>
        <w:tc>
          <w:tcPr>
            <w:tcW w:w="22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Securitize-, tZERO-, ADDX-style platforms</w:t>
            </w:r>
          </w:p>
        </w:tc>
        <w:tc>
          <w:tcPr>
            <w:tcW w:w="23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Compliant rails for digital securities</w:t>
            </w:r>
          </w:p>
        </w:tc>
        <w:tc>
          <w:tcPr>
            <w:tcW w:w="27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Not consumer super-apps; narrow asset range; no social or literacy layer</w:t>
            </w:r>
          </w:p>
        </w:tc>
      </w:tr>
      <w:tr>
        <w:trPr/>
        <w:tc>
          <w:tcPr>
            <w:tcW w:w="20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Robo-advisors</w:t>
            </w:r>
          </w:p>
        </w:tc>
        <w:tc>
          <w:tcPr>
            <w:tcW w:w="22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Automated portfolio managers</w:t>
            </w:r>
          </w:p>
        </w:tc>
        <w:tc>
          <w:tcPr>
            <w:tcW w:w="23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Low-cost diversified advice</w:t>
            </w:r>
          </w:p>
        </w:tc>
        <w:tc>
          <w:tcPr>
            <w:tcW w:w="27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Public assets only; no tokenization, social, or alternative markets</w:t>
            </w:r>
          </w:p>
        </w:tc>
      </w:tr>
      <w:tr>
        <w:trPr/>
        <w:tc>
          <w:tcPr>
            <w:tcW w:w="20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Prediction-market venues</w:t>
            </w:r>
          </w:p>
        </w:tc>
        <w:tc>
          <w:tcPr>
            <w:tcW w:w="22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Event-contract exchanges</w:t>
            </w:r>
          </w:p>
        </w:tc>
        <w:tc>
          <w:tcPr>
            <w:tcW w:w="23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Event/forecasting markets</w:t>
            </w:r>
          </w:p>
        </w:tc>
        <w:tc>
          <w:tcPr>
            <w:tcW w:w="27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Single market type; weak consumer protection; not integrated with investing</w:t>
            </w:r>
          </w:p>
        </w:tc>
      </w:tr>
    </w:tbl>
    <w:p>
      <w:pPr>
        <w:pStyle w:val="Normal"/>
        <w:spacing w:before="70" w:after="180"/>
        <w:rPr/>
      </w:pPr>
      <w:r>
        <w:rPr>
          <w:rFonts w:eastAsia="Arial" w:cs="Arial" w:ascii="Arial" w:hAnsi="Arial"/>
          <w:i/>
          <w:iCs/>
          <w:color w:val="5E6B75"/>
          <w:sz w:val="17"/>
          <w:szCs w:val="17"/>
        </w:rPr>
        <w:t>Table 5.1 — Incumbent categories and the gap each leaves. No incumbent unifies the spectrum, which is simultaneously Flock’s opportunity and the reason the integration is hard.</w:t>
      </w:r>
    </w:p>
    <w:p>
      <w:pPr>
        <w:pStyle w:val="Heading2"/>
        <w:rPr/>
      </w:pPr>
      <w:bookmarkStart w:id="27" w:name="__RefHeading___Toc2764_705121531"/>
      <w:bookmarkEnd w:id="27"/>
      <w:r>
        <w:rPr/>
        <w:t>5.2 Flock’s Differentiated Position</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 occupies the intersection no incumbent fills: a </w:t>
      </w:r>
      <w:r>
        <w:rPr>
          <w:rFonts w:eastAsia="Georgia" w:cs="Georgia"/>
          <w:b/>
          <w:bCs/>
          <w:i w:val="false"/>
          <w:iCs w:val="false"/>
          <w:color w:val="16242E"/>
          <w:sz w:val="21"/>
          <w:szCs w:val="21"/>
        </w:rPr>
        <w:t>unified, multi-asset, multi-market platform</w:t>
      </w:r>
      <w:r>
        <w:rPr>
          <w:rFonts w:eastAsia="Georgia" w:cs="Georgia"/>
          <w:b w:val="false"/>
          <w:bCs w:val="false"/>
          <w:i w:val="false"/>
          <w:iCs w:val="false"/>
          <w:color w:val="16242E"/>
          <w:sz w:val="21"/>
          <w:szCs w:val="21"/>
        </w:rPr>
        <w:t xml:space="preserve"> that is </w:t>
      </w:r>
      <w:r>
        <w:rPr>
          <w:rFonts w:eastAsia="Georgia" w:cs="Georgia"/>
          <w:b/>
          <w:bCs/>
          <w:i w:val="false"/>
          <w:iCs w:val="false"/>
          <w:color w:val="16242E"/>
          <w:sz w:val="21"/>
          <w:szCs w:val="21"/>
        </w:rPr>
        <w:t>compliance-first</w:t>
      </w:r>
      <w:r>
        <w:rPr>
          <w:rFonts w:eastAsia="Georgia" w:cs="Georgia"/>
          <w:b w:val="false"/>
          <w:bCs w:val="false"/>
          <w:i w:val="false"/>
          <w:iCs w:val="false"/>
          <w:color w:val="16242E"/>
          <w:sz w:val="21"/>
          <w:szCs w:val="21"/>
        </w:rPr>
        <w:t xml:space="preserve"> (regulated rails, not regulatory arbitrage), </w:t>
      </w:r>
      <w:r>
        <w:rPr>
          <w:rFonts w:eastAsia="Georgia" w:cs="Georgia"/>
          <w:b/>
          <w:bCs/>
          <w:i w:val="false"/>
          <w:iCs w:val="false"/>
          <w:color w:val="16242E"/>
          <w:sz w:val="21"/>
          <w:szCs w:val="21"/>
        </w:rPr>
        <w:t>advice-rich and transparent</w:t>
      </w:r>
      <w:r>
        <w:rPr>
          <w:rFonts w:eastAsia="Georgia" w:cs="Georgia"/>
          <w:b w:val="false"/>
          <w:bCs w:val="false"/>
          <w:i w:val="false"/>
          <w:iCs w:val="false"/>
          <w:color w:val="16242E"/>
          <w:sz w:val="21"/>
          <w:szCs w:val="21"/>
        </w:rPr>
        <w:t xml:space="preserve"> (explainable intelligence with standardized risk communication), </w:t>
      </w:r>
      <w:r>
        <w:rPr>
          <w:rFonts w:eastAsia="Georgia" w:cs="Georgia"/>
          <w:b/>
          <w:bCs/>
          <w:i w:val="false"/>
          <w:iCs w:val="false"/>
          <w:color w:val="16242E"/>
          <w:sz w:val="21"/>
          <w:szCs w:val="21"/>
        </w:rPr>
        <w:t>socially enabled with guardrails</w:t>
      </w:r>
      <w:r>
        <w:rPr>
          <w:rFonts w:eastAsia="Georgia" w:cs="Georgia"/>
          <w:b w:val="false"/>
          <w:bCs w:val="false"/>
          <w:i w:val="false"/>
          <w:iCs w:val="false"/>
          <w:color w:val="16242E"/>
          <w:sz w:val="21"/>
          <w:szCs w:val="21"/>
        </w:rPr>
        <w:t xml:space="preserve"> (copy trading and peer advisory under herding controls), and </w:t>
      </w:r>
      <w:r>
        <w:rPr>
          <w:rFonts w:eastAsia="Georgia" w:cs="Georgia"/>
          <w:b/>
          <w:bCs/>
          <w:i w:val="false"/>
          <w:iCs w:val="false"/>
          <w:color w:val="16242E"/>
          <w:sz w:val="21"/>
          <w:szCs w:val="21"/>
        </w:rPr>
        <w:t>competence-gated</w:t>
      </w:r>
      <w:r>
        <w:rPr>
          <w:rFonts w:eastAsia="Georgia" w:cs="Georgia"/>
          <w:b w:val="false"/>
          <w:bCs w:val="false"/>
          <w:i w:val="false"/>
          <w:iCs w:val="false"/>
          <w:color w:val="16242E"/>
          <w:sz w:val="21"/>
          <w:szCs w:val="21"/>
        </w:rPr>
        <w:t xml:space="preserve"> (a learning progression in place of a wealth gate). The three differentiators—hybrid ownership, peer-to-peer lending with counterparty choice, and learning-anchored gamification—are each defensible improvements over the closest incumbent practice rather than repackaged hazards.</w:t>
      </w:r>
    </w:p>
    <w:p>
      <w:pPr>
        <w:pStyle w:val="Heading2"/>
        <w:rPr/>
      </w:pPr>
      <w:bookmarkStart w:id="28" w:name="__RefHeading___Toc2766_705121531"/>
      <w:bookmarkEnd w:id="28"/>
      <w:r>
        <w:rPr/>
        <w:t>5.3 Why Now: Market Timing</w:t>
      </w:r>
    </w:p>
    <w:p>
      <w:pPr>
        <w:pStyle w:val="Normal"/>
        <w:spacing w:lineRule="auto" w:line="266" w:before="0" w:after="130"/>
        <w:jc w:val="both"/>
        <w:rPr/>
      </w:pPr>
      <w:r>
        <w:rPr>
          <w:rFonts w:eastAsia="Georgia" w:cs="Georgia"/>
          <w:b w:val="false"/>
          <w:bCs w:val="false"/>
          <w:i w:val="false"/>
          <w:iCs w:val="false"/>
          <w:color w:val="16242E"/>
          <w:sz w:val="21"/>
          <w:szCs w:val="21"/>
        </w:rPr>
        <w:t xml:space="preserve">Three converging trends make this the right moment to build Flock. First, </w:t>
      </w:r>
      <w:r>
        <w:rPr>
          <w:rFonts w:eastAsia="Georgia" w:cs="Georgia"/>
          <w:b/>
          <w:bCs/>
          <w:i w:val="false"/>
          <w:iCs w:val="false"/>
          <w:color w:val="16242E"/>
          <w:sz w:val="21"/>
          <w:szCs w:val="21"/>
        </w:rPr>
        <w:t>institutional validation</w:t>
      </w:r>
      <w:r>
        <w:rPr>
          <w:rFonts w:eastAsia="Georgia" w:cs="Georgia"/>
          <w:b w:val="false"/>
          <w:bCs w:val="false"/>
          <w:i w:val="false"/>
          <w:iCs w:val="false"/>
          <w:color w:val="16242E"/>
          <w:sz w:val="21"/>
          <w:szCs w:val="21"/>
        </w:rPr>
        <w:t xml:space="preserve"> has arrived: with roughly US$18.6 billion of real-world assets on-chain by late 2025 and flagship regulated funds operating at scale, tokenization has crossed from experiment to infrastructure. Second, </w:t>
      </w:r>
      <w:r>
        <w:rPr>
          <w:rFonts w:eastAsia="Georgia" w:cs="Georgia"/>
          <w:b/>
          <w:bCs/>
          <w:i w:val="false"/>
          <w:iCs w:val="false"/>
          <w:color w:val="16242E"/>
          <w:sz w:val="21"/>
          <w:szCs w:val="21"/>
        </w:rPr>
        <w:t>regulatory frameworks are crystallizing</w:t>
      </w:r>
      <w:r>
        <w:rPr>
          <w:rFonts w:eastAsia="Georgia" w:cs="Georgia"/>
          <w:b w:val="false"/>
          <w:bCs w:val="false"/>
          <w:i w:val="false"/>
          <w:iCs w:val="false"/>
          <w:color w:val="16242E"/>
          <w:sz w:val="21"/>
          <w:szCs w:val="21"/>
        </w:rPr>
        <w:t xml:space="preserve">: the EU’s dual MiCA/DLT-Pilot regime, Singapore’s licensed-platform model, and a more defined U.S. posture give a compliance-first platform real ground to stand on that did not exist a few years ago. Third, </w:t>
      </w:r>
      <w:r>
        <w:rPr>
          <w:rFonts w:eastAsia="Georgia" w:cs="Georgia"/>
          <w:b/>
          <w:bCs/>
          <w:i w:val="false"/>
          <w:iCs w:val="false"/>
          <w:color w:val="16242E"/>
          <w:sz w:val="21"/>
          <w:szCs w:val="21"/>
        </w:rPr>
        <w:t>the central-banking establishment itself</w:t>
      </w:r>
      <w:r>
        <w:rPr>
          <w:rFonts w:eastAsia="Georgia" w:cs="Georgia"/>
          <w:b w:val="false"/>
          <w:bCs w:val="false"/>
          <w:i w:val="false"/>
          <w:iCs w:val="false"/>
          <w:color w:val="16242E"/>
          <w:sz w:val="21"/>
          <w:szCs w:val="21"/>
        </w:rPr>
        <w:t xml:space="preserve"> now describes the future financial system as a tokenized “unified ledger”—lending Flock’s core premise a credibility it would have lacked when tokenization was a crypto-native enthusiasm. The window is real but not indefinite: the same trends invite well-capitalized incumbents, which is why Flock’s regulatory, integration, and trust moats (Section 5.4) must be established deliberately and early.</w:t>
      </w:r>
    </w:p>
    <w:p>
      <w:pPr>
        <w:pStyle w:val="Heading2"/>
        <w:rPr/>
      </w:pPr>
      <w:bookmarkStart w:id="29" w:name="__RefHeading___Toc2768_705121531"/>
      <w:bookmarkEnd w:id="29"/>
      <w:r>
        <w:rPr/>
        <w:t>5.4 Defensibility and Moats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Regulatory moat. </w:t>
      </w:r>
      <w:r>
        <w:rPr>
          <w:rFonts w:eastAsia="Georgia" w:cs="Georgia"/>
          <w:b w:val="false"/>
          <w:bCs w:val="false"/>
          <w:i w:val="false"/>
          <w:iCs w:val="false"/>
          <w:color w:val="16242E"/>
          <w:sz w:val="21"/>
          <w:szCs w:val="21"/>
        </w:rPr>
        <w:t>The substantial fixed cost of licensing and audits is a barrier to entry; once paid, it both protects the platform and is amortized over scale.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Integration moat. </w:t>
      </w:r>
      <w:r>
        <w:rPr>
          <w:rFonts w:eastAsia="Georgia" w:cs="Georgia"/>
          <w:b w:val="false"/>
          <w:bCs w:val="false"/>
          <w:i w:val="false"/>
          <w:iCs w:val="false"/>
          <w:color w:val="16242E"/>
          <w:sz w:val="21"/>
          <w:szCs w:val="21"/>
        </w:rPr>
        <w:t>Unifying many asset classes and market types under one compliant, gated experience is operationally hard to replicate piecemeal.</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Trust and brand moat. </w:t>
      </w:r>
      <w:r>
        <w:rPr>
          <w:rFonts w:eastAsia="Georgia" w:cs="Georgia"/>
          <w:b w:val="false"/>
          <w:bCs w:val="false"/>
          <w:i w:val="false"/>
          <w:iCs w:val="false"/>
          <w:color w:val="16242E"/>
          <w:sz w:val="21"/>
          <w:szCs w:val="21"/>
        </w:rPr>
        <w:t>A patience-and-competence positioning, validated by real participant outcomes, is difficult for speculation-led incumbents to imitate credibly.</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Community and data moat. </w:t>
      </w:r>
      <w:r>
        <w:rPr>
          <w:rFonts w:eastAsia="Georgia" w:cs="Georgia"/>
          <w:b w:val="false"/>
          <w:bCs w:val="false"/>
          <w:i w:val="false"/>
          <w:iCs w:val="false"/>
          <w:color w:val="16242E"/>
          <w:sz w:val="21"/>
          <w:szCs w:val="21"/>
        </w:rPr>
        <w:t>A trusted user base seeded in the university ecosystem, plus the data to improve advice and risk controls, compounds over time.</w:t>
      </w:r>
    </w:p>
    <w:p>
      <w:pPr>
        <w:pStyle w:val="Normal"/>
        <w:rPr/>
      </w:pPr>
      <w:r>
        <w:rPr/>
      </w:r>
      <w:r>
        <w:br w:type="page"/>
      </w:r>
    </w:p>
    <w:p>
      <w:pPr>
        <w:pStyle w:val="Heading1"/>
        <w:spacing w:before="0" w:after="190"/>
        <w:rPr/>
      </w:pPr>
      <w:bookmarkStart w:id="30" w:name="__RefHeading___Toc2770_705121531"/>
      <w:bookmarkEnd w:id="30"/>
      <w:r>
        <w:rPr/>
        <w:t>6. Technology Stack and System Architecture</w:t>
      </w:r>
    </w:p>
    <w:p>
      <w:pPr>
        <w:pStyle w:val="Normal"/>
        <w:spacing w:lineRule="auto" w:line="266" w:before="0" w:after="130"/>
        <w:jc w:val="both"/>
        <w:rPr/>
      </w:pPr>
      <w:r>
        <w:rPr>
          <w:rFonts w:eastAsia="Georgia" w:cs="Georgia"/>
          <w:b w:val="false"/>
          <w:bCs w:val="false"/>
          <w:i w:val="false"/>
          <w:iCs w:val="false"/>
          <w:color w:val="16242E"/>
          <w:sz w:val="21"/>
          <w:szCs w:val="21"/>
        </w:rPr>
        <w:t>This section specifies the technology choices that realize the protocol stack (Section 3.2). Selections favor proven, well-audited components over novel ones, reflecting the program’s security-first posture: in a platform custodying real value, the cost of a clever but unproven choice is measured in catastrophic loss, not engineering elegance.</w:t>
      </w:r>
    </w:p>
    <w:p>
      <w:pPr>
        <w:pStyle w:val="Heading2"/>
        <w:rPr/>
      </w:pPr>
      <w:bookmarkStart w:id="31" w:name="__RefHeading___Toc2772_705121531"/>
      <w:bookmarkEnd w:id="31"/>
      <w:r>
        <w:rPr/>
        <w:t>6.1 Architecture Overview</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 is a layered system: a client tier (web and mobile), an application/services tier (APIs, the intelligence layer, the matching and risk engines), and a settlement tier (smart contracts on one or more blockchains, plus the custody and oracle integrations). The guiding principle is to </w:t>
      </w:r>
      <w:r>
        <w:rPr>
          <w:rFonts w:eastAsia="Georgia" w:cs="Georgia"/>
          <w:b/>
          <w:bCs/>
          <w:i w:val="false"/>
          <w:iCs w:val="false"/>
          <w:color w:val="16242E"/>
          <w:sz w:val="21"/>
          <w:szCs w:val="21"/>
        </w:rPr>
        <w:t>concentrate value-bearing activity on a single, high-assurance settlement chain</w:t>
      </w:r>
      <w:r>
        <w:rPr>
          <w:rFonts w:eastAsia="Georgia" w:cs="Georgia"/>
          <w:b w:val="false"/>
          <w:bCs w:val="false"/>
          <w:i w:val="false"/>
          <w:iCs w:val="false"/>
          <w:color w:val="16242E"/>
          <w:sz w:val="21"/>
          <w:szCs w:val="21"/>
        </w:rPr>
        <w:t xml:space="preserve"> wherever feasible, and to treat cross-chain movement as an exceptional, conservatively engineered case rather than a default.</w:t>
      </w:r>
    </w:p>
    <w:tbl>
      <w:tblPr>
        <w:tblW w:w="9360" w:type="dxa"/>
        <w:jc w:val="left"/>
        <w:tblInd w:w="0" w:type="dxa"/>
        <w:tblLayout w:type="fixed"/>
        <w:tblCellMar>
          <w:top w:w="66" w:type="dxa"/>
          <w:left w:w="100" w:type="dxa"/>
          <w:bottom w:w="66" w:type="dxa"/>
          <w:right w:w="100" w:type="dxa"/>
        </w:tblCellMar>
      </w:tblPr>
      <w:tblGrid>
        <w:gridCol w:w="2000"/>
        <w:gridCol w:w="3559"/>
        <w:gridCol w:w="3801"/>
      </w:tblGrid>
      <w:tr>
        <w:trPr>
          <w:tblHeader w:val="true"/>
        </w:trPr>
        <w:tc>
          <w:tcPr>
            <w:tcW w:w="20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Layer</w:t>
            </w:r>
          </w:p>
        </w:tc>
        <w:tc>
          <w:tcPr>
            <w:tcW w:w="35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Technologies (target)</w:t>
            </w:r>
          </w:p>
        </w:tc>
        <w:tc>
          <w:tcPr>
            <w:tcW w:w="380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Rationale</w:t>
            </w:r>
          </w:p>
        </w:tc>
      </w:tr>
      <w:tr>
        <w:trPr/>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Client — web</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React 19, TypeScript, Vite, Zustand, Tailwind</w:t>
            </w:r>
          </w:p>
        </w:tc>
        <w:tc>
          <w:tcPr>
            <w:tcW w:w="38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Mature, fast, strongly typed; large talent pool; rapid iteration</w:t>
            </w:r>
          </w:p>
        </w:tc>
      </w:tr>
      <w:tr>
        <w:trPr/>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Client — desktop/mobile</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Tauri v2 (desktop); responsive PWA; React Native (later)</w:t>
            </w:r>
          </w:p>
        </w:tc>
        <w:tc>
          <w:tcPr>
            <w:tcW w:w="38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Native reach from one codebase; small footprint; offline-capable shell</w:t>
            </w:r>
          </w:p>
        </w:tc>
      </w:tr>
      <w:tr>
        <w:trPr/>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Application services</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Node.js / TypeScript APIs; Python for ML services</w:t>
            </w:r>
          </w:p>
        </w:tc>
        <w:tc>
          <w:tcPr>
            <w:tcW w:w="38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Shared language with client; Python ecosystem for the intelligence layer</w:t>
            </w:r>
          </w:p>
        </w:tc>
      </w:tr>
      <w:tr>
        <w:trPr/>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Realtime / collaboration</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WebSocket services; Yjs for collaborative views</w:t>
            </w:r>
          </w:p>
        </w:tc>
        <w:tc>
          <w:tcPr>
            <w:tcW w:w="38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Live prices, copy-trading feeds, shared advisory sessions</w:t>
            </w:r>
          </w:p>
        </w:tc>
      </w:tr>
      <w:tr>
        <w:trPr/>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Data</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Postgres (system of record); Supabase; analytics warehouse</w:t>
            </w:r>
          </w:p>
        </w:tc>
        <w:tc>
          <w:tcPr>
            <w:tcW w:w="38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Relational integrity for ledgered state; managed auth and storage</w:t>
            </w:r>
          </w:p>
        </w:tc>
      </w:tr>
      <w:tr>
        <w:trPr/>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Intelligence</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Python ML services; hosted LLM APIs; local inference where private</w:t>
            </w:r>
          </w:p>
        </w:tc>
        <w:tc>
          <w:tcPr>
            <w:tcW w:w="38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Portfolio optimization, sentiment, conversational advice with explainability</w:t>
            </w:r>
          </w:p>
        </w:tc>
      </w:tr>
      <w:tr>
        <w:trPr/>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Settlement</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EVM-compatible smart contracts; permissioned token standards</w:t>
            </w:r>
          </w:p>
        </w:tc>
        <w:tc>
          <w:tcPr>
            <w:tcW w:w="38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Largest audited tooling and standards ecosystem; ERC-3643/1400 support</w:t>
            </w:r>
          </w:p>
        </w:tc>
      </w:tr>
      <w:tr>
        <w:trPr/>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Custody &amp; oracles</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Qualified custodian integrations; decentralized oracle networks</w:t>
            </w:r>
          </w:p>
        </w:tc>
        <w:tc>
          <w:tcPr>
            <w:tcW w:w="38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Proof-of-reserve, price feeds, and event resolution with redundancy</w:t>
            </w:r>
          </w:p>
        </w:tc>
      </w:tr>
    </w:tbl>
    <w:p>
      <w:pPr>
        <w:pStyle w:val="Normal"/>
        <w:spacing w:before="70" w:after="180"/>
        <w:rPr/>
      </w:pPr>
      <w:r>
        <w:rPr>
          <w:rFonts w:eastAsia="Arial" w:cs="Arial" w:ascii="Arial" w:hAnsi="Arial"/>
          <w:i/>
          <w:iCs/>
          <w:color w:val="5E6B75"/>
          <w:sz w:val="17"/>
          <w:szCs w:val="17"/>
        </w:rPr>
        <w:t>Table 5.1 — Target technology stack by layer. Final chain and custody selections are made at the Phase 1 architecture gate, informed by the security and compliance analysis.</w:t>
      </w:r>
    </w:p>
    <w:p>
      <w:pPr>
        <w:pStyle w:val="Heading2"/>
        <w:rPr/>
      </w:pPr>
      <w:bookmarkStart w:id="32" w:name="__RefHeading___Toc2774_705121531"/>
      <w:bookmarkEnd w:id="32"/>
      <w:r>
        <w:rPr/>
        <w:t>6.2 Blockchain and Token-Standard Selection</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settlement layer is the highest-stakes technical decision. The program selects an EVM-compatible environment for the maturity of its audited tooling and the availability of permissioned, compliance-aware token standards. Regulated securities are issued on a </w:t>
      </w:r>
      <w:r>
        <w:rPr>
          <w:rFonts w:eastAsia="Georgia" w:cs="Georgia"/>
          <w:b/>
          <w:bCs/>
          <w:i w:val="false"/>
          <w:iCs w:val="false"/>
          <w:color w:val="16242E"/>
          <w:sz w:val="21"/>
          <w:szCs w:val="21"/>
        </w:rPr>
        <w:t>permissioned standard (ERC-3643 / T-REX or ERC-1400)</w:t>
      </w:r>
      <w:r>
        <w:rPr>
          <w:rFonts w:eastAsia="Georgia" w:cs="Georgia"/>
          <w:b w:val="false"/>
          <w:bCs w:val="false"/>
          <w:i w:val="false"/>
          <w:iCs w:val="false"/>
          <w:color w:val="16242E"/>
          <w:sz w:val="21"/>
          <w:szCs w:val="21"/>
        </w:rPr>
        <w:t xml:space="preserve"> that binds tokens to verified on-chain identities and enforces transfer eligibility at the contract level. This is a deliberate trade of “trustlessness” for compliance and auditability—the foundational requirement for trading securities. Unique assets (art, certain real estate) use NFT-class standards; yield strategies use the tokenized-vault standard. The specific base chain (a high-throughput Layer 1 or a Layer 2 with strong security guarantees) is finalized at the Phase 1 architecture gate against latency, cost, custody-integration, and security criteria.</w:t>
      </w:r>
    </w:p>
    <w:p>
      <w:pPr>
        <w:pStyle w:val="Heading2"/>
        <w:rPr/>
      </w:pPr>
      <w:bookmarkStart w:id="33" w:name="__RefHeading___Toc2776_705121531"/>
      <w:bookmarkEnd w:id="33"/>
      <w:r>
        <w:rPr/>
        <w:t>6.3 The Intelligence Layer</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intelligence layer delivers portfolio construction (mean-variance and modern extensions, with risk-adjusted reporting), risk assessment, market-sentiment analysis, and conversational advisory. Two engineering commitments are non-negotiable and flow directly from the consumer-protection posture: </w:t>
      </w:r>
      <w:r>
        <w:rPr>
          <w:rFonts w:eastAsia="Georgia" w:cs="Georgia"/>
          <w:b/>
          <w:bCs/>
          <w:i w:val="false"/>
          <w:iCs w:val="false"/>
          <w:color w:val="16242E"/>
          <w:sz w:val="21"/>
          <w:szCs w:val="21"/>
        </w:rPr>
        <w:t>explainability</w:t>
      </w:r>
      <w:r>
        <w:rPr>
          <w:rFonts w:eastAsia="Georgia" w:cs="Georgia"/>
          <w:b w:val="false"/>
          <w:bCs w:val="false"/>
          <w:i w:val="false"/>
          <w:iCs w:val="false"/>
          <w:color w:val="16242E"/>
          <w:sz w:val="21"/>
          <w:szCs w:val="21"/>
        </w:rPr>
        <w:t xml:space="preserve"> (every recommendation and every surfaced lead trader must carry an intelligible rationale) and </w:t>
      </w:r>
      <w:r>
        <w:rPr>
          <w:rFonts w:eastAsia="Georgia" w:cs="Georgia"/>
          <w:b/>
          <w:bCs/>
          <w:i w:val="false"/>
          <w:iCs w:val="false"/>
          <w:color w:val="16242E"/>
          <w:sz w:val="21"/>
          <w:szCs w:val="21"/>
        </w:rPr>
        <w:t>standardized risk communication</w:t>
      </w:r>
      <w:r>
        <w:rPr>
          <w:rFonts w:eastAsia="Georgia" w:cs="Georgia"/>
          <w:b w:val="false"/>
          <w:bCs w:val="false"/>
          <w:i w:val="false"/>
          <w:iCs w:val="false"/>
          <w:color w:val="16242E"/>
          <w:sz w:val="21"/>
          <w:szCs w:val="21"/>
        </w:rPr>
        <w:t xml:space="preserve"> (risk is presented in consistent, prominent terms rather than buried). The layer also actively monitors for and dampens algorithmic herding—the feedback loop in which surfacing popular positions concentrates capital into crowded trades. Where data privacy requires it, inference runs locally rather than via hosted APIs.</w:t>
      </w:r>
    </w:p>
    <w:p>
      <w:pPr>
        <w:pStyle w:val="Heading2"/>
        <w:rPr/>
      </w:pPr>
      <w:bookmarkStart w:id="34" w:name="__RefHeading___Toc2778_705121531"/>
      <w:bookmarkEnd w:id="34"/>
      <w:r>
        <w:rPr/>
        <w:t>6.4 Liquidity and Matching</w:t>
      </w:r>
    </w:p>
    <w:p>
      <w:pPr>
        <w:pStyle w:val="Normal"/>
        <w:spacing w:lineRule="auto" w:line="266" w:before="0" w:after="130"/>
        <w:jc w:val="both"/>
        <w:rPr/>
      </w:pPr>
      <w:r>
        <w:rPr>
          <w:rFonts w:eastAsia="Georgia" w:cs="Georgia"/>
          <w:b w:val="false"/>
          <w:bCs w:val="false"/>
          <w:i w:val="false"/>
          <w:iCs w:val="false"/>
          <w:color w:val="16242E"/>
          <w:sz w:val="21"/>
          <w:szCs w:val="21"/>
        </w:rPr>
        <w:t>Spot markets use automated market makers to bootstrap liquidity in long-tail assets and order books where flow is deep enough to support them. The platform routes ordinary users away from direct, unhedged liquidity provision—where impermanent loss systematically erodes returns—and toward managed, risk-aware vault strategies with clear disclosure. Event markets use scoring-rule or order-book mechanisms with oracle resolution; derivatives and perpetuals use a tested margin-and-liquidation engine.</w:t>
      </w:r>
    </w:p>
    <w:p>
      <w:pPr>
        <w:pStyle w:val="Heading2"/>
        <w:rPr/>
      </w:pPr>
      <w:bookmarkStart w:id="35" w:name="__RefHeading___Toc2780_705121531"/>
      <w:bookmarkEnd w:id="35"/>
      <w:r>
        <w:rPr/>
        <w:t>6.5 Hybrid Ownership: Custody and Proof-of-Reserve</w:t>
      </w:r>
    </w:p>
    <w:p>
      <w:pPr>
        <w:pStyle w:val="Normal"/>
        <w:spacing w:lineRule="auto" w:line="266" w:before="0" w:after="130"/>
        <w:jc w:val="both"/>
        <w:rPr/>
      </w:pPr>
      <w:r>
        <w:rPr>
          <w:rFonts w:eastAsia="Georgia" w:cs="Georgia"/>
          <w:b w:val="false"/>
          <w:bCs w:val="false"/>
          <w:i w:val="false"/>
          <w:iCs w:val="false"/>
          <w:color w:val="16242E"/>
          <w:sz w:val="21"/>
          <w:szCs w:val="21"/>
        </w:rPr>
        <w:t xml:space="preserve">Realizing genuine, redeemable hybrid ownership (Differentiator 1) requires three integrated components per asset class: a </w:t>
      </w:r>
      <w:r>
        <w:rPr>
          <w:rFonts w:eastAsia="Georgia" w:cs="Georgia"/>
          <w:b/>
          <w:bCs/>
          <w:i w:val="false"/>
          <w:iCs w:val="false"/>
          <w:color w:val="16242E"/>
          <w:sz w:val="21"/>
          <w:szCs w:val="21"/>
        </w:rPr>
        <w:t>legal wrapper</w:t>
      </w:r>
      <w:r>
        <w:rPr>
          <w:rFonts w:eastAsia="Georgia" w:cs="Georgia"/>
          <w:b w:val="false"/>
          <w:bCs w:val="false"/>
          <w:i w:val="false"/>
          <w:iCs w:val="false"/>
          <w:color w:val="16242E"/>
          <w:sz w:val="21"/>
          <w:szCs w:val="21"/>
        </w:rPr>
        <w:t xml:space="preserve"> (an SPV or trust holding title, conferring an enforceable beneficial interest), a </w:t>
      </w:r>
      <w:r>
        <w:rPr>
          <w:rFonts w:eastAsia="Georgia" w:cs="Georgia"/>
          <w:b/>
          <w:bCs/>
          <w:i w:val="false"/>
          <w:iCs w:val="false"/>
          <w:color w:val="16242E"/>
          <w:sz w:val="21"/>
          <w:szCs w:val="21"/>
        </w:rPr>
        <w:t>custody arrangement</w:t>
      </w:r>
      <w:r>
        <w:rPr>
          <w:rFonts w:eastAsia="Georgia" w:cs="Georgia"/>
          <w:b w:val="false"/>
          <w:bCs w:val="false"/>
          <w:i w:val="false"/>
          <w:iCs w:val="false"/>
          <w:color w:val="16242E"/>
          <w:sz w:val="21"/>
          <w:szCs w:val="21"/>
        </w:rPr>
        <w:t xml:space="preserve"> (a qualified custodian for securities; a bonded vault, warehouse, or title registry for physical assets and real estate), and a </w:t>
      </w:r>
      <w:r>
        <w:rPr>
          <w:rFonts w:eastAsia="Georgia" w:cs="Georgia"/>
          <w:b/>
          <w:bCs/>
          <w:i w:val="false"/>
          <w:iCs w:val="false"/>
          <w:color w:val="16242E"/>
          <w:sz w:val="21"/>
          <w:szCs w:val="21"/>
        </w:rPr>
        <w:t>proof-of-reserve oracle</w:t>
      </w:r>
      <w:r>
        <w:rPr>
          <w:rFonts w:eastAsia="Georgia" w:cs="Georgia"/>
          <w:b w:val="false"/>
          <w:bCs w:val="false"/>
          <w:i w:val="false"/>
          <w:iCs w:val="false"/>
          <w:color w:val="16242E"/>
          <w:sz w:val="21"/>
          <w:szCs w:val="21"/>
        </w:rPr>
        <w:t xml:space="preserve"> (independent, on-chain attestation that each token remains fully backed). Because this overhead scales with the number of asset classes rather than users, hybrid ownership is introduced </w:t>
      </w:r>
      <w:r>
        <w:rPr>
          <w:rFonts w:eastAsia="Georgia" w:cs="Georgia"/>
          <w:b/>
          <w:bCs/>
          <w:i w:val="false"/>
          <w:iCs w:val="false"/>
          <w:color w:val="16242E"/>
          <w:sz w:val="21"/>
          <w:szCs w:val="21"/>
        </w:rPr>
        <w:t>selectively</w:t>
      </w:r>
      <w:r>
        <w:rPr>
          <w:rFonts w:eastAsia="Georgia" w:cs="Georgia"/>
          <w:b w:val="false"/>
          <w:bCs w:val="false"/>
          <w:i w:val="false"/>
          <w:iCs w:val="false"/>
          <w:color w:val="16242E"/>
          <w:sz w:val="21"/>
          <w:szCs w:val="21"/>
        </w:rPr>
        <w:t>, beginning with classes whose custody and registry infrastructure is already mature, and only after a per-asset legal opinion confirms enforceable ownership and redemption (Section 8.3 gate).</w:t>
      </w:r>
    </w:p>
    <w:p>
      <w:pPr>
        <w:pStyle w:val="Heading2"/>
        <w:rPr/>
      </w:pPr>
      <w:bookmarkStart w:id="36" w:name="__RefHeading___Toc2782_705121531"/>
      <w:bookmarkEnd w:id="36"/>
      <w:r>
        <w:rPr/>
        <w:t>6.6 Cross-Chain Posture</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C9882B"/>
              <w:left w:val="single" w:sz="22" w:space="0" w:color="C9882B"/>
              <w:bottom w:val="single" w:sz="2" w:space="0" w:color="C9882B"/>
              <w:right w:val="single" w:sz="2" w:space="0" w:color="C9882B"/>
            </w:tcBorders>
            <w:shd w:fill="F5ECD9" w:val="clear"/>
          </w:tcPr>
          <w:p>
            <w:pPr>
              <w:pStyle w:val="Normal"/>
              <w:spacing w:before="0" w:after="70"/>
              <w:rPr/>
            </w:pPr>
            <w:r>
              <w:rPr>
                <w:rFonts w:eastAsia="Arial" w:cs="Arial" w:ascii="Arial" w:hAnsi="Arial"/>
                <w:b/>
                <w:bCs/>
                <w:color w:val="8A5E18"/>
                <w:sz w:val="21"/>
                <w:szCs w:val="21"/>
              </w:rPr>
              <w:t>Security Rule — Cross-Chain</w:t>
            </w:r>
          </w:p>
          <w:p>
            <w:pPr>
              <w:pStyle w:val="Normal"/>
              <w:spacing w:lineRule="auto" w:line="261" w:before="0" w:after="0"/>
              <w:rPr/>
            </w:pPr>
            <w:r>
              <w:rPr>
                <w:rFonts w:eastAsia="Georgia" w:cs="Georgia"/>
                <w:color w:val="16242E"/>
                <w:sz w:val="20"/>
                <w:szCs w:val="20"/>
              </w:rPr>
              <w:t>Cross-chain bridges are the single largest source of catastrophic loss in decentralized finance, with documented losses exceeding US$2.5 billion. Flock minimizes cross-chain dependency by concentrating value-bearing activity on one high-assurance settlement chain. Where cross-chain movement is unavoidable, it uses only the most rigorously secured message-passing infrastructure, and bridge risk is treated as a board-level concern with explicit limits—not an engineering detail.</w:t>
            </w:r>
          </w:p>
        </w:tc>
      </w:tr>
    </w:tbl>
    <w:p>
      <w:pPr>
        <w:pStyle w:val="Normal"/>
        <w:rPr/>
      </w:pPr>
      <w:r>
        <w:rPr/>
      </w:r>
      <w:r>
        <w:br w:type="page"/>
      </w:r>
    </w:p>
    <w:p>
      <w:pPr>
        <w:pStyle w:val="Heading1"/>
        <w:spacing w:before="0" w:after="190"/>
        <w:rPr/>
      </w:pPr>
      <w:bookmarkStart w:id="37" w:name="__RefHeading___Toc2784_705121531"/>
      <w:bookmarkEnd w:id="37"/>
      <w:r>
        <w:rPr/>
        <w:t>7. Security, Compliance, and Regulatory Plan</w:t>
      </w:r>
    </w:p>
    <w:p>
      <w:pPr>
        <w:pStyle w:val="Normal"/>
        <w:spacing w:lineRule="auto" w:line="266" w:before="0" w:after="130"/>
        <w:jc w:val="both"/>
        <w:rPr/>
      </w:pPr>
      <w:r>
        <w:rPr>
          <w:rFonts w:eastAsia="Georgia" w:cs="Georgia"/>
          <w:b w:val="false"/>
          <w:bCs w:val="false"/>
          <w:i w:val="false"/>
          <w:iCs w:val="false"/>
          <w:color w:val="16242E"/>
          <w:sz w:val="21"/>
          <w:szCs w:val="21"/>
        </w:rPr>
        <w:t xml:space="preserve">Regulation, not technology, is the gating constraint on Flock. This section defines the compliance architecture, the jurisdiction strategy, and the security program that together make the platform lawful and safe to operate. The organizing principle is that compliance is </w:t>
      </w:r>
      <w:r>
        <w:rPr>
          <w:rFonts w:eastAsia="Georgia" w:cs="Georgia"/>
          <w:b/>
          <w:bCs/>
          <w:i w:val="false"/>
          <w:iCs w:val="false"/>
          <w:color w:val="16242E"/>
          <w:sz w:val="21"/>
          <w:szCs w:val="21"/>
        </w:rPr>
        <w:t>embedded in the protocol</w:t>
      </w:r>
      <w:r>
        <w:rPr>
          <w:rFonts w:eastAsia="Georgia" w:cs="Georgia"/>
          <w:b w:val="false"/>
          <w:bCs w:val="false"/>
          <w:i w:val="false"/>
          <w:iCs w:val="false"/>
          <w:color w:val="16242E"/>
          <w:sz w:val="21"/>
          <w:szCs w:val="21"/>
        </w:rPr>
        <w:t>, not bolted on afterward.</w:t>
      </w:r>
    </w:p>
    <w:p>
      <w:pPr>
        <w:pStyle w:val="Heading2"/>
        <w:rPr/>
      </w:pPr>
      <w:bookmarkStart w:id="38" w:name="__RefHeading___Toc2786_705121531"/>
      <w:bookmarkEnd w:id="38"/>
      <w:r>
        <w:rPr/>
        <w:t>7.1 The Compliance Layer</w:t>
      </w:r>
    </w:p>
    <w:p>
      <w:pPr>
        <w:pStyle w:val="Normal"/>
        <w:spacing w:lineRule="auto" w:line="266" w:before="0" w:after="130"/>
        <w:jc w:val="both"/>
        <w:rPr/>
      </w:pPr>
      <w:r>
        <w:rPr>
          <w:rFonts w:eastAsia="Georgia" w:cs="Georgia"/>
          <w:color w:val="16242E"/>
          <w:sz w:val="21"/>
          <w:szCs w:val="21"/>
        </w:rPr>
        <w:t>A feasible Flock requires a compliance layer with the following properties, built into the token standard and the platform core: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On-chain identity and permissioning. </w:t>
      </w:r>
      <w:r>
        <w:rPr>
          <w:rFonts w:eastAsia="Georgia" w:cs="Georgia"/>
          <w:b w:val="false"/>
          <w:bCs w:val="false"/>
          <w:i w:val="false"/>
          <w:iCs w:val="false"/>
          <w:color w:val="16242E"/>
          <w:sz w:val="21"/>
          <w:szCs w:val="21"/>
        </w:rPr>
        <w:t>Every holder of a regulated token is a verified, eligible identity; transfers are restricted to eligible holders at the contract level.</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Jurisdiction-aware gating. </w:t>
      </w:r>
      <w:r>
        <w:rPr>
          <w:rFonts w:eastAsia="Georgia" w:cs="Georgia"/>
          <w:b w:val="false"/>
          <w:bCs w:val="false"/>
          <w:i w:val="false"/>
          <w:iCs w:val="false"/>
          <w:color w:val="16242E"/>
          <w:sz w:val="21"/>
          <w:szCs w:val="21"/>
        </w:rPr>
        <w:t>The instruments and markets a user may access are determined by verified jurisdiction and accreditation status, so a contract lawful in one country is not offered where prohibited.</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Integrated KYC/AML and travel-rule compliance. </w:t>
      </w:r>
      <w:r>
        <w:rPr>
          <w:rFonts w:eastAsia="Georgia" w:cs="Georgia"/>
          <w:b w:val="false"/>
          <w:bCs w:val="false"/>
          <w:i w:val="false"/>
          <w:iCs w:val="false"/>
          <w:color w:val="16242E"/>
          <w:sz w:val="21"/>
          <w:szCs w:val="21"/>
        </w:rPr>
        <w:t>Identity verification, sanctions screening, and transaction monitoring operate continuously.</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Licensed venue structure. </w:t>
      </w:r>
      <w:r>
        <w:rPr>
          <w:rFonts w:eastAsia="Georgia" w:cs="Georgia"/>
          <w:b w:val="false"/>
          <w:bCs w:val="false"/>
          <w:i w:val="false"/>
          <w:iCs w:val="false"/>
          <w:color w:val="16242E"/>
          <w:sz w:val="21"/>
          <w:szCs w:val="21"/>
        </w:rPr>
        <w:t>Securities trade through an ATS (U.S.) or under the EU DLT Pilot Regime; event contracts through a designated contract market.</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Auditable records. </w:t>
      </w:r>
      <w:r>
        <w:rPr>
          <w:rFonts w:eastAsia="Georgia" w:cs="Georgia"/>
          <w:b w:val="false"/>
          <w:bCs w:val="false"/>
          <w:i w:val="false"/>
          <w:iCs w:val="false"/>
          <w:color w:val="16242E"/>
          <w:sz w:val="21"/>
          <w:szCs w:val="21"/>
        </w:rPr>
        <w:t>Holder registries and transfers are auditable, and issuers retain court-ordered freeze/recovery capability where securities law requires it.</w:t>
      </w:r>
    </w:p>
    <w:p>
      <w:pPr>
        <w:pStyle w:val="Heading2"/>
        <w:rPr/>
      </w:pPr>
      <w:bookmarkStart w:id="39" w:name="__RefHeading___Toc2788_705121531"/>
      <w:bookmarkEnd w:id="39"/>
      <w:r>
        <w:rPr/>
        <w:t>7.2 Jurisdiction Strategy</w:t>
      </w:r>
    </w:p>
    <w:p>
      <w:pPr>
        <w:pStyle w:val="Normal"/>
        <w:spacing w:lineRule="auto" w:line="266" w:before="0" w:after="130"/>
        <w:jc w:val="both"/>
        <w:rPr/>
      </w:pPr>
      <w:r>
        <w:rPr>
          <w:rFonts w:eastAsia="Georgia" w:cs="Georgia"/>
          <w:b w:val="false"/>
          <w:bCs w:val="false"/>
          <w:i w:val="false"/>
          <w:iCs w:val="false"/>
          <w:color w:val="16242E"/>
          <w:sz w:val="21"/>
          <w:szCs w:val="21"/>
        </w:rPr>
        <w:t xml:space="preserve">Because securities, money-transmission, and derivatives licensing are jurisdiction-specific, Flock expands </w:t>
      </w:r>
      <w:r>
        <w:rPr>
          <w:rFonts w:eastAsia="Georgia" w:cs="Georgia"/>
          <w:b/>
          <w:bCs/>
          <w:i w:val="false"/>
          <w:iCs w:val="false"/>
          <w:color w:val="16242E"/>
          <w:sz w:val="21"/>
          <w:szCs w:val="21"/>
        </w:rPr>
        <w:t>market by market</w:t>
      </w:r>
      <w:r>
        <w:rPr>
          <w:rFonts w:eastAsia="Georgia" w:cs="Georgia"/>
          <w:b w:val="false"/>
          <w:bCs w:val="false"/>
          <w:i w:val="false"/>
          <w:iCs w:val="false"/>
          <w:color w:val="16242E"/>
          <w:sz w:val="21"/>
          <w:szCs w:val="21"/>
        </w:rPr>
        <w:t>—a sequencing constraint, not merely a cost. The plan prioritizes one primary launch jurisdiction with a workable regulated on-ramp for tokenized securities (for example, the EU under the DLT Pilot Regime, or a U.S. ATS structure), proves compliant operation there, and only then replicates the licensing playbook in the next market. The fifty-state money-transmitter burden in the United States is explicitly budgeted and sequenced rather than assumed away.</w:t>
      </w:r>
    </w:p>
    <w:tbl>
      <w:tblPr>
        <w:tblW w:w="9360" w:type="dxa"/>
        <w:jc w:val="left"/>
        <w:tblInd w:w="0" w:type="dxa"/>
        <w:tblLayout w:type="fixed"/>
        <w:tblCellMar>
          <w:top w:w="66" w:type="dxa"/>
          <w:left w:w="100" w:type="dxa"/>
          <w:bottom w:w="66" w:type="dxa"/>
          <w:right w:w="100" w:type="dxa"/>
        </w:tblCellMar>
      </w:tblPr>
      <w:tblGrid>
        <w:gridCol w:w="2149"/>
        <w:gridCol w:w="3210"/>
        <w:gridCol w:w="4001"/>
      </w:tblGrid>
      <w:tr>
        <w:trPr>
          <w:tblHeader w:val="true"/>
        </w:trPr>
        <w:tc>
          <w:tcPr>
            <w:tcW w:w="214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Regime</w:t>
            </w:r>
          </w:p>
        </w:tc>
        <w:tc>
          <w:tcPr>
            <w:tcW w:w="321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Relevance to Flock</w:t>
            </w:r>
          </w:p>
        </w:tc>
        <w:tc>
          <w:tcPr>
            <w:tcW w:w="400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7"/>
                <w:szCs w:val="17"/>
              </w:rPr>
              <w:t>Approach</w:t>
            </w:r>
          </w:p>
        </w:tc>
      </w:tr>
      <w:tr>
        <w:trPr/>
        <w:tc>
          <w:tcPr>
            <w:tcW w:w="21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U.S. securities (SEC)</w:t>
            </w:r>
          </w:p>
        </w:tc>
        <w:tc>
          <w:tcPr>
            <w:tcW w:w="3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Tokenized securities remain securities; exemptions and ATS apply</w:t>
            </w:r>
          </w:p>
        </w:tc>
        <w:tc>
          <w:tcPr>
            <w:tcW w:w="40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Reg D / Reg A offerings; trade via registered ATS; tokenized securities only</w:t>
            </w:r>
          </w:p>
        </w:tc>
      </w:tr>
      <w:tr>
        <w:trPr/>
        <w:tc>
          <w:tcPr>
            <w:tcW w:w="21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U.S. commodities (CFTC)</w:t>
            </w:r>
          </w:p>
        </w:tc>
        <w:tc>
          <w:tcPr>
            <w:tcW w:w="3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Event contracts, derivatives, perpetuals</w:t>
            </w:r>
          </w:p>
        </w:tc>
        <w:tc>
          <w:tcPr>
            <w:tcW w:w="40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Designated-contract-market structure; jurisdiction-gated event markets</w:t>
            </w:r>
          </w:p>
        </w:tc>
      </w:tr>
      <w:tr>
        <w:trPr/>
        <w:tc>
          <w:tcPr>
            <w:tcW w:w="21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U.S. AML (FinCEN) &amp; states</w:t>
            </w:r>
          </w:p>
        </w:tc>
        <w:tc>
          <w:tcPr>
            <w:tcW w:w="3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MSB registration; money-transmitter licensing</w:t>
            </w:r>
          </w:p>
        </w:tc>
        <w:tc>
          <w:tcPr>
            <w:tcW w:w="40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Register as MSB; sequence state licenses; budget the 50-state burden</w:t>
            </w:r>
          </w:p>
        </w:tc>
      </w:tr>
      <w:tr>
        <w:trPr/>
        <w:tc>
          <w:tcPr>
            <w:tcW w:w="21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EU (MiCA + MiFID II + DLT Pilot)</w:t>
            </w:r>
          </w:p>
        </w:tc>
        <w:tc>
          <w:tcPr>
            <w:tcW w:w="3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Dual framework; tokenized securities under MiFID II</w:t>
            </w:r>
          </w:p>
        </w:tc>
        <w:tc>
          <w:tcPr>
            <w:tcW w:w="40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Operate tokenized securities under the DLT Pilot Regime; CASP licensing as needed</w:t>
            </w:r>
          </w:p>
        </w:tc>
      </w:tr>
      <w:tr>
        <w:trPr/>
        <w:tc>
          <w:tcPr>
            <w:tcW w:w="21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APAC (e.g., MAS Singapore)</w:t>
            </w:r>
          </w:p>
        </w:tc>
        <w:tc>
          <w:tcPr>
            <w:tcW w:w="3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Regulated private-market tokenization precedent</w:t>
            </w:r>
          </w:p>
        </w:tc>
        <w:tc>
          <w:tcPr>
            <w:tcW w:w="40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ADDX-style licensed model for alternative assets</w:t>
            </w:r>
          </w:p>
        </w:tc>
      </w:tr>
    </w:tbl>
    <w:p>
      <w:pPr>
        <w:pStyle w:val="Normal"/>
        <w:spacing w:before="70" w:after="180"/>
        <w:rPr/>
      </w:pPr>
      <w:r>
        <w:rPr>
          <w:rFonts w:eastAsia="Arial" w:cs="Arial" w:ascii="Arial" w:hAnsi="Arial"/>
          <w:i/>
          <w:iCs/>
          <w:color w:val="5E6B75"/>
          <w:sz w:val="17"/>
          <w:szCs w:val="17"/>
        </w:rPr>
        <w:t>Table 6.1 — Principal regulatory regimes and Flock’s approach to each. Expansion is staged jurisdiction by jurisdiction as licensing is secured.</w:t>
      </w:r>
    </w:p>
    <w:p>
      <w:pPr>
        <w:pStyle w:val="Heading2"/>
        <w:rPr/>
      </w:pPr>
      <w:bookmarkStart w:id="40" w:name="__RefHeading___Toc2790_705121531"/>
      <w:bookmarkEnd w:id="40"/>
      <w:r>
        <w:rPr/>
        <w:t>7.3 The Security Program</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Secure development lifecycle: </w:t>
      </w:r>
      <w:r>
        <w:rPr>
          <w:rFonts w:eastAsia="Georgia" w:cs="Georgia"/>
          <w:b w:val="false"/>
          <w:bCs w:val="false"/>
          <w:i w:val="false"/>
          <w:iCs w:val="false"/>
          <w:color w:val="16242E"/>
          <w:sz w:val="21"/>
          <w:szCs w:val="21"/>
        </w:rPr>
        <w:t>threat modeling, code review, dependency and secrets scanning, and least-privilege access throughout.</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Smart-contract assurance: </w:t>
      </w:r>
      <w:r>
        <w:rPr>
          <w:rFonts w:eastAsia="Georgia" w:cs="Georgia"/>
          <w:b w:val="false"/>
          <w:bCs w:val="false"/>
          <w:i w:val="false"/>
          <w:iCs w:val="false"/>
          <w:color w:val="16242E"/>
          <w:sz w:val="21"/>
          <w:szCs w:val="21"/>
        </w:rPr>
        <w:t>comprehensive test suites, static and dynamic analysis, and independent external audits before any production deployment of custody, settlement, or lending logic.</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Key management: </w:t>
      </w:r>
      <w:r>
        <w:rPr>
          <w:rFonts w:eastAsia="Georgia" w:cs="Georgia"/>
          <w:b w:val="false"/>
          <w:bCs w:val="false"/>
          <w:i w:val="false"/>
          <w:iCs w:val="false"/>
          <w:color w:val="16242E"/>
          <w:sz w:val="21"/>
          <w:szCs w:val="21"/>
        </w:rPr>
        <w:t>hardware-backed keys, multi-signature and threshold schemes for privileged operations, and rigorous operational procedures—the human-process failures behind the largest bridge hacks are treated as first-order threats.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Oracle integrity: </w:t>
      </w:r>
      <w:r>
        <w:rPr>
          <w:rFonts w:eastAsia="Georgia" w:cs="Georgia"/>
          <w:b w:val="false"/>
          <w:bCs w:val="false"/>
          <w:i w:val="false"/>
          <w:iCs w:val="false"/>
          <w:color w:val="16242E"/>
          <w:sz w:val="21"/>
          <w:szCs w:val="21"/>
        </w:rPr>
        <w:t>redundant, independent data sources; circuit-breakers on anomalous values; decentralized attestation for proof-of-reserve.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Monitoring &amp; incident response: </w:t>
      </w:r>
      <w:r>
        <w:rPr>
          <w:rFonts w:eastAsia="Georgia" w:cs="Georgia"/>
          <w:b w:val="false"/>
          <w:bCs w:val="false"/>
          <w:i w:val="false"/>
          <w:iCs w:val="false"/>
          <w:color w:val="16242E"/>
          <w:sz w:val="21"/>
          <w:szCs w:val="21"/>
        </w:rPr>
        <w:t>real-time anomaly detection, a defined incident-response runbook, and a standing risk committee with authority to trigger circuit-breakers.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Bug bounty &amp; disclosure: </w:t>
      </w:r>
      <w:r>
        <w:rPr>
          <w:rFonts w:eastAsia="Georgia" w:cs="Georgia"/>
          <w:b w:val="false"/>
          <w:bCs w:val="false"/>
          <w:i w:val="false"/>
          <w:iCs w:val="false"/>
          <w:color w:val="16242E"/>
          <w:sz w:val="21"/>
          <w:szCs w:val="21"/>
        </w:rPr>
        <w:t>a responsible-disclosure program and bounty to surface vulnerabilities before adversaries do.</w:t>
      </w:r>
    </w:p>
    <w:p>
      <w:pPr>
        <w:pStyle w:val="Heading2"/>
        <w:rPr/>
      </w:pPr>
      <w:bookmarkStart w:id="41" w:name="__RefHeading___Toc2792_705121531"/>
      <w:bookmarkEnd w:id="41"/>
      <w:r>
        <w:rPr/>
        <w:t>7.4 Consumer Protection by Design</w:t>
      </w:r>
    </w:p>
    <w:p>
      <w:pPr>
        <w:pStyle w:val="Normal"/>
        <w:spacing w:lineRule="auto" w:line="266" w:before="0" w:after="130"/>
        <w:jc w:val="both"/>
        <w:rPr/>
      </w:pPr>
      <w:r>
        <w:rPr>
          <w:rFonts w:eastAsia="Georgia" w:cs="Georgia"/>
          <w:b w:val="false"/>
          <w:bCs w:val="false"/>
          <w:i w:val="false"/>
          <w:iCs w:val="false"/>
          <w:color w:val="16242E"/>
          <w:sz w:val="21"/>
          <w:szCs w:val="21"/>
        </w:rPr>
        <w:t>Beyond legal compliance, Flock builds participant protection into the product: standardized, prominent risk disclosure across all instruments; herding circuit-breakers and per-strategy risk caps in copy trading; routing of inexperienced users away from impermanent-loss-exposed liquidity provision; prominent disclosure of the documented loss distributions in event markets; and gamification tied to learning rather than trading volume. These are not afterthoughts but design requirements traceable to the failure modes documented in the feasibility analysis.</w:t>
      </w:r>
    </w:p>
    <w:p>
      <w:pPr>
        <w:pStyle w:val="Normal"/>
        <w:rPr/>
      </w:pPr>
      <w:r>
        <w:rPr/>
      </w:r>
      <w:r>
        <w:br w:type="page"/>
      </w:r>
    </w:p>
    <w:p>
      <w:pPr>
        <w:pStyle w:val="Heading1"/>
        <w:spacing w:before="0" w:after="190"/>
        <w:rPr/>
      </w:pPr>
      <w:bookmarkStart w:id="42" w:name="__RefHeading___Toc2794_705121531"/>
      <w:bookmarkEnd w:id="42"/>
      <w:r>
        <w:rPr/>
        <w:t>8. Staged Delivery Roadmap</w:t>
      </w:r>
    </w:p>
    <w:p>
      <w:pPr>
        <w:pStyle w:val="Normal"/>
        <w:spacing w:lineRule="auto" w:line="266" w:before="0" w:after="130"/>
        <w:jc w:val="both"/>
        <w:rPr/>
      </w:pPr>
      <w:r>
        <w:rPr>
          <w:rFonts w:eastAsia="Georgia" w:cs="Georgia"/>
          <w:b w:val="false"/>
          <w:bCs w:val="false"/>
          <w:i w:val="false"/>
          <w:iCs w:val="false"/>
          <w:color w:val="16242E"/>
          <w:sz w:val="21"/>
          <w:szCs w:val="21"/>
        </w:rPr>
        <w:t>Flock is delivered in three phases, each gated by a falsifiable go/no-go threshold. The sequencing is the strategy: the platform earns the right to add each more-complex, higher-risk capability by first proving compliant operation and real liquidity in the layers beneath it. Failure to clear a gate triggers revision, not progression.</w:t>
      </w:r>
    </w:p>
    <w:p>
      <w:pPr>
        <w:pStyle w:val="Heading2"/>
        <w:rPr/>
      </w:pPr>
      <w:bookmarkStart w:id="43" w:name="__RefHeading___Toc2796_705121531"/>
      <w:bookmarkEnd w:id="43"/>
      <w:r>
        <w:rPr/>
        <w:t>8.1 Phase Overview</w:t>
      </w:r>
    </w:p>
    <w:tbl>
      <w:tblPr>
        <w:tblW w:w="9360" w:type="dxa"/>
        <w:jc w:val="left"/>
        <w:tblInd w:w="0" w:type="dxa"/>
        <w:tblLayout w:type="fixed"/>
        <w:tblCellMar>
          <w:top w:w="120" w:type="dxa"/>
          <w:left w:w="110" w:type="dxa"/>
          <w:bottom w:w="120" w:type="dxa"/>
          <w:right w:w="110" w:type="dxa"/>
        </w:tblCellMar>
      </w:tblPr>
      <w:tblGrid>
        <w:gridCol w:w="3120"/>
        <w:gridCol w:w="3120"/>
        <w:gridCol w:w="3120"/>
      </w:tblGrid>
      <w:tr>
        <w:trPr/>
        <w:tc>
          <w:tcPr>
            <w:tcW w:w="3120" w:type="dxa"/>
            <w:tcBorders>
              <w:top w:val="single" w:sz="4" w:space="0" w:color="FFFFFF"/>
              <w:left w:val="single" w:sz="4" w:space="0" w:color="FFFFFF"/>
              <w:bottom w:val="single" w:sz="4" w:space="0" w:color="FFFFFF"/>
              <w:right w:val="single" w:sz="4" w:space="0" w:color="FFFFFF"/>
            </w:tcBorders>
            <w:shd w:fill="E3EEF7" w:val="clear"/>
            <w:vAlign w:val="center"/>
          </w:tcPr>
          <w:p>
            <w:pPr>
              <w:pStyle w:val="Normal"/>
              <w:spacing w:before="0" w:after="30"/>
              <w:jc w:val="center"/>
              <w:rPr/>
            </w:pPr>
            <w:r>
              <w:rPr>
                <w:rFonts w:eastAsia="Arial" w:cs="Arial" w:ascii="Arial" w:hAnsi="Arial"/>
                <w:b/>
                <w:bCs/>
                <w:color w:val="0B3D6B"/>
                <w:sz w:val="36"/>
                <w:szCs w:val="36"/>
              </w:rPr>
              <w:t>Phase 1</w:t>
            </w:r>
          </w:p>
          <w:p>
            <w:pPr>
              <w:pStyle w:val="Normal"/>
              <w:spacing w:before="0" w:after="0"/>
              <w:jc w:val="center"/>
              <w:rPr/>
            </w:pPr>
            <w:r>
              <w:rPr>
                <w:rFonts w:eastAsia="Arial" w:cs="Arial" w:ascii="Arial" w:hAnsi="Arial"/>
                <w:color w:val="44505A"/>
                <w:sz w:val="15"/>
                <w:szCs w:val="15"/>
              </w:rPr>
              <w:t>Months 0–18 · Regulated Foundation</w:t>
            </w:r>
          </w:p>
        </w:tc>
        <w:tc>
          <w:tcPr>
            <w:tcW w:w="3120" w:type="dxa"/>
            <w:tcBorders>
              <w:top w:val="single" w:sz="4" w:space="0" w:color="FFFFFF"/>
              <w:left w:val="single" w:sz="4" w:space="0" w:color="FFFFFF"/>
              <w:bottom w:val="single" w:sz="4" w:space="0" w:color="FFFFFF"/>
              <w:right w:val="single" w:sz="4" w:space="0" w:color="FFFFFF"/>
            </w:tcBorders>
            <w:shd w:fill="DCF0F2" w:val="clear"/>
            <w:vAlign w:val="center"/>
          </w:tcPr>
          <w:p>
            <w:pPr>
              <w:pStyle w:val="Normal"/>
              <w:spacing w:before="0" w:after="30"/>
              <w:jc w:val="center"/>
              <w:rPr/>
            </w:pPr>
            <w:r>
              <w:rPr>
                <w:rFonts w:eastAsia="Arial" w:cs="Arial" w:ascii="Arial" w:hAnsi="Arial"/>
                <w:b/>
                <w:bCs/>
                <w:color w:val="0B3D6B"/>
                <w:sz w:val="36"/>
                <w:szCs w:val="36"/>
              </w:rPr>
              <w:t>Phase 2</w:t>
            </w:r>
          </w:p>
          <w:p>
            <w:pPr>
              <w:pStyle w:val="Normal"/>
              <w:spacing w:before="0" w:after="0"/>
              <w:jc w:val="center"/>
              <w:rPr/>
            </w:pPr>
            <w:r>
              <w:rPr>
                <w:rFonts w:eastAsia="Arial" w:cs="Arial" w:ascii="Arial" w:hAnsi="Arial"/>
                <w:color w:val="44505A"/>
                <w:sz w:val="15"/>
                <w:szCs w:val="15"/>
              </w:rPr>
              <w:t>Months 18–36 · Social &amp; Markets</w:t>
            </w:r>
          </w:p>
        </w:tc>
        <w:tc>
          <w:tcPr>
            <w:tcW w:w="3120" w:type="dxa"/>
            <w:tcBorders>
              <w:top w:val="single" w:sz="4" w:space="0" w:color="FFFFFF"/>
              <w:left w:val="single" w:sz="4" w:space="0" w:color="FFFFFF"/>
              <w:bottom w:val="single" w:sz="4" w:space="0" w:color="FFFFFF"/>
              <w:right w:val="single" w:sz="4" w:space="0" w:color="FFFFFF"/>
            </w:tcBorders>
            <w:shd w:fill="F5ECD9" w:val="clear"/>
            <w:vAlign w:val="center"/>
          </w:tcPr>
          <w:p>
            <w:pPr>
              <w:pStyle w:val="Normal"/>
              <w:spacing w:before="0" w:after="30"/>
              <w:jc w:val="center"/>
              <w:rPr/>
            </w:pPr>
            <w:r>
              <w:rPr>
                <w:rFonts w:eastAsia="Arial" w:cs="Arial" w:ascii="Arial" w:hAnsi="Arial"/>
                <w:b/>
                <w:bCs/>
                <w:color w:val="0B3D6B"/>
                <w:sz w:val="36"/>
                <w:szCs w:val="36"/>
              </w:rPr>
              <w:t>Phase 3</w:t>
            </w:r>
          </w:p>
          <w:p>
            <w:pPr>
              <w:pStyle w:val="Normal"/>
              <w:spacing w:before="0" w:after="0"/>
              <w:jc w:val="center"/>
              <w:rPr/>
            </w:pPr>
            <w:r>
              <w:rPr>
                <w:rFonts w:eastAsia="Arial" w:cs="Arial" w:ascii="Arial" w:hAnsi="Arial"/>
                <w:color w:val="44505A"/>
                <w:sz w:val="15"/>
                <w:szCs w:val="15"/>
              </w:rPr>
              <w:t>Months 36+ · Differentiators</w:t>
            </w:r>
          </w:p>
        </w:tc>
      </w:tr>
    </w:tbl>
    <w:p>
      <w:pPr>
        <w:pStyle w:val="Normal"/>
        <w:spacing w:before="0" w:after="120"/>
        <w:rPr/>
      </w:pPr>
      <w:r>
        <w:rPr/>
      </w:r>
    </w:p>
    <w:p>
      <w:pPr>
        <w:pStyle w:val="Heading2"/>
        <w:rPr/>
      </w:pPr>
      <w:bookmarkStart w:id="44" w:name="__RefHeading___Toc2798_705121531"/>
      <w:bookmarkEnd w:id="44"/>
      <w:r>
        <w:rPr/>
        <w:t>8.2 Phase 1 — The Regulated Foundation (Months 0–18)</w:t>
      </w:r>
    </w:p>
    <w:p>
      <w:pPr>
        <w:pStyle w:val="Normal"/>
        <w:spacing w:lineRule="auto" w:line="266" w:before="0" w:after="130"/>
        <w:jc w:val="both"/>
        <w:rPr/>
      </w:pPr>
      <w:r>
        <w:rPr>
          <w:rFonts w:eastAsia="Georgia" w:cs="Georgia"/>
          <w:b w:val="false"/>
          <w:bCs w:val="false"/>
          <w:i w:val="false"/>
          <w:iCs w:val="false"/>
          <w:color w:val="16242E"/>
          <w:sz w:val="21"/>
          <w:szCs w:val="21"/>
        </w:rPr>
        <w:t>Phase 1 stands up the compliant tokenization and trading core: tokenized Treasuries, money-market instruments, and regulated funds on a permissioned token standard, traded through a licensed venue, with a qualified custodian and transfer agent. The intelligence layer enters in a constrained, explainable form, and the gamified literacy progression is anchored to learning metrics from day one. Tier 1 of the product ships in this phase.</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FA7D6"/>
              <w:left w:val="single" w:sz="22" w:space="0" w:color="3FA7D6"/>
              <w:bottom w:val="single" w:sz="2" w:space="0" w:color="3FA7D6"/>
              <w:right w:val="single" w:sz="2" w:space="0" w:color="3FA7D6"/>
            </w:tcBorders>
            <w:shd w:fill="E3EEF7" w:val="clear"/>
          </w:tcPr>
          <w:p>
            <w:pPr>
              <w:pStyle w:val="Normal"/>
              <w:spacing w:before="0" w:after="70"/>
              <w:rPr/>
            </w:pPr>
            <w:r>
              <w:rPr>
                <w:rFonts w:eastAsia="Arial" w:cs="Arial" w:ascii="Arial" w:hAnsi="Arial"/>
                <w:b/>
                <w:bCs/>
                <w:color w:val="0B3D6B"/>
                <w:sz w:val="21"/>
                <w:szCs w:val="21"/>
              </w:rPr>
              <w:t>Phase 1 Go/No-Go Gate</w:t>
            </w:r>
          </w:p>
          <w:p>
            <w:pPr>
              <w:pStyle w:val="Normal"/>
              <w:spacing w:lineRule="auto" w:line="261" w:before="0" w:after="0"/>
              <w:rPr/>
            </w:pPr>
            <w:r>
              <w:rPr>
                <w:rFonts w:eastAsia="Georgia" w:cs="Georgia"/>
                <w:color w:val="16242E"/>
                <w:sz w:val="20"/>
                <w:szCs w:val="20"/>
              </w:rPr>
              <w:t>Advance only upon (i) compliant settlement of tokenized securities through a licensed venue in at least one jurisdiction, and (ii) at least US$50 million in custodied tokenized assets with functioning secondary liquidity. If compliant settlement cannot be achieved, the premise is unproven and later phases must not proceed.</w:t>
            </w:r>
          </w:p>
        </w:tc>
      </w:tr>
    </w:tbl>
    <w:p>
      <w:pPr>
        <w:pStyle w:val="Normal"/>
        <w:spacing w:before="0" w:after="80"/>
        <w:rPr/>
      </w:pPr>
      <w:r>
        <w:rPr/>
      </w:r>
    </w:p>
    <w:p>
      <w:pPr>
        <w:pStyle w:val="Heading2"/>
        <w:rPr/>
      </w:pPr>
      <w:bookmarkStart w:id="45" w:name="__RefHeading___Toc2800_705121531"/>
      <w:bookmarkEnd w:id="45"/>
      <w:r>
        <w:rPr/>
        <w:t>8.3 Phase 2 — Social, Advisory, and Event Markets (Months 18–36)</w:t>
      </w:r>
    </w:p>
    <w:p>
      <w:pPr>
        <w:pStyle w:val="Normal"/>
        <w:spacing w:lineRule="auto" w:line="266" w:before="0" w:after="130"/>
        <w:jc w:val="both"/>
        <w:rPr/>
      </w:pPr>
      <w:r>
        <w:rPr>
          <w:rFonts w:eastAsia="Georgia" w:cs="Georgia"/>
          <w:b w:val="false"/>
          <w:bCs w:val="false"/>
          <w:i w:val="false"/>
          <w:iCs w:val="false"/>
          <w:color w:val="16242E"/>
          <w:sz w:val="21"/>
          <w:szCs w:val="21"/>
        </w:rPr>
        <w:t>With a compliant core operating, Phase 2 adds the social and market layers under their controls: copy and social trading with herding circuit-breakers and competence-gated copying; the freelance-advisory marketplace under investment-adviser rules; peer-to-peer securities lending with full collateral and default machinery; and prediction/event markets through a regulated designated-contract-market structure. Tier 2 ships in this phase.</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5FC8C0"/>
              <w:left w:val="single" w:sz="22" w:space="0" w:color="5FC8C0"/>
              <w:bottom w:val="single" w:sz="2" w:space="0" w:color="5FC8C0"/>
              <w:right w:val="single" w:sz="2" w:space="0" w:color="5FC8C0"/>
            </w:tcBorders>
            <w:shd w:fill="DCF0F2" w:val="clear"/>
          </w:tcPr>
          <w:p>
            <w:pPr>
              <w:pStyle w:val="Normal"/>
              <w:spacing w:before="0" w:after="70"/>
              <w:rPr/>
            </w:pPr>
            <w:r>
              <w:rPr>
                <w:rFonts w:eastAsia="Arial" w:cs="Arial" w:ascii="Arial" w:hAnsi="Arial"/>
                <w:b/>
                <w:bCs/>
                <w:color w:val="0B3D6B"/>
                <w:sz w:val="21"/>
                <w:szCs w:val="21"/>
              </w:rPr>
              <w:t>Phase 2 Go/No-Go Gate</w:t>
            </w:r>
          </w:p>
          <w:p>
            <w:pPr>
              <w:pStyle w:val="Normal"/>
              <w:spacing w:lineRule="auto" w:line="261" w:before="0" w:after="0"/>
              <w:rPr/>
            </w:pPr>
            <w:r>
              <w:rPr>
                <w:rFonts w:eastAsia="Georgia" w:cs="Georgia"/>
                <w:color w:val="16242E"/>
                <w:sz w:val="20"/>
                <w:szCs w:val="20"/>
              </w:rPr>
              <w:t>Advance only upon (i) clean independent smart-contract and security audits of all new components, (ii) a documented, tested copy-trading risk-control regime with circuit-breakers and per-strategy risk caps demonstrably operative, and (iii) confirmed regulated-venue authority for any event-contract offering. If copy-trading controls cannot be shown to dampen herding, the social layer is curtailed rather than expanded.</w:t>
            </w:r>
          </w:p>
        </w:tc>
      </w:tr>
    </w:tbl>
    <w:p>
      <w:pPr>
        <w:pStyle w:val="Normal"/>
        <w:spacing w:before="0" w:after="80"/>
        <w:rPr/>
      </w:pPr>
      <w:r>
        <w:rPr/>
      </w:r>
    </w:p>
    <w:p>
      <w:pPr>
        <w:pStyle w:val="Heading2"/>
        <w:rPr/>
      </w:pPr>
      <w:bookmarkStart w:id="46" w:name="__RefHeading___Toc2802_705121531"/>
      <w:bookmarkEnd w:id="46"/>
      <w:r>
        <w:rPr/>
        <w:t>8.4 Phase 3 — Differentiators and Hybrid Assets (Months 36+)</w:t>
      </w:r>
    </w:p>
    <w:p>
      <w:pPr>
        <w:pStyle w:val="Normal"/>
        <w:spacing w:lineRule="auto" w:line="266" w:before="0" w:after="130"/>
        <w:jc w:val="both"/>
        <w:rPr/>
      </w:pPr>
      <w:r>
        <w:rPr>
          <w:rFonts w:eastAsia="Georgia" w:cs="Georgia"/>
          <w:b w:val="false"/>
          <w:bCs w:val="false"/>
          <w:i w:val="false"/>
          <w:iCs w:val="false"/>
          <w:color w:val="16242E"/>
          <w:sz w:val="21"/>
          <w:szCs w:val="21"/>
        </w:rPr>
        <w:t>Phase 3 implements the most infrastructure-dependent features: hybrid physical-digital assets introduced selectively atop mature custody, each backed by an SPV and a robust proof-of-reserve oracle; full derivatives, perpetual swaps, and parametric insurance; and, if pursued at all, a non-speculative experiential metaverse interface. Cross-chain functionality, if required, is added last and conservatively. Tier 3 ships in this phase.</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C9882B"/>
              <w:left w:val="single" w:sz="22" w:space="0" w:color="C9882B"/>
              <w:bottom w:val="single" w:sz="2" w:space="0" w:color="C9882B"/>
              <w:right w:val="single" w:sz="2" w:space="0" w:color="C9882B"/>
            </w:tcBorders>
            <w:shd w:fill="F5ECD9" w:val="clear"/>
          </w:tcPr>
          <w:p>
            <w:pPr>
              <w:pStyle w:val="Normal"/>
              <w:spacing w:before="0" w:after="70"/>
              <w:rPr/>
            </w:pPr>
            <w:r>
              <w:rPr>
                <w:rFonts w:eastAsia="Arial" w:cs="Arial" w:ascii="Arial" w:hAnsi="Arial"/>
                <w:b/>
                <w:bCs/>
                <w:color w:val="8A5E18"/>
                <w:sz w:val="21"/>
                <w:szCs w:val="21"/>
              </w:rPr>
              <w:t>Phase 3 Go/No-Go Gate</w:t>
            </w:r>
          </w:p>
          <w:p>
            <w:pPr>
              <w:pStyle w:val="Normal"/>
              <w:spacing w:lineRule="auto" w:line="261" w:before="0" w:after="0"/>
              <w:rPr/>
            </w:pPr>
            <w:r>
              <w:rPr>
                <w:rFonts w:eastAsia="Georgia" w:cs="Georgia"/>
                <w:color w:val="16242E"/>
                <w:sz w:val="20"/>
                <w:szCs w:val="20"/>
              </w:rPr>
              <w:t>Introduce each hybrid-ownership asset class only upon (i) a legal opinion confirming enforceable beneficial ownership and redemption in the relevant jurisdiction, (ii) an independently attested proof-of-reserve mechanism, and (iii) a custody/registry relationship that honors redemption. Add cross-chain functionality only if single-chain operation is demonstrably insufficient. Deprioritize indefinitely any feature failing these tests.</w:t>
            </w:r>
          </w:p>
        </w:tc>
      </w:tr>
    </w:tbl>
    <w:p>
      <w:pPr>
        <w:pStyle w:val="Normal"/>
        <w:spacing w:before="0" w:after="100"/>
        <w:rPr/>
      </w:pPr>
      <w:r>
        <w:rPr/>
      </w:r>
    </w:p>
    <w:p>
      <w:pPr>
        <w:pStyle w:val="Heading2"/>
        <w:rPr/>
      </w:pPr>
      <w:bookmarkStart w:id="47" w:name="__RefHeading___Toc2804_705121531"/>
      <w:bookmarkEnd w:id="47"/>
      <w:r>
        <w:rPr/>
        <w:t>8.5 Indicative Schedule</w:t>
      </w:r>
    </w:p>
    <w:p>
      <w:pPr>
        <w:pStyle w:val="Normal"/>
        <w:spacing w:lineRule="auto" w:line="266" w:before="0" w:after="130"/>
        <w:jc w:val="both"/>
        <w:rPr/>
      </w:pPr>
      <w:r>
        <w:rPr>
          <w:rFonts w:eastAsia="Georgia" w:cs="Georgia"/>
          <w:b w:val="false"/>
          <w:bCs w:val="false"/>
          <w:i/>
          <w:iCs/>
          <w:color w:val="16242E"/>
          <w:sz w:val="21"/>
          <w:szCs w:val="21"/>
        </w:rPr>
        <w:t>The following schedule shows the indicative sequencing of major workstreams across the three phases, in six-month columns over a roughly four-year horizon. Bars indicate active development; the compliance and security workstreams run continuously.</w:t>
      </w:r>
    </w:p>
    <w:p>
      <w:pPr>
        <w:pStyle w:val="Normal"/>
        <w:spacing w:before="0" w:after="40"/>
        <w:rPr/>
      </w:pPr>
      <w:r>
        <w:rPr/>
      </w:r>
    </w:p>
    <w:tbl>
      <w:tblPr>
        <w:tblW w:w="9360" w:type="dxa"/>
        <w:jc w:val="left"/>
        <w:tblInd w:w="0" w:type="dxa"/>
        <w:tblLayout w:type="fixed"/>
        <w:tblCellMar>
          <w:top w:w="56" w:type="dxa"/>
          <w:left w:w="90" w:type="dxa"/>
          <w:bottom w:w="56" w:type="dxa"/>
          <w:right w:w="80" w:type="dxa"/>
        </w:tblCellMar>
      </w:tblPr>
      <w:tblGrid>
        <w:gridCol w:w="2600"/>
        <w:gridCol w:w="845"/>
        <w:gridCol w:w="844"/>
        <w:gridCol w:w="845"/>
        <w:gridCol w:w="846"/>
        <w:gridCol w:w="845"/>
        <w:gridCol w:w="844"/>
        <w:gridCol w:w="845"/>
        <w:gridCol w:w="845"/>
      </w:tblGrid>
      <w:tr>
        <w:trPr>
          <w:tblHeader w:val="true"/>
        </w:trPr>
        <w:tc>
          <w:tcPr>
            <w:tcW w:w="2600" w:type="dxa"/>
            <w:tcBorders>
              <w:top w:val="single" w:sz="2" w:space="0" w:color="BFD3E6"/>
              <w:left w:val="single" w:sz="2" w:space="0" w:color="BFD3E6"/>
              <w:bottom w:val="single" w:sz="2" w:space="0" w:color="BFD3E6"/>
              <w:right w:val="single" w:sz="2" w:space="0" w:color="BFD3E6"/>
            </w:tcBorders>
            <w:shd w:fill="0B3D6B" w:val="clear"/>
          </w:tcPr>
          <w:p>
            <w:pPr>
              <w:pStyle w:val="Normal"/>
              <w:spacing w:before="0" w:after="0"/>
              <w:rPr/>
            </w:pPr>
            <w:r>
              <w:rPr>
                <w:rFonts w:eastAsia="Arial" w:cs="Arial" w:ascii="Arial" w:hAnsi="Arial"/>
                <w:b/>
                <w:bCs/>
                <w:color w:val="FFFFFF"/>
                <w:sz w:val="16"/>
                <w:szCs w:val="16"/>
              </w:rPr>
              <w:t>Workstream</w:t>
            </w:r>
          </w:p>
        </w:tc>
        <w:tc>
          <w:tcPr>
            <w:tcW w:w="845"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H1</w:t>
            </w:r>
          </w:p>
        </w:tc>
        <w:tc>
          <w:tcPr>
            <w:tcW w:w="844"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H2</w:t>
            </w:r>
          </w:p>
        </w:tc>
        <w:tc>
          <w:tcPr>
            <w:tcW w:w="845"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H3</w:t>
            </w:r>
          </w:p>
        </w:tc>
        <w:tc>
          <w:tcPr>
            <w:tcW w:w="846"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H4</w:t>
            </w:r>
          </w:p>
        </w:tc>
        <w:tc>
          <w:tcPr>
            <w:tcW w:w="845"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H5</w:t>
            </w:r>
          </w:p>
        </w:tc>
        <w:tc>
          <w:tcPr>
            <w:tcW w:w="844"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H6</w:t>
            </w:r>
          </w:p>
        </w:tc>
        <w:tc>
          <w:tcPr>
            <w:tcW w:w="845"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H7</w:t>
            </w:r>
          </w:p>
        </w:tc>
        <w:tc>
          <w:tcPr>
            <w:tcW w:w="845" w:type="dxa"/>
            <w:tcBorders>
              <w:top w:val="single" w:sz="2" w:space="0" w:color="BFD3E6"/>
              <w:left w:val="single" w:sz="2" w:space="0" w:color="BFD3E6"/>
              <w:bottom w:val="single" w:sz="2" w:space="0" w:color="BFD3E6"/>
              <w:right w:val="single" w:sz="2" w:space="0" w:color="BFD3E6"/>
            </w:tcBorders>
            <w:shd w:fill="0B3D6B" w:val="clear"/>
            <w:tcMar>
              <w:left w:w="10" w:type="dxa"/>
              <w:right w:w="10" w:type="dxa"/>
            </w:tcMar>
          </w:tcPr>
          <w:p>
            <w:pPr>
              <w:pStyle w:val="Normal"/>
              <w:spacing w:before="0" w:after="0"/>
              <w:jc w:val="center"/>
              <w:rPr/>
            </w:pPr>
            <w:r>
              <w:rPr>
                <w:rFonts w:eastAsia="Arial" w:cs="Arial" w:ascii="Arial" w:hAnsi="Arial"/>
                <w:b/>
                <w:bCs/>
                <w:color w:val="FFFFFF"/>
                <w:sz w:val="15"/>
                <w:szCs w:val="15"/>
              </w:rPr>
              <w:t>H8</w:t>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Compliance &amp; licensing</w:t>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Security &amp; audits</w:t>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1B6CA8"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Tokenization &amp; custody core</w:t>
            </w:r>
          </w:p>
        </w:tc>
        <w:tc>
          <w:tcPr>
            <w:tcW w:w="845"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Licensed venue + Tier 1</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Intelligence layer (v1)</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Gamified literacy (v1)</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3FA7D6"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Copy/social + P2P lending</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Prediction/event markets</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Freelance advisory + Tier 2</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5FC8C0"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Hybrid ownership (selective)</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C9882B"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C9882B"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Derivatives/perps/insurance</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C9882B"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C9882B" w:val="clear"/>
            <w:tcMar>
              <w:top w:w="40" w:type="dxa"/>
              <w:left w:w="10" w:type="dxa"/>
              <w:bottom w:w="40" w:type="dxa"/>
              <w:right w:w="10" w:type="dxa"/>
            </w:tcMar>
          </w:tcPr>
          <w:p>
            <w:pPr>
              <w:pStyle w:val="Normal"/>
              <w:spacing w:before="0" w:after="0"/>
              <w:rPr/>
            </w:pPr>
            <w:r>
              <w:rPr/>
            </w:r>
          </w:p>
        </w:tc>
      </w:tr>
      <w:tr>
        <w:trPr/>
        <w:tc>
          <w:tcPr>
            <w:tcW w:w="2600" w:type="dxa"/>
            <w:tcBorders>
              <w:top w:val="single" w:sz="2" w:space="0" w:color="D6E4F0"/>
              <w:left w:val="single" w:sz="2" w:space="0" w:color="D6E4F0"/>
              <w:bottom w:val="single" w:sz="2" w:space="0" w:color="D6E4F0"/>
              <w:right w:val="single" w:sz="2" w:space="0" w:color="D6E4F0"/>
            </w:tcBorders>
            <w:shd w:fill="FFFFFF" w:val="clear"/>
            <w:tcMar>
              <w:top w:w="40" w:type="dxa"/>
              <w:bottom w:w="40" w:type="dxa"/>
            </w:tcMar>
            <w:vAlign w:val="center"/>
          </w:tcPr>
          <w:p>
            <w:pPr>
              <w:pStyle w:val="Normal"/>
              <w:spacing w:lineRule="auto" w:line="223" w:before="0" w:after="0"/>
              <w:rPr/>
            </w:pPr>
            <w:r>
              <w:rPr>
                <w:rFonts w:eastAsia="Georgia" w:cs="Georgia"/>
                <w:color w:val="16242E"/>
                <w:sz w:val="17"/>
                <w:szCs w:val="17"/>
              </w:rPr>
              <w:t>Tier 3 + optional metaverse</w:t>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6"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4"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FFFFFF" w:val="clear"/>
            <w:tcMar>
              <w:top w:w="40" w:type="dxa"/>
              <w:left w:w="10" w:type="dxa"/>
              <w:bottom w:w="40" w:type="dxa"/>
              <w:right w:w="10" w:type="dxa"/>
            </w:tcMar>
          </w:tcPr>
          <w:p>
            <w:pPr>
              <w:pStyle w:val="Normal"/>
              <w:spacing w:before="0" w:after="0"/>
              <w:rPr/>
            </w:pPr>
            <w:r>
              <w:rPr/>
            </w:r>
          </w:p>
        </w:tc>
        <w:tc>
          <w:tcPr>
            <w:tcW w:w="845" w:type="dxa"/>
            <w:tcBorders>
              <w:top w:val="single" w:sz="2" w:space="0" w:color="D6E4F0"/>
              <w:left w:val="single" w:sz="2" w:space="0" w:color="D6E4F0"/>
              <w:bottom w:val="single" w:sz="2" w:space="0" w:color="D6E4F0"/>
              <w:right w:val="single" w:sz="2" w:space="0" w:color="D6E4F0"/>
            </w:tcBorders>
            <w:shd w:fill="C9882B" w:val="clear"/>
            <w:tcMar>
              <w:top w:w="40" w:type="dxa"/>
              <w:left w:w="10" w:type="dxa"/>
              <w:bottom w:w="40" w:type="dxa"/>
              <w:right w:w="10" w:type="dxa"/>
            </w:tcMar>
          </w:tcPr>
          <w:p>
            <w:pPr>
              <w:pStyle w:val="Normal"/>
              <w:spacing w:before="0" w:after="0"/>
              <w:rPr/>
            </w:pPr>
            <w:r>
              <w:rPr/>
            </w:r>
          </w:p>
        </w:tc>
      </w:tr>
    </w:tbl>
    <w:p>
      <w:pPr>
        <w:pStyle w:val="Normal"/>
        <w:spacing w:before="70" w:after="180"/>
        <w:rPr/>
      </w:pPr>
      <w:r>
        <w:rPr>
          <w:rFonts w:eastAsia="Arial" w:cs="Arial" w:ascii="Arial" w:hAnsi="Arial"/>
          <w:i/>
          <w:iCs/>
          <w:color w:val="5E6B75"/>
          <w:sz w:val="17"/>
          <w:szCs w:val="17"/>
        </w:rPr>
        <w:t>Figure 8.1 — Indicative workstream schedule across eight half-year periods. Blue = Phase 1; aqua = Phase 2; gold = Phase 3; dark blue = continuous workstreams. Phase boundaries are gated (Sections 8.2–8.4).</w:t>
      </w:r>
    </w:p>
    <w:p>
      <w:pPr>
        <w:pStyle w:val="Normal"/>
        <w:rPr/>
      </w:pPr>
      <w:r>
        <w:rPr/>
      </w:r>
      <w:r>
        <w:br w:type="page"/>
      </w:r>
    </w:p>
    <w:p>
      <w:pPr>
        <w:pStyle w:val="Heading1"/>
        <w:spacing w:before="0" w:after="190"/>
        <w:rPr/>
      </w:pPr>
      <w:bookmarkStart w:id="48" w:name="__RefHeading___Toc2806_705121531"/>
      <w:bookmarkEnd w:id="48"/>
      <w:r>
        <w:rPr/>
        <w:t>9. Team, Organization, and Resource Plan</w:t>
      </w:r>
    </w:p>
    <w:p>
      <w:pPr>
        <w:pStyle w:val="Normal"/>
        <w:spacing w:lineRule="auto" w:line="266" w:before="0" w:after="130"/>
        <w:jc w:val="both"/>
        <w:rPr/>
      </w:pPr>
      <w:r>
        <w:rPr>
          <w:rFonts w:eastAsia="Georgia" w:cs="Georgia"/>
          <w:b w:val="false"/>
          <w:bCs w:val="false"/>
          <w:i w:val="false"/>
          <w:iCs w:val="false"/>
          <w:color w:val="16242E"/>
          <w:sz w:val="21"/>
          <w:szCs w:val="21"/>
        </w:rPr>
        <w:t>Flock’s staffing follows its phasing: a lean founding team proves the regulated core, and specialized capacity is added as each phase unlocks new capabilities. The plan is candid that several roles are, at inception, held by the founder and a small group; the target operating model below is what the program builds toward as funding and traction allow.</w:t>
      </w:r>
    </w:p>
    <w:p>
      <w:pPr>
        <w:pStyle w:val="Heading2"/>
        <w:rPr/>
      </w:pPr>
      <w:bookmarkStart w:id="49" w:name="__RefHeading___Toc2808_705121531"/>
      <w:bookmarkEnd w:id="49"/>
      <w:r>
        <w:rPr/>
        <w:t>9.1 Founding Team and Early Roles</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program is led by its founder, who owns vision, strategy, fundraising, and external relationships, and who brings the information-systems and full-stack engineering foundation on which the early build depends. The earliest external hires prioritize the two competencies that gate everything else: </w:t>
      </w:r>
      <w:r>
        <w:rPr>
          <w:rFonts w:eastAsia="Georgia" w:cs="Georgia"/>
          <w:b/>
          <w:bCs/>
          <w:i w:val="false"/>
          <w:iCs w:val="false"/>
          <w:color w:val="16242E"/>
          <w:sz w:val="21"/>
          <w:szCs w:val="21"/>
        </w:rPr>
        <w:t>regulatory/legal</w:t>
      </w:r>
      <w:r>
        <w:rPr>
          <w:rFonts w:eastAsia="Georgia" w:cs="Georgia"/>
          <w:b w:val="false"/>
          <w:bCs w:val="false"/>
          <w:i w:val="false"/>
          <w:iCs w:val="false"/>
          <w:color w:val="16242E"/>
          <w:sz w:val="21"/>
          <w:szCs w:val="21"/>
        </w:rPr>
        <w:t xml:space="preserve"> and </w:t>
      </w:r>
      <w:r>
        <w:rPr>
          <w:rFonts w:eastAsia="Georgia" w:cs="Georgia"/>
          <w:b/>
          <w:bCs/>
          <w:i w:val="false"/>
          <w:iCs w:val="false"/>
          <w:color w:val="16242E"/>
          <w:sz w:val="21"/>
          <w:szCs w:val="21"/>
        </w:rPr>
        <w:t>blockchain/security engineering</w:t>
      </w:r>
      <w:r>
        <w:rPr>
          <w:rFonts w:eastAsia="Georgia" w:cs="Georgia"/>
          <w:b w:val="false"/>
          <w:bCs w:val="false"/>
          <w:i w:val="false"/>
          <w:iCs w:val="false"/>
          <w:color w:val="16242E"/>
          <w:sz w:val="21"/>
          <w:szCs w:val="21"/>
        </w:rPr>
        <w:t>. Design, data/AI, and growth capacity follow as the product surface expands.</w:t>
      </w:r>
    </w:p>
    <w:p>
      <w:pPr>
        <w:pStyle w:val="Heading2"/>
        <w:rPr/>
      </w:pPr>
      <w:bookmarkStart w:id="50" w:name="__RefHeading___Toc2810_705121531"/>
      <w:bookmarkEnd w:id="50"/>
      <w:r>
        <w:rPr/>
        <w:t>9.2 Target Operating Model by Phase</w:t>
      </w:r>
    </w:p>
    <w:tbl>
      <w:tblPr>
        <w:tblW w:w="9360" w:type="dxa"/>
        <w:jc w:val="left"/>
        <w:tblInd w:w="0" w:type="dxa"/>
        <w:tblLayout w:type="fixed"/>
        <w:tblCellMar>
          <w:top w:w="66" w:type="dxa"/>
          <w:left w:w="100" w:type="dxa"/>
          <w:bottom w:w="66" w:type="dxa"/>
          <w:right w:w="100" w:type="dxa"/>
        </w:tblCellMar>
      </w:tblPr>
      <w:tblGrid>
        <w:gridCol w:w="2399"/>
        <w:gridCol w:w="2321"/>
        <w:gridCol w:w="2319"/>
        <w:gridCol w:w="2320"/>
      </w:tblGrid>
      <w:tr>
        <w:trPr>
          <w:tblHeader w:val="true"/>
        </w:trPr>
        <w:tc>
          <w:tcPr>
            <w:tcW w:w="23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Function</w:t>
            </w:r>
          </w:p>
        </w:tc>
        <w:tc>
          <w:tcPr>
            <w:tcW w:w="232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1 (Foundation)</w:t>
            </w:r>
          </w:p>
        </w:tc>
        <w:tc>
          <w:tcPr>
            <w:tcW w:w="231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2 (Markets)</w:t>
            </w:r>
          </w:p>
        </w:tc>
        <w:tc>
          <w:tcPr>
            <w:tcW w:w="232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3 (Scale)</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Leadership &amp; strategy</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Founder</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Founder + COO</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Founder + COO + CFO</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Compliance &amp; legal</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Fractional counsel + 1</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Compliance lead + counsel</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Compliance team + GC</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Blockchain / security eng.</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2–3</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4–5</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6–8 + external audits</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Application / full-stack eng.</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2–3</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5–6</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8–10</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Data / AI</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 (advisory v1)</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2–3</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4–5</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Product &amp; design</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1–2</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4–5</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Growth / community / support</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3–4</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6–8</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Approx. headcount</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~8–10</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~22–26</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~40–50</w:t>
            </w:r>
          </w:p>
        </w:tc>
      </w:tr>
    </w:tbl>
    <w:p>
      <w:pPr>
        <w:pStyle w:val="Normal"/>
        <w:spacing w:before="70" w:after="180"/>
        <w:rPr/>
      </w:pPr>
      <w:r>
        <w:rPr>
          <w:rFonts w:eastAsia="Arial" w:cs="Arial" w:ascii="Arial" w:hAnsi="Arial"/>
          <w:i/>
          <w:iCs/>
          <w:color w:val="5E6B75"/>
          <w:sz w:val="17"/>
          <w:szCs w:val="17"/>
        </w:rPr>
        <w:t>Table 9.1 — Indicative target operating model by phase. Headcount scales with proven traction and successive funding, not ahead of it.</w:t>
      </w:r>
    </w:p>
    <w:p>
      <w:pPr>
        <w:pStyle w:val="Heading2"/>
        <w:rPr/>
      </w:pPr>
      <w:bookmarkStart w:id="51" w:name="__RefHeading___Toc2812_705121531"/>
      <w:bookmarkEnd w:id="51"/>
      <w:r>
        <w:rPr/>
        <w:t>9.3 Extended Team and Partners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External auditors. </w:t>
      </w:r>
      <w:r>
        <w:rPr>
          <w:rFonts w:eastAsia="Georgia" w:cs="Georgia"/>
          <w:b w:val="false"/>
          <w:bCs w:val="false"/>
          <w:i w:val="false"/>
          <w:iCs w:val="false"/>
          <w:color w:val="16242E"/>
          <w:sz w:val="21"/>
          <w:szCs w:val="21"/>
        </w:rPr>
        <w:t>Independent smart-contract and security audit firms engaged at every production gate.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Custody &amp; transfer-agent partners. </w:t>
      </w:r>
      <w:r>
        <w:rPr>
          <w:rFonts w:eastAsia="Georgia" w:cs="Georgia"/>
          <w:b w:val="false"/>
          <w:bCs w:val="false"/>
          <w:i w:val="false"/>
          <w:iCs w:val="false"/>
          <w:color w:val="16242E"/>
          <w:sz w:val="21"/>
          <w:szCs w:val="21"/>
        </w:rPr>
        <w:t>Qualified custodians and a licensed transfer agent for the tokenization core.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Licensed venue partners. </w:t>
      </w:r>
      <w:r>
        <w:rPr>
          <w:rFonts w:eastAsia="Georgia" w:cs="Georgia"/>
          <w:b w:val="false"/>
          <w:bCs w:val="false"/>
          <w:i w:val="false"/>
          <w:iCs w:val="false"/>
          <w:color w:val="16242E"/>
          <w:sz w:val="21"/>
          <w:szCs w:val="21"/>
        </w:rPr>
        <w:t>ATS / designated-contract-market and DLT-Pilot-authorized infrastructure partners as appropriate to each jurisdiction.</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Advisory board. </w:t>
      </w:r>
      <w:r>
        <w:rPr>
          <w:rFonts w:eastAsia="Georgia" w:cs="Georgia"/>
          <w:b w:val="false"/>
          <w:bCs w:val="false"/>
          <w:i w:val="false"/>
          <w:iCs w:val="false"/>
          <w:color w:val="16242E"/>
          <w:sz w:val="21"/>
          <w:szCs w:val="21"/>
        </w:rPr>
        <w:t>Securities counsel, a fintech operator, a blockchain-security expert, and a behavioral-finance or financial-literacy scholar—mirroring the program’s core risk areas.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University ecosystem. </w:t>
      </w:r>
      <w:r>
        <w:rPr>
          <w:rFonts w:eastAsia="Georgia" w:cs="Georgia"/>
          <w:b w:val="false"/>
          <w:bCs w:val="false"/>
          <w:i w:val="false"/>
          <w:iCs w:val="false"/>
          <w:color w:val="16242E"/>
          <w:sz w:val="21"/>
          <w:szCs w:val="21"/>
        </w:rPr>
        <w:t>Mentorship, talent, and early-user channels through the University of Arkansas and its entrepreneurship and student-venture network (Section 12).</w:t>
      </w:r>
    </w:p>
    <w:p>
      <w:pPr>
        <w:pStyle w:val="Heading2"/>
        <w:rPr/>
      </w:pPr>
      <w:bookmarkStart w:id="52" w:name="__RefHeading___Toc2814_705121531"/>
      <w:bookmarkEnd w:id="52"/>
      <w:r>
        <w:rPr/>
        <w:t>9.4 Ways of Working</w:t>
      </w:r>
    </w:p>
    <w:p>
      <w:pPr>
        <w:pStyle w:val="Normal"/>
        <w:spacing w:lineRule="auto" w:line="266" w:before="0" w:after="130"/>
        <w:jc w:val="both"/>
        <w:rPr/>
      </w:pPr>
      <w:r>
        <w:rPr>
          <w:rFonts w:eastAsia="Georgia" w:cs="Georgia"/>
          <w:b w:val="false"/>
          <w:bCs w:val="false"/>
          <w:i w:val="false"/>
          <w:iCs w:val="false"/>
          <w:color w:val="16242E"/>
          <w:sz w:val="21"/>
          <w:szCs w:val="21"/>
        </w:rPr>
        <w:t>The team works in two-week iterations with pre-merge review gates and continuous integration (Section 2.3). Engineering uses an agentic, model-assisted development workflow with coordinated review to maximize the throughput of a small team without sacrificing the review discipline that security-critical code demands. Documentation is rigorous and versioned—a deliberate cultural commitment, given that the platform’s compliance and security posture depends on a clear, auditable record of decisions.</w:t>
      </w:r>
    </w:p>
    <w:p>
      <w:pPr>
        <w:pStyle w:val="Normal"/>
        <w:rPr/>
      </w:pPr>
      <w:r>
        <w:rPr/>
      </w:r>
      <w:r>
        <w:br w:type="page"/>
      </w:r>
    </w:p>
    <w:p>
      <w:pPr>
        <w:pStyle w:val="Heading1"/>
        <w:spacing w:before="0" w:after="190"/>
        <w:rPr/>
      </w:pPr>
      <w:bookmarkStart w:id="53" w:name="__RefHeading___Toc2816_705121531"/>
      <w:bookmarkEnd w:id="53"/>
      <w:r>
        <w:rPr/>
        <w:t>10. Work Breakdown Structure</w:t>
      </w:r>
    </w:p>
    <w:p>
      <w:pPr>
        <w:pStyle w:val="Normal"/>
        <w:spacing w:lineRule="auto" w:line="266" w:before="0" w:after="130"/>
        <w:jc w:val="both"/>
        <w:rPr/>
      </w:pPr>
      <w:r>
        <w:rPr>
          <w:rFonts w:eastAsia="Georgia" w:cs="Georgia"/>
          <w:b w:val="false"/>
          <w:bCs w:val="false"/>
          <w:i w:val="false"/>
          <w:iCs w:val="false"/>
          <w:color w:val="16242E"/>
          <w:sz w:val="21"/>
          <w:szCs w:val="21"/>
        </w:rPr>
        <w:t>The program decomposes into eight major workstreams, each owned by a function and spanning the phases per the roadmap (Section 7). The work breakdown below summarizes the principal deliverables of each workstream; it is the basis for detailed iteration planning.</w:t>
      </w:r>
    </w:p>
    <w:tbl>
      <w:tblPr>
        <w:tblW w:w="9360" w:type="dxa"/>
        <w:jc w:val="left"/>
        <w:tblInd w:w="0" w:type="dxa"/>
        <w:tblLayout w:type="fixed"/>
        <w:tblCellMar>
          <w:top w:w="66" w:type="dxa"/>
          <w:left w:w="100" w:type="dxa"/>
          <w:bottom w:w="66" w:type="dxa"/>
          <w:right w:w="100" w:type="dxa"/>
        </w:tblCellMar>
      </w:tblPr>
      <w:tblGrid>
        <w:gridCol w:w="499"/>
        <w:gridCol w:w="2150"/>
        <w:gridCol w:w="5210"/>
        <w:gridCol w:w="1500"/>
      </w:tblGrid>
      <w:tr>
        <w:trPr>
          <w:tblHeader w:val="true"/>
        </w:trPr>
        <w:tc>
          <w:tcPr>
            <w:tcW w:w="4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w:t>
            </w:r>
          </w:p>
        </w:tc>
        <w:tc>
          <w:tcPr>
            <w:tcW w:w="21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Workstream</w:t>
            </w:r>
          </w:p>
        </w:tc>
        <w:tc>
          <w:tcPr>
            <w:tcW w:w="521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Principal Deliverables</w:t>
            </w:r>
          </w:p>
        </w:tc>
        <w:tc>
          <w:tcPr>
            <w:tcW w:w="15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Lead</w:t>
            </w:r>
          </w:p>
        </w:tc>
      </w:tr>
      <w:tr>
        <w:trPr/>
        <w:tc>
          <w:tcPr>
            <w:tcW w:w="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1</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Compliance &amp; Licensing</w:t>
            </w:r>
          </w:p>
        </w:tc>
        <w:tc>
          <w:tcPr>
            <w:tcW w:w="5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Jurisdiction analysis; venue structure; KYC/AML integration; licensing applications; per-asset legal opinions</w:t>
            </w:r>
          </w:p>
        </w:tc>
        <w:tc>
          <w:tcPr>
            <w:tcW w:w="1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Compliance</w:t>
            </w:r>
          </w:p>
        </w:tc>
      </w:tr>
      <w:tr>
        <w:trPr/>
        <w:tc>
          <w:tcPr>
            <w:tcW w:w="4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2</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Tokenization &amp; Custody</w:t>
            </w:r>
          </w:p>
        </w:tc>
        <w:tc>
          <w:tcPr>
            <w:tcW w:w="5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Permissioned token contracts; custody &amp; transfer-agent integration; proof-of-reserve; redemption flows</w:t>
            </w:r>
          </w:p>
        </w:tc>
        <w:tc>
          <w:tcPr>
            <w:tcW w:w="1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Blockchain</w:t>
            </w:r>
          </w:p>
        </w:tc>
      </w:tr>
      <w:tr>
        <w:trPr/>
        <w:tc>
          <w:tcPr>
            <w:tcW w:w="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3</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Liquidity &amp; Settlement</w:t>
            </w:r>
          </w:p>
        </w:tc>
        <w:tc>
          <w:tcPr>
            <w:tcW w:w="5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AMM/order-book; vault strategies; matching engine; settlement; conservative cross-chain (if required)</w:t>
            </w:r>
          </w:p>
        </w:tc>
        <w:tc>
          <w:tcPr>
            <w:tcW w:w="1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Blockchain</w:t>
            </w:r>
          </w:p>
        </w:tc>
      </w:tr>
      <w:tr>
        <w:trPr/>
        <w:tc>
          <w:tcPr>
            <w:tcW w:w="4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4</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Intelligence Layer</w:t>
            </w:r>
          </w:p>
        </w:tc>
        <w:tc>
          <w:tcPr>
            <w:tcW w:w="5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Portfolio optimization; risk scoring; sentiment; conversational advisory; explainability &amp; risk-comms</w:t>
            </w:r>
          </w:p>
        </w:tc>
        <w:tc>
          <w:tcPr>
            <w:tcW w:w="1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Data / AI</w:t>
            </w:r>
          </w:p>
        </w:tc>
      </w:tr>
      <w:tr>
        <w:trPr/>
        <w:tc>
          <w:tcPr>
            <w:tcW w:w="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5</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Social &amp; Markets</w:t>
            </w:r>
          </w:p>
        </w:tc>
        <w:tc>
          <w:tcPr>
            <w:tcW w:w="5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Copy trading + circuit-breakers; reputation; freelance advisory; P2P lending; event/derivatives/insurance markets</w:t>
            </w:r>
          </w:p>
        </w:tc>
        <w:tc>
          <w:tcPr>
            <w:tcW w:w="1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Product / Blockchain</w:t>
            </w:r>
          </w:p>
        </w:tc>
      </w:tr>
      <w:tr>
        <w:trPr/>
        <w:tc>
          <w:tcPr>
            <w:tcW w:w="4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6</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Experience &amp; Literacy</w:t>
            </w:r>
          </w:p>
        </w:tc>
        <w:tc>
          <w:tcPr>
            <w:tcW w:w="5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Tiered UX; gamified literacy progression; competence gating; optional experiential metaverse</w:t>
            </w:r>
          </w:p>
        </w:tc>
        <w:tc>
          <w:tcPr>
            <w:tcW w:w="1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Product / Design</w:t>
            </w:r>
          </w:p>
        </w:tc>
      </w:tr>
      <w:tr>
        <w:trPr/>
        <w:tc>
          <w:tcPr>
            <w:tcW w:w="4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7</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Platform &amp; Data</w:t>
            </w:r>
          </w:p>
        </w:tc>
        <w:tc>
          <w:tcPr>
            <w:tcW w:w="52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APIs; system-of-record; realtime services; analytics; reliability &amp; observability</w:t>
            </w:r>
          </w:p>
        </w:tc>
        <w:tc>
          <w:tcPr>
            <w:tcW w:w="15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Application Eng.</w:t>
            </w:r>
          </w:p>
        </w:tc>
      </w:tr>
      <w:tr>
        <w:trPr/>
        <w:tc>
          <w:tcPr>
            <w:tcW w:w="4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8</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Security &amp; Assurance</w:t>
            </w:r>
          </w:p>
        </w:tc>
        <w:tc>
          <w:tcPr>
            <w:tcW w:w="52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Secure SDLC; audits; key management; monitoring; incident response; bug bounty</w:t>
            </w:r>
          </w:p>
        </w:tc>
        <w:tc>
          <w:tcPr>
            <w:tcW w:w="15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Security</w:t>
            </w:r>
          </w:p>
        </w:tc>
      </w:tr>
    </w:tbl>
    <w:p>
      <w:pPr>
        <w:pStyle w:val="Normal"/>
        <w:spacing w:before="70" w:after="180"/>
        <w:rPr/>
      </w:pPr>
      <w:r>
        <w:rPr>
          <w:rFonts w:eastAsia="Arial" w:cs="Arial" w:ascii="Arial" w:hAnsi="Arial"/>
          <w:i/>
          <w:iCs/>
          <w:color w:val="5E6B75"/>
          <w:sz w:val="17"/>
          <w:szCs w:val="17"/>
        </w:rPr>
        <w:t>Table 10.1 — Work breakdown structure: eight workstreams and their principal deliverables. Each is planned in detail within its phase and gated by the relevant go/no-go threshold.</w:t>
      </w:r>
    </w:p>
    <w:p>
      <w:pPr>
        <w:pStyle w:val="Normal"/>
        <w:rPr/>
      </w:pPr>
      <w:r>
        <w:rPr/>
      </w:r>
      <w:r>
        <w:br w:type="page"/>
      </w:r>
    </w:p>
    <w:p>
      <w:pPr>
        <w:pStyle w:val="Heading1"/>
        <w:spacing w:before="0" w:after="190"/>
        <w:rPr/>
      </w:pPr>
      <w:bookmarkStart w:id="54" w:name="__RefHeading___Toc2818_705121531"/>
      <w:bookmarkEnd w:id="54"/>
      <w:r>
        <w:rPr/>
        <w:t>11. Risk Register</w:t>
      </w:r>
    </w:p>
    <w:p>
      <w:pPr>
        <w:pStyle w:val="Normal"/>
        <w:spacing w:lineRule="auto" w:line="266" w:before="0" w:after="130"/>
        <w:jc w:val="both"/>
        <w:rPr/>
      </w:pPr>
      <w:r>
        <w:rPr>
          <w:rFonts w:eastAsia="Georgia" w:cs="Georgia"/>
          <w:b w:val="false"/>
          <w:bCs w:val="false"/>
          <w:i w:val="false"/>
          <w:iCs w:val="false"/>
          <w:color w:val="16242E"/>
          <w:sz w:val="21"/>
          <w:szCs w:val="21"/>
        </w:rPr>
        <w:t>The risk register is the program’s central instrument of honesty. It is reviewed at every phase gate and owned by the risk committee (Section 2.2). Risks are drawn directly from the documented failure modes of comparable systems; the mitigations are, in most cases, the very design constraints that define the platform.</w:t>
      </w:r>
    </w:p>
    <w:tbl>
      <w:tblPr>
        <w:tblW w:w="9360" w:type="dxa"/>
        <w:jc w:val="left"/>
        <w:tblInd w:w="0" w:type="dxa"/>
        <w:tblLayout w:type="fixed"/>
        <w:tblCellMar>
          <w:top w:w="66" w:type="dxa"/>
          <w:left w:w="100" w:type="dxa"/>
          <w:bottom w:w="66" w:type="dxa"/>
          <w:right w:w="100" w:type="dxa"/>
        </w:tblCellMar>
      </w:tblPr>
      <w:tblGrid>
        <w:gridCol w:w="559"/>
        <w:gridCol w:w="2150"/>
        <w:gridCol w:w="1181"/>
        <w:gridCol w:w="1080"/>
        <w:gridCol w:w="719"/>
        <w:gridCol w:w="3670"/>
      </w:tblGrid>
      <w:tr>
        <w:trPr>
          <w:tblHeader w:val="true"/>
        </w:trPr>
        <w:tc>
          <w:tcPr>
            <w:tcW w:w="5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ID</w:t>
            </w:r>
          </w:p>
        </w:tc>
        <w:tc>
          <w:tcPr>
            <w:tcW w:w="21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Risk</w:t>
            </w:r>
          </w:p>
        </w:tc>
        <w:tc>
          <w:tcPr>
            <w:tcW w:w="118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Category</w:t>
            </w:r>
          </w:p>
        </w:tc>
        <w:tc>
          <w:tcPr>
            <w:tcW w:w="108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Likelihood</w:t>
            </w:r>
          </w:p>
        </w:tc>
        <w:tc>
          <w:tcPr>
            <w:tcW w:w="71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Impact</w:t>
            </w:r>
          </w:p>
        </w:tc>
        <w:tc>
          <w:tcPr>
            <w:tcW w:w="367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Mitigation</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R1</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Regulatory rejection or licensing delay in a target jurisdiction</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Regulatory</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Med–High</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Regulated-first, market-by-market sequencing; fractional counsel early; engage regulators proactively; phase gate halts progression if unmet</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R2</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Cross-chain bridge exploit causing catastrophic loss</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Security</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Minimize cross-chain dependency; single high-assurance chain; only rigorously secured messaging; board-level limits</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R3</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Smart-contract vulnerability in custody/settlement/lending</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Security</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External audits at every production gate; formal analysis; bug bounty; staged rollout with limits</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R4</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Liquidity fragmentation across too many thin markets</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Market</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High</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Sequence listings by readiness; AMM liquidity bootstrapping; avoid issuer concentration; market-maker partnerships</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R5</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Issuer concentration in tokenized collateral (e.g., Treasuries)</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Market</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Diversify issuers; monitor concentration as a first-order metric; contingency for delisting</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R6</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Copy-trading herding amplifies systemic risk</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Conduct</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Herding circuit-breakers; per-strategy risk caps; competence-gated copying; risk-forward presentation</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R7</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Users harmed by event-market / derivative losses</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Conduct</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Med–High</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Position as hedging/forecasting; prominent loss-distribution disclosure; competence and jurisdiction gating</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R8</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Gamification construed as encouraging overtrading</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Regulatory</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Tie advancement to learning &amp; risk calibration, not volume; auditable progression metrics</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R9</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P2P-lending counterparty default harms lenders</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Market</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Over-collateralization; automated margining; default insurance; clear lender-bears-risk disclosure</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R10</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Oracle manipulation undermines pricing or redemption</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Security</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Redundant independent feeds; circuit-breakers on anomalies; decentralized proof-of-reserve attestation</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R11</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Hybrid-ownership redemption fails legally or operationally</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Legal</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Per-asset legal opinion gate; SPV + qualified custody; selective rollout atop mature infrastructure</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R12</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Funding shortfall before a phase gate is cleared</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Financial</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C0504D"/>
                <w:sz w:val="16"/>
                <w:szCs w:val="16"/>
              </w:rPr>
              <w:t>High</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Lean phased hiring; milestone-based raises; conservative runway; competition &amp; non-dilutive funding</w:t>
            </w:r>
          </w:p>
        </w:tc>
      </w:tr>
      <w:tr>
        <w:trPr/>
        <w:tc>
          <w:tcPr>
            <w:tcW w:w="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R13</w:t>
            </w:r>
          </w:p>
        </w:tc>
        <w:tc>
          <w:tcPr>
            <w:tcW w:w="2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Key-person dependency on the founder/early team</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Organizational</w:t>
            </w:r>
          </w:p>
        </w:tc>
        <w:tc>
          <w:tcPr>
            <w:tcW w:w="108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Med</w:t>
            </w:r>
          </w:p>
        </w:tc>
        <w:tc>
          <w:tcPr>
            <w:tcW w:w="7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Documentation discipline; succession in decision rights; advisory board; phased delegation</w:t>
            </w:r>
          </w:p>
        </w:tc>
      </w:tr>
      <w:tr>
        <w:trPr/>
        <w:tc>
          <w:tcPr>
            <w:tcW w:w="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R14</w:t>
            </w:r>
          </w:p>
        </w:tc>
        <w:tc>
          <w:tcPr>
            <w:tcW w:w="2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val="false"/>
                <w:bCs w:val="false"/>
                <w:i w:val="false"/>
                <w:iCs w:val="false"/>
                <w:color w:val="16242E"/>
                <w:sz w:val="16"/>
                <w:szCs w:val="16"/>
              </w:rPr>
              <w:t>Metaverse/speculative scope diverts focus</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Strategic</w:t>
            </w:r>
          </w:p>
        </w:tc>
        <w:tc>
          <w:tcPr>
            <w:tcW w:w="108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Low–Med</w:t>
            </w:r>
          </w:p>
        </w:tc>
        <w:tc>
          <w:tcPr>
            <w:tcW w:w="7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D99A2B"/>
                <w:sz w:val="16"/>
                <w:szCs w:val="16"/>
              </w:rPr>
              <w:t>Med</w:t>
            </w:r>
          </w:p>
        </w:tc>
        <w:tc>
          <w:tcPr>
            <w:tcW w:w="367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Explicitly out of initial scope; metaverse limited to non-speculative interface; deferrable</w:t>
            </w:r>
          </w:p>
        </w:tc>
      </w:tr>
    </w:tbl>
    <w:p>
      <w:pPr>
        <w:pStyle w:val="Normal"/>
        <w:spacing w:before="70" w:after="180"/>
        <w:rPr/>
      </w:pPr>
      <w:r>
        <w:rPr>
          <w:rFonts w:eastAsia="Arial" w:cs="Arial" w:ascii="Arial" w:hAnsi="Arial"/>
          <w:i/>
          <w:iCs/>
          <w:color w:val="5E6B75"/>
          <w:sz w:val="17"/>
          <w:szCs w:val="17"/>
        </w:rPr>
        <w:t>Table 11.1 — Program risk register. Reviewed and updated at every phase gate. Most mitigations are the platform’s defining design constraints, not optional add-ons.</w:t>
      </w:r>
    </w:p>
    <w:p>
      <w:pPr>
        <w:pStyle w:val="Normal"/>
        <w:rPr/>
      </w:pPr>
      <w:r>
        <w:rPr/>
      </w:r>
      <w:r>
        <w:br w:type="page"/>
      </w:r>
    </w:p>
    <w:p>
      <w:pPr>
        <w:pStyle w:val="Heading1"/>
        <w:spacing w:before="0" w:after="190"/>
        <w:rPr/>
      </w:pPr>
      <w:bookmarkStart w:id="55" w:name="__RefHeading___Toc2820_705121531"/>
      <w:bookmarkEnd w:id="55"/>
      <w:r>
        <w:rPr/>
        <w:t>12. Budget and Financial Model</w:t>
      </w:r>
    </w:p>
    <w:p>
      <w:pPr>
        <w:pStyle w:val="Normal"/>
        <w:spacing w:lineRule="auto" w:line="266" w:before="0" w:after="130"/>
        <w:jc w:val="both"/>
        <w:rPr/>
      </w:pPr>
      <w:r>
        <w:rPr>
          <w:rFonts w:eastAsia="Georgia" w:cs="Georgia"/>
          <w:b w:val="false"/>
          <w:bCs w:val="false"/>
          <w:i w:val="false"/>
          <w:iCs w:val="false"/>
          <w:color w:val="16242E"/>
          <w:sz w:val="21"/>
          <w:szCs w:val="21"/>
        </w:rPr>
        <w:t>The financial plan is phased to match the gated roadmap: capital is raised and deployed against proven milestones rather than ahead of them. The figures below are planning-level estimates intended to size the program and to frame fundraising; they will be refined as licensing scope and team composition are finalized.</w:t>
      </w:r>
    </w:p>
    <w:p>
      <w:pPr>
        <w:pStyle w:val="Heading2"/>
        <w:rPr/>
      </w:pPr>
      <w:bookmarkStart w:id="56" w:name="__RefHeading___Toc2822_705121531"/>
      <w:bookmarkEnd w:id="56"/>
      <w:r>
        <w:rPr/>
        <w:t>12.1 Cost Drivers</w:t>
      </w:r>
    </w:p>
    <w:p>
      <w:pPr>
        <w:pStyle w:val="Normal"/>
        <w:spacing w:lineRule="auto" w:line="266" w:before="0" w:after="130"/>
        <w:jc w:val="both"/>
        <w:rPr/>
      </w:pPr>
      <w:r>
        <w:rPr>
          <w:rFonts w:eastAsia="Georgia" w:cs="Georgia"/>
          <w:color w:val="16242E"/>
          <w:sz w:val="21"/>
          <w:szCs w:val="21"/>
        </w:rPr>
        <w:t>Four categories dominate cost, and their relative weight shifts across phases: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Personnel. </w:t>
      </w:r>
      <w:r>
        <w:rPr>
          <w:rFonts w:eastAsia="Georgia" w:cs="Georgia"/>
          <w:b w:val="false"/>
          <w:bCs w:val="false"/>
          <w:i w:val="false"/>
          <w:iCs w:val="false"/>
          <w:color w:val="16242E"/>
          <w:sz w:val="21"/>
          <w:szCs w:val="21"/>
        </w:rPr>
        <w:t>The largest ongoing cost; engineering and compliance dominate early, growth and support later.</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Compliance &amp; licensing. </w:t>
      </w:r>
      <w:r>
        <w:rPr>
          <w:rFonts w:eastAsia="Georgia" w:cs="Georgia"/>
          <w:b w:val="false"/>
          <w:bCs w:val="false"/>
          <w:i w:val="false"/>
          <w:iCs w:val="false"/>
          <w:color w:val="16242E"/>
          <w:sz w:val="21"/>
          <w:szCs w:val="21"/>
        </w:rPr>
        <w:t>Legal counsel, licensing applications and fees, and the jurisdiction-by-jurisdiction money-transmitter burden—front-loaded and frequently underestimated.</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Security &amp; audits. </w:t>
      </w:r>
      <w:r>
        <w:rPr>
          <w:rFonts w:eastAsia="Georgia" w:cs="Georgia"/>
          <w:b w:val="false"/>
          <w:bCs w:val="false"/>
          <w:i w:val="false"/>
          <w:iCs w:val="false"/>
          <w:color w:val="16242E"/>
          <w:sz w:val="21"/>
          <w:szCs w:val="21"/>
        </w:rPr>
        <w:t>Recurring external audits, formal verification, monitoring, and a bug-bounty program—non-negotiable and recurring at every gate.</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Infrastructure &amp; custody. </w:t>
      </w:r>
      <w:r>
        <w:rPr>
          <w:rFonts w:eastAsia="Georgia" w:cs="Georgia"/>
          <w:b w:val="false"/>
          <w:bCs w:val="false"/>
          <w:i w:val="false"/>
          <w:iCs w:val="false"/>
          <w:color w:val="16242E"/>
          <w:sz w:val="21"/>
          <w:szCs w:val="21"/>
        </w:rPr>
        <w:t>Cloud, data, on-chain costs, and custody/transfer-agent partner fees.</w:t>
      </w:r>
    </w:p>
    <w:p>
      <w:pPr>
        <w:pStyle w:val="Heading2"/>
        <w:rPr/>
      </w:pPr>
      <w:bookmarkStart w:id="57" w:name="__RefHeading___Toc2824_705121531"/>
      <w:bookmarkEnd w:id="57"/>
      <w:r>
        <w:rPr/>
        <w:t>12.2 Indicative Phased Budget</w:t>
      </w:r>
    </w:p>
    <w:tbl>
      <w:tblPr>
        <w:tblW w:w="9360" w:type="dxa"/>
        <w:jc w:val="left"/>
        <w:tblInd w:w="0" w:type="dxa"/>
        <w:tblLayout w:type="fixed"/>
        <w:tblCellMar>
          <w:top w:w="66" w:type="dxa"/>
          <w:left w:w="100" w:type="dxa"/>
          <w:bottom w:w="66" w:type="dxa"/>
          <w:right w:w="100" w:type="dxa"/>
        </w:tblCellMar>
      </w:tblPr>
      <w:tblGrid>
        <w:gridCol w:w="2399"/>
        <w:gridCol w:w="2321"/>
        <w:gridCol w:w="2319"/>
        <w:gridCol w:w="2320"/>
      </w:tblGrid>
      <w:tr>
        <w:trPr>
          <w:tblHeader w:val="true"/>
        </w:trPr>
        <w:tc>
          <w:tcPr>
            <w:tcW w:w="23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Category</w:t>
            </w:r>
          </w:p>
        </w:tc>
        <w:tc>
          <w:tcPr>
            <w:tcW w:w="232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1 (0–18 mo.)</w:t>
            </w:r>
          </w:p>
        </w:tc>
        <w:tc>
          <w:tcPr>
            <w:tcW w:w="231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2 (18–36 mo.)</w:t>
            </w:r>
          </w:p>
        </w:tc>
        <w:tc>
          <w:tcPr>
            <w:tcW w:w="232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Phase 3 (36+ mo.)</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Personnel</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$1.4M–$1.9M</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$3.8M–$4.8M</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$7.5M–$9.5M</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Compliance &amp; licensing</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$0.5M–$0.9M</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$0.8M–$1.3M</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$1.2M–$2.0M</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Security &amp; audits</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$0.2M–$0.4M</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$0.4M–$0.7M</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$0.7M–$1.1M</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Infrastructure &amp; custody</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$0.2M–$0.3M</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$0.4M–$0.6M</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$0.8M–$1.2M</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Marketing &amp; growth</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$0.1M–$0.2M</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$0.5M–$0.9M</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$1.5M–$2.5M</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Phase total (indicative)</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$2.4M–$3.7M</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$5.9M–$8.3M</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$11.7M–$16.3M</w:t>
            </w:r>
          </w:p>
        </w:tc>
      </w:tr>
    </w:tbl>
    <w:p>
      <w:pPr>
        <w:pStyle w:val="Normal"/>
        <w:spacing w:before="70" w:after="180"/>
        <w:rPr/>
      </w:pPr>
      <w:r>
        <w:rPr>
          <w:rFonts w:eastAsia="Arial" w:cs="Arial" w:ascii="Arial" w:hAnsi="Arial"/>
          <w:i/>
          <w:iCs/>
          <w:color w:val="5E6B75"/>
          <w:sz w:val="17"/>
          <w:szCs w:val="17"/>
        </w:rPr>
        <w:t>Table 12.1 — Indicative phased budget. Ranges reflect uncertainty in licensing scope and hiring pace. Figures are planning estimates for sizing and fundraising, not commitments.</w:t>
      </w:r>
    </w:p>
    <w:p>
      <w:pPr>
        <w:pStyle w:val="Heading2"/>
        <w:rPr/>
      </w:pPr>
      <w:bookmarkStart w:id="58" w:name="__RefHeading___Toc2826_705121531"/>
      <w:bookmarkEnd w:id="58"/>
      <w:r>
        <w:rPr/>
        <w:t>12.3 Funding Strategy</w:t>
      </w:r>
    </w:p>
    <w:p>
      <w:pPr>
        <w:pStyle w:val="Normal"/>
        <w:spacing w:lineRule="auto" w:line="266" w:before="0" w:after="130"/>
        <w:jc w:val="both"/>
        <w:rPr/>
      </w:pPr>
      <w:r>
        <w:rPr>
          <w:rFonts w:eastAsia="Georgia" w:cs="Georgia"/>
          <w:b w:val="false"/>
          <w:bCs w:val="false"/>
          <w:i w:val="false"/>
          <w:iCs w:val="false"/>
          <w:color w:val="16242E"/>
          <w:sz w:val="21"/>
          <w:szCs w:val="21"/>
        </w:rPr>
        <w:t xml:space="preserve">Funding is raised in tranches aligned to the phase gates, so that each raise is de-risked by the milestones the previous capital achieved. The strategy blends </w:t>
      </w:r>
      <w:r>
        <w:rPr>
          <w:rFonts w:eastAsia="Georgia" w:cs="Georgia"/>
          <w:b/>
          <w:bCs/>
          <w:i w:val="false"/>
          <w:iCs w:val="false"/>
          <w:color w:val="16242E"/>
          <w:sz w:val="21"/>
          <w:szCs w:val="21"/>
        </w:rPr>
        <w:t>non-dilutive and dilutive sources</w:t>
      </w:r>
      <w:r>
        <w:rPr>
          <w:rFonts w:eastAsia="Georgia" w:cs="Georgia"/>
          <w:b w:val="false"/>
          <w:bCs w:val="false"/>
          <w:i w:val="false"/>
          <w:iCs w:val="false"/>
          <w:color w:val="16242E"/>
          <w:sz w:val="21"/>
          <w:szCs w:val="21"/>
        </w:rPr>
        <w:t>: university and pitch-competition awards and grants in the earliest stage (Section 12), a pre-seed/seed round to fund the regulated foundation through the Phase 1 gate, and subsequent rounds sized to each phase. The regulated-first sequence is itself a fundraising advantage—demonstrated compliant settlement and real custodied assets are far stronger evidence to investors than a pre-launch deck.</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C9882B"/>
              <w:left w:val="single" w:sz="22" w:space="0" w:color="C9882B"/>
              <w:bottom w:val="single" w:sz="2" w:space="0" w:color="C9882B"/>
              <w:right w:val="single" w:sz="2" w:space="0" w:color="C9882B"/>
            </w:tcBorders>
            <w:shd w:fill="F5ECD9" w:val="clear"/>
          </w:tcPr>
          <w:p>
            <w:pPr>
              <w:pStyle w:val="Normal"/>
              <w:spacing w:before="0" w:after="70"/>
              <w:rPr/>
            </w:pPr>
            <w:r>
              <w:rPr>
                <w:rFonts w:eastAsia="Arial" w:cs="Arial" w:ascii="Arial" w:hAnsi="Arial"/>
                <w:b/>
                <w:bCs/>
                <w:color w:val="8A5E18"/>
                <w:sz w:val="21"/>
                <w:szCs w:val="21"/>
              </w:rPr>
              <w:t>Financing Principle</w:t>
            </w:r>
          </w:p>
          <w:p>
            <w:pPr>
              <w:pStyle w:val="Normal"/>
              <w:spacing w:lineRule="auto" w:line="261" w:before="0" w:after="0"/>
              <w:rPr/>
            </w:pPr>
            <w:r>
              <w:rPr>
                <w:rFonts w:eastAsia="Georgia" w:cs="Georgia"/>
                <w:color w:val="16242E"/>
                <w:sz w:val="20"/>
                <w:szCs w:val="20"/>
              </w:rPr>
              <w:t>Raise against proven gates, not promises. Each tranche funds the work needed to clear the next go/no-go threshold; clearing that threshold—compliant settlement, audited contracts, real liquidity—is what unlocks the following raise. Patience, sequenced, lowers both risk and dilution.</w:t>
            </w:r>
          </w:p>
        </w:tc>
      </w:tr>
    </w:tbl>
    <w:p>
      <w:pPr>
        <w:pStyle w:val="Normal"/>
        <w:rPr/>
      </w:pPr>
      <w:r>
        <w:rPr/>
      </w:r>
      <w:r>
        <w:br w:type="page"/>
      </w:r>
    </w:p>
    <w:p>
      <w:pPr>
        <w:pStyle w:val="Heading1"/>
        <w:spacing w:before="0" w:after="190"/>
        <w:rPr/>
      </w:pPr>
      <w:bookmarkStart w:id="59" w:name="__RefHeading___Toc2828_705121531"/>
      <w:bookmarkEnd w:id="59"/>
      <w:r>
        <w:rPr/>
        <w:t>13. Financial Projections and Scenarios</w:t>
      </w:r>
    </w:p>
    <w:p>
      <w:pPr>
        <w:pStyle w:val="Normal"/>
        <w:spacing w:lineRule="auto" w:line="266" w:before="0" w:after="130"/>
        <w:jc w:val="both"/>
        <w:rPr/>
      </w:pPr>
      <w:r>
        <w:rPr>
          <w:rFonts w:eastAsia="Georgia" w:cs="Georgia"/>
          <w:b w:val="false"/>
          <w:bCs w:val="false"/>
          <w:i w:val="false"/>
          <w:iCs w:val="false"/>
          <w:color w:val="16242E"/>
          <w:sz w:val="21"/>
          <w:szCs w:val="21"/>
        </w:rPr>
        <w:t>Beyond the phased budget (Section 11), this section frames the revenue trajectory and the conditions under which the program approaches sustainability. The figures are illustrative scenarios for planning and fundraising, not forecasts; they are deliberately conservative and gate-aligned.</w:t>
      </w:r>
    </w:p>
    <w:p>
      <w:pPr>
        <w:pStyle w:val="Heading2"/>
        <w:rPr/>
      </w:pPr>
      <w:bookmarkStart w:id="60" w:name="__RefHeading___Toc2830_705121531"/>
      <w:bookmarkEnd w:id="60"/>
      <w:r>
        <w:rPr/>
        <w:t>13.1 Revenue Build-Up Logic</w:t>
      </w:r>
    </w:p>
    <w:p>
      <w:pPr>
        <w:pStyle w:val="Normal"/>
        <w:spacing w:lineRule="auto" w:line="266" w:before="0" w:after="130"/>
        <w:jc w:val="both"/>
        <w:rPr/>
      </w:pPr>
      <w:r>
        <w:rPr>
          <w:rFonts w:eastAsia="Georgia" w:cs="Georgia"/>
          <w:b w:val="false"/>
          <w:bCs w:val="false"/>
          <w:i w:val="false"/>
          <w:iCs w:val="false"/>
          <w:color w:val="16242E"/>
          <w:sz w:val="21"/>
          <w:szCs w:val="21"/>
        </w:rPr>
        <w:t>Revenue scales with three multiplicands: the number of active users, the assets they custody and transact, and the blended take across diversified low-rate revenue lines (Section 13). Because the platform monetizes through many small, transparent fees rather than a few punitive ones, revenue per user is modest but grows as users ascend the tiers and access more capabilities—always in step with demonstrated competence rather than induced overtrading.</w:t>
      </w:r>
    </w:p>
    <w:p>
      <w:pPr>
        <w:pStyle w:val="Heading2"/>
        <w:rPr/>
      </w:pPr>
      <w:bookmarkStart w:id="61" w:name="__RefHeading___Toc2832_705121531"/>
      <w:bookmarkEnd w:id="61"/>
      <w:r>
        <w:rPr/>
        <w:t>13.2 Illustrative Scenario</w:t>
      </w:r>
    </w:p>
    <w:tbl>
      <w:tblPr>
        <w:tblW w:w="9360" w:type="dxa"/>
        <w:jc w:val="left"/>
        <w:tblInd w:w="0" w:type="dxa"/>
        <w:tblLayout w:type="fixed"/>
        <w:tblCellMar>
          <w:top w:w="66" w:type="dxa"/>
          <w:left w:w="100" w:type="dxa"/>
          <w:bottom w:w="66" w:type="dxa"/>
          <w:right w:w="100" w:type="dxa"/>
        </w:tblCellMar>
      </w:tblPr>
      <w:tblGrid>
        <w:gridCol w:w="2399"/>
        <w:gridCol w:w="2321"/>
        <w:gridCol w:w="2319"/>
        <w:gridCol w:w="2320"/>
      </w:tblGrid>
      <w:tr>
        <w:trPr>
          <w:tblHeader w:val="true"/>
        </w:trPr>
        <w:tc>
          <w:tcPr>
            <w:tcW w:w="23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Metric (illustrative)</w:t>
            </w:r>
          </w:p>
        </w:tc>
        <w:tc>
          <w:tcPr>
            <w:tcW w:w="232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End of Phase 1</w:t>
            </w:r>
          </w:p>
        </w:tc>
        <w:tc>
          <w:tcPr>
            <w:tcW w:w="231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End of Phase 2</w:t>
            </w:r>
          </w:p>
        </w:tc>
        <w:tc>
          <w:tcPr>
            <w:tcW w:w="232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End of Phase 3</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Verified users</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5K–15K</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75K–150K</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500K–1M+</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Custodied assets (AUM)</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$50M–$100M</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$400M–$800M</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$3B–$6B+</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Blended annual take rate</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~0.4%–0.6%</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~0.5%–0.7%</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~0.5%–0.8%</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Indicative annual revenue</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$0.3M–$0.7M</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$3M–$6M</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$20M–$45M</w:t>
            </w:r>
          </w:p>
        </w:tc>
      </w:tr>
      <w:tr>
        <w:trPr/>
        <w:tc>
          <w:tcPr>
            <w:tcW w:w="23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Approx. team size</w:t>
            </w:r>
          </w:p>
        </w:tc>
        <w:tc>
          <w:tcPr>
            <w:tcW w:w="232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~8–10</w:t>
            </w:r>
          </w:p>
        </w:tc>
        <w:tc>
          <w:tcPr>
            <w:tcW w:w="231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~22–26</w:t>
            </w:r>
          </w:p>
        </w:tc>
        <w:tc>
          <w:tcPr>
            <w:tcW w:w="232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~40–50</w:t>
            </w:r>
          </w:p>
        </w:tc>
      </w:tr>
      <w:tr>
        <w:trPr/>
        <w:tc>
          <w:tcPr>
            <w:tcW w:w="23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b/>
                <w:bCs/>
                <w:i w:val="false"/>
                <w:iCs w:val="false"/>
                <w:color w:val="16242E"/>
                <w:sz w:val="21"/>
                <w:szCs w:val="21"/>
              </w:rPr>
              <w:t>Sustainability posture</w:t>
            </w:r>
          </w:p>
        </w:tc>
        <w:tc>
          <w:tcPr>
            <w:tcW w:w="232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Pre-revenue / seed-funded</w:t>
            </w:r>
          </w:p>
        </w:tc>
        <w:tc>
          <w:tcPr>
            <w:tcW w:w="231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Approaching contribution margin</w:t>
            </w:r>
          </w:p>
        </w:tc>
        <w:tc>
          <w:tcPr>
            <w:tcW w:w="232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Path to operating sustainability</w:t>
            </w:r>
          </w:p>
        </w:tc>
      </w:tr>
    </w:tbl>
    <w:p>
      <w:pPr>
        <w:pStyle w:val="Normal"/>
        <w:spacing w:before="70" w:after="180"/>
        <w:rPr/>
      </w:pPr>
      <w:r>
        <w:rPr>
          <w:rFonts w:eastAsia="Arial" w:cs="Arial" w:ascii="Arial" w:hAnsi="Arial"/>
          <w:i/>
          <w:iCs/>
          <w:color w:val="5E6B75"/>
          <w:sz w:val="17"/>
          <w:szCs w:val="17"/>
        </w:rPr>
        <w:t>Table 13.1 — Illustrative scenario across the three phases. Ranges are planning scenarios, not forecasts; actuals depend on licensing scope, market conditions, and execution.</w:t>
      </w:r>
    </w:p>
    <w:p>
      <w:pPr>
        <w:pStyle w:val="Heading2"/>
        <w:rPr/>
      </w:pPr>
      <w:bookmarkStart w:id="62" w:name="__RefHeading___Toc2834_705121531"/>
      <w:bookmarkEnd w:id="62"/>
      <w:r>
        <w:rPr/>
        <w:t>13.3 Sensitivity and Break-Even Logic</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model is most sensitive to three variables: the </w:t>
      </w:r>
      <w:r>
        <w:rPr>
          <w:rFonts w:eastAsia="Georgia" w:cs="Georgia"/>
          <w:b/>
          <w:bCs/>
          <w:i w:val="false"/>
          <w:iCs w:val="false"/>
          <w:color w:val="16242E"/>
          <w:sz w:val="21"/>
          <w:szCs w:val="21"/>
        </w:rPr>
        <w:t>pace of regulatory approval</w:t>
      </w:r>
      <w:r>
        <w:rPr>
          <w:rFonts w:eastAsia="Georgia" w:cs="Georgia"/>
          <w:b w:val="false"/>
          <w:bCs w:val="false"/>
          <w:i w:val="false"/>
          <w:iCs w:val="false"/>
          <w:color w:val="16242E"/>
          <w:sz w:val="21"/>
          <w:szCs w:val="21"/>
        </w:rPr>
        <w:t xml:space="preserve"> (which gates revenue-generating capabilities), </w:t>
      </w:r>
      <w:r>
        <w:rPr>
          <w:rFonts w:eastAsia="Georgia" w:cs="Georgia"/>
          <w:b/>
          <w:bCs/>
          <w:i w:val="false"/>
          <w:iCs w:val="false"/>
          <w:color w:val="16242E"/>
          <w:sz w:val="21"/>
          <w:szCs w:val="21"/>
        </w:rPr>
        <w:t>retention</w:t>
      </w:r>
      <w:r>
        <w:rPr>
          <w:rFonts w:eastAsia="Georgia" w:cs="Georgia"/>
          <w:b w:val="false"/>
          <w:bCs w:val="false"/>
          <w:i w:val="false"/>
          <w:iCs w:val="false"/>
          <w:color w:val="16242E"/>
          <w:sz w:val="21"/>
          <w:szCs w:val="21"/>
        </w:rPr>
        <w:t xml:space="preserve"> (because compliance is a largely fixed cost amortized over a retained base, retained users who succeed matter more than raw acquisition), and </w:t>
      </w:r>
      <w:r>
        <w:rPr>
          <w:rFonts w:eastAsia="Georgia" w:cs="Georgia"/>
          <w:b/>
          <w:bCs/>
          <w:i w:val="false"/>
          <w:iCs w:val="false"/>
          <w:color w:val="16242E"/>
          <w:sz w:val="21"/>
          <w:szCs w:val="21"/>
        </w:rPr>
        <w:t>blended take rate</w:t>
      </w:r>
      <w:r>
        <w:rPr>
          <w:rFonts w:eastAsia="Georgia" w:cs="Georgia"/>
          <w:b w:val="false"/>
          <w:bCs w:val="false"/>
          <w:i w:val="false"/>
          <w:iCs w:val="false"/>
          <w:color w:val="16242E"/>
          <w:sz w:val="21"/>
          <w:szCs w:val="21"/>
        </w:rPr>
        <w:t xml:space="preserve"> (which the platform deliberately keeps low for alignment). Break-even is reached when blended revenue per active user, across a growing and well-retained base, exceeds the fixed compliance-and-operating cost—an outcome favored by responsible retention and disfavored by churn. The conservative posture is to assume slower approval and lower take, and to size each funding tranche to reach the next gate under those assumptions.</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C9882B"/>
              <w:left w:val="single" w:sz="22" w:space="0" w:color="C9882B"/>
              <w:bottom w:val="single" w:sz="2" w:space="0" w:color="C9882B"/>
              <w:right w:val="single" w:sz="2" w:space="0" w:color="C9882B"/>
            </w:tcBorders>
            <w:shd w:fill="F5ECD9" w:val="clear"/>
          </w:tcPr>
          <w:p>
            <w:pPr>
              <w:pStyle w:val="Normal"/>
              <w:spacing w:before="0" w:after="70"/>
              <w:rPr/>
            </w:pPr>
            <w:r>
              <w:rPr>
                <w:rFonts w:eastAsia="Arial" w:cs="Arial" w:ascii="Arial" w:hAnsi="Arial"/>
                <w:b/>
                <w:bCs/>
                <w:color w:val="8A5E18"/>
                <w:sz w:val="21"/>
                <w:szCs w:val="21"/>
              </w:rPr>
              <w:t>Conservative by Design</w:t>
            </w:r>
          </w:p>
          <w:p>
            <w:pPr>
              <w:pStyle w:val="Normal"/>
              <w:spacing w:lineRule="auto" w:line="261" w:before="0" w:after="0"/>
              <w:rPr/>
            </w:pPr>
            <w:r>
              <w:rPr>
                <w:rFonts w:eastAsia="Georgia" w:cs="Georgia"/>
                <w:color w:val="16242E"/>
                <w:sz w:val="20"/>
                <w:szCs w:val="20"/>
              </w:rPr>
              <w:t>The financial plan assumes regulatory approval is slower and take rates lower than optimistic cases, and sizes funding to reach each gate under those assumptions. If approvals come faster or retention is stronger, the program is ahead of plan—not dependent on best-case outcomes to survive.</w:t>
            </w:r>
          </w:p>
        </w:tc>
      </w:tr>
    </w:tbl>
    <w:p>
      <w:pPr>
        <w:pStyle w:val="Normal"/>
        <w:rPr/>
      </w:pPr>
      <w:r>
        <w:rPr/>
      </w:r>
      <w:r>
        <w:br w:type="page"/>
      </w:r>
    </w:p>
    <w:p>
      <w:pPr>
        <w:pStyle w:val="Heading1"/>
        <w:spacing w:before="0" w:after="190"/>
        <w:rPr/>
      </w:pPr>
      <w:bookmarkStart w:id="63" w:name="__RefHeading___Toc2836_705121531"/>
      <w:bookmarkEnd w:id="63"/>
      <w:r>
        <w:rPr/>
        <w:t>14. Stakeholder Management and Communications</w:t>
      </w:r>
    </w:p>
    <w:p>
      <w:pPr>
        <w:pStyle w:val="Normal"/>
        <w:spacing w:lineRule="auto" w:line="266" w:before="0" w:after="130"/>
        <w:jc w:val="both"/>
        <w:rPr/>
      </w:pPr>
      <w:r>
        <w:rPr>
          <w:rFonts w:eastAsia="Georgia" w:cs="Georgia"/>
          <w:b w:val="false"/>
          <w:bCs w:val="false"/>
          <w:i w:val="false"/>
          <w:iCs w:val="false"/>
          <w:color w:val="16242E"/>
          <w:sz w:val="21"/>
          <w:szCs w:val="21"/>
        </w:rPr>
        <w:t>Flock’s success depends on coordinated relationships across regulators, partners, investors, users, and the team. This section identifies the principal stakeholders, their interests, and the cadence by which the program engages each.</w:t>
      </w:r>
    </w:p>
    <w:p>
      <w:pPr>
        <w:pStyle w:val="Heading2"/>
        <w:rPr/>
      </w:pPr>
      <w:bookmarkStart w:id="64" w:name="__RefHeading___Toc2838_705121531"/>
      <w:bookmarkEnd w:id="64"/>
      <w:r>
        <w:rPr/>
        <w:t>14.1 Stakeholder Map</w:t>
      </w:r>
    </w:p>
    <w:tbl>
      <w:tblPr>
        <w:tblW w:w="9360" w:type="dxa"/>
        <w:jc w:val="left"/>
        <w:tblInd w:w="0" w:type="dxa"/>
        <w:tblLayout w:type="fixed"/>
        <w:tblCellMar>
          <w:top w:w="66" w:type="dxa"/>
          <w:left w:w="100" w:type="dxa"/>
          <w:bottom w:w="66" w:type="dxa"/>
          <w:right w:w="100" w:type="dxa"/>
        </w:tblCellMar>
      </w:tblPr>
      <w:tblGrid>
        <w:gridCol w:w="1849"/>
        <w:gridCol w:w="2350"/>
        <w:gridCol w:w="3160"/>
        <w:gridCol w:w="2000"/>
      </w:tblGrid>
      <w:tr>
        <w:trPr>
          <w:tblHeader w:val="true"/>
        </w:trPr>
        <w:tc>
          <w:tcPr>
            <w:tcW w:w="184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Stakeholder</w:t>
            </w:r>
          </w:p>
        </w:tc>
        <w:tc>
          <w:tcPr>
            <w:tcW w:w="23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Primary Interest</w:t>
            </w:r>
          </w:p>
        </w:tc>
        <w:tc>
          <w:tcPr>
            <w:tcW w:w="31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Engagement Approach</w:t>
            </w:r>
          </w:p>
        </w:tc>
        <w:tc>
          <w:tcPr>
            <w:tcW w:w="20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Cadence</w:t>
            </w:r>
          </w:p>
        </w:tc>
      </w:tr>
      <w:tr>
        <w:trPr/>
        <w:tc>
          <w:tcPr>
            <w:tcW w:w="18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Regulators</w:t>
            </w:r>
          </w:p>
        </w:tc>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Lawful operation; consumer protection</w:t>
            </w:r>
          </w:p>
        </w:tc>
        <w:tc>
          <w:tcPr>
            <w:tcW w:w="31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Proactive engagement; transparent filings; counsel-led dialogue</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Ongoing / milestone</w:t>
            </w:r>
          </w:p>
        </w:tc>
      </w:tr>
      <w:tr>
        <w:trPr/>
        <w:tc>
          <w:tcPr>
            <w:tcW w:w="18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Investors</w:t>
            </w:r>
          </w:p>
        </w:tc>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Risk-adjusted return; milestone progress</w:t>
            </w:r>
          </w:p>
        </w:tc>
        <w:tc>
          <w:tcPr>
            <w:tcW w:w="31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Gate-aligned updates; honest metrics incl. welfare KPIs</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Monthly / per gate</w:t>
            </w:r>
          </w:p>
        </w:tc>
      </w:tr>
      <w:tr>
        <w:trPr/>
        <w:tc>
          <w:tcPr>
            <w:tcW w:w="18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Users / community</w:t>
            </w:r>
          </w:p>
        </w:tc>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Access; safety; genuine value</w:t>
            </w:r>
          </w:p>
        </w:tc>
        <w:tc>
          <w:tcPr>
            <w:tcW w:w="31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Literacy content; transparent reporting; responsive support</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Continuous</w:t>
            </w:r>
          </w:p>
        </w:tc>
      </w:tr>
      <w:tr>
        <w:trPr/>
        <w:tc>
          <w:tcPr>
            <w:tcW w:w="18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Custody / venue partners</w:t>
            </w:r>
          </w:p>
        </w:tc>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Reliable integration; compliance</w:t>
            </w:r>
          </w:p>
        </w:tc>
        <w:tc>
          <w:tcPr>
            <w:tcW w:w="31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Technical and compliance coordination; SLAs</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Weekly / as needed</w:t>
            </w:r>
          </w:p>
        </w:tc>
      </w:tr>
      <w:tr>
        <w:trPr/>
        <w:tc>
          <w:tcPr>
            <w:tcW w:w="18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Auditors</w:t>
            </w:r>
          </w:p>
        </w:tc>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Security and correctness</w:t>
            </w:r>
          </w:p>
        </w:tc>
        <w:tc>
          <w:tcPr>
            <w:tcW w:w="31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Audit engagements at every production gate</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Per gate</w:t>
            </w:r>
          </w:p>
        </w:tc>
      </w:tr>
      <w:tr>
        <w:trPr/>
        <w:tc>
          <w:tcPr>
            <w:tcW w:w="18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University ecosystem</w:t>
            </w:r>
          </w:p>
        </w:tc>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Student outcomes; innovation</w:t>
            </w:r>
          </w:p>
        </w:tc>
        <w:tc>
          <w:tcPr>
            <w:tcW w:w="316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Mentorship, talent, competitions, ambassador program</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Ongoing</w:t>
            </w:r>
          </w:p>
        </w:tc>
      </w:tr>
      <w:tr>
        <w:trPr/>
        <w:tc>
          <w:tcPr>
            <w:tcW w:w="18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Team</w:t>
            </w:r>
          </w:p>
        </w:tc>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Clarity; purpose; sustainable pace</w:t>
            </w:r>
          </w:p>
        </w:tc>
        <w:tc>
          <w:tcPr>
            <w:tcW w:w="316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Two-week cadence; documented decisions; clear decision rights</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Continuous</w:t>
            </w:r>
          </w:p>
        </w:tc>
      </w:tr>
    </w:tbl>
    <w:p>
      <w:pPr>
        <w:pStyle w:val="Normal"/>
        <w:spacing w:before="70" w:after="180"/>
        <w:rPr/>
      </w:pPr>
      <w:r>
        <w:rPr>
          <w:rFonts w:eastAsia="Arial" w:cs="Arial" w:ascii="Arial" w:hAnsi="Arial"/>
          <w:i/>
          <w:iCs/>
          <w:color w:val="5E6B75"/>
          <w:sz w:val="17"/>
          <w:szCs w:val="17"/>
        </w:rPr>
        <w:t>Table 14.1 — Stakeholder map. The communications principle is candor—especially with investors and regulators—because the program’s credibility is its most valuable asset.</w:t>
      </w:r>
    </w:p>
    <w:p>
      <w:pPr>
        <w:pStyle w:val="Heading2"/>
        <w:rPr/>
      </w:pPr>
      <w:bookmarkStart w:id="65" w:name="__RefHeading___Toc2840_705121531"/>
      <w:bookmarkEnd w:id="65"/>
      <w:r>
        <w:rPr/>
        <w:t>14.2 Communication Principles</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Candor over optimism. </w:t>
      </w:r>
      <w:r>
        <w:rPr>
          <w:rFonts w:eastAsia="Georgia" w:cs="Georgia"/>
          <w:b w:val="false"/>
          <w:bCs w:val="false"/>
          <w:i w:val="false"/>
          <w:iCs w:val="false"/>
          <w:color w:val="16242E"/>
          <w:sz w:val="21"/>
          <w:szCs w:val="21"/>
        </w:rPr>
        <w:t>Reporting includes welfare and risk metrics, not only growth; gate failures are communicated plainly, with the revision plan.</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Right channel, right cadence. </w:t>
      </w:r>
      <w:r>
        <w:rPr>
          <w:rFonts w:eastAsia="Georgia" w:cs="Georgia"/>
          <w:b w:val="false"/>
          <w:bCs w:val="false"/>
          <w:i w:val="false"/>
          <w:iCs w:val="false"/>
          <w:color w:val="16242E"/>
          <w:sz w:val="21"/>
          <w:szCs w:val="21"/>
        </w:rPr>
        <w:t>Regulators and partners engaged continuously; investors on a gate-aligned rhythm; community through transparent, educational content.</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Single source of truth. </w:t>
      </w:r>
      <w:r>
        <w:rPr>
          <w:rFonts w:eastAsia="Georgia" w:cs="Georgia"/>
          <w:b w:val="false"/>
          <w:bCs w:val="false"/>
          <w:i w:val="false"/>
          <w:iCs w:val="false"/>
          <w:color w:val="16242E"/>
          <w:sz w:val="21"/>
          <w:szCs w:val="21"/>
        </w:rPr>
        <w:t>Versioned documentation of decisions, architecture, and compliance posture—auditable and consistent across audiences.</w:t>
      </w:r>
    </w:p>
    <w:p>
      <w:pPr>
        <w:pStyle w:val="Normal"/>
        <w:rPr/>
      </w:pPr>
      <w:r>
        <w:rPr/>
      </w:r>
      <w:r>
        <w:br w:type="page"/>
      </w:r>
    </w:p>
    <w:p>
      <w:pPr>
        <w:pStyle w:val="Heading1"/>
        <w:spacing w:before="0" w:after="190"/>
        <w:rPr/>
      </w:pPr>
      <w:bookmarkStart w:id="66" w:name="__RefHeading___Toc2842_705121531"/>
      <w:bookmarkEnd w:id="66"/>
      <w:r>
        <w:rPr/>
        <w:t>15. Quality Management and Testing Strategy</w:t>
      </w:r>
    </w:p>
    <w:p>
      <w:pPr>
        <w:pStyle w:val="Normal"/>
        <w:spacing w:lineRule="auto" w:line="266" w:before="0" w:after="130"/>
        <w:jc w:val="both"/>
        <w:rPr/>
      </w:pPr>
      <w:r>
        <w:rPr>
          <w:rFonts w:eastAsia="Georgia" w:cs="Georgia"/>
          <w:b w:val="false"/>
          <w:bCs w:val="false"/>
          <w:i w:val="false"/>
          <w:iCs w:val="false"/>
          <w:color w:val="16242E"/>
          <w:sz w:val="21"/>
          <w:szCs w:val="21"/>
        </w:rPr>
        <w:t>In a platform that custodies real value and must satisfy regulators, quality is not a phase but a continuous discipline. The testing strategy is layered, and the bar rises with the criticality of the component—smart contracts and custody logic face the most rigorous gates.</w:t>
      </w:r>
    </w:p>
    <w:p>
      <w:pPr>
        <w:pStyle w:val="Heading2"/>
        <w:rPr/>
      </w:pPr>
      <w:bookmarkStart w:id="67" w:name="__RefHeading___Toc2844_705121531"/>
      <w:bookmarkEnd w:id="67"/>
      <w:r>
        <w:rPr/>
        <w:t>15.1 Testing Layers</w:t>
      </w:r>
    </w:p>
    <w:tbl>
      <w:tblPr>
        <w:tblW w:w="9360" w:type="dxa"/>
        <w:jc w:val="left"/>
        <w:tblInd w:w="0" w:type="dxa"/>
        <w:tblLayout w:type="fixed"/>
        <w:tblCellMar>
          <w:top w:w="66" w:type="dxa"/>
          <w:left w:w="100" w:type="dxa"/>
          <w:bottom w:w="66" w:type="dxa"/>
          <w:right w:w="100" w:type="dxa"/>
        </w:tblCellMar>
      </w:tblPr>
      <w:tblGrid>
        <w:gridCol w:w="1949"/>
        <w:gridCol w:w="2451"/>
        <w:gridCol w:w="2959"/>
        <w:gridCol w:w="2000"/>
      </w:tblGrid>
      <w:tr>
        <w:trPr>
          <w:tblHeader w:val="true"/>
        </w:trPr>
        <w:tc>
          <w:tcPr>
            <w:tcW w:w="194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Layer</w:t>
            </w:r>
          </w:p>
        </w:tc>
        <w:tc>
          <w:tcPr>
            <w:tcW w:w="245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Scope</w:t>
            </w:r>
          </w:p>
        </w:tc>
        <w:tc>
          <w:tcPr>
            <w:tcW w:w="29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Methods</w:t>
            </w:r>
          </w:p>
        </w:tc>
        <w:tc>
          <w:tcPr>
            <w:tcW w:w="20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5"/>
                <w:szCs w:val="15"/>
              </w:rPr>
              <w:t>Gate</w:t>
            </w:r>
          </w:p>
        </w:tc>
      </w:tr>
      <w:tr>
        <w:trPr/>
        <w:tc>
          <w:tcPr>
            <w:tcW w:w="19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Unit &amp; component</w:t>
            </w:r>
          </w:p>
        </w:tc>
        <w:tc>
          <w:tcPr>
            <w:tcW w:w="245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Individual functions and modules</w:t>
            </w:r>
          </w:p>
        </w:tc>
        <w:tc>
          <w:tcPr>
            <w:tcW w:w="29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Automated unit tests; high coverage on critical paths</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Pre-merge</w:t>
            </w:r>
          </w:p>
        </w:tc>
      </w:tr>
      <w:tr>
        <w:trPr/>
        <w:tc>
          <w:tcPr>
            <w:tcW w:w="19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Integration</w:t>
            </w:r>
          </w:p>
        </w:tc>
        <w:tc>
          <w:tcPr>
            <w:tcW w:w="245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Service and contract interactions</w:t>
            </w:r>
          </w:p>
        </w:tc>
        <w:tc>
          <w:tcPr>
            <w:tcW w:w="29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Integration suites; testnet deployment</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Per increment</w:t>
            </w:r>
          </w:p>
        </w:tc>
      </w:tr>
      <w:tr>
        <w:trPr/>
        <w:tc>
          <w:tcPr>
            <w:tcW w:w="19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Smart-contract assurance</w:t>
            </w:r>
          </w:p>
        </w:tc>
        <w:tc>
          <w:tcPr>
            <w:tcW w:w="245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Custody, settlement, lending logic</w:t>
            </w:r>
          </w:p>
        </w:tc>
        <w:tc>
          <w:tcPr>
            <w:tcW w:w="29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Static/dynamic analysis; formal methods; external audit</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Pre-production (hard gate)</w:t>
            </w:r>
          </w:p>
        </w:tc>
      </w:tr>
      <w:tr>
        <w:trPr/>
        <w:tc>
          <w:tcPr>
            <w:tcW w:w="19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Security</w:t>
            </w:r>
          </w:p>
        </w:tc>
        <w:tc>
          <w:tcPr>
            <w:tcW w:w="245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Whole-system adversarial testing</w:t>
            </w:r>
          </w:p>
        </w:tc>
        <w:tc>
          <w:tcPr>
            <w:tcW w:w="29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Penetration testing; bug bounty; threat-model review</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Per phase + continuous</w:t>
            </w:r>
          </w:p>
        </w:tc>
      </w:tr>
      <w:tr>
        <w:trPr/>
        <w:tc>
          <w:tcPr>
            <w:tcW w:w="19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Performance</w:t>
            </w:r>
          </w:p>
        </w:tc>
        <w:tc>
          <w:tcPr>
            <w:tcW w:w="245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Latency, throughput, liquidation under load</w:t>
            </w:r>
          </w:p>
        </w:tc>
        <w:tc>
          <w:tcPr>
            <w:tcW w:w="29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Load and stress testing; chaos exercises</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Pre-scale</w:t>
            </w:r>
          </w:p>
        </w:tc>
      </w:tr>
      <w:tr>
        <w:trPr/>
        <w:tc>
          <w:tcPr>
            <w:tcW w:w="194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User acceptance</w:t>
            </w:r>
          </w:p>
        </w:tc>
        <w:tc>
          <w:tcPr>
            <w:tcW w:w="245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Tiered flows; disclosures; gating</w:t>
            </w:r>
          </w:p>
        </w:tc>
        <w:tc>
          <w:tcPr>
            <w:tcW w:w="29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Beta cohorts; usability and comprehension testing</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5"/>
                <w:szCs w:val="15"/>
              </w:rPr>
              <w:t>Pre-release</w:t>
            </w:r>
          </w:p>
        </w:tc>
      </w:tr>
      <w:tr>
        <w:trPr/>
        <w:tc>
          <w:tcPr>
            <w:tcW w:w="194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Compliance validation</w:t>
            </w:r>
          </w:p>
        </w:tc>
        <w:tc>
          <w:tcPr>
            <w:tcW w:w="245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Eligibility, gating, reporting</w:t>
            </w:r>
          </w:p>
        </w:tc>
        <w:tc>
          <w:tcPr>
            <w:tcW w:w="29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Scenario testing of jurisdiction and accreditation rules</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5"/>
                <w:szCs w:val="15"/>
              </w:rPr>
              <w:t>Per release</w:t>
            </w:r>
          </w:p>
        </w:tc>
      </w:tr>
    </w:tbl>
    <w:p>
      <w:pPr>
        <w:pStyle w:val="Normal"/>
        <w:spacing w:before="70" w:after="180"/>
        <w:rPr/>
      </w:pPr>
      <w:r>
        <w:rPr>
          <w:rFonts w:eastAsia="Arial" w:cs="Arial" w:ascii="Arial" w:hAnsi="Arial"/>
          <w:i/>
          <w:iCs/>
          <w:color w:val="5E6B75"/>
          <w:sz w:val="17"/>
          <w:szCs w:val="17"/>
        </w:rPr>
        <w:t>Table 15.1 — Layered testing strategy. The smart-contract assurance and security layers are hard gates: no production deployment proceeds without passing them.</w:t>
      </w:r>
    </w:p>
    <w:p>
      <w:pPr>
        <w:pStyle w:val="Heading2"/>
        <w:rPr/>
      </w:pPr>
      <w:bookmarkStart w:id="68" w:name="__RefHeading___Toc2846_705121531"/>
      <w:bookmarkEnd w:id="68"/>
      <w:r>
        <w:rPr/>
        <w:t>15.2 Definition of Done</w:t>
      </w:r>
    </w:p>
    <w:p>
      <w:pPr>
        <w:pStyle w:val="Normal"/>
        <w:spacing w:lineRule="auto" w:line="266" w:before="0" w:after="130"/>
        <w:jc w:val="both"/>
        <w:rPr/>
      </w:pPr>
      <w:r>
        <w:rPr>
          <w:rFonts w:eastAsia="Georgia" w:cs="Georgia"/>
          <w:color w:val="16242E"/>
          <w:sz w:val="21"/>
          <w:szCs w:val="21"/>
        </w:rPr>
        <w:t>A change is “done” only when it has passed review and the testing appropriate to its criticality, carries updated documentation, and—where it touches value-bearing or compliance logic—has cleared the relevant audit or compliance-validation gate. Participant-facing features additionally require that risk disclosures and competence gating are present and tested.</w:t>
      </w:r>
    </w:p>
    <w:p>
      <w:pPr>
        <w:pStyle w:val="Heading2"/>
        <w:rPr/>
      </w:pPr>
      <w:bookmarkStart w:id="69" w:name="__RefHeading___Toc2848_705121531"/>
      <w:bookmarkEnd w:id="69"/>
      <w:r>
        <w:rPr/>
        <w:t>15.3 Continuous Improvement</w:t>
      </w:r>
    </w:p>
    <w:p>
      <w:pPr>
        <w:pStyle w:val="Normal"/>
        <w:spacing w:lineRule="auto" w:line="266" w:before="0" w:after="130"/>
        <w:jc w:val="both"/>
        <w:rPr/>
      </w:pPr>
      <w:r>
        <w:rPr>
          <w:rFonts w:eastAsia="Georgia" w:cs="Georgia"/>
          <w:color w:val="16242E"/>
          <w:sz w:val="21"/>
          <w:szCs w:val="21"/>
        </w:rPr>
        <w:t>Retrospectives at the end of each iteration, post-incident reviews, and metric reviews at each phase gate feed a continuous-improvement loop. The risk register (Section 11) and the quality gates are living instruments, tightened as the platform learns where its real failure modes lie.</w:t>
      </w:r>
    </w:p>
    <w:p>
      <w:pPr>
        <w:pStyle w:val="Normal"/>
        <w:rPr/>
      </w:pPr>
      <w:r>
        <w:rPr/>
      </w:r>
      <w:r>
        <w:br w:type="page"/>
      </w:r>
    </w:p>
    <w:p>
      <w:pPr>
        <w:pStyle w:val="Heading1"/>
        <w:spacing w:before="0" w:after="190"/>
        <w:rPr/>
      </w:pPr>
      <w:bookmarkStart w:id="70" w:name="__RefHeading___Toc2850_705121531"/>
      <w:bookmarkEnd w:id="70"/>
      <w:r>
        <w:rPr/>
        <w:t>16. Go-to-Market Strategy</w:t>
      </w:r>
    </w:p>
    <w:p>
      <w:pPr>
        <w:pStyle w:val="Normal"/>
        <w:spacing w:lineRule="auto" w:line="266" w:before="0" w:after="130"/>
        <w:jc w:val="both"/>
        <w:rPr/>
      </w:pPr>
      <w:r>
        <w:rPr>
          <w:rFonts w:eastAsia="Georgia" w:cs="Georgia"/>
          <w:b w:val="false"/>
          <w:bCs w:val="false"/>
          <w:i w:val="false"/>
          <w:iCs w:val="false"/>
          <w:color w:val="16242E"/>
          <w:sz w:val="21"/>
          <w:szCs w:val="21"/>
        </w:rPr>
        <w:t>Flock’s go-to-market mirrors its product philosophy: begin narrow and trusted, prove the model, then widen. The initial wedge is the University of Arkansas innovation ecosystem—a concentrated, high-trust community of students, alumni, mentors, and student-founders that offers early users, talent, and credibility before the platform pursues broader markets.</w:t>
      </w:r>
    </w:p>
    <w:p>
      <w:pPr>
        <w:pStyle w:val="Heading2"/>
        <w:rPr/>
      </w:pPr>
      <w:bookmarkStart w:id="71" w:name="__RefHeading___Toc2852_705121531"/>
      <w:bookmarkEnd w:id="71"/>
      <w:r>
        <w:rPr/>
        <w:t>16.1 The University Wedge</w:t>
      </w:r>
    </w:p>
    <w:p>
      <w:pPr>
        <w:pStyle w:val="Normal"/>
        <w:spacing w:lineRule="auto" w:line="266" w:before="0" w:after="130"/>
        <w:jc w:val="both"/>
        <w:rPr/>
      </w:pPr>
      <w:r>
        <w:rPr>
          <w:rFonts w:eastAsia="Georgia" w:cs="Georgia"/>
          <w:b w:val="false"/>
          <w:bCs w:val="false"/>
          <w:i w:val="false"/>
          <w:iCs w:val="false"/>
          <w:color w:val="16242E"/>
          <w:sz w:val="21"/>
          <w:szCs w:val="21"/>
        </w:rPr>
        <w:t>The Sam M. Walton College of Business and the University of Arkansas entrepreneurship ecosystem—including its new-venture and student-startup programs and competitions—provide an ideal initial market. The community is financially curious, technologically comfortable, and reachable through existing channels, and it maps naturally onto Flock’s Tier 1 and Tier 2 propositions: literacy-driven onboarding, entity formation, mainstream investing, and the local- and startup-SPV marketplace. Early traction here doubles as validation for investors and as a recruiting pipeline for the team.</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Pitch competitions and new-venture programs. </w:t>
      </w:r>
      <w:r>
        <w:rPr>
          <w:rFonts w:eastAsia="Georgia" w:cs="Georgia"/>
          <w:b w:val="false"/>
          <w:bCs w:val="false"/>
          <w:i w:val="false"/>
          <w:iCs w:val="false"/>
          <w:color w:val="16242E"/>
          <w:sz w:val="21"/>
          <w:szCs w:val="21"/>
        </w:rPr>
        <w:t>Entry into university and regional competitions for non-dilutive funding, mentorship, and visibility (also a funding source per Section 11.3).</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Campus ambassador and literacy programs. </w:t>
      </w:r>
      <w:r>
        <w:rPr>
          <w:rFonts w:eastAsia="Georgia" w:cs="Georgia"/>
          <w:b w:val="false"/>
          <w:bCs w:val="false"/>
          <w:i w:val="false"/>
          <w:iCs w:val="false"/>
          <w:color w:val="16242E"/>
          <w:sz w:val="21"/>
          <w:szCs w:val="21"/>
        </w:rPr>
        <w:t>Financial-literacy workshops and an ambassador program that introduce the gamified progression to students in a trusted setting.</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Student-founder marketplace. </w:t>
      </w:r>
      <w:r>
        <w:rPr>
          <w:rFonts w:eastAsia="Georgia" w:cs="Georgia"/>
          <w:b w:val="false"/>
          <w:bCs w:val="false"/>
          <w:i w:val="false"/>
          <w:iCs w:val="false"/>
          <w:color w:val="16242E"/>
          <w:sz w:val="21"/>
          <w:szCs w:val="21"/>
        </w:rPr>
        <w:t>Local startup SPVs and the peer-advisory marketplace seeded with the university’s own founder community.</w:t>
      </w:r>
    </w:p>
    <w:p>
      <w:pPr>
        <w:pStyle w:val="ListParagraph"/>
        <w:numPr>
          <w:ilvl w:val="0"/>
          <w:numId w:val="1"/>
        </w:numPr>
        <w:spacing w:lineRule="auto" w:line="259" w:before="0" w:after="76"/>
        <w:jc w:val="both"/>
        <w:rPr/>
      </w:pPr>
      <w:r>
        <w:rPr>
          <w:rFonts w:eastAsia="Georgia" w:cs="Georgia"/>
          <w:b/>
          <w:bCs/>
          <w:i w:val="false"/>
          <w:iCs w:val="false"/>
          <w:color w:val="16242E"/>
          <w:sz w:val="21"/>
          <w:szCs w:val="21"/>
        </w:rPr>
        <w:t xml:space="preserve">Alumni and mentor network. </w:t>
      </w:r>
      <w:r>
        <w:rPr>
          <w:rFonts w:eastAsia="Georgia" w:cs="Georgia"/>
          <w:b w:val="false"/>
          <w:bCs w:val="false"/>
          <w:i w:val="false"/>
          <w:iCs w:val="false"/>
          <w:color w:val="16242E"/>
          <w:sz w:val="21"/>
          <w:szCs w:val="21"/>
        </w:rPr>
        <w:t>Access to experienced operators and early credibility through the college’s alumni and mentorship networks.</w:t>
      </w:r>
    </w:p>
    <w:p>
      <w:pPr>
        <w:pStyle w:val="Heading2"/>
        <w:rPr/>
      </w:pPr>
      <w:bookmarkStart w:id="72" w:name="__RefHeading___Toc2854_705121531"/>
      <w:bookmarkEnd w:id="72"/>
      <w:r>
        <w:rPr/>
        <w:t>16.2 Expansion Path</w:t>
      </w:r>
    </w:p>
    <w:p>
      <w:pPr>
        <w:pStyle w:val="Normal"/>
        <w:spacing w:lineRule="auto" w:line="266" w:before="0" w:after="130"/>
        <w:jc w:val="both"/>
        <w:rPr/>
      </w:pPr>
      <w:r>
        <w:rPr>
          <w:rFonts w:eastAsia="Georgia" w:cs="Georgia"/>
          <w:b w:val="false"/>
          <w:bCs w:val="false"/>
          <w:i w:val="false"/>
          <w:iCs w:val="false"/>
          <w:color w:val="16242E"/>
          <w:sz w:val="21"/>
          <w:szCs w:val="21"/>
        </w:rPr>
        <w:t>From the university wedge, Flock expands in concentric rings, each justified by traction in the prior ring and gated by the regulatory sequencing of Section 6.2:</w:t>
      </w:r>
    </w:p>
    <w:tbl>
      <w:tblPr>
        <w:tblW w:w="9360" w:type="dxa"/>
        <w:jc w:val="left"/>
        <w:tblInd w:w="0" w:type="dxa"/>
        <w:tblLayout w:type="fixed"/>
        <w:tblCellMar>
          <w:top w:w="66" w:type="dxa"/>
          <w:left w:w="100" w:type="dxa"/>
          <w:bottom w:w="66" w:type="dxa"/>
          <w:right w:w="100" w:type="dxa"/>
        </w:tblCellMar>
      </w:tblPr>
      <w:tblGrid>
        <w:gridCol w:w="1150"/>
        <w:gridCol w:w="2900"/>
        <w:gridCol w:w="3209"/>
        <w:gridCol w:w="2100"/>
      </w:tblGrid>
      <w:tr>
        <w:trPr>
          <w:tblHeader w:val="true"/>
        </w:trPr>
        <w:tc>
          <w:tcPr>
            <w:tcW w:w="11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Stage</w:t>
            </w:r>
          </w:p>
        </w:tc>
        <w:tc>
          <w:tcPr>
            <w:tcW w:w="2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Target Segment</w:t>
            </w:r>
          </w:p>
        </w:tc>
        <w:tc>
          <w:tcPr>
            <w:tcW w:w="320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Primary Proposition</w:t>
            </w:r>
          </w:p>
        </w:tc>
        <w:tc>
          <w:tcPr>
            <w:tcW w:w="21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Aligned Phase</w:t>
            </w:r>
          </w:p>
        </w:tc>
      </w:tr>
      <w:tr>
        <w:trPr/>
        <w:tc>
          <w:tcPr>
            <w:tcW w:w="1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Wedge</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University community (students, founders, alumni)</w:t>
            </w:r>
          </w:p>
        </w:tc>
        <w:tc>
          <w:tcPr>
            <w:tcW w:w="320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Literacy-led onboarding; Tier 1–2; local SPVs</w:t>
            </w:r>
          </w:p>
        </w:tc>
        <w:tc>
          <w:tcPr>
            <w:tcW w:w="21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Phase 1–2</w:t>
            </w:r>
          </w:p>
        </w:tc>
      </w:tr>
      <w:tr>
        <w:trPr/>
        <w:tc>
          <w:tcPr>
            <w:tcW w:w="1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Ring 1</w:t>
            </w:r>
          </w:p>
        </w:tc>
        <w:tc>
          <w:tcPr>
            <w:tcW w:w="2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Young, financially curious retail in launch jurisdiction</w:t>
            </w:r>
          </w:p>
        </w:tc>
        <w:tc>
          <w:tcPr>
            <w:tcW w:w="320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Unified multi-asset access; transparent advice</w:t>
            </w:r>
          </w:p>
        </w:tc>
        <w:tc>
          <w:tcPr>
            <w:tcW w:w="21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Phase 2</w:t>
            </w:r>
          </w:p>
        </w:tc>
      </w:tr>
      <w:tr>
        <w:trPr/>
        <w:tc>
          <w:tcPr>
            <w:tcW w:w="11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Ring 2</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Underserved alternative-asset seekers</w:t>
            </w:r>
          </w:p>
        </w:tc>
        <w:tc>
          <w:tcPr>
            <w:tcW w:w="320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Access to tokenized alternatives once gated by competence</w:t>
            </w:r>
          </w:p>
        </w:tc>
        <w:tc>
          <w:tcPr>
            <w:tcW w:w="21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Phase 2–3</w:t>
            </w:r>
          </w:p>
        </w:tc>
      </w:tr>
      <w:tr>
        <w:trPr/>
        <w:tc>
          <w:tcPr>
            <w:tcW w:w="11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Ring 3</w:t>
            </w:r>
          </w:p>
        </w:tc>
        <w:tc>
          <w:tcPr>
            <w:tcW w:w="2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Broader retail across additional jurisdictions</w:t>
            </w:r>
          </w:p>
        </w:tc>
        <w:tc>
          <w:tcPr>
            <w:tcW w:w="320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Full platform; differentiators; multi-market</w:t>
            </w:r>
          </w:p>
        </w:tc>
        <w:tc>
          <w:tcPr>
            <w:tcW w:w="21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Phase 3</w:t>
            </w:r>
          </w:p>
        </w:tc>
      </w:tr>
    </w:tbl>
    <w:p>
      <w:pPr>
        <w:pStyle w:val="Normal"/>
        <w:spacing w:before="70" w:after="180"/>
        <w:rPr/>
      </w:pPr>
      <w:r>
        <w:rPr>
          <w:rFonts w:eastAsia="Arial" w:cs="Arial" w:ascii="Arial" w:hAnsi="Arial"/>
          <w:i/>
          <w:iCs/>
          <w:color w:val="5E6B75"/>
          <w:sz w:val="17"/>
          <w:szCs w:val="17"/>
        </w:rPr>
        <w:t>Table 15.1 — Concentric go-to-market expansion. Each ring is unlocked by traction in the prior ring and by the regulatory readiness of the target jurisdiction.</w:t>
      </w:r>
    </w:p>
    <w:p>
      <w:pPr>
        <w:pStyle w:val="Heading2"/>
        <w:rPr/>
      </w:pPr>
      <w:bookmarkStart w:id="73" w:name="__RefHeading___Toc2856_705121531"/>
      <w:bookmarkEnd w:id="73"/>
      <w:r>
        <w:rPr/>
        <w:t>16.3 Growth Engine and Positioning</w:t>
      </w:r>
    </w:p>
    <w:p>
      <w:pPr>
        <w:pStyle w:val="Normal"/>
        <w:spacing w:lineRule="auto" w:line="266" w:before="0" w:after="130"/>
        <w:jc w:val="both"/>
        <w:rPr/>
      </w:pPr>
      <w:r>
        <w:rPr>
          <w:rFonts w:eastAsia="Georgia" w:cs="Georgia"/>
          <w:b w:val="false"/>
          <w:bCs w:val="false"/>
          <w:i w:val="false"/>
          <w:iCs w:val="false"/>
          <w:color w:val="16242E"/>
          <w:sz w:val="21"/>
          <w:szCs w:val="21"/>
        </w:rPr>
        <w:t xml:space="preserve">Flock’s positioning is deliberately countercultural in a market saturated with speculation: it sells </w:t>
      </w:r>
      <w:r>
        <w:rPr>
          <w:rFonts w:eastAsia="Georgia" w:cs="Georgia"/>
          <w:b/>
          <w:bCs/>
          <w:i w:val="false"/>
          <w:iCs w:val="false"/>
          <w:color w:val="16242E"/>
          <w:sz w:val="21"/>
          <w:szCs w:val="21"/>
        </w:rPr>
        <w:t>patience, competence, and genuine ownership</w:t>
      </w:r>
      <w:r>
        <w:rPr>
          <w:rFonts w:eastAsia="Georgia" w:cs="Georgia"/>
          <w:b w:val="false"/>
          <w:bCs w:val="false"/>
          <w:i w:val="false"/>
          <w:iCs w:val="false"/>
          <w:color w:val="16242E"/>
          <w:sz w:val="21"/>
          <w:szCs w:val="21"/>
        </w:rPr>
        <w:t xml:space="preserve"> rather than the promise of fast gains. The brand ethos—“patience pays”—and the flocking metaphor of disciplined collective coordination are consistent with a growth engine built on education, demonstrated user outcomes, and word-of-mouth within trusted communities, rather than on aggressive, volume-driving incentives that would contradict the platform’s consumer-protection commitments. Content-led growth (financial-literacy material, transparent performance reporting) reinforces the positioning and compounds over time.</w:t>
      </w:r>
    </w:p>
    <w:p>
      <w:pPr>
        <w:pStyle w:val="Normal"/>
        <w:rPr/>
      </w:pPr>
      <w:r>
        <w:rPr/>
      </w:r>
      <w:r>
        <w:br w:type="page"/>
      </w:r>
    </w:p>
    <w:p>
      <w:pPr>
        <w:pStyle w:val="Heading1"/>
        <w:spacing w:before="0" w:after="190"/>
        <w:rPr/>
      </w:pPr>
      <w:bookmarkStart w:id="74" w:name="__RefHeading___Toc2858_705121531"/>
      <w:bookmarkEnd w:id="74"/>
      <w:r>
        <w:rPr/>
        <w:t>17. Monetization and Unit Economics</w:t>
      </w:r>
    </w:p>
    <w:p>
      <w:pPr>
        <w:pStyle w:val="Normal"/>
        <w:spacing w:lineRule="auto" w:line="266" w:before="0" w:after="130"/>
        <w:jc w:val="both"/>
        <w:rPr/>
      </w:pPr>
      <w:r>
        <w:rPr>
          <w:rFonts w:eastAsia="Georgia" w:cs="Georgia"/>
          <w:b w:val="false"/>
          <w:bCs w:val="false"/>
          <w:i w:val="false"/>
          <w:iCs w:val="false"/>
          <w:color w:val="16242E"/>
          <w:sz w:val="21"/>
          <w:szCs w:val="21"/>
        </w:rPr>
        <w:t>Flock’s monetization is designed to align the platform’s revenue with participant success rather than with churn or overtrading. The model favors low, transparent fees across a diversified set of revenue lines—so that no single line creates an incentive that conflicts with participant welfare.</w:t>
      </w:r>
    </w:p>
    <w:p>
      <w:pPr>
        <w:pStyle w:val="Heading2"/>
        <w:rPr/>
      </w:pPr>
      <w:bookmarkStart w:id="75" w:name="__RefHeading___Toc2860_705121531"/>
      <w:bookmarkEnd w:id="75"/>
      <w:r>
        <w:rPr/>
        <w:t>17.1 Revenue Lines</w:t>
      </w:r>
    </w:p>
    <w:tbl>
      <w:tblPr>
        <w:tblW w:w="9360" w:type="dxa"/>
        <w:jc w:val="left"/>
        <w:tblInd w:w="0" w:type="dxa"/>
        <w:tblLayout w:type="fixed"/>
        <w:tblCellMar>
          <w:top w:w="66" w:type="dxa"/>
          <w:left w:w="100" w:type="dxa"/>
          <w:bottom w:w="66" w:type="dxa"/>
          <w:right w:w="100" w:type="dxa"/>
        </w:tblCellMar>
      </w:tblPr>
      <w:tblGrid>
        <w:gridCol w:w="2350"/>
        <w:gridCol w:w="2900"/>
        <w:gridCol w:w="4110"/>
      </w:tblGrid>
      <w:tr>
        <w:trPr>
          <w:tblHeader w:val="true"/>
        </w:trPr>
        <w:tc>
          <w:tcPr>
            <w:tcW w:w="235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Revenue Line</w:t>
            </w:r>
          </w:p>
        </w:tc>
        <w:tc>
          <w:tcPr>
            <w:tcW w:w="2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Basis</w:t>
            </w:r>
          </w:p>
        </w:tc>
        <w:tc>
          <w:tcPr>
            <w:tcW w:w="411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Note on Alignment</w:t>
            </w:r>
          </w:p>
        </w:tc>
      </w:tr>
      <w:tr>
        <w:trPr/>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Trading / settlement fees</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Sub-1% per transaction</w:t>
            </w:r>
          </w:p>
        </w:tc>
        <w:tc>
          <w:tcPr>
            <w:tcW w:w="41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Low and transparent; not structured to reward overtrading</w:t>
            </w:r>
          </w:p>
        </w:tc>
      </w:tr>
      <w:tr>
        <w:trPr/>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Asset-tokenization / listing</w:t>
            </w:r>
          </w:p>
        </w:tc>
        <w:tc>
          <w:tcPr>
            <w:tcW w:w="2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Issuer-side fee for onboarding assets</w:t>
            </w:r>
          </w:p>
        </w:tc>
        <w:tc>
          <w:tcPr>
            <w:tcW w:w="41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Paid by issuers seeking liquidity, not by retail users</w:t>
            </w:r>
          </w:p>
        </w:tc>
      </w:tr>
      <w:tr>
        <w:trPr/>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P2P lending facilitation</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Small share of lending spread</w:t>
            </w:r>
          </w:p>
        </w:tc>
        <w:tc>
          <w:tcPr>
            <w:tcW w:w="41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Aligned: revenue only when lenders earn; lender keeps majority of spread</w:t>
            </w:r>
          </w:p>
        </w:tc>
      </w:tr>
      <w:tr>
        <w:trPr/>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Premium intelligence / advisory</w:t>
            </w:r>
          </w:p>
        </w:tc>
        <w:tc>
          <w:tcPr>
            <w:tcW w:w="2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Subscription for advanced tools</w:t>
            </w:r>
          </w:p>
        </w:tc>
        <w:tc>
          <w:tcPr>
            <w:tcW w:w="41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Optional; value-based; does not gate basic safety features</w:t>
            </w:r>
          </w:p>
        </w:tc>
      </w:tr>
      <w:tr>
        <w:trPr/>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Event &amp; derivatives venue fees</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Per-contract venue fee</w:t>
            </w:r>
          </w:p>
        </w:tc>
        <w:tc>
          <w:tcPr>
            <w:tcW w:w="41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Standard venue economics under regulated structure</w:t>
            </w:r>
          </w:p>
        </w:tc>
      </w:tr>
      <w:tr>
        <w:trPr/>
        <w:tc>
          <w:tcPr>
            <w:tcW w:w="235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Freelance-advisory marketplace</w:t>
            </w:r>
          </w:p>
        </w:tc>
        <w:tc>
          <w:tcPr>
            <w:tcW w:w="2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Take rate on paid advisory</w:t>
            </w:r>
          </w:p>
        </w:tc>
        <w:tc>
          <w:tcPr>
            <w:tcW w:w="411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Aligned with quality via reputation; advisor and platform share</w:t>
            </w:r>
          </w:p>
        </w:tc>
      </w:tr>
      <w:tr>
        <w:trPr/>
        <w:tc>
          <w:tcPr>
            <w:tcW w:w="235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Float / treasury management</w:t>
            </w:r>
          </w:p>
        </w:tc>
        <w:tc>
          <w:tcPr>
            <w:tcW w:w="2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Yield on settlement balances</w:t>
            </w:r>
          </w:p>
        </w:tc>
        <w:tc>
          <w:tcPr>
            <w:tcW w:w="411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Standard; transparent to users</w:t>
            </w:r>
          </w:p>
        </w:tc>
      </w:tr>
    </w:tbl>
    <w:p>
      <w:pPr>
        <w:pStyle w:val="Normal"/>
        <w:spacing w:before="70" w:after="180"/>
        <w:rPr/>
      </w:pPr>
      <w:r>
        <w:rPr>
          <w:rFonts w:eastAsia="Arial" w:cs="Arial" w:ascii="Arial" w:hAnsi="Arial"/>
          <w:i/>
          <w:iCs/>
          <w:color w:val="5E6B75"/>
          <w:sz w:val="17"/>
          <w:szCs w:val="17"/>
        </w:rPr>
        <w:t>Table 16.1 — Diversified revenue lines. Diversification is deliberate: it prevents any single incentive from conflicting with participant welfare.</w:t>
      </w:r>
    </w:p>
    <w:p>
      <w:pPr>
        <w:pStyle w:val="Heading2"/>
        <w:rPr/>
      </w:pPr>
      <w:bookmarkStart w:id="76" w:name="__RefHeading___Toc2862_705121531"/>
      <w:bookmarkEnd w:id="76"/>
      <w:r>
        <w:rPr/>
        <w:t>17.2 Unit-Economics Logic</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path to sustainable unit economics rests on three levers. First, </w:t>
      </w:r>
      <w:r>
        <w:rPr>
          <w:rFonts w:eastAsia="Georgia" w:cs="Georgia"/>
          <w:b/>
          <w:bCs/>
          <w:i w:val="false"/>
          <w:iCs w:val="false"/>
          <w:color w:val="16242E"/>
          <w:sz w:val="21"/>
          <w:szCs w:val="21"/>
        </w:rPr>
        <w:t>low marginal cost per user</w:t>
      </w:r>
      <w:r>
        <w:rPr>
          <w:rFonts w:eastAsia="Georgia" w:cs="Georgia"/>
          <w:b w:val="false"/>
          <w:bCs w:val="false"/>
          <w:i w:val="false"/>
          <w:iCs w:val="false"/>
          <w:color w:val="16242E"/>
          <w:sz w:val="21"/>
          <w:szCs w:val="21"/>
        </w:rPr>
        <w:t xml:space="preserve">: once the compliant infrastructure exists, the incremental cost of serving an additional user is small, so contribution margin improves with scale. Second, </w:t>
      </w:r>
      <w:r>
        <w:rPr>
          <w:rFonts w:eastAsia="Georgia" w:cs="Georgia"/>
          <w:b/>
          <w:bCs/>
          <w:i w:val="false"/>
          <w:iCs w:val="false"/>
          <w:color w:val="16242E"/>
          <w:sz w:val="21"/>
          <w:szCs w:val="21"/>
        </w:rPr>
        <w:t>revenue diversification</w:t>
      </w:r>
      <w:r>
        <w:rPr>
          <w:rFonts w:eastAsia="Georgia" w:cs="Georgia"/>
          <w:b w:val="false"/>
          <w:bCs w:val="false"/>
          <w:i w:val="false"/>
          <w:iCs w:val="false"/>
          <w:color w:val="16242E"/>
          <w:sz w:val="21"/>
          <w:szCs w:val="21"/>
        </w:rPr>
        <w:t xml:space="preserve">: multiple low-rate lines (transactions, listings, lending spread, subscriptions, venue fees) sum to a viable blended take without any single punitive fee. Third, </w:t>
      </w:r>
      <w:r>
        <w:rPr>
          <w:rFonts w:eastAsia="Georgia" w:cs="Georgia"/>
          <w:b/>
          <w:bCs/>
          <w:i w:val="false"/>
          <w:iCs w:val="false"/>
          <w:color w:val="16242E"/>
          <w:sz w:val="21"/>
          <w:szCs w:val="21"/>
        </w:rPr>
        <w:t>compliance as a fixed cost amortized over scale</w:t>
      </w:r>
      <w:r>
        <w:rPr>
          <w:rFonts w:eastAsia="Georgia" w:cs="Georgia"/>
          <w:b w:val="false"/>
          <w:bCs w:val="false"/>
          <w:i w:val="false"/>
          <w:iCs w:val="false"/>
          <w:color w:val="16242E"/>
          <w:sz w:val="21"/>
          <w:szCs w:val="21"/>
        </w:rPr>
        <w:t>: the substantial fixed cost of licensing and audits is the barrier to entry that, once paid, both protects the platform and is spread across a growing base. The break-even logic is therefore that blended revenue per active user, multiplied by a growing and well-retained user base, must exceed the largely fixed compliance-and-operating cost—which is why responsible retention (users who stay because they succeed) matters more to the model than aggressive acquisition.</w:t>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3AA76D"/>
              <w:left w:val="single" w:sz="22" w:space="0" w:color="3AA76D"/>
              <w:bottom w:val="single" w:sz="2" w:space="0" w:color="3AA76D"/>
              <w:right w:val="single" w:sz="2" w:space="0" w:color="3AA76D"/>
            </w:tcBorders>
            <w:shd w:fill="E4F4EC" w:val="clear"/>
          </w:tcPr>
          <w:p>
            <w:pPr>
              <w:pStyle w:val="Normal"/>
              <w:spacing w:before="0" w:after="70"/>
              <w:rPr/>
            </w:pPr>
            <w:r>
              <w:rPr>
                <w:rFonts w:eastAsia="Arial" w:cs="Arial" w:ascii="Arial" w:hAnsi="Arial"/>
                <w:b/>
                <w:bCs/>
                <w:color w:val="1E6B43"/>
                <w:sz w:val="21"/>
                <w:szCs w:val="21"/>
              </w:rPr>
              <w:t>Why Low Fees Are Strategic, Not Just Friendly</w:t>
            </w:r>
          </w:p>
          <w:p>
            <w:pPr>
              <w:pStyle w:val="Normal"/>
              <w:spacing w:lineRule="auto" w:line="261" w:before="0" w:after="0"/>
              <w:rPr/>
            </w:pPr>
            <w:r>
              <w:rPr>
                <w:rFonts w:eastAsia="Georgia" w:cs="Georgia"/>
                <w:color w:val="16242E"/>
                <w:sz w:val="20"/>
                <w:szCs w:val="20"/>
              </w:rPr>
              <w:t>A platform that broadens access responsibly cannot monetize through hidden spreads, payment-for-order-flow that conflicts with best execution, or gamified overtrading. Low, transparent, diversified fees are the only monetization consistent with Flock’s thesis—and, because compliance is a fixed cost amortized over scale, they are viable precisely when the platform succeeds at retaining users who succeed.</w:t>
            </w:r>
          </w:p>
        </w:tc>
      </w:tr>
    </w:tbl>
    <w:p>
      <w:pPr>
        <w:pStyle w:val="Normal"/>
        <w:rPr/>
      </w:pPr>
      <w:r>
        <w:rPr/>
      </w:r>
      <w:r>
        <w:br w:type="page"/>
      </w:r>
    </w:p>
    <w:p>
      <w:pPr>
        <w:pStyle w:val="Heading1"/>
        <w:spacing w:before="0" w:after="190"/>
        <w:rPr/>
      </w:pPr>
      <w:bookmarkStart w:id="77" w:name="__RefHeading___Toc2864_705121531"/>
      <w:bookmarkEnd w:id="77"/>
      <w:r>
        <w:rPr/>
        <w:t>18. Key Performance Indicators and Success Metrics</w:t>
      </w:r>
    </w:p>
    <w:p>
      <w:pPr>
        <w:pStyle w:val="Normal"/>
        <w:spacing w:lineRule="auto" w:line="266" w:before="0" w:after="130"/>
        <w:jc w:val="both"/>
        <w:rPr/>
      </w:pPr>
      <w:r>
        <w:rPr>
          <w:rFonts w:eastAsia="Georgia" w:cs="Georgia"/>
          <w:b w:val="false"/>
          <w:bCs w:val="false"/>
          <w:i w:val="false"/>
          <w:iCs w:val="false"/>
          <w:color w:val="16242E"/>
          <w:sz w:val="21"/>
          <w:szCs w:val="21"/>
        </w:rPr>
        <w:t xml:space="preserve">The program is measured against metrics in five families, each tied to a strategic objective (Section 1.3) and reviewed at every phase gate. Crucially, the metric set deliberately balances growth with </w:t>
      </w:r>
      <w:r>
        <w:rPr>
          <w:rFonts w:eastAsia="Georgia" w:cs="Georgia"/>
          <w:b/>
          <w:bCs/>
          <w:i w:val="false"/>
          <w:iCs w:val="false"/>
          <w:color w:val="16242E"/>
          <w:sz w:val="21"/>
          <w:szCs w:val="21"/>
        </w:rPr>
        <w:t>participant-welfare indicators</w:t>
      </w:r>
      <w:r>
        <w:rPr>
          <w:rFonts w:eastAsia="Georgia" w:cs="Georgia"/>
          <w:b w:val="false"/>
          <w:bCs w:val="false"/>
          <w:i w:val="false"/>
          <w:iCs w:val="false"/>
          <w:color w:val="16242E"/>
          <w:sz w:val="21"/>
          <w:szCs w:val="21"/>
        </w:rPr>
        <w:t>—because a platform that grows while harming users would be failing by its own thesis.</w:t>
      </w:r>
    </w:p>
    <w:tbl>
      <w:tblPr>
        <w:tblW w:w="9360" w:type="dxa"/>
        <w:jc w:val="left"/>
        <w:tblInd w:w="0" w:type="dxa"/>
        <w:tblLayout w:type="fixed"/>
        <w:tblCellMar>
          <w:top w:w="66" w:type="dxa"/>
          <w:left w:w="100" w:type="dxa"/>
          <w:bottom w:w="66" w:type="dxa"/>
          <w:right w:w="100" w:type="dxa"/>
        </w:tblCellMar>
      </w:tblPr>
      <w:tblGrid>
        <w:gridCol w:w="1900"/>
        <w:gridCol w:w="3559"/>
        <w:gridCol w:w="3901"/>
      </w:tblGrid>
      <w:tr>
        <w:trPr>
          <w:tblHeader w:val="true"/>
        </w:trPr>
        <w:tc>
          <w:tcPr>
            <w:tcW w:w="1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Family</w:t>
            </w:r>
          </w:p>
        </w:tc>
        <w:tc>
          <w:tcPr>
            <w:tcW w:w="35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Representative KPIs</w:t>
            </w:r>
          </w:p>
        </w:tc>
        <w:tc>
          <w:tcPr>
            <w:tcW w:w="390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Why It Matters</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Regulatory &amp; trust</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Jurisdictions live; clean audits; incidents (target zero); compliance findings closed</w:t>
            </w:r>
          </w:p>
        </w:tc>
        <w:tc>
          <w:tcPr>
            <w:tcW w:w="39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Confirms the gating constraint is being met; trust is the platform’s foundation</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Liquidity &amp; market health</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Custodied AUM; secondary-market depth/spreads; issuer-concentration ratio</w:t>
            </w:r>
          </w:p>
        </w:tc>
        <w:tc>
          <w:tcPr>
            <w:tcW w:w="39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Tracks the second binding constraint; concentration is monitored as first-order</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Adoption &amp; engagement</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Verified users; tier-progression rate; activation; retention</w:t>
            </w:r>
          </w:p>
        </w:tc>
        <w:tc>
          <w:tcPr>
            <w:tcW w:w="39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Growth, but read alongside welfare metrics—progression must reflect learning</w:t>
            </w:r>
          </w:p>
        </w:tc>
      </w:tr>
      <w:tr>
        <w:trPr/>
        <w:tc>
          <w:tcPr>
            <w:tcW w:w="19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Participant welfare</w:t>
            </w:r>
          </w:p>
        </w:tc>
        <w:tc>
          <w:tcPr>
            <w:tcW w:w="35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Diversification improvement; risk-comprehension scores; share of users in profit; complaint rate</w:t>
            </w:r>
          </w:p>
        </w:tc>
        <w:tc>
          <w:tcPr>
            <w:tcW w:w="390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The thesis-defining family: are users actually served, not just acquired?</w:t>
            </w:r>
          </w:p>
        </w:tc>
      </w:tr>
      <w:tr>
        <w:trPr/>
        <w:tc>
          <w:tcPr>
            <w:tcW w:w="19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Financial</w:t>
            </w:r>
          </w:p>
        </w:tc>
        <w:tc>
          <w:tcPr>
            <w:tcW w:w="35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Blended take rate; revenue per active user; gross margin; runway vs. gate</w:t>
            </w:r>
          </w:p>
        </w:tc>
        <w:tc>
          <w:tcPr>
            <w:tcW w:w="390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Sustainability; capital aligned to gates (Section 11)</w:t>
            </w:r>
          </w:p>
        </w:tc>
      </w:tr>
    </w:tbl>
    <w:p>
      <w:pPr>
        <w:pStyle w:val="Normal"/>
        <w:spacing w:before="70" w:after="180"/>
        <w:rPr/>
      </w:pPr>
      <w:r>
        <w:rPr>
          <w:rFonts w:eastAsia="Arial" w:cs="Arial" w:ascii="Arial" w:hAnsi="Arial"/>
          <w:i/>
          <w:iCs/>
          <w:color w:val="5E6B75"/>
          <w:sz w:val="17"/>
          <w:szCs w:val="17"/>
        </w:rPr>
        <w:t>Table 17.1 — KPI families. The participant-welfare family is treated as co-equal with growth and financial metrics, consistent with the platform’s thesis.</w:t>
      </w:r>
    </w:p>
    <w:p>
      <w:pPr>
        <w:pStyle w:val="Normal"/>
        <w:spacing w:before="0" w:after="40"/>
        <w:rPr/>
      </w:pPr>
      <w:r>
        <w:rPr/>
      </w:r>
    </w:p>
    <w:tbl>
      <w:tblPr>
        <w:tblW w:w="9360" w:type="dxa"/>
        <w:jc w:val="left"/>
        <w:tblInd w:w="0" w:type="dxa"/>
        <w:tblLayout w:type="fixed"/>
        <w:tblCellMar>
          <w:top w:w="130" w:type="dxa"/>
          <w:left w:w="200" w:type="dxa"/>
          <w:bottom w:w="130" w:type="dxa"/>
          <w:right w:w="170" w:type="dxa"/>
        </w:tblCellMar>
      </w:tblPr>
      <w:tblGrid>
        <w:gridCol w:w="9360"/>
      </w:tblGrid>
      <w:tr>
        <w:trPr/>
        <w:tc>
          <w:tcPr>
            <w:tcW w:w="9360" w:type="dxa"/>
            <w:tcBorders>
              <w:top w:val="single" w:sz="2" w:space="0" w:color="5FC8C0"/>
              <w:left w:val="single" w:sz="22" w:space="0" w:color="5FC8C0"/>
              <w:bottom w:val="single" w:sz="2" w:space="0" w:color="5FC8C0"/>
              <w:right w:val="single" w:sz="2" w:space="0" w:color="5FC8C0"/>
            </w:tcBorders>
            <w:shd w:fill="DCF0F2" w:val="clear"/>
          </w:tcPr>
          <w:p>
            <w:pPr>
              <w:pStyle w:val="Normal"/>
              <w:spacing w:before="0" w:after="70"/>
              <w:rPr/>
            </w:pPr>
            <w:r>
              <w:rPr>
                <w:rFonts w:eastAsia="Arial" w:cs="Arial" w:ascii="Arial" w:hAnsi="Arial"/>
                <w:b/>
                <w:bCs/>
                <w:color w:val="0B3D6B"/>
                <w:sz w:val="21"/>
                <w:szCs w:val="21"/>
              </w:rPr>
              <w:t>The Metric That Governs the Others</w:t>
            </w:r>
          </w:p>
          <w:p>
            <w:pPr>
              <w:pStyle w:val="Normal"/>
              <w:spacing w:lineRule="auto" w:line="261" w:before="0" w:after="0"/>
              <w:rPr/>
            </w:pPr>
            <w:r>
              <w:rPr>
                <w:rFonts w:eastAsia="Georgia" w:cs="Georgia"/>
                <w:color w:val="16242E"/>
                <w:sz w:val="20"/>
                <w:szCs w:val="20"/>
              </w:rPr>
              <w:t>If growth and engagement rise while participant-welfare metrics (diversification, risk comprehension, share of users in profit) stall or fall, the program treats this as a failure signal—not a success—and revisits design before scaling further. Aggregate platform health that masks individual harm is precisely the pattern Flock exists to avoid.</w:t>
            </w:r>
          </w:p>
        </w:tc>
      </w:tr>
    </w:tbl>
    <w:p>
      <w:pPr>
        <w:pStyle w:val="Normal"/>
        <w:rPr/>
      </w:pPr>
      <w:r>
        <w:rPr/>
      </w:r>
      <w:r>
        <w:br w:type="page"/>
      </w:r>
    </w:p>
    <w:p>
      <w:pPr>
        <w:pStyle w:val="Heading1"/>
        <w:spacing w:before="0" w:after="190"/>
        <w:rPr/>
      </w:pPr>
      <w:bookmarkStart w:id="78" w:name="__RefHeading___Toc2866_705121531"/>
      <w:bookmarkEnd w:id="78"/>
      <w:r>
        <w:rPr/>
        <w:t>19. Conclusion</w:t>
      </w:r>
    </w:p>
    <w:p>
      <w:pPr>
        <w:pStyle w:val="Normal"/>
        <w:spacing w:lineRule="auto" w:line="266" w:before="0" w:after="130"/>
        <w:jc w:val="both"/>
        <w:rPr/>
      </w:pPr>
      <w:r>
        <w:rPr>
          <w:rFonts w:eastAsia="Georgia" w:cs="Georgia"/>
          <w:b w:val="false"/>
          <w:bCs w:val="false"/>
          <w:i w:val="false"/>
          <w:iCs w:val="false"/>
          <w:color w:val="16242E"/>
          <w:sz w:val="21"/>
          <w:szCs w:val="21"/>
        </w:rPr>
        <w:t>This Project Management Plan has translated the Flock vision—a decentralized, compliance-first exchange unifying tokenized multi-asset investing, intelligent advice, social participation, and a full range of market types behind a gamified, competence-gated progression—into an executable program of work. The plan is deliberately disciplined where the underlying opportunity is tempting to rush.</w:t>
      </w:r>
    </w:p>
    <w:p>
      <w:pPr>
        <w:pStyle w:val="Normal"/>
        <w:spacing w:lineRule="auto" w:line="266" w:before="0" w:after="130"/>
        <w:jc w:val="both"/>
        <w:rPr/>
      </w:pPr>
      <w:r>
        <w:rPr>
          <w:rFonts w:eastAsia="Georgia" w:cs="Georgia"/>
          <w:b w:val="false"/>
          <w:bCs w:val="false"/>
          <w:i w:val="false"/>
          <w:iCs w:val="false"/>
          <w:color w:val="16242E"/>
          <w:sz w:val="21"/>
          <w:szCs w:val="21"/>
        </w:rPr>
        <w:t xml:space="preserve">Three commitments define it. First, it is </w:t>
      </w:r>
      <w:r>
        <w:rPr>
          <w:rFonts w:eastAsia="Georgia" w:cs="Georgia"/>
          <w:b/>
          <w:bCs/>
          <w:i w:val="false"/>
          <w:iCs w:val="false"/>
          <w:color w:val="16242E"/>
          <w:sz w:val="21"/>
          <w:szCs w:val="21"/>
        </w:rPr>
        <w:t>regulated-first and staged</w:t>
      </w:r>
      <w:r>
        <w:rPr>
          <w:rFonts w:eastAsia="Georgia" w:cs="Georgia"/>
          <w:b w:val="false"/>
          <w:bCs w:val="false"/>
          <w:i w:val="false"/>
          <w:iCs w:val="false"/>
          <w:color w:val="16242E"/>
          <w:sz w:val="21"/>
          <w:szCs w:val="21"/>
        </w:rPr>
        <w:t xml:space="preserve">: the compliant tokenization core is proven before any speculative capability is added, and each phase must clear a falsifiable go/no-go gate before the next begins. Second, it treats the documented failure modes of comparable systems—bridge exploits, liquidity fragmentation, herding, gamified overtrading, latecomer losses—as </w:t>
      </w:r>
      <w:r>
        <w:rPr>
          <w:rFonts w:eastAsia="Georgia" w:cs="Georgia"/>
          <w:b/>
          <w:bCs/>
          <w:i w:val="false"/>
          <w:iCs w:val="false"/>
          <w:color w:val="16242E"/>
          <w:sz w:val="21"/>
          <w:szCs w:val="21"/>
        </w:rPr>
        <w:t>design constraints rather than footnotes</w:t>
      </w:r>
      <w:r>
        <w:rPr>
          <w:rFonts w:eastAsia="Georgia" w:cs="Georgia"/>
          <w:b w:val="false"/>
          <w:bCs w:val="false"/>
          <w:i w:val="false"/>
          <w:iCs w:val="false"/>
          <w:color w:val="16242E"/>
          <w:sz w:val="21"/>
          <w:szCs w:val="21"/>
        </w:rPr>
        <w:t xml:space="preserve">, embedding the mitigations into the product itself. Third, it holds </w:t>
      </w:r>
      <w:r>
        <w:rPr>
          <w:rFonts w:eastAsia="Georgia" w:cs="Georgia"/>
          <w:b/>
          <w:bCs/>
          <w:i w:val="false"/>
          <w:iCs w:val="false"/>
          <w:color w:val="16242E"/>
          <w:sz w:val="21"/>
          <w:szCs w:val="21"/>
        </w:rPr>
        <w:t>participant welfare co-equal with growth</w:t>
      </w:r>
      <w:r>
        <w:rPr>
          <w:rFonts w:eastAsia="Georgia" w:cs="Georgia"/>
          <w:b w:val="false"/>
          <w:bCs w:val="false"/>
          <w:i w:val="false"/>
          <w:iCs w:val="false"/>
          <w:color w:val="16242E"/>
          <w:sz w:val="21"/>
          <w:szCs w:val="21"/>
        </w:rPr>
        <w:t>, measuring whether users are genuinely served and treating aggregate growth that masks individual harm as a failure signal.</w:t>
      </w:r>
    </w:p>
    <w:p>
      <w:pPr>
        <w:pStyle w:val="Normal"/>
        <w:spacing w:lineRule="auto" w:line="266" w:before="0" w:after="130"/>
        <w:jc w:val="both"/>
        <w:rPr/>
      </w:pPr>
      <w:r>
        <w:rPr>
          <w:rFonts w:eastAsia="Georgia" w:cs="Georgia"/>
          <w:b w:val="false"/>
          <w:bCs w:val="false"/>
          <w:i w:val="false"/>
          <w:iCs w:val="false"/>
          <w:color w:val="16242E"/>
          <w:sz w:val="21"/>
          <w:szCs w:val="21"/>
        </w:rPr>
        <w:t>The flocking metaphor is, in the end, an engineering specification as much as a brand. A flock is robust not because its members are unconstrained but because each obeys simple, disciplined rules; remove the rules and the flock becomes a mob. Flock the platform can deliver the coordination it promises—distributed access, liquidity, advice, and a full market complement—only if it is built on the disciplined constraints this plan has specified: compliance embedded in the token, liquidity bootstrapped without dangerous concentration, risk disclosed honestly, speculation gated behind demonstrated competence, and capital raised against proven gates. Built that way, the program is not merely feasible but genuinely valuable.</w:t>
      </w:r>
    </w:p>
    <w:p>
      <w:pPr>
        <w:pStyle w:val="Normal"/>
        <w:spacing w:lineRule="auto" w:line="266" w:before="60" w:after="130"/>
        <w:jc w:val="left"/>
        <w:rPr/>
      </w:pPr>
      <w:r>
        <w:rPr>
          <w:rFonts w:eastAsia="Georgia" w:cs="Georgia"/>
          <w:b w:val="false"/>
          <w:bCs w:val="false"/>
          <w:i/>
          <w:iCs/>
          <w:color w:val="C9882B"/>
          <w:sz w:val="23"/>
          <w:szCs w:val="23"/>
        </w:rPr>
        <w:t>Patience pays.</w:t>
      </w:r>
      <w:r>
        <w:rPr>
          <w:rFonts w:eastAsia="Georgia" w:cs="Georgia"/>
          <w:b w:val="false"/>
          <w:bCs w:val="false"/>
          <w:i w:val="false"/>
          <w:iCs w:val="false"/>
          <w:color w:val="16242E"/>
          <w:sz w:val="23"/>
          <w:szCs w:val="23"/>
        </w:rPr>
        <w:t xml:space="preserve"> 🦞</w:t>
      </w:r>
    </w:p>
    <w:p>
      <w:pPr>
        <w:pStyle w:val="Heading1"/>
        <w:rPr/>
      </w:pPr>
      <w:bookmarkStart w:id="79" w:name="__RefHeading___Toc2868_705121531"/>
      <w:bookmarkEnd w:id="79"/>
      <w:r>
        <w:rPr/>
        <w:t>Appendix A. Glossary of Key Terms</w:t>
      </w:r>
    </w:p>
    <w:p>
      <w:pPr>
        <w:pStyle w:val="Normal"/>
        <w:spacing w:lineRule="auto" w:line="266" w:before="0" w:after="130"/>
        <w:jc w:val="both"/>
        <w:rPr/>
      </w:pPr>
      <w:r>
        <w:rPr>
          <w:rFonts w:eastAsia="Georgia" w:cs="Georgia"/>
          <w:b w:val="false"/>
          <w:bCs w:val="false"/>
          <w:i/>
          <w:iCs/>
          <w:color w:val="16242E"/>
          <w:sz w:val="19"/>
          <w:szCs w:val="19"/>
        </w:rPr>
        <w:t>A reference for readers across the plan’s several audiences.</w:t>
      </w:r>
    </w:p>
    <w:tbl>
      <w:tblPr>
        <w:tblW w:w="9360" w:type="dxa"/>
        <w:jc w:val="left"/>
        <w:tblInd w:w="0" w:type="dxa"/>
        <w:tblLayout w:type="fixed"/>
        <w:tblCellMar>
          <w:top w:w="66" w:type="dxa"/>
          <w:left w:w="100" w:type="dxa"/>
          <w:bottom w:w="66" w:type="dxa"/>
          <w:right w:w="100" w:type="dxa"/>
        </w:tblCellMar>
      </w:tblPr>
      <w:tblGrid>
        <w:gridCol w:w="2600"/>
        <w:gridCol w:w="6759"/>
      </w:tblGrid>
      <w:tr>
        <w:trPr>
          <w:tblHeader w:val="true"/>
        </w:trPr>
        <w:tc>
          <w:tcPr>
            <w:tcW w:w="26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Term</w:t>
            </w:r>
          </w:p>
        </w:tc>
        <w:tc>
          <w:tcPr>
            <w:tcW w:w="67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6"/>
                <w:szCs w:val="16"/>
              </w:rPr>
              <w:t>Definition</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Tokenization</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Representing an asset or a claim on an asset as a transferable record on a distributed ledger.</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Real-world asset (RWA)</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traditional off-chain asset (e.g., a bond, fund share, or property interest) represented on-chain.</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Security token</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 tokenized instrument that is a security and therefore subject to securities law.</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Permissioned token standard</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token standard (e.g., ERC-3643, ERC-1400) that restricts transfers to verified, eligible holders.</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Automated market maker (AMM)</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 smart-contract mechanism that prices and trades assets from a pooled reserve rather than an order book.</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Impermanent loss</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The opportunity cost a liquidity provider incurs when pooled assets’ relative prices diverge from deposit.</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Proof-of-reserve oracle</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An on-chain, ideally independently attested mechanism evidencing that tokens remain fully backed by real assets.</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Hybrid physical-digital ownership</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token conferring genuine, redeemable beneficial ownership of a real-world asset—not a synthetic price-tracker.</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Copy trading</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 social-trading feature allowing users to automatically mirror the trades of selected lead traders.</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Prediction / event market</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market in which contracts pay out based on the realized outcome of a future event.</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Perpetual swap</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 leveraged derivative with no expiry, kept aligned to the underlying via a periodic funding rate.</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Parametric insurance</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Coverage that pays out automatically when an objective, oracle-verifiable trigger condition is met.</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Designated contract market (DCM)</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 regulated U.S. derivatives exchange structure under the CFTC.</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Alternative trading system (ATS)</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regulated U.S. venue for secondary trading of securities, including tokenized securities.</w:t>
            </w:r>
          </w:p>
        </w:tc>
      </w:tr>
      <w:tr>
        <w:trPr/>
        <w:tc>
          <w:tcPr>
            <w:tcW w:w="260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DLT Pilot Regime</w:t>
            </w:r>
          </w:p>
        </w:tc>
        <w:tc>
          <w:tcPr>
            <w:tcW w:w="67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An EU sandbox permitting DLT-based trading and settlement of tokenized securities under temporary exemptions.</w:t>
            </w:r>
          </w:p>
        </w:tc>
      </w:tr>
      <w:tr>
        <w:trPr/>
        <w:tc>
          <w:tcPr>
            <w:tcW w:w="260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Go/no-go gate</w:t>
            </w:r>
          </w:p>
        </w:tc>
        <w:tc>
          <w:tcPr>
            <w:tcW w:w="67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 falsifiable threshold that must be met before a phase proceeds; failure triggers revision, not progression.</w:t>
            </w:r>
          </w:p>
        </w:tc>
      </w:tr>
    </w:tbl>
    <w:p>
      <w:pPr>
        <w:pStyle w:val="Normal"/>
        <w:rPr/>
      </w:pPr>
      <w:r>
        <w:rPr/>
      </w:r>
      <w:r>
        <w:br w:type="page"/>
      </w:r>
    </w:p>
    <w:p>
      <w:pPr>
        <w:pStyle w:val="Heading1"/>
        <w:spacing w:before="0" w:after="190"/>
        <w:rPr/>
      </w:pPr>
      <w:bookmarkStart w:id="80" w:name="__RefHeading___Toc2870_705121531"/>
      <w:bookmarkEnd w:id="80"/>
      <w:r>
        <w:rPr/>
        <w:t>Appendix B. Key Planning Assumptions</w:t>
      </w:r>
    </w:p>
    <w:p>
      <w:pPr>
        <w:pStyle w:val="ListParagraph"/>
        <w:numPr>
          <w:ilvl w:val="0"/>
          <w:numId w:val="4"/>
        </w:numPr>
        <w:spacing w:lineRule="auto" w:line="259" w:before="0" w:after="76"/>
        <w:jc w:val="both"/>
        <w:rPr/>
      </w:pPr>
      <w:r>
        <w:rPr>
          <w:rFonts w:eastAsia="Georgia" w:cs="Georgia"/>
          <w:color w:val="16242E"/>
          <w:sz w:val="21"/>
          <w:szCs w:val="21"/>
        </w:rPr>
        <w:t>At least one launch jurisdiction offers a workable regulated on-ramp for tokenized securities within the Phase 1 horizon.</w:t>
      </w:r>
    </w:p>
    <w:p>
      <w:pPr>
        <w:pStyle w:val="ListParagraph"/>
        <w:numPr>
          <w:ilvl w:val="0"/>
          <w:numId w:val="4"/>
        </w:numPr>
        <w:spacing w:lineRule="auto" w:line="259" w:before="0" w:after="76"/>
        <w:jc w:val="both"/>
        <w:rPr/>
      </w:pPr>
      <w:r>
        <w:rPr>
          <w:rFonts w:eastAsia="Georgia" w:cs="Georgia"/>
          <w:color w:val="16242E"/>
          <w:sz w:val="21"/>
          <w:szCs w:val="21"/>
        </w:rPr>
        <w:t>A qualified custodian and licensed transfer-agent / venue partner can be engaged for the tokenization core.</w:t>
      </w:r>
    </w:p>
    <w:p>
      <w:pPr>
        <w:pStyle w:val="ListParagraph"/>
        <w:numPr>
          <w:ilvl w:val="0"/>
          <w:numId w:val="4"/>
        </w:numPr>
        <w:spacing w:lineRule="auto" w:line="259" w:before="0" w:after="76"/>
        <w:jc w:val="both"/>
        <w:rPr/>
      </w:pPr>
      <w:r>
        <w:rPr>
          <w:rFonts w:eastAsia="Georgia" w:cs="Georgia"/>
          <w:color w:val="16242E"/>
          <w:sz w:val="21"/>
          <w:szCs w:val="21"/>
        </w:rPr>
        <w:t>The program can raise capital in tranches aligned to phase gates, supplemented by non-dilutive university and competition funding early.</w:t>
      </w:r>
    </w:p>
    <w:p>
      <w:pPr>
        <w:pStyle w:val="ListParagraph"/>
        <w:numPr>
          <w:ilvl w:val="0"/>
          <w:numId w:val="4"/>
        </w:numPr>
        <w:spacing w:lineRule="auto" w:line="259" w:before="0" w:after="76"/>
        <w:jc w:val="both"/>
        <w:rPr/>
      </w:pPr>
      <w:r>
        <w:rPr>
          <w:rFonts w:eastAsia="Georgia" w:cs="Georgia"/>
          <w:color w:val="16242E"/>
          <w:sz w:val="21"/>
          <w:szCs w:val="21"/>
        </w:rPr>
        <w:t>Independent audit capacity is available at each production gate.</w:t>
      </w:r>
    </w:p>
    <w:p>
      <w:pPr>
        <w:pStyle w:val="ListParagraph"/>
        <w:numPr>
          <w:ilvl w:val="0"/>
          <w:numId w:val="4"/>
        </w:numPr>
        <w:spacing w:lineRule="auto" w:line="259" w:before="0" w:after="76"/>
        <w:jc w:val="both"/>
        <w:rPr/>
      </w:pPr>
      <w:r>
        <w:rPr>
          <w:rFonts w:eastAsia="Georgia" w:cs="Georgia"/>
          <w:color w:val="16242E"/>
          <w:sz w:val="21"/>
          <w:szCs w:val="21"/>
        </w:rPr>
        <w:t>The university ecosystem provides a viable initial user and talent base.</w:t>
      </w:r>
    </w:p>
    <w:p>
      <w:pPr>
        <w:pStyle w:val="ListParagraph"/>
        <w:numPr>
          <w:ilvl w:val="0"/>
          <w:numId w:val="4"/>
        </w:numPr>
        <w:spacing w:lineRule="auto" w:line="259" w:before="0" w:after="76"/>
        <w:jc w:val="both"/>
        <w:rPr/>
      </w:pPr>
      <w:r>
        <w:rPr>
          <w:rFonts w:eastAsia="Georgia" w:cs="Georgia"/>
          <w:color w:val="16242E"/>
          <w:sz w:val="21"/>
          <w:szCs w:val="21"/>
        </w:rPr>
        <w:t>Regulatory posture toward tokenized securities and event markets remains navigable, if evolving, over the program horizon.</w:t>
      </w:r>
    </w:p>
    <w:p>
      <w:pPr>
        <w:pStyle w:val="ListParagraph"/>
        <w:numPr>
          <w:ilvl w:val="0"/>
          <w:numId w:val="4"/>
        </w:numPr>
        <w:spacing w:lineRule="auto" w:line="259" w:before="0" w:after="76"/>
        <w:jc w:val="both"/>
        <w:rPr/>
      </w:pPr>
      <w:r>
        <w:rPr>
          <w:rFonts w:eastAsia="Georgia" w:cs="Georgia"/>
          <w:color w:val="16242E"/>
          <w:sz w:val="21"/>
          <w:szCs w:val="21"/>
        </w:rPr>
        <w:t>Figures throughout (budget, projections) are planning-level and will be refined as licensing scope and team composition finalize.</w:t>
      </w:r>
    </w:p>
    <w:p>
      <w:pPr>
        <w:pStyle w:val="Normal"/>
        <w:rPr/>
      </w:pPr>
      <w:r>
        <w:rPr/>
      </w:r>
      <w:r>
        <w:br w:type="page"/>
      </w:r>
    </w:p>
    <w:p>
      <w:pPr>
        <w:pStyle w:val="Heading1"/>
        <w:spacing w:before="0" w:after="190"/>
        <w:rPr/>
      </w:pPr>
      <w:bookmarkStart w:id="81" w:name="__RefHeading___Toc2872_705121531"/>
      <w:bookmarkEnd w:id="81"/>
      <w:r>
        <w:rPr/>
        <w:t>Appendix C. Summary RACI</w:t>
      </w:r>
    </w:p>
    <w:p>
      <w:pPr>
        <w:pStyle w:val="Normal"/>
        <w:spacing w:lineRule="auto" w:line="266" w:before="0" w:after="130"/>
        <w:jc w:val="both"/>
        <w:rPr/>
      </w:pPr>
      <w:r>
        <w:rPr>
          <w:rFonts w:eastAsia="Georgia" w:cs="Georgia"/>
          <w:b w:val="false"/>
          <w:bCs w:val="false"/>
          <w:i/>
          <w:iCs/>
          <w:color w:val="16242E"/>
          <w:sz w:val="18"/>
          <w:szCs w:val="18"/>
        </w:rPr>
        <w:t>Responsible (R), Accountable (A), Consulted (C), Informed (I) across the eight workstreams and core roles. Where one party is both accountable and responsible early-stage, the accountable role is shown.</w:t>
      </w:r>
    </w:p>
    <w:tbl>
      <w:tblPr>
        <w:tblW w:w="9360" w:type="dxa"/>
        <w:jc w:val="left"/>
        <w:tblInd w:w="0" w:type="dxa"/>
        <w:tblLayout w:type="fixed"/>
        <w:tblCellMar>
          <w:top w:w="66" w:type="dxa"/>
          <w:left w:w="100" w:type="dxa"/>
          <w:bottom w:w="66" w:type="dxa"/>
          <w:right w:w="100" w:type="dxa"/>
        </w:tblCellMar>
      </w:tblPr>
      <w:tblGrid>
        <w:gridCol w:w="3159"/>
        <w:gridCol w:w="1241"/>
        <w:gridCol w:w="1439"/>
        <w:gridCol w:w="1240"/>
        <w:gridCol w:w="1181"/>
        <w:gridCol w:w="1099"/>
      </w:tblGrid>
      <w:tr>
        <w:trPr>
          <w:tblHeader w:val="true"/>
        </w:trPr>
        <w:tc>
          <w:tcPr>
            <w:tcW w:w="31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Workstream</w:t>
            </w:r>
          </w:p>
        </w:tc>
        <w:tc>
          <w:tcPr>
            <w:tcW w:w="124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Founder</w:t>
            </w:r>
          </w:p>
        </w:tc>
        <w:tc>
          <w:tcPr>
            <w:tcW w:w="143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Compliance</w:t>
            </w:r>
          </w:p>
        </w:tc>
        <w:tc>
          <w:tcPr>
            <w:tcW w:w="124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Tech/Sec</w:t>
            </w:r>
          </w:p>
        </w:tc>
        <w:tc>
          <w:tcPr>
            <w:tcW w:w="118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Product</w:t>
            </w:r>
          </w:p>
        </w:tc>
        <w:tc>
          <w:tcPr>
            <w:tcW w:w="10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rPr/>
            </w:pPr>
            <w:r>
              <w:rPr>
                <w:rFonts w:eastAsia="Arial" w:cs="Arial" w:ascii="Arial" w:hAnsi="Arial"/>
                <w:b/>
                <w:bCs/>
                <w:color w:val="FFFFFF"/>
                <w:sz w:val="14"/>
                <w:szCs w:val="14"/>
              </w:rPr>
              <w:t>Data/AI</w:t>
            </w:r>
          </w:p>
        </w:tc>
      </w:tr>
      <w:tr>
        <w:trPr/>
        <w:tc>
          <w:tcPr>
            <w:tcW w:w="31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Compliance &amp; Licensing</w:t>
            </w:r>
          </w:p>
        </w:tc>
        <w:tc>
          <w:tcPr>
            <w:tcW w:w="124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24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0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I</w:t>
            </w:r>
          </w:p>
        </w:tc>
      </w:tr>
      <w:tr>
        <w:trPr/>
        <w:tc>
          <w:tcPr>
            <w:tcW w:w="31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Tokenization &amp; Custody</w:t>
            </w:r>
          </w:p>
        </w:tc>
        <w:tc>
          <w:tcPr>
            <w:tcW w:w="124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24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0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r>
      <w:tr>
        <w:trPr/>
        <w:tc>
          <w:tcPr>
            <w:tcW w:w="31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Liquidity &amp; Settlement</w:t>
            </w:r>
          </w:p>
        </w:tc>
        <w:tc>
          <w:tcPr>
            <w:tcW w:w="124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24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0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I</w:t>
            </w:r>
          </w:p>
        </w:tc>
      </w:tr>
      <w:tr>
        <w:trPr/>
        <w:tc>
          <w:tcPr>
            <w:tcW w:w="31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Intelligence Layer</w:t>
            </w:r>
          </w:p>
        </w:tc>
        <w:tc>
          <w:tcPr>
            <w:tcW w:w="124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24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0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w:t>
            </w:r>
          </w:p>
        </w:tc>
      </w:tr>
      <w:tr>
        <w:trPr/>
        <w:tc>
          <w:tcPr>
            <w:tcW w:w="31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Social &amp; Markets</w:t>
            </w:r>
          </w:p>
        </w:tc>
        <w:tc>
          <w:tcPr>
            <w:tcW w:w="124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24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0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r>
      <w:tr>
        <w:trPr/>
        <w:tc>
          <w:tcPr>
            <w:tcW w:w="31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Experience &amp; Literacy</w:t>
            </w:r>
          </w:p>
        </w:tc>
        <w:tc>
          <w:tcPr>
            <w:tcW w:w="124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24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0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r>
      <w:tr>
        <w:trPr/>
        <w:tc>
          <w:tcPr>
            <w:tcW w:w="315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Platform &amp; Data</w:t>
            </w:r>
          </w:p>
        </w:tc>
        <w:tc>
          <w:tcPr>
            <w:tcW w:w="124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240"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181"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099" w:type="dxa"/>
            <w:tcBorders>
              <w:top w:val="single" w:sz="2" w:space="0" w:color="BFD3E6"/>
              <w:left w:val="single" w:sz="2" w:space="0" w:color="BFD3E6"/>
              <w:bottom w:val="single" w:sz="2" w:space="0" w:color="BFD3E6"/>
              <w:right w:val="single" w:sz="2" w:space="0" w:color="BFD3E6"/>
            </w:tcBorders>
            <w:shd w:fill="FFFFFF" w:val="clear"/>
            <w:tcMar>
              <w:top w:w="54" w:type="dxa"/>
              <w:bottom w:w="54" w:type="dxa"/>
            </w:tcMar>
          </w:tcPr>
          <w:p>
            <w:pPr>
              <w:pStyle w:val="Normal"/>
              <w:spacing w:lineRule="auto" w:line="237" w:before="0" w:after="0"/>
              <w:rPr/>
            </w:pPr>
            <w:r>
              <w:rPr>
                <w:rFonts w:eastAsia="Georgia" w:cs="Georgia"/>
                <w:color w:val="16242E"/>
                <w:sz w:val="16"/>
                <w:szCs w:val="16"/>
              </w:rPr>
              <w:t>C</w:t>
            </w:r>
          </w:p>
        </w:tc>
      </w:tr>
      <w:tr>
        <w:trPr/>
        <w:tc>
          <w:tcPr>
            <w:tcW w:w="315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Security &amp; Assurance</w:t>
            </w:r>
          </w:p>
        </w:tc>
        <w:tc>
          <w:tcPr>
            <w:tcW w:w="124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A</w:t>
            </w:r>
          </w:p>
        </w:tc>
        <w:tc>
          <w:tcPr>
            <w:tcW w:w="143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C</w:t>
            </w:r>
          </w:p>
        </w:tc>
        <w:tc>
          <w:tcPr>
            <w:tcW w:w="1240"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R</w:t>
            </w:r>
          </w:p>
        </w:tc>
        <w:tc>
          <w:tcPr>
            <w:tcW w:w="1181"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c>
          <w:tcPr>
            <w:tcW w:w="1099" w:type="dxa"/>
            <w:tcBorders>
              <w:top w:val="single" w:sz="2" w:space="0" w:color="BFD3E6"/>
              <w:left w:val="single" w:sz="2" w:space="0" w:color="BFD3E6"/>
              <w:bottom w:val="single" w:sz="2" w:space="0" w:color="BFD3E6"/>
              <w:right w:val="single" w:sz="2" w:space="0" w:color="BFD3E6"/>
            </w:tcBorders>
            <w:shd w:fill="E3EEF7" w:val="clear"/>
            <w:tcMar>
              <w:top w:w="54" w:type="dxa"/>
              <w:bottom w:w="54" w:type="dxa"/>
            </w:tcMar>
          </w:tcPr>
          <w:p>
            <w:pPr>
              <w:pStyle w:val="Normal"/>
              <w:spacing w:lineRule="auto" w:line="237" w:before="0" w:after="0"/>
              <w:rPr/>
            </w:pPr>
            <w:r>
              <w:rPr>
                <w:rFonts w:eastAsia="Georgia" w:cs="Georgia"/>
                <w:color w:val="16242E"/>
                <w:sz w:val="16"/>
                <w:szCs w:val="16"/>
              </w:rPr>
              <w:t>I</w:t>
            </w:r>
          </w:p>
        </w:tc>
      </w:tr>
    </w:tbl>
    <w:p>
      <w:pPr>
        <w:pStyle w:val="Normal"/>
        <w:spacing w:before="70" w:after="180"/>
        <w:rPr/>
      </w:pPr>
      <w:r>
        <w:rPr>
          <w:rFonts w:eastAsia="Arial" w:cs="Arial" w:ascii="Arial" w:hAnsi="Arial"/>
          <w:i/>
          <w:iCs/>
          <w:color w:val="5E6B75"/>
          <w:sz w:val="17"/>
          <w:szCs w:val="17"/>
        </w:rPr>
        <w:t>Appendix C — Summary RACI. As the organization matures (Section 8), accountability for several workstreams delegates from the founder to functional leads.</w:t>
      </w:r>
    </w:p>
    <w:sectPr>
      <w:footerReference w:type="even" r:id="rId3"/>
      <w:footerReference w:type="defaul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CF0F2"/>
      </w:pBdr>
      <w:jc w:val="center"/>
      <w:rPr/>
    </w:pPr>
    <w:r>
      <w:rPr>
        <w:rFonts w:eastAsia="Arial" w:cs="Arial" w:ascii="Arial" w:hAnsi="Arial"/>
        <w:color w:val="44505A"/>
        <w:sz w:val="16"/>
        <w:szCs w:val="16"/>
      </w:rPr>
      <w:t xml:space="preserve">FLOCK · Project Management Plan   —   </w:t>
    </w: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bullet"/>
      <w:lvlText w:val="◦"/>
      <w:lvlJc w:val="left"/>
      <w:pPr>
        <w:tabs>
          <w:tab w:val="num" w:pos="0"/>
        </w:tabs>
        <w:ind w:left="1160" w:hanging="28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6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6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6242E"/>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16242E"/>
      <w:kern w:val="0"/>
      <w:sz w:val="21"/>
      <w:szCs w:val="21"/>
      <w:lang w:val="en-US" w:eastAsia="zh-CN" w:bidi="hi-IN"/>
    </w:rPr>
  </w:style>
  <w:style w:type="paragraph" w:styleId="Heading1">
    <w:name w:val="Heading 1"/>
    <w:basedOn w:val="Heading"/>
    <w:qFormat/>
    <w:pPr>
      <w:keepNext w:val="true"/>
      <w:pBdr>
        <w:bottom w:val="single" w:sz="12" w:space="6" w:color="5FC8C0"/>
      </w:pBdr>
      <w:spacing w:before="300" w:after="190"/>
      <w:outlineLvl w:val="0"/>
    </w:pPr>
    <w:rPr>
      <w:rFonts w:ascii="Arial" w:hAnsi="Arial" w:eastAsia="Arial" w:cs="Arial"/>
      <w:b/>
      <w:bCs/>
      <w:color w:val="0B3D6B"/>
      <w:sz w:val="30"/>
      <w:szCs w:val="30"/>
    </w:rPr>
  </w:style>
  <w:style w:type="paragraph" w:styleId="Heading2">
    <w:name w:val="Heading 2"/>
    <w:basedOn w:val="Heading"/>
    <w:qFormat/>
    <w:pPr>
      <w:keepNext w:val="true"/>
      <w:spacing w:before="250" w:after="130"/>
      <w:outlineLvl w:val="1"/>
    </w:pPr>
    <w:rPr>
      <w:rFonts w:ascii="Arial" w:hAnsi="Arial" w:eastAsia="Arial" w:cs="Arial"/>
      <w:b/>
      <w:bCs/>
      <w:color w:val="1B6CA8"/>
      <w:sz w:val="25"/>
      <w:szCs w:val="25"/>
    </w:rPr>
  </w:style>
  <w:style w:type="paragraph" w:styleId="Heading3">
    <w:name w:val="Heading 3"/>
    <w:basedOn w:val="Heading"/>
    <w:qFormat/>
    <w:pPr>
      <w:keepNext w:val="true"/>
      <w:spacing w:before="190" w:after="110"/>
      <w:outlineLvl w:val="2"/>
    </w:pPr>
    <w:rPr>
      <w:rFonts w:ascii="Arial" w:hAnsi="Arial" w:eastAsia="Arial" w:cs="Arial"/>
      <w:b/>
      <w:bCs/>
      <w:color w:val="2E9E9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16242E"/>
      <w:kern w:val="0"/>
      <w:sz w:val="21"/>
      <w:szCs w:val="21"/>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16242E"/>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40</Pages>
  <Words>10148</Words>
  <Characters>64127</Characters>
  <CharactersWithSpaces>73154</CharactersWithSpaces>
  <Paragraphs>946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2026-06-17T14:48:17Z</dcterms:created>
  <dc:creator>Maximiliano Garcia</dc:creator>
  <dc:description>A Decentralized, Blockchain-Powered Exchange for Tokenized Multi-Investment Vehicles</dc:description>
  <dc:language>en-US</dc:language>
  <cp:lastModifiedBy/>
  <dcterms:modified xsi:type="dcterms:W3CDTF">2026-06-17T14:48:27Z</dcterms:modified>
  <cp:revision>2</cp:revision>
  <dc:subject/>
  <dc:title>Flock — Project Management Plan</dc:title>
</cp:coreProperties>
</file>