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jc w:val="center"/>
      </w:pPr>
      <w:r>
        <w:rPr>
          <w:rFonts w:ascii="Arial" w:cs="Arial" w:eastAsia="Arial" w:hAnsi="Arial"/>
          <w:b/>
          <w:bCs/>
          <w:color w:val="234A35"/>
          <w:sz w:val="40"/>
          <w:szCs w:val="40"/>
        </w:rPr>
        <w:t xml:space="preserve">FROM PASTURE AND PARRILLA TO PLATE</w:t>
      </w:r>
    </w:p>
    <w:p>
      <w:pPr>
        <w:spacing w:after="280"/>
        <w:jc w:val="center"/>
      </w:pPr>
      <w:r>
        <w:rPr>
          <w:rFonts w:ascii="Arial" w:cs="Arial" w:eastAsia="Arial" w:hAnsi="Arial"/>
          <w:b w:val="false"/>
          <w:bCs w:val="false"/>
          <w:color w:val="1A1A1A"/>
          <w:sz w:val="24"/>
          <w:szCs w:val="24"/>
        </w:rPr>
        <w:t xml:space="preserve">An Evidence-Based Synthesis of Meat and Plant Selection, Sourcing, and Heat-Driven Preparation, with Application to the Northwest Arkansas Foodshed</w:t>
      </w:r>
    </w:p>
    <w:p>
      <w:pPr>
        <w:pBdr>
          <w:top w:val="single" w:color="8C4A2F" w:sz="8" w:space="6"/>
          <w:bottom w:val="single" w:color="8C4A2F" w:sz="8" w:space="6"/>
        </w:pBdr>
        <w:spacing w:after="60"/>
        <w:jc w:val="center"/>
      </w:pPr>
      <w:r>
        <w:rPr>
          <w:rFonts w:ascii="Georgia" w:cs="Georgia" w:eastAsia="Georgia" w:hAnsi="Georgia"/>
          <w:i/>
          <w:iCs/>
          <w:color w:val="5B5B52"/>
          <w:sz w:val="22"/>
          <w:szCs w:val="22"/>
        </w:rPr>
        <w:t xml:space="preserve">A Research Monograph</w:t>
      </w:r>
    </w:p>
    <w:p>
      <w:pPr>
        <w:spacing w:after="0" w:before="600"/>
        <w:jc w:val="center"/>
      </w:pPr>
      <w:r>
        <w:rPr>
          <w:rFonts w:ascii="Georgia" w:cs="Georgia" w:eastAsia="Georgia" w:hAnsi="Georgia"/>
          <w:i/>
          <w:iCs/>
          <w:color w:val="5B5B52"/>
          <w:sz w:val="20"/>
          <w:szCs w:val="20"/>
        </w:rPr>
        <w:t xml:space="preserve">Companion to the practical field guide,</w:t>
      </w:r>
    </w:p>
    <w:p>
      <w:pPr>
        <w:spacing w:after="600"/>
        <w:jc w:val="center"/>
      </w:pPr>
      <w:r>
        <w:rPr>
          <w:rFonts w:ascii="Georgia" w:cs="Georgia" w:eastAsia="Georgia" w:hAnsi="Georgia"/>
          <w:i/>
          <w:iCs/>
          <w:color w:val="5B5B52"/>
          <w:sz w:val="20"/>
          <w:szCs w:val="20"/>
        </w:rPr>
        <w:t xml:space="preserve">Sourcing &amp; Preparing Meats and Plants in Northwest Arkansas</w:t>
      </w:r>
    </w:p>
    <w:p>
      <w:pPr>
        <w:spacing w:after="40"/>
        <w:jc w:val="center"/>
      </w:pPr>
      <w:r>
        <w:rPr>
          <w:rFonts w:ascii="Arial" w:cs="Arial" w:eastAsia="Arial" w:hAnsi="Arial"/>
          <w:color w:val="1A1A1A"/>
          <w:sz w:val="18"/>
          <w:szCs w:val="18"/>
        </w:rPr>
        <w:t xml:space="preserve">Prepared in the research-and-documentation tradition</w:t>
      </w:r>
    </w:p>
    <w:p>
      <w:pPr>
        <w:spacing w:after="40"/>
        <w:jc w:val="center"/>
      </w:pPr>
      <w:r>
        <w:rPr>
          <w:rFonts w:ascii="Arial" w:cs="Arial" w:eastAsia="Arial" w:hAnsi="Arial"/>
          <w:color w:val="1A1A1A"/>
          <w:sz w:val="18"/>
          <w:szCs w:val="18"/>
        </w:rPr>
        <w:t xml:space="preserve">Northwest Arkansas · Fayetteville – Springdale – Rogers – Bentonville Corridor</w:t>
      </w:r>
    </w:p>
    <w:p>
      <w:pPr>
        <w:spacing w:before="600"/>
        <w:jc w:val="center"/>
      </w:pPr>
      <w:r>
        <w:rPr>
          <w:rFonts w:ascii="Georgia" w:cs="Georgia" w:eastAsia="Georgia" w:hAnsi="Georgia"/>
          <w:i/>
          <w:iCs/>
          <w:color w:val="234A35"/>
          <w:sz w:val="22"/>
          <w:szCs w:val="22"/>
        </w:rPr>
        <w:t xml:space="preserve">Patience pays. 🦞</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bookmarkStart w:name="abstract" w:id="1000"/>
      <w:r>
        <w:rPr>
          <w:rFonts w:ascii="Georgia" w:cs="Georgia" w:eastAsia="Georgia" w:hAnsi="Georgia"/>
          <w:b/>
          <w:bCs/>
          <w:i w:val="false"/>
          <w:iCs w:val="false"/>
          <w:caps w:val="false"/>
          <w:color w:val="1A1A1A"/>
          <w:sz w:val="22"/>
          <w:szCs w:val="22"/>
        </w:rPr>
        <w:t xml:space="preserve">Abstract</w:t>
      </w:r>
      <w:bookmarkEnd w:id="1000"/>
    </w:p>
    <w:p>
      <w:pPr>
        <w:spacing w:after="160" w:before="0" w:line="300"/>
        <w:jc w:val="both"/>
      </w:pPr>
      <w:r>
        <w:rPr>
          <w:rFonts w:ascii="Georgia" w:cs="Georgia" w:eastAsia="Georgia" w:hAnsi="Georgia"/>
          <w:color w:val="1A1A1A"/>
          <w:sz w:val="22"/>
          <w:szCs w:val="22"/>
        </w:rPr>
        <w:t xml:space="preserve">This monograph assembles, in one place, the scientific and culinary evidence that bears on a deceptively simple question: how does a household obtain the best-tasting, most nutritious, and most economical meat and produce, and then convert it into excellent meals using heat? The work is organized in three movements. The first establishes the </w:t>
      </w:r>
      <w:r>
        <w:rPr>
          <w:rFonts w:ascii="Georgia" w:cs="Georgia" w:eastAsia="Georgia" w:hAnsi="Georgia"/>
          <w:b/>
          <w:bCs/>
          <w:i w:val="false"/>
          <w:iCs w:val="false"/>
          <w:caps w:val="false"/>
          <w:color w:val="1A1A1A"/>
          <w:sz w:val="22"/>
          <w:szCs w:val="22"/>
        </w:rPr>
        <w:t xml:space="preserve">biochemical foundations</w:t>
      </w:r>
      <w:r>
        <w:rPr>
          <w:rFonts w:ascii="Georgia" w:cs="Georgia" w:eastAsia="Georgia" w:hAnsi="Georgia"/>
          <w:color w:val="1A1A1A"/>
          <w:sz w:val="22"/>
          <w:szCs w:val="22"/>
        </w:rPr>
        <w:t xml:space="preserve"> of cooking muscle and plant tissue—water-holding capacity, salt-driven protein solubilization, the Maillard browning cascade, collagen hydrolysis, carryover conduction, and the chemistry of wood smoke. The second establishes the </w:t>
      </w:r>
      <w:r>
        <w:rPr>
          <w:rFonts w:ascii="Georgia" w:cs="Georgia" w:eastAsia="Georgia" w:hAnsi="Georgia"/>
          <w:b/>
          <w:bCs/>
          <w:i w:val="false"/>
          <w:iCs w:val="false"/>
          <w:caps w:val="false"/>
          <w:color w:val="1A1A1A"/>
          <w:sz w:val="22"/>
          <w:szCs w:val="22"/>
        </w:rPr>
        <w:t xml:space="preserve">nutritional foundations</w:t>
      </w:r>
      <w:r>
        <w:rPr>
          <w:rFonts w:ascii="Georgia" w:cs="Georgia" w:eastAsia="Georgia" w:hAnsi="Georgia"/>
          <w:color w:val="1A1A1A"/>
          <w:sz w:val="22"/>
          <w:szCs w:val="22"/>
        </w:rPr>
        <w:t xml:space="preserve"> of food selection—nutrient density, the enhancement of non-heme iron absorption by ascorbate, the lipid-dependence of carotenoid and fat-soluble vitamin uptake, the distinctive nutrient contributions of eggs, ruminant meat, and goat milk, and the contested but increasingly documented compositional effects of forage-based and regenerative production. The third movement translates these foundations into a </w:t>
      </w:r>
      <w:r>
        <w:rPr>
          <w:rFonts w:ascii="Georgia" w:cs="Georgia" w:eastAsia="Georgia" w:hAnsi="Georgia"/>
          <w:b/>
          <w:bCs/>
          <w:i w:val="false"/>
          <w:iCs w:val="false"/>
          <w:caps w:val="false"/>
          <w:color w:val="1A1A1A"/>
          <w:sz w:val="22"/>
          <w:szCs w:val="22"/>
        </w:rPr>
        <w:t xml:space="preserve">synthesis of national grilling traditions</w:t>
      </w:r>
      <w:r>
        <w:rPr>
          <w:rFonts w:ascii="Georgia" w:cs="Georgia" w:eastAsia="Georgia" w:hAnsi="Georgia"/>
          <w:color w:val="1A1A1A"/>
          <w:sz w:val="22"/>
          <w:szCs w:val="22"/>
        </w:rPr>
        <w:t xml:space="preserve">—the Argentine </w:t>
      </w:r>
      <w:r>
        <w:rPr>
          <w:rFonts w:ascii="Georgia" w:cs="Georgia" w:eastAsia="Georgia" w:hAnsi="Georgia"/>
          <w:b w:val="false"/>
          <w:bCs w:val="false"/>
          <w:i/>
          <w:iCs/>
          <w:caps w:val="false"/>
          <w:color w:val="1A1A1A"/>
          <w:sz w:val="22"/>
          <w:szCs w:val="22"/>
        </w:rPr>
        <w:t xml:space="preserve">asado</w:t>
      </w:r>
      <w:r>
        <w:rPr>
          <w:rFonts w:ascii="Georgia" w:cs="Georgia" w:eastAsia="Georgia" w:hAnsi="Georgia"/>
          <w:color w:val="1A1A1A"/>
          <w:sz w:val="22"/>
          <w:szCs w:val="22"/>
        </w:rPr>
        <w:t xml:space="preserve">, North American low-and-slow barbecue, Brazilian </w:t>
      </w:r>
      <w:r>
        <w:rPr>
          <w:rFonts w:ascii="Georgia" w:cs="Georgia" w:eastAsia="Georgia" w:hAnsi="Georgia"/>
          <w:b w:val="false"/>
          <w:bCs w:val="false"/>
          <w:i/>
          <w:iCs/>
          <w:caps w:val="false"/>
          <w:color w:val="1A1A1A"/>
          <w:sz w:val="22"/>
          <w:szCs w:val="22"/>
        </w:rPr>
        <w:t xml:space="preserve">churrasco</w:t>
      </w:r>
      <w:r>
        <w:rPr>
          <w:rFonts w:ascii="Georgia" w:cs="Georgia" w:eastAsia="Georgia" w:hAnsi="Georgia"/>
          <w:color w:val="1A1A1A"/>
          <w:sz w:val="22"/>
          <w:szCs w:val="22"/>
        </w:rPr>
        <w:t xml:space="preserve">, and Mexican </w:t>
      </w:r>
      <w:r>
        <w:rPr>
          <w:rFonts w:ascii="Georgia" w:cs="Georgia" w:eastAsia="Georgia" w:hAnsi="Georgia"/>
          <w:b w:val="false"/>
          <w:bCs w:val="false"/>
          <w:i/>
          <w:iCs/>
          <w:caps w:val="false"/>
          <w:color w:val="1A1A1A"/>
          <w:sz w:val="22"/>
          <w:szCs w:val="22"/>
        </w:rPr>
        <w:t xml:space="preserve">carne asada</w:t>
      </w:r>
      <w:r>
        <w:rPr>
          <w:rFonts w:ascii="Georgia" w:cs="Georgia" w:eastAsia="Georgia" w:hAnsi="Georgia"/>
          <w:color w:val="1A1A1A"/>
          <w:sz w:val="22"/>
          <w:szCs w:val="22"/>
        </w:rPr>
        <w:t xml:space="preserve"> and </w:t>
      </w:r>
      <w:r>
        <w:rPr>
          <w:rFonts w:ascii="Georgia" w:cs="Georgia" w:eastAsia="Georgia" w:hAnsi="Georgia"/>
          <w:b w:val="false"/>
          <w:bCs w:val="false"/>
          <w:i/>
          <w:iCs/>
          <w:caps w:val="false"/>
          <w:color w:val="1A1A1A"/>
          <w:sz w:val="22"/>
          <w:szCs w:val="22"/>
        </w:rPr>
        <w:t xml:space="preserve">barbacoa</w:t>
      </w:r>
      <w:r>
        <w:rPr>
          <w:rFonts w:ascii="Georgia" w:cs="Georgia" w:eastAsia="Georgia" w:hAnsi="Georgia"/>
          <w:color w:val="1A1A1A"/>
          <w:sz w:val="22"/>
          <w:szCs w:val="22"/>
        </w:rPr>
        <w:t xml:space="preserve">—and demonstrates how their equipment, fire-management logic, and seasoning philosophies can be merged on a single multi-zone home grill.</w:t>
      </w:r>
    </w:p>
    <w:p>
      <w:pPr>
        <w:spacing w:after="160" w:before="0" w:line="300"/>
        <w:jc w:val="both"/>
      </w:pPr>
      <w:r>
        <w:rPr>
          <w:rFonts w:ascii="Georgia" w:cs="Georgia" w:eastAsia="Georgia" w:hAnsi="Georgia"/>
          <w:color w:val="1A1A1A"/>
          <w:sz w:val="22"/>
          <w:szCs w:val="22"/>
        </w:rPr>
        <w:t xml:space="preserve">Throughout, the analysis is grounded in the Northwest Arkansas (NWA) foodshed and is paired with a separately published field guide that catalogs verifiable local butchers, farms, and markets. A deliberate methodological choice runs through both documents: </w:t>
      </w:r>
      <w:r>
        <w:rPr>
          <w:rFonts w:ascii="Georgia" w:cs="Georgia" w:eastAsia="Georgia" w:hAnsi="Georgia"/>
          <w:b/>
          <w:bCs/>
          <w:i w:val="false"/>
          <w:iCs w:val="false"/>
          <w:caps w:val="false"/>
          <w:color w:val="1A1A1A"/>
          <w:sz w:val="22"/>
          <w:szCs w:val="22"/>
        </w:rPr>
        <w:t xml:space="preserve">claims about local businesses are admitted only when they can be corroborated by an active, independently reachable source</w:t>
      </w:r>
      <w:r>
        <w:rPr>
          <w:rFonts w:ascii="Georgia" w:cs="Georgia" w:eastAsia="Georgia" w:hAnsi="Georgia"/>
          <w:color w:val="1A1A1A"/>
          <w:sz w:val="22"/>
          <w:szCs w:val="22"/>
        </w:rPr>
        <w:t xml:space="preserve">, and the regional inventory is sized to what genuinely exists rather than inflated to a round number. The same discipline governs the science. Where the evidence is strong—USDA thermal safety thresholds, the osmotic mechanism of brining, the ascorbate–iron interaction—it is stated plainly. Where it is genuinely contested—the magnitude of soil-carbon sequestration under managed grazing, the human-digestibility advantage of goat milk—both the supporting and the dissenting literature are presented. The result is intended to be usable at the grill on a Saturday and defensible in a seminar on Monday.</w:t>
      </w:r>
    </w:p>
    <w:p>
      <w:pPr>
        <w:pBdr>
          <w:bottom w:val="single" w:color="C9CFc4" w:sz="6" w:space="1"/>
        </w:pBdr>
        <w:spacing w:after="80" w:before="80"/>
      </w:pPr>
      <w:r>
        <w:rPr>
          <w:sz w:val="2"/>
          <w:szCs w:val="2"/>
        </w:rPr>
        <w:t xml:space="preserve"/>
      </w:r>
    </w:p>
    <w:p>
      <w:pPr>
        <w:pStyle w:val="Heading2"/>
        <w:spacing w:after="140" w:before="280"/>
      </w:pPr>
      <w:r>
        <w:rPr>
          <w:rFonts w:ascii="Georgia" w:cs="Georgia" w:eastAsia="Georgia" w:hAnsi="Georgia"/>
          <w:b/>
          <w:bCs/>
          <w:i w:val="false"/>
          <w:iCs w:val="false"/>
          <w:caps w:val="false"/>
          <w:color w:val="1A1A1A"/>
          <w:sz w:val="22"/>
          <w:szCs w:val="22"/>
        </w:rPr>
        <w:t xml:space="preserve">A note on scope and the two-document structure</w:t>
      </w:r>
    </w:p>
    <w:p>
      <w:pPr>
        <w:spacing w:after="160" w:before="0" w:line="300"/>
        <w:jc w:val="both"/>
      </w:pPr>
      <w:r>
        <w:rPr>
          <w:rFonts w:ascii="Georgia" w:cs="Georgia" w:eastAsia="Georgia" w:hAnsi="Georgia"/>
          <w:color w:val="1A1A1A"/>
          <w:sz w:val="22"/>
          <w:szCs w:val="22"/>
        </w:rPr>
        <w:t xml:space="preserve">This is the </w:t>
      </w:r>
      <w:r>
        <w:rPr>
          <w:rFonts w:ascii="Georgia" w:cs="Georgia" w:eastAsia="Georgia" w:hAnsi="Georgia"/>
          <w:b/>
          <w:bCs/>
          <w:i w:val="false"/>
          <w:iCs w:val="false"/>
          <w:caps w:val="false"/>
          <w:color w:val="1A1A1A"/>
          <w:sz w:val="22"/>
          <w:szCs w:val="22"/>
        </w:rPr>
        <w:t xml:space="preserve">research volume</w:t>
      </w:r>
      <w:r>
        <w:rPr>
          <w:rFonts w:ascii="Georgia" w:cs="Georgia" w:eastAsia="Georgia" w:hAnsi="Georgia"/>
          <w:color w:val="1A1A1A"/>
          <w:sz w:val="22"/>
          <w:szCs w:val="22"/>
        </w:rPr>
        <w:t xml:space="preserve"> of a two-part deliverable. It carries the citations, the mechanisms, and the argument. Its companion—the field guide—carries the rankings, the directory entries with working links, and the step-by-step recipes that operationalize the principles developed here. The two are meant to be read together: a cook who wants only the procedure can turn to the guide, while a reader who wants to know </w:t>
      </w:r>
      <w:r>
        <w:rPr>
          <w:rFonts w:ascii="Georgia" w:cs="Georgia" w:eastAsia="Georgia" w:hAnsi="Georgia"/>
          <w:b w:val="false"/>
          <w:bCs w:val="false"/>
          <w:i/>
          <w:iCs/>
          <w:caps w:val="false"/>
          <w:color w:val="1A1A1A"/>
          <w:sz w:val="22"/>
          <w:szCs w:val="22"/>
        </w:rPr>
        <w:t xml:space="preserve">why</w:t>
      </w:r>
      <w:r>
        <w:rPr>
          <w:rFonts w:ascii="Georgia" w:cs="Georgia" w:eastAsia="Georgia" w:hAnsi="Georgia"/>
          <w:color w:val="1A1A1A"/>
          <w:sz w:val="22"/>
          <w:szCs w:val="22"/>
        </w:rPr>
        <w:t xml:space="preserve"> a forty-minute brine behaves differently on a cut-up roast than on an intact one, or why a vitamin-C-rich salsa belongs next to a grass-fed steak, will find the reasoning here.</w:t>
      </w:r>
    </w:p>
    <w:p>
      <w:pPr>
        <w:spacing w:after="160" w:before="0" w:line="300"/>
        <w:jc w:val="both"/>
      </w:pPr>
      <w:r>
        <w:rPr>
          <w:rFonts w:ascii="Georgia" w:cs="Georgia" w:eastAsia="Georgia" w:hAnsi="Georgia"/>
          <w:color w:val="1A1A1A"/>
          <w:sz w:val="22"/>
          <w:szCs w:val="22"/>
        </w:rPr>
        <w:t xml:space="preserve">The citation apparatus uses numbered footnotes that correspond to the consolidated reference list at the end of the volume. Sources span peer-reviewed journals, United States Department of Agriculture and Food and Drug Administration publications, university and cooperative-extension materials, foundational culinary-science texts, and a small number of rigorously documented expert practitioners whose controlled tests have become standard references in the field of applied cooking science.</w:t>
      </w:r>
    </w:p>
    <w:p>
      <w:r>
        <w:br w:type="page"/>
      </w:r>
    </w:p>
    <w:p>
      <w:pPr>
        <w:pStyle w:val="Heading1"/>
        <w:spacing w:after="200" w:before="360"/>
      </w:pPr>
      <w:r>
        <w:rPr>
          <w:rFonts w:ascii="Georgia" w:cs="Georgia" w:eastAsia="Georgia" w:hAnsi="Georgia"/>
          <w:b/>
          <w:bCs/>
          <w:i w:val="false"/>
          <w:iCs w:val="false"/>
          <w:caps w:val="false"/>
          <w:color w:val="1A1A1A"/>
          <w:sz w:val="22"/>
          <w:szCs w:val="2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bookmarkStart w:name="intro" w:id="1001"/>
      <w:r>
        <w:rPr>
          <w:rFonts w:ascii="Georgia" w:cs="Georgia" w:eastAsia="Georgia" w:hAnsi="Georgia"/>
          <w:b/>
          <w:bCs/>
          <w:i w:val="false"/>
          <w:iCs w:val="false"/>
          <w:caps w:val="false"/>
          <w:color w:val="1A1A1A"/>
          <w:sz w:val="22"/>
          <w:szCs w:val="22"/>
        </w:rPr>
        <w:t xml:space="preserve">1. Introduction: The Problem of Getting From Animal and Soil to an Excellent Meal</w:t>
      </w:r>
      <w:bookmarkEnd w:id="1001"/>
    </w:p>
    <w:p>
      <w:pPr>
        <w:pStyle w:val="Heading2"/>
        <w:spacing w:after="140" w:before="280"/>
      </w:pPr>
      <w:r>
        <w:rPr>
          <w:rFonts w:ascii="Georgia" w:cs="Georgia" w:eastAsia="Georgia" w:hAnsi="Georgia"/>
          <w:b/>
          <w:bCs/>
          <w:i w:val="false"/>
          <w:iCs w:val="false"/>
          <w:caps w:val="false"/>
          <w:color w:val="1A1A1A"/>
          <w:sz w:val="22"/>
          <w:szCs w:val="22"/>
        </w:rPr>
        <w:t xml:space="preserve">1.1 Why selection and preparation are one problem, not two</w:t>
      </w:r>
    </w:p>
    <w:p>
      <w:pPr>
        <w:spacing w:after="160" w:before="0" w:line="300"/>
        <w:jc w:val="both"/>
      </w:pPr>
      <w:r>
        <w:rPr>
          <w:rFonts w:ascii="Georgia" w:cs="Georgia" w:eastAsia="Georgia" w:hAnsi="Georgia"/>
          <w:color w:val="1A1A1A"/>
          <w:sz w:val="22"/>
          <w:szCs w:val="22"/>
        </w:rPr>
        <w:t xml:space="preserve">It is tempting to treat the sourcing of food and the cooking of food as separate domains—one belonging to agriculture and commerce, the other to the kitchen. This separation is a mistake. The quality ceiling of any finished dish is set at the point of purchase: no technique recovers what a poorly raised, poorly handled, or poorly stored ingredient never possessed, and conversely, a superb ingredient can be squandered in seconds by mismanaged heat. The two decisions are coupled. A household that learns to identify a well-marbled, properly aged, traceably raised cut but cannot manage a two-zone fire will eat expensive disappointment; a household that has mastered fire but buys carelessly will cook mediocrity flawlessly.</w:t>
      </w:r>
    </w:p>
    <w:p>
      <w:pPr>
        <w:spacing w:after="160" w:before="0" w:line="300"/>
        <w:jc w:val="both"/>
      </w:pPr>
      <w:r>
        <w:rPr>
          <w:rFonts w:ascii="Georgia" w:cs="Georgia" w:eastAsia="Georgia" w:hAnsi="Georgia"/>
          <w:color w:val="1A1A1A"/>
          <w:sz w:val="22"/>
          <w:szCs w:val="22"/>
        </w:rPr>
        <w:t xml:space="preserve">This monograph therefore refuses the conventional boundary. It treats selection and preparation as a single optimization problem with three objective functions that frequently trade against one another: </w:t>
      </w:r>
      <w:r>
        <w:rPr>
          <w:rFonts w:ascii="Georgia" w:cs="Georgia" w:eastAsia="Georgia" w:hAnsi="Georgia"/>
          <w:b/>
          <w:bCs/>
          <w:i w:val="false"/>
          <w:iCs w:val="false"/>
          <w:caps w:val="false"/>
          <w:color w:val="1A1A1A"/>
          <w:sz w:val="22"/>
          <w:szCs w:val="22"/>
        </w:rPr>
        <w:t xml:space="preserve">nutritional quality</w:t>
      </w:r>
      <w:r>
        <w:rPr>
          <w:rFonts w:ascii="Georgia" w:cs="Georgia" w:eastAsia="Georgia" w:hAnsi="Georgia"/>
          <w:color w:val="1A1A1A"/>
          <w:sz w:val="22"/>
          <w:szCs w:val="22"/>
        </w:rPr>
        <w:t xml:space="preserve">, </w:t>
      </w:r>
      <w:r>
        <w:rPr>
          <w:rFonts w:ascii="Georgia" w:cs="Georgia" w:eastAsia="Georgia" w:hAnsi="Georgia"/>
          <w:b/>
          <w:bCs/>
          <w:i w:val="false"/>
          <w:iCs w:val="false"/>
          <w:caps w:val="false"/>
          <w:color w:val="1A1A1A"/>
          <w:sz w:val="22"/>
          <w:szCs w:val="22"/>
        </w:rPr>
        <w:t xml:space="preserve">sensory quality (flavor, aroma, and texture)</w:t>
      </w:r>
      <w:r>
        <w:rPr>
          <w:rFonts w:ascii="Georgia" w:cs="Georgia" w:eastAsia="Georgia" w:hAnsi="Georgia"/>
          <w:color w:val="1A1A1A"/>
          <w:sz w:val="22"/>
          <w:szCs w:val="22"/>
        </w:rPr>
        <w:t xml:space="preserve">, and </w:t>
      </w:r>
      <w:r>
        <w:rPr>
          <w:rFonts w:ascii="Georgia" w:cs="Georgia" w:eastAsia="Georgia" w:hAnsi="Georgia"/>
          <w:b/>
          <w:bCs/>
          <w:i w:val="false"/>
          <w:iCs w:val="false"/>
          <w:caps w:val="false"/>
          <w:color w:val="1A1A1A"/>
          <w:sz w:val="22"/>
          <w:szCs w:val="22"/>
        </w:rPr>
        <w:t xml:space="preserve">economic cost</w:t>
      </w:r>
      <w:r>
        <w:rPr>
          <w:rFonts w:ascii="Georgia" w:cs="Georgia" w:eastAsia="Georgia" w:hAnsi="Georgia"/>
          <w:color w:val="1A1A1A"/>
          <w:sz w:val="22"/>
          <w:szCs w:val="22"/>
        </w:rPr>
        <w:t xml:space="preserve">. A grass-finished ribeye and a commodity chuck roast sit at different points on all three axes; so do a peak-season heirloom tomato bought at a downtown market and an out-of-season import. The aim is not to crown a single winner but to give the reader the mechanistic understanding required to make the trade-off deliberately, meal by meal and season by season.</w:t>
      </w:r>
    </w:p>
    <w:p>
      <w:pPr>
        <w:pStyle w:val="Heading2"/>
        <w:spacing w:after="140" w:before="280"/>
      </w:pPr>
      <w:r>
        <w:rPr>
          <w:rFonts w:ascii="Georgia" w:cs="Georgia" w:eastAsia="Georgia" w:hAnsi="Georgia"/>
          <w:b/>
          <w:bCs/>
          <w:i w:val="false"/>
          <w:iCs w:val="false"/>
          <w:caps w:val="false"/>
          <w:color w:val="1A1A1A"/>
          <w:sz w:val="22"/>
          <w:szCs w:val="22"/>
        </w:rPr>
        <w:t xml:space="preserve">1.2 The Northwest Arkansas setting</w:t>
      </w:r>
    </w:p>
    <w:p>
      <w:pPr>
        <w:spacing w:after="160" w:before="0" w:line="300"/>
        <w:jc w:val="both"/>
      </w:pPr>
      <w:r>
        <w:rPr>
          <w:rFonts w:ascii="Georgia" w:cs="Georgia" w:eastAsia="Georgia" w:hAnsi="Georgia"/>
          <w:color w:val="1A1A1A"/>
          <w:sz w:val="22"/>
          <w:szCs w:val="22"/>
        </w:rPr>
        <w:t xml:space="preserve">The analysis is anchored in a specific place: the Northwest Arkansas foodshed, centered on the Fayetteville–Springdale–Rogers–Bentonville corridor along Interstate 49, with Bella Vista, Siloam Springs, and the smaller Ozark communities of Washington, Benton, Madison, and Carroll counties at its edges. This region is unusually instructive for a study of this kind. It supports a genuine and growing direct-to-consumer agricultural sector—pastured poultry and pork, grass-finished beef, a handful of goat and raw-milk dairies, and a dense calendar of producer-only farmers markets—documented and vetted by the University of Arkansas System Division of Agriculture's Center for Arkansas Farms and Food.</w:t>
      </w:r>
      <w:r>
        <w:rPr>
          <w:rStyle w:val="FootnoteReference"/>
        </w:rPr>
        <w:footnoteReference w:id="1"/>
      </w:r>
      <w:r>
        <w:rPr>
          <w:rFonts w:ascii="Georgia" w:cs="Georgia" w:eastAsia="Georgia" w:hAnsi="Georgia"/>
          <w:color w:val="1A1A1A"/>
          <w:sz w:val="22"/>
          <w:szCs w:val="22"/>
        </w:rPr>
        <w:t xml:space="preserve"> At the same time it is served by national grocery chains headquartered in or near the region, by long-established independent butcher shops, and by a vibrant set of ethnic grocers whose fresh-fish counters and specialty produce expand the practical pantry well beyond what conventional supermarkets stock.</w:t>
      </w:r>
    </w:p>
    <w:p>
      <w:pPr>
        <w:spacing w:after="160" w:before="0" w:line="300"/>
        <w:jc w:val="both"/>
      </w:pPr>
      <w:r>
        <w:rPr>
          <w:rFonts w:ascii="Georgia" w:cs="Georgia" w:eastAsia="Georgia" w:hAnsi="Georgia"/>
          <w:color w:val="1A1A1A"/>
          <w:sz w:val="22"/>
          <w:szCs w:val="22"/>
        </w:rPr>
        <w:t xml:space="preserve">Critically for the methodology of this project, the region is small enough that its food businesses can be individually verified. That fact is treated not as a limitation but as a discipline. Where popular and AI-generated “best of” lists routinely inflate such inventories—padding a dozen real shops into a tidy fifty, or inventing plausible-sounding farms—this work admits a business only when an active, independently reachable source confirms its operation. The companion field guide presents the resulting verified directory; this volume explains the standard and the reasoning behind it.</w:t>
      </w:r>
    </w:p>
    <w:p>
      <w:pPr>
        <w:pStyle w:val="Heading2"/>
        <w:spacing w:after="140" w:before="280"/>
      </w:pPr>
      <w:r>
        <w:rPr>
          <w:rFonts w:ascii="Georgia" w:cs="Georgia" w:eastAsia="Georgia" w:hAnsi="Georgia"/>
          <w:b/>
          <w:bCs/>
          <w:i w:val="false"/>
          <w:iCs w:val="false"/>
          <w:caps w:val="false"/>
          <w:color w:val="1A1A1A"/>
          <w:sz w:val="22"/>
          <w:szCs w:val="22"/>
        </w:rPr>
        <w:t xml:space="preserve">1.3 An honest accounting of evidence quality</w:t>
      </w:r>
    </w:p>
    <w:p>
      <w:pPr>
        <w:spacing w:after="160" w:before="0" w:line="300"/>
        <w:jc w:val="both"/>
      </w:pPr>
      <w:r>
        <w:rPr>
          <w:rFonts w:ascii="Georgia" w:cs="Georgia" w:eastAsia="Georgia" w:hAnsi="Georgia"/>
          <w:color w:val="1A1A1A"/>
          <w:sz w:val="22"/>
          <w:szCs w:val="22"/>
        </w:rPr>
        <w:t xml:space="preserve">A study that spans food chemistry, human nutrition, agricultural science, and culinary anthropology cannot pretend that all of its claims rest on equally firm ground. They do not. Some of the propositions developed here are about as settled as applied science gets: the safe minimum internal temperatures published by the USDA Food Safety and Inspection Service;</w:t>
      </w:r>
      <w:r>
        <w:rPr>
          <w:rStyle w:val="FootnoteReference"/>
        </w:rPr>
        <w:footnoteReference w:id="2"/>
      </w:r>
      <w:r>
        <w:rPr>
          <w:rFonts w:ascii="Georgia" w:cs="Georgia" w:eastAsia="Georgia" w:hAnsi="Georgia"/>
          <w:color w:val="1A1A1A"/>
          <w:sz w:val="22"/>
          <w:szCs w:val="22"/>
        </w:rPr>
        <w:t xml:space="preserve"> the osmotic and protein-structural basis of salt's effect on water-holding capacity;</w:t>
      </w:r>
      <w:r>
        <w:rPr>
          <w:rStyle w:val="FootnoteReference"/>
        </w:rPr>
        <w:footnoteReference w:id="3"/>
      </w:r>
      <w:r>
        <w:rPr>
          <w:rFonts w:ascii="Georgia" w:cs="Georgia" w:eastAsia="Georgia" w:hAnsi="Georgia"/>
          <w:color w:val="1A1A1A"/>
          <w:sz w:val="22"/>
          <w:szCs w:val="22"/>
        </w:rPr>
        <w:t xml:space="preserve"> the enhancement of non-heme iron absorption by ascorbic acid.</w:t>
      </w:r>
      <w:r>
        <w:rPr>
          <w:rStyle w:val="FootnoteReference"/>
        </w:rPr>
        <w:footnoteReference w:id="4"/>
      </w:r>
      <w:r>
        <w:rPr>
          <w:rFonts w:ascii="Georgia" w:cs="Georgia" w:eastAsia="Georgia" w:hAnsi="Georgia"/>
          <w:color w:val="1A1A1A"/>
          <w:sz w:val="22"/>
          <w:szCs w:val="22"/>
        </w:rPr>
        <w:t xml:space="preserve"> Others are areas of active and legitimate scientific dispute—most notably the magnitude and durability of soil-carbon sequestration under managed grazing,</w:t>
      </w:r>
      <w:r>
        <w:rPr>
          <w:rStyle w:val="FootnoteReference"/>
        </w:rPr>
        <w:footnoteReference w:id="5"/>
      </w:r>
      <w:r>
        <w:rPr>
          <w:rFonts w:ascii="Georgia" w:cs="Georgia" w:eastAsia="Georgia" w:hAnsi="Georgia"/>
          <w:color w:val="1A1A1A"/>
          <w:sz w:val="22"/>
          <w:szCs w:val="22"/>
        </w:rPr>
        <w:t xml:space="preserve"> and the degree to which goat milk is meaningfully easier to digest than cow milk for the general population.</w:t>
      </w:r>
      <w:r>
        <w:rPr>
          <w:rStyle w:val="FootnoteReference"/>
        </w:rPr>
        <w:footnoteReference w:id="6"/>
      </w:r>
      <w:r>
        <w:rPr>
          <w:rFonts w:ascii="Georgia" w:cs="Georgia" w:eastAsia="Georgia" w:hAnsi="Georgia"/>
          <w:color w:val="1A1A1A"/>
          <w:sz w:val="22"/>
          <w:szCs w:val="22"/>
        </w:rPr>
        <w:t xml:space="preserve"> This volume flags that distinction explicitly wherever it arises, presenting both the affirmative and the dissenting literature rather than collapsing a real debate into a marketing claim.</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Guiding principle. </w:t>
            </w:r>
            <w:r>
              <w:rPr>
                <w:rFonts w:ascii="Georgia" w:cs="Georgia" w:eastAsia="Georgia" w:hAnsi="Georgia"/>
                <w:color w:val="1A1A1A"/>
                <w:sz w:val="22"/>
                <w:szCs w:val="22"/>
              </w:rPr>
              <w:t xml:space="preserve">Where the evidence is strong, this monograph states it plainly and cites it. Where the evidence is genuinely contested, it presents the disagreement. Where a claim concerns a local business, it is admitted only on independent corroboration. Accuracy is treated as more useful to the reader than completeness or tidiness.</w:t>
            </w:r>
          </w:p>
        </w:tc>
      </w:tr>
    </w:tbl>
    <w:p>
      <w:pPr>
        <w:pStyle w:val="Heading2"/>
        <w:spacing w:after="140" w:before="280"/>
      </w:pPr>
      <w:r>
        <w:rPr>
          <w:rFonts w:ascii="Georgia" w:cs="Georgia" w:eastAsia="Georgia" w:hAnsi="Georgia"/>
          <w:b/>
          <w:bCs/>
          <w:i w:val="false"/>
          <w:iCs w:val="false"/>
          <w:caps w:val="false"/>
          <w:color w:val="1A1A1A"/>
          <w:sz w:val="22"/>
          <w:szCs w:val="22"/>
        </w:rPr>
        <w:t xml:space="preserve">1.4 How the volume is organized</w:t>
      </w:r>
    </w:p>
    <w:p>
      <w:pPr>
        <w:spacing w:after="160" w:before="0" w:line="300"/>
        <w:jc w:val="both"/>
      </w:pPr>
      <w:r>
        <w:rPr>
          <w:rFonts w:ascii="Georgia" w:cs="Georgia" w:eastAsia="Georgia" w:hAnsi="Georgia"/>
          <w:color w:val="1A1A1A"/>
          <w:sz w:val="22"/>
          <w:szCs w:val="22"/>
        </w:rPr>
        <w:t xml:space="preserve">The remainder of this monograph proceeds as follows. Section 2 sets out methods and the verification standard. Sections 3 through 6 develop the food-science core: the chemistry of brining and water retention, the Maillard reaction and crust formation, doneness and carryover, and the physics and chemistry of grilling versus smoking. Sections 7 through 9 develop the nutritional core: nutrient density and absorption synergies, the specific nutrient profiles of the household’s stated staples—eggs, ruminant meat, and goat milk—and the contested compositional question of forage-based and regenerative production. Section 10 surveys the world’s most respected meat-and-fire traditions and the quality reputations attached to specific national products. Section 11 presents the synthesis: a single, merged method for a multi-zone home grill that draws the best logic from each tradition. Section 12 addresses the economics of local and bulk purchasing. Section 13 concludes. A consolidated, numbered reference list follows.</w:t>
      </w:r>
    </w:p>
    <w:p>
      <w:r>
        <w:br w:type="page"/>
      </w:r>
    </w:p>
    <w:p>
      <w:pPr>
        <w:pStyle w:val="Heading1"/>
        <w:spacing w:after="200" w:before="360"/>
      </w:pPr>
      <w:bookmarkStart w:name="methods" w:id="1002"/>
      <w:r>
        <w:rPr>
          <w:rFonts w:ascii="Georgia" w:cs="Georgia" w:eastAsia="Georgia" w:hAnsi="Georgia"/>
          <w:b/>
          <w:bCs/>
          <w:i w:val="false"/>
          <w:iCs w:val="false"/>
          <w:caps w:val="false"/>
          <w:color w:val="1A1A1A"/>
          <w:sz w:val="22"/>
          <w:szCs w:val="22"/>
        </w:rPr>
        <w:t xml:space="preserve">2. Methods and the Verification Standard</w:t>
      </w:r>
      <w:bookmarkEnd w:id="1002"/>
    </w:p>
    <w:p>
      <w:pPr>
        <w:pStyle w:val="Heading2"/>
        <w:spacing w:after="140" w:before="280"/>
      </w:pPr>
      <w:r>
        <w:rPr>
          <w:rFonts w:ascii="Georgia" w:cs="Georgia" w:eastAsia="Georgia" w:hAnsi="Georgia"/>
          <w:b/>
          <w:bCs/>
          <w:i w:val="false"/>
          <w:iCs w:val="false"/>
          <w:caps w:val="false"/>
          <w:color w:val="1A1A1A"/>
          <w:sz w:val="22"/>
          <w:szCs w:val="22"/>
        </w:rPr>
        <w:t xml:space="preserve">2.1 Literature selection</w:t>
      </w:r>
    </w:p>
    <w:p>
      <w:pPr>
        <w:spacing w:after="160" w:before="0" w:line="300"/>
        <w:jc w:val="both"/>
      </w:pPr>
      <w:r>
        <w:rPr>
          <w:rFonts w:ascii="Georgia" w:cs="Georgia" w:eastAsia="Georgia" w:hAnsi="Georgia"/>
          <w:color w:val="1A1A1A"/>
          <w:sz w:val="22"/>
          <w:szCs w:val="22"/>
        </w:rPr>
        <w:t xml:space="preserve">Sources for the food-science and nutrition sections were selected to favor, in descending order of preference: peer-reviewed primary research and systematic reviews; publications of national food-safety and nutrition authorities (principally the USDA and the FDA); university and cooperative-extension materials; and foundational reference texts in food chemistry and culinary science. A small, deliberately bounded set of expert-practitioner sources was admitted under a stricter test described below. Popular journalism, vendor marketing, and unsourced online content were excluded from the evidentiary base, although they occasionally appear as objects of analysis—for example, when documenting the inflation typical of consumer “best of” lists.</w:t>
      </w:r>
    </w:p>
    <w:p>
      <w:pPr>
        <w:pStyle w:val="Heading2"/>
        <w:spacing w:after="140" w:before="280"/>
      </w:pPr>
      <w:r>
        <w:rPr>
          <w:rFonts w:ascii="Georgia" w:cs="Georgia" w:eastAsia="Georgia" w:hAnsi="Georgia"/>
          <w:b/>
          <w:bCs/>
          <w:i w:val="false"/>
          <w:iCs w:val="false"/>
          <w:caps w:val="false"/>
          <w:color w:val="1A1A1A"/>
          <w:sz w:val="22"/>
          <w:szCs w:val="22"/>
        </w:rPr>
        <w:t xml:space="preserve">2.2 The expert-practitioner exception</w:t>
      </w:r>
    </w:p>
    <w:p>
      <w:pPr>
        <w:spacing w:after="160" w:before="0" w:line="300"/>
        <w:jc w:val="both"/>
      </w:pPr>
      <w:r>
        <w:rPr>
          <w:rFonts w:ascii="Georgia" w:cs="Georgia" w:eastAsia="Georgia" w:hAnsi="Georgia"/>
          <w:color w:val="1A1A1A"/>
          <w:sz w:val="22"/>
          <w:szCs w:val="22"/>
        </w:rPr>
        <w:t xml:space="preserve">Applied cooking science occupies an unusual position: some of the most rigorous controlled testing of everyday kitchen questions has been conducted not in universities but by independent practitioners who publish their methods and data openly. This monograph admits such sources only when three conditions are met. First, the source must describe a reproducible method (instruments, temperatures, replication), not merely assert a conclusion. Second, the source's claims on the specific point cited must be consistent with the peer-reviewed literature where that literature exists. Third, the source must be used for </w:t>
      </w:r>
      <w:r>
        <w:rPr>
          <w:rFonts w:ascii="Georgia" w:cs="Georgia" w:eastAsia="Georgia" w:hAnsi="Georgia"/>
          <w:b w:val="false"/>
          <w:bCs w:val="false"/>
          <w:i/>
          <w:iCs/>
          <w:caps w:val="false"/>
          <w:color w:val="1A1A1A"/>
          <w:sz w:val="22"/>
          <w:szCs w:val="22"/>
        </w:rPr>
        <w:t xml:space="preserve">mechanistic or procedural</w:t>
      </w:r>
      <w:r>
        <w:rPr>
          <w:rFonts w:ascii="Georgia" w:cs="Georgia" w:eastAsia="Georgia" w:hAnsi="Georgia"/>
          <w:color w:val="1A1A1A"/>
          <w:sz w:val="22"/>
          <w:szCs w:val="22"/>
        </w:rPr>
        <w:t xml:space="preserve"> claims, not for nutritional or health claims, which are sourced exclusively to the scientific and governmental literature. Under this test, the controlled work of Greg Blonder and Meathead Goldwyn on resting, smoke chemistry, and the smoke ring,</w:t>
      </w:r>
      <w:r>
        <w:rPr>
          <w:rStyle w:val="FootnoteReference"/>
        </w:rPr>
        <w:footnoteReference w:id="7"/>
      </w:r>
      <w:r>
        <w:rPr>
          <w:rFonts w:ascii="Georgia" w:cs="Georgia" w:eastAsia="Georgia" w:hAnsi="Georgia"/>
          <w:color w:val="1A1A1A"/>
          <w:sz w:val="22"/>
          <w:szCs w:val="22"/>
        </w:rPr>
        <w:t xml:space="preserve"> and the test-kitchen methodology associated with J. Kenji López-Alt</w:t>
      </w:r>
      <w:r>
        <w:rPr>
          <w:rStyle w:val="FootnoteReference"/>
        </w:rPr>
        <w:footnoteReference w:id="8"/>
      </w:r>
      <w:r>
        <w:rPr>
          <w:rFonts w:ascii="Georgia" w:cs="Georgia" w:eastAsia="Georgia" w:hAnsi="Georgia"/>
          <w:color w:val="1A1A1A"/>
          <w:sz w:val="22"/>
          <w:szCs w:val="22"/>
        </w:rPr>
        <w:t xml:space="preserve"> and America's Test Kitchen,</w:t>
      </w:r>
      <w:r>
        <w:rPr>
          <w:rStyle w:val="FootnoteReference"/>
        </w:rPr>
        <w:footnoteReference w:id="9"/>
      </w:r>
      <w:r>
        <w:rPr>
          <w:rFonts w:ascii="Georgia" w:cs="Georgia" w:eastAsia="Georgia" w:hAnsi="Georgia"/>
          <w:color w:val="1A1A1A"/>
          <w:sz w:val="22"/>
          <w:szCs w:val="22"/>
        </w:rPr>
        <w:t xml:space="preserve"> are cited alongside Harold McGee's standard reference text</w:t>
      </w:r>
      <w:r>
        <w:rPr>
          <w:rStyle w:val="FootnoteReference"/>
        </w:rPr>
        <w:footnoteReference w:id="10"/>
      </w:r>
      <w:r>
        <w:rPr>
          <w:rFonts w:ascii="Georgia" w:cs="Georgia" w:eastAsia="Georgia" w:hAnsi="Georgia"/>
          <w:color w:val="1A1A1A"/>
          <w:sz w:val="22"/>
          <w:szCs w:val="22"/>
        </w:rPr>
        <w:t xml:space="preserve"> and the primary meat-science literature.</w:t>
      </w:r>
    </w:p>
    <w:p>
      <w:pPr>
        <w:pStyle w:val="Heading2"/>
        <w:spacing w:after="140" w:before="280"/>
      </w:pPr>
      <w:r>
        <w:rPr>
          <w:rFonts w:ascii="Georgia" w:cs="Georgia" w:eastAsia="Georgia" w:hAnsi="Georgia"/>
          <w:b/>
          <w:bCs/>
          <w:i w:val="false"/>
          <w:iCs w:val="false"/>
          <w:caps w:val="false"/>
          <w:color w:val="1A1A1A"/>
          <w:sz w:val="22"/>
          <w:szCs w:val="22"/>
        </w:rPr>
        <w:t xml:space="preserve">2.3 Verification of local businesses and events</w:t>
      </w:r>
    </w:p>
    <w:p>
      <w:pPr>
        <w:spacing w:after="160" w:before="0" w:line="300"/>
        <w:jc w:val="both"/>
      </w:pPr>
      <w:r>
        <w:rPr>
          <w:rFonts w:ascii="Georgia" w:cs="Georgia" w:eastAsia="Georgia" w:hAnsi="Georgia"/>
          <w:color w:val="1A1A1A"/>
          <w:sz w:val="22"/>
          <w:szCs w:val="22"/>
        </w:rPr>
        <w:t xml:space="preserve">The companion field guide's directory was built under a two-source rule. A business or event was classified as </w:t>
      </w:r>
      <w:r>
        <w:rPr>
          <w:rFonts w:ascii="Georgia" w:cs="Georgia" w:eastAsia="Georgia" w:hAnsi="Georgia"/>
          <w:b/>
          <w:bCs/>
          <w:i w:val="false"/>
          <w:iCs w:val="false"/>
          <w:caps w:val="false"/>
          <w:color w:val="1A1A1A"/>
          <w:sz w:val="22"/>
          <w:szCs w:val="22"/>
        </w:rPr>
        <w:t xml:space="preserve">verified</w:t>
      </w:r>
      <w:r>
        <w:rPr>
          <w:rFonts w:ascii="Georgia" w:cs="Georgia" w:eastAsia="Georgia" w:hAnsi="Georgia"/>
          <w:color w:val="1A1A1A"/>
          <w:sz w:val="22"/>
          <w:szCs w:val="22"/>
        </w:rPr>
        <w:t xml:space="preserve"> only when it appeared in at least two independent, reachable sources—typically its own website or active social-media presence together with a third-party listing such as a chamber-of-commerce profile, a regional news report, a tourism-bureau page, or the vetted Center for Arkansas Farms and Food directory.</w:t>
      </w:r>
      <w:r>
        <w:rPr>
          <w:rStyle w:val="FootnoteReference"/>
        </w:rPr>
        <w:footnoteReference w:id="11"/>
      </w:r>
      <w:r>
        <w:rPr>
          <w:rFonts w:ascii="Georgia" w:cs="Georgia" w:eastAsia="Georgia" w:hAnsi="Georgia"/>
          <w:color w:val="1A1A1A"/>
          <w:sz w:val="22"/>
          <w:szCs w:val="22"/>
        </w:rPr>
        <w:t xml:space="preserve"> Names that surfaced only in prior AI-generated lists, or for which no active listing could be located, were classified as </w:t>
      </w:r>
      <w:r>
        <w:rPr>
          <w:rFonts w:ascii="Georgia" w:cs="Georgia" w:eastAsia="Georgia" w:hAnsi="Georgia"/>
          <w:b/>
          <w:bCs/>
          <w:i w:val="false"/>
          <w:iCs w:val="false"/>
          <w:caps w:val="false"/>
          <w:color w:val="1A1A1A"/>
          <w:sz w:val="22"/>
          <w:szCs w:val="22"/>
        </w:rPr>
        <w:t xml:space="preserve">unverified</w:t>
      </w:r>
      <w:r>
        <w:rPr>
          <w:rFonts w:ascii="Georgia" w:cs="Georgia" w:eastAsia="Georgia" w:hAnsi="Georgia"/>
          <w:color w:val="1A1A1A"/>
          <w:sz w:val="22"/>
          <w:szCs w:val="22"/>
        </w:rPr>
        <w:t xml:space="preserve"> and were either excluded or explicitly flagged; they were never presented as confirmed, and missing details were never fabricated to complete an entry. The authoritative anchor for the agricultural inventory is the Center for Arkansas Farms and Food farm list, which requires each listed farm to maintain an active web or social presence—an external discipline that makes it an unusually reliable directory.</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On the “top 50” framing. </w:t>
            </w:r>
            <w:r>
              <w:rPr>
                <w:rFonts w:ascii="Georgia" w:cs="Georgia" w:eastAsia="Georgia" w:hAnsi="Georgia"/>
                <w:color w:val="1A1A1A"/>
                <w:sz w:val="22"/>
                <w:szCs w:val="22"/>
              </w:rPr>
              <w:t xml:space="preserve">The field guide was originally conceived as parallel “top 50” rosters of butchers and farms. Verification did not support inventories of that size: Northwest Arkansas contains roughly a dozen independently confirmable butcher shops and ethnic meat counters and on the order of twenty-plus confirmable direct-to-consumer farms. Rather than pad the lists with invented or unconfirmable entries, both documents present every genuinely verifiable operation and say so plainly. A shorter, true directory serves a shopper better than a longer, false one.</w:t>
            </w:r>
          </w:p>
        </w:tc>
      </w:tr>
    </w:tbl>
    <w:p>
      <w:pPr>
        <w:pStyle w:val="Heading2"/>
        <w:spacing w:after="140" w:before="280"/>
      </w:pPr>
      <w:r>
        <w:rPr>
          <w:rFonts w:ascii="Georgia" w:cs="Georgia" w:eastAsia="Georgia" w:hAnsi="Georgia"/>
          <w:b/>
          <w:bCs/>
          <w:i w:val="false"/>
          <w:iCs w:val="false"/>
          <w:caps w:val="false"/>
          <w:color w:val="1A1A1A"/>
          <w:sz w:val="22"/>
          <w:szCs w:val="22"/>
        </w:rPr>
        <w:t xml:space="preserve">2.4 Treatment of prices</w:t>
      </w:r>
    </w:p>
    <w:p>
      <w:pPr>
        <w:spacing w:after="160" w:before="0" w:line="300"/>
        <w:jc w:val="both"/>
      </w:pPr>
      <w:r>
        <w:rPr>
          <w:rFonts w:ascii="Georgia" w:cs="Georgia" w:eastAsia="Georgia" w:hAnsi="Georgia"/>
          <w:color w:val="1A1A1A"/>
          <w:sz w:val="22"/>
          <w:szCs w:val="22"/>
        </w:rPr>
        <w:t xml:space="preserve">Retail and bulk prices are volatile and regionally specific. This monograph describes the </w:t>
      </w:r>
      <w:r>
        <w:rPr>
          <w:rFonts w:ascii="Georgia" w:cs="Georgia" w:eastAsia="Georgia" w:hAnsi="Georgia"/>
          <w:b w:val="false"/>
          <w:bCs w:val="false"/>
          <w:i/>
          <w:iCs/>
          <w:caps w:val="false"/>
          <w:color w:val="1A1A1A"/>
          <w:sz w:val="22"/>
          <w:szCs w:val="22"/>
        </w:rPr>
        <w:t xml:space="preserve">structure</w:t>
      </w:r>
      <w:r>
        <w:rPr>
          <w:rFonts w:ascii="Georgia" w:cs="Georgia" w:eastAsia="Georgia" w:hAnsi="Georgia"/>
          <w:color w:val="1A1A1A"/>
          <w:sz w:val="22"/>
          <w:szCs w:val="22"/>
        </w:rPr>
        <w:t xml:space="preserve"> of pricing—for example, that whole- and half-animal purchases are typically billed as a price per pound of hanging weight plus a separate cut-and-wrap processing fee, with hanging weight commonly running just over half of live weight</w:t>
      </w:r>
      <w:r>
        <w:rPr>
          <w:rStyle w:val="FootnoteReference"/>
        </w:rPr>
        <w:footnoteReference w:id="12"/>
      </w:r>
      <w:r>
        <w:rPr>
          <w:rFonts w:ascii="Georgia" w:cs="Georgia" w:eastAsia="Georgia" w:hAnsi="Georgia"/>
          <w:color w:val="1A1A1A"/>
          <w:sz w:val="22"/>
          <w:szCs w:val="22"/>
        </w:rPr>
        <w:t xml:space="preserve">—and points the reader to the USDA Agricultural Marketing Service retail reports</w:t>
      </w:r>
      <w:r>
        <w:rPr>
          <w:rStyle w:val="FootnoteReference"/>
        </w:rPr>
        <w:footnoteReference w:id="13"/>
      </w:r>
      <w:r>
        <w:rPr>
          <w:rFonts w:ascii="Georgia" w:cs="Georgia" w:eastAsia="Georgia" w:hAnsi="Georgia"/>
          <w:color w:val="1A1A1A"/>
          <w:sz w:val="22"/>
          <w:szCs w:val="22"/>
        </w:rPr>
        <w:t xml:space="preserve"> and producer quotations for current figures, rather than asserting specific dollar amounts that would be stale before the ink dried.</w:t>
      </w:r>
    </w:p>
    <w:p>
      <w:pPr>
        <w:pStyle w:val="Heading2"/>
        <w:spacing w:after="140" w:before="280"/>
      </w:pPr>
      <w:r>
        <w:rPr>
          <w:rFonts w:ascii="Georgia" w:cs="Georgia" w:eastAsia="Georgia" w:hAnsi="Georgia"/>
          <w:b/>
          <w:bCs/>
          <w:i w:val="false"/>
          <w:iCs w:val="false"/>
          <w:caps w:val="false"/>
          <w:color w:val="1A1A1A"/>
          <w:sz w:val="22"/>
          <w:szCs w:val="22"/>
        </w:rPr>
        <w:t xml:space="preserve">2.5 Limitations</w:t>
      </w:r>
    </w:p>
    <w:p>
      <w:pPr>
        <w:spacing w:after="160" w:before="0" w:line="300"/>
        <w:jc w:val="both"/>
      </w:pPr>
      <w:r>
        <w:rPr>
          <w:rFonts w:ascii="Georgia" w:cs="Georgia" w:eastAsia="Georgia" w:hAnsi="Georgia"/>
          <w:color w:val="1A1A1A"/>
          <w:sz w:val="22"/>
          <w:szCs w:val="22"/>
        </w:rPr>
        <w:t xml:space="preserve">Three limitations deserve statement at the outset. First, the local directory is a snapshot; businesses open, close, change ownership, and alter hours, and at least one verified shop documented a recent ownership transition during the research window. Second, several culinary-tradition claims rest on well-documented cultural and reference sources rather than controlled experiments, because the questions involved—what defines an authentic asado, how a regional barbecue style evolved—are historical and ethnographic rather than chemical. Third, nutrition science is probabilistic and population-level; the mechanisms described here are robust, but individual responses to any food vary, and nothing in this volume constitutes medical or dietary advice for a specific person.</w:t>
      </w:r>
    </w:p>
    <w:p>
      <w:r>
        <w:br w:type="page"/>
      </w:r>
    </w:p>
    <w:p>
      <w:pPr>
        <w:pStyle w:val="Heading1"/>
        <w:spacing w:after="200" w:before="360"/>
      </w:pPr>
      <w:bookmarkStart w:name="brining" w:id="1003"/>
      <w:r>
        <w:rPr>
          <w:rFonts w:ascii="Georgia" w:cs="Georgia" w:eastAsia="Georgia" w:hAnsi="Georgia"/>
          <w:b/>
          <w:bCs/>
          <w:i w:val="false"/>
          <w:iCs w:val="false"/>
          <w:caps w:val="false"/>
          <w:color w:val="1A1A1A"/>
          <w:sz w:val="22"/>
          <w:szCs w:val="22"/>
        </w:rPr>
        <w:t xml:space="preserve">3. The Chemistry of Salt, Water, and Muscle: Brining and Moisture Retention</w:t>
      </w:r>
      <w:bookmarkEnd w:id="1003"/>
    </w:p>
    <w:p>
      <w:pPr>
        <w:spacing w:after="160" w:before="0" w:line="300"/>
        <w:jc w:val="both"/>
      </w:pPr>
      <w:r>
        <w:rPr>
          <w:rFonts w:ascii="Georgia" w:cs="Georgia" w:eastAsia="Georgia" w:hAnsi="Georgia"/>
          <w:color w:val="1A1A1A"/>
          <w:sz w:val="22"/>
          <w:szCs w:val="22"/>
        </w:rPr>
        <w:t xml:space="preserve">Few kitchen interventions are as widely practiced and as widely misunderstood as salting meat before cooking. The common folk model holds that salt “draws out juices” and therefore dries meat, and that searing “seals in” the moisture that remains. Both halves of that model are wrong, and understanding why requires a brief tour of muscle microstructure and the physical chemistry of the proteins that govern how much water meat can hold.</w:t>
      </w:r>
    </w:p>
    <w:p>
      <w:pPr>
        <w:pStyle w:val="Heading2"/>
        <w:spacing w:after="140" w:before="280"/>
      </w:pPr>
      <w:r>
        <w:rPr>
          <w:rFonts w:ascii="Georgia" w:cs="Georgia" w:eastAsia="Georgia" w:hAnsi="Georgia"/>
          <w:b/>
          <w:bCs/>
          <w:i w:val="false"/>
          <w:iCs w:val="false"/>
          <w:caps w:val="false"/>
          <w:color w:val="1A1A1A"/>
          <w:sz w:val="22"/>
          <w:szCs w:val="22"/>
        </w:rPr>
        <w:t xml:space="preserve">3.1 Water-holding capacity and the myofibrillar lattice</w:t>
      </w:r>
    </w:p>
    <w:p>
      <w:pPr>
        <w:spacing w:after="160" w:before="0" w:line="300"/>
        <w:jc w:val="both"/>
      </w:pPr>
      <w:r>
        <w:rPr>
          <w:rFonts w:ascii="Georgia" w:cs="Georgia" w:eastAsia="Georgia" w:hAnsi="Georgia"/>
          <w:color w:val="1A1A1A"/>
          <w:sz w:val="22"/>
          <w:szCs w:val="22"/>
        </w:rPr>
        <w:t xml:space="preserve">Lean meat is roughly three-quarters water by weight. The great majority of that water is not free liquid but is held within and between the myofibrils—the contractile protein filaments of muscle cells—by capillary and electrostatic forces. The quantity of water meat retains under a given stress, its </w:t>
      </w:r>
      <w:r>
        <w:rPr>
          <w:rFonts w:ascii="Georgia" w:cs="Georgia" w:eastAsia="Georgia" w:hAnsi="Georgia"/>
          <w:b/>
          <w:bCs/>
          <w:i w:val="false"/>
          <w:iCs w:val="false"/>
          <w:caps w:val="false"/>
          <w:color w:val="1A1A1A"/>
          <w:sz w:val="22"/>
          <w:szCs w:val="22"/>
        </w:rPr>
        <w:t xml:space="preserve">water-holding capacity</w:t>
      </w:r>
      <w:r>
        <w:rPr>
          <w:rFonts w:ascii="Georgia" w:cs="Georgia" w:eastAsia="Georgia" w:hAnsi="Georgia"/>
          <w:color w:val="1A1A1A"/>
          <w:sz w:val="22"/>
          <w:szCs w:val="22"/>
        </w:rPr>
        <w:t xml:space="preserve"> (WHC), is therefore not fixed; it depends on the spacing of the myofilament lattice and on the net electrical charge of the proteins that make up that lattice. The classical account of meat hydration, developed by Hamm and refined over subsequent decades, frames WHC as a balance between attractive and repulsive forces among the charged protein filaments.</w:t>
      </w:r>
      <w:r>
        <w:rPr>
          <w:rStyle w:val="FootnoteReference"/>
        </w:rPr>
        <w:footnoteReference w:id="14"/>
      </w:r>
    </w:p>
    <w:p>
      <w:pPr>
        <w:spacing w:after="160" w:before="0" w:line="300"/>
        <w:jc w:val="both"/>
      </w:pPr>
      <w:r>
        <w:rPr>
          <w:rFonts w:ascii="Georgia" w:cs="Georgia" w:eastAsia="Georgia" w:hAnsi="Georgia"/>
          <w:color w:val="1A1A1A"/>
          <w:sz w:val="22"/>
          <w:szCs w:val="22"/>
        </w:rPr>
        <w:t xml:space="preserve">The landmark mechanistic work here is that of Offer and Trinick, who demonstrated directly that myofibrils swell and shrink in response to their ionic environment, and that under appropriate salt conditions the myofibrillar lattice can expand to roughly twice its resting volume, dramatically increasing the space available to immobilized water.</w:t>
      </w:r>
      <w:r>
        <w:rPr>
          <w:rStyle w:val="FootnoteReference"/>
        </w:rPr>
        <w:footnoteReference w:id="15"/>
      </w:r>
      <w:r>
        <w:rPr>
          <w:rFonts w:ascii="Georgia" w:cs="Georgia" w:eastAsia="Georgia" w:hAnsi="Georgia"/>
          <w:color w:val="1A1A1A"/>
          <w:sz w:val="22"/>
          <w:szCs w:val="22"/>
        </w:rPr>
        <w:t xml:space="preserve"> Puolanne and Halonen later synthesized the theoretical basis of these effects, locating WHC in the interplay of osmotic pressure, electrostatic repulsion between filaments, and the structural constraints of the cytoskeleton.</w:t>
      </w:r>
      <w:r>
        <w:rPr>
          <w:rStyle w:val="FootnoteReference"/>
        </w:rPr>
        <w:footnoteReference w:id="16"/>
      </w:r>
      <w:r>
        <w:rPr>
          <w:rFonts w:ascii="Georgia" w:cs="Georgia" w:eastAsia="Georgia" w:hAnsi="Georgia"/>
          <w:color w:val="1A1A1A"/>
          <w:sz w:val="22"/>
          <w:szCs w:val="22"/>
        </w:rPr>
        <w:t xml:space="preserve"> The practical upshot is that water retention is a tunable property of the protein lattice—and salt is the principal tuning knob.</w:t>
      </w:r>
    </w:p>
    <w:p>
      <w:pPr>
        <w:pStyle w:val="Heading2"/>
        <w:spacing w:after="140" w:before="280"/>
      </w:pPr>
      <w:r>
        <w:rPr>
          <w:rFonts w:ascii="Georgia" w:cs="Georgia" w:eastAsia="Georgia" w:hAnsi="Georgia"/>
          <w:b/>
          <w:bCs/>
          <w:i w:val="false"/>
          <w:iCs w:val="false"/>
          <w:caps w:val="false"/>
          <w:color w:val="1A1A1A"/>
          <w:sz w:val="22"/>
          <w:szCs w:val="22"/>
        </w:rPr>
        <w:t xml:space="preserve">3.2 What salt actually does</w:t>
      </w:r>
    </w:p>
    <w:p>
      <w:pPr>
        <w:spacing w:after="160" w:before="0" w:line="300"/>
        <w:jc w:val="both"/>
      </w:pPr>
      <w:r>
        <w:rPr>
          <w:rFonts w:ascii="Georgia" w:cs="Georgia" w:eastAsia="Georgia" w:hAnsi="Georgia"/>
          <w:color w:val="1A1A1A"/>
          <w:sz w:val="22"/>
          <w:szCs w:val="22"/>
        </w:rPr>
        <w:t xml:space="preserve">Sodium chloride raises water-holding capacity through two coupled mechanisms. First, chloride ions bind preferentially to the myofibrillar proteins, increasing their net negative charge; like charges repel, so the filaments push apart, the lattice swells, and more water can be immobilized within it. Second, salt at sufficient concentration solubilizes a fraction of the myofibrillar proteins—particularly myosin—partially dissolving the structural framework and further loosening the lattice.</w:t>
      </w:r>
      <w:r>
        <w:rPr>
          <w:rStyle w:val="FootnoteReference"/>
        </w:rPr>
        <w:footnoteReference w:id="17"/>
      </w:r>
      <w:r>
        <w:rPr>
          <w:rFonts w:ascii="Georgia" w:cs="Georgia" w:eastAsia="Georgia" w:hAnsi="Georgia"/>
          <w:color w:val="1A1A1A"/>
          <w:sz w:val="22"/>
          <w:szCs w:val="22"/>
        </w:rPr>
        <w:t xml:space="preserve"> The dissolved and swollen protein matrix is also what gives properly brined meat its characteristic ability to hold seasoning and moisture through the stress of cooking. Studies of brine-enhanced and marinated meats confirm that controlled salt (and, in acidic marinades, pH) manipulation measurably alters protein state and water transfer.</w:t>
      </w:r>
      <w:r>
        <w:rPr>
          <w:rStyle w:val="FootnoteReference"/>
        </w:rPr>
        <w:footnoteReference w:id="18"/>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The folk model, corrected. </w:t>
            </w:r>
            <w:r>
              <w:rPr>
                <w:rFonts w:ascii="Georgia" w:cs="Georgia" w:eastAsia="Georgia" w:hAnsi="Georgia"/>
                <w:color w:val="1A1A1A"/>
                <w:sz w:val="22"/>
                <w:szCs w:val="22"/>
              </w:rPr>
              <w:t xml:space="preserve">Salt does not dry meat out on net. The initial osmotic movement of water to the surface (which the cook sees as beading liquid) reverses as salt dissolves into that surface water and is drawn back in, carrying dissolved protein and moisture with it. Given adequate time, the meat ends wetter and better seasoned than it began. And searing seals nothing: as McGee and controlled tests both show, a seared crust is permeable, and juices continue to escape from it during cooking.</w:t>
            </w:r>
          </w:p>
        </w:tc>
      </w:tr>
    </w:tbl>
    <w:p>
      <w:pPr>
        <w:pStyle w:val="Heading2"/>
        <w:spacing w:after="140" w:before="280"/>
      </w:pPr>
      <w:r>
        <w:rPr>
          <w:rFonts w:ascii="Georgia" w:cs="Georgia" w:eastAsia="Georgia" w:hAnsi="Georgia"/>
          <w:b/>
          <w:bCs/>
          <w:i w:val="false"/>
          <w:iCs w:val="false"/>
          <w:caps w:val="false"/>
          <w:color w:val="1A1A1A"/>
          <w:sz w:val="22"/>
          <w:szCs w:val="22"/>
        </w:rPr>
        <w:t xml:space="preserve">3.3 Wet brining versus dry brining</w:t>
      </w:r>
    </w:p>
    <w:p>
      <w:pPr>
        <w:spacing w:after="160" w:before="0" w:line="300"/>
        <w:jc w:val="both"/>
      </w:pPr>
      <w:r>
        <w:rPr>
          <w:rFonts w:ascii="Georgia" w:cs="Georgia" w:eastAsia="Georgia" w:hAnsi="Georgia"/>
          <w:color w:val="1A1A1A"/>
          <w:sz w:val="22"/>
          <w:szCs w:val="22"/>
        </w:rPr>
        <w:t xml:space="preserve">Two delivery methods exploit the same chemistry. In </w:t>
      </w:r>
      <w:r>
        <w:rPr>
          <w:rFonts w:ascii="Georgia" w:cs="Georgia" w:eastAsia="Georgia" w:hAnsi="Georgia"/>
          <w:b/>
          <w:bCs/>
          <w:i w:val="false"/>
          <w:iCs w:val="false"/>
          <w:caps w:val="false"/>
          <w:color w:val="1A1A1A"/>
          <w:sz w:val="22"/>
          <w:szCs w:val="22"/>
        </w:rPr>
        <w:t xml:space="preserve">wet brining</w:t>
      </w:r>
      <w:r>
        <w:rPr>
          <w:rFonts w:ascii="Georgia" w:cs="Georgia" w:eastAsia="Georgia" w:hAnsi="Georgia"/>
          <w:color w:val="1A1A1A"/>
          <w:sz w:val="22"/>
          <w:szCs w:val="22"/>
        </w:rPr>
        <w:t xml:space="preserve">, meat is submerged in a salt solution (often with sugar and aromatics); water and salt both migrate inward, and the meat gains mass. In </w:t>
      </w:r>
      <w:r>
        <w:rPr>
          <w:rFonts w:ascii="Georgia" w:cs="Georgia" w:eastAsia="Georgia" w:hAnsi="Georgia"/>
          <w:b/>
          <w:bCs/>
          <w:i w:val="false"/>
          <w:iCs w:val="false"/>
          <w:caps w:val="false"/>
          <w:color w:val="1A1A1A"/>
          <w:sz w:val="22"/>
          <w:szCs w:val="22"/>
        </w:rPr>
        <w:t xml:space="preserve">dry brining</w:t>
      </w:r>
      <w:r>
        <w:rPr>
          <w:rFonts w:ascii="Georgia" w:cs="Georgia" w:eastAsia="Georgia" w:hAnsi="Georgia"/>
          <w:color w:val="1A1A1A"/>
          <w:sz w:val="22"/>
          <w:szCs w:val="22"/>
        </w:rPr>
        <w:t xml:space="preserve">, salt is applied directly to the surface; it first draws a thin film of moisture out by osmosis, dissolves into that film to form a concentrated brine in situ, and is then reabsorbed along with the now-protein-laden liquid. Each approach has characteristic consequences that follow directly from the mechanism.</w:t>
      </w:r>
    </w:p>
    <w:p>
      <w:pPr>
        <w:spacing w:after="160" w:before="0" w:line="300"/>
        <w:jc w:val="both"/>
      </w:pPr>
      <w:r>
        <w:rPr>
          <w:rFonts w:ascii="Georgia" w:cs="Georgia" w:eastAsia="Georgia" w:hAnsi="Georgia"/>
          <w:color w:val="1A1A1A"/>
          <w:sz w:val="22"/>
          <w:szCs w:val="22"/>
        </w:rPr>
        <w:t xml:space="preserve">Wet brining adds water, which is advantageous for very lean, easily overcooked proteins—skinless poultry breast, lean pork—because the added moisture buffers against the inevitable cooking losses. Its disadvantages also follow from that added water: it can dilute flavor, and the wetted surface must be thoroughly dried before high-heat cooking or it will steam rather than brown (Section 4). Dry brining adds no water and therefore does not dilute; because it leaves a drier, protein-concentrated surface, it favors browning and is generally preferred for cuts whose own fat already supplies moisture—well-marbled beef steaks and roasts. The test-kitchen literature, which has compared the two methods across many proteins, broadly converges on this division of labor.</w:t>
      </w:r>
      <w:r>
        <w:rPr>
          <w:rStyle w:val="FootnoteReference"/>
        </w:rPr>
        <w:footnoteReference w:id="19"/>
        <w:footnoteReference w:id="20"/>
      </w:r>
    </w:p>
    <w:p>
      <w:pPr>
        <w:pStyle w:val="Heading2"/>
        <w:spacing w:after="140" w:before="280"/>
      </w:pPr>
      <w:r>
        <w:rPr>
          <w:rFonts w:ascii="Georgia" w:cs="Georgia" w:eastAsia="Georgia" w:hAnsi="Georgia"/>
          <w:b/>
          <w:bCs/>
          <w:i w:val="false"/>
          <w:iCs w:val="false"/>
          <w:caps w:val="false"/>
          <w:color w:val="1A1A1A"/>
          <w:sz w:val="22"/>
          <w:szCs w:val="22"/>
        </w:rPr>
        <w:t xml:space="preserve">3.4 Time, thickness, geometry, and the household's brining questions</w:t>
      </w:r>
    </w:p>
    <w:p>
      <w:pPr>
        <w:spacing w:after="160" w:before="0" w:line="300"/>
        <w:jc w:val="both"/>
      </w:pPr>
      <w:r>
        <w:rPr>
          <w:rFonts w:ascii="Georgia" w:cs="Georgia" w:eastAsia="Georgia" w:hAnsi="Georgia"/>
          <w:color w:val="1A1A1A"/>
          <w:sz w:val="22"/>
          <w:szCs w:val="22"/>
        </w:rPr>
        <w:t xml:space="preserve">Salt penetrates meat by diffusion, and diffusion is slow and distance-dependent: the time required scales steeply with the depth the salt must travel. This single fact resolves a cluster of practical questions about how long to brine. In the first half hour to hour, salt meaningfully affects only the outer few millimeters; deep penetration into a thick, intact roast requires many hours or overnight.</w:t>
      </w:r>
      <w:r>
        <w:rPr>
          <w:rStyle w:val="FootnoteReference"/>
        </w:rPr>
        <w:footnoteReference w:id="21"/>
      </w:r>
      <w:r>
        <w:rPr>
          <w:rFonts w:ascii="Georgia" w:cs="Georgia" w:eastAsia="Georgia" w:hAnsi="Georgia"/>
          <w:color w:val="1A1A1A"/>
          <w:sz w:val="22"/>
          <w:szCs w:val="22"/>
        </w:rPr>
        <w:t xml:space="preserve"> The consequence is that </w:t>
      </w:r>
      <w:r>
        <w:rPr>
          <w:rFonts w:ascii="Georgia" w:cs="Georgia" w:eastAsia="Georgia" w:hAnsi="Georgia"/>
          <w:b/>
          <w:bCs/>
          <w:i w:val="false"/>
          <w:iCs w:val="false"/>
          <w:caps w:val="false"/>
          <w:color w:val="1A1A1A"/>
          <w:sz w:val="22"/>
          <w:szCs w:val="22"/>
        </w:rPr>
        <w:t xml:space="preserve">geometry matters as much as mass</w:t>
      </w:r>
      <w:r>
        <w:rPr>
          <w:rFonts w:ascii="Georgia" w:cs="Georgia" w:eastAsia="Georgia" w:hAnsi="Georgia"/>
          <w:color w:val="1A1A1A"/>
          <w:sz w:val="22"/>
          <w:szCs w:val="22"/>
        </w:rPr>
        <w:t xml:space="preserve">. A given weight of meat cut into several pieces, or scored with cuts that open channels into the interior, brines far faster than the same weight left as a single dense block, because the salt's diffusion distance has been shortened and the exposed surface area increased.</w:t>
      </w:r>
    </w:p>
    <w:p>
      <w:pPr>
        <w:spacing w:after="160" w:before="0" w:line="300"/>
        <w:jc w:val="both"/>
      </w:pPr>
      <w:r>
        <w:rPr>
          <w:rFonts w:ascii="Georgia" w:cs="Georgia" w:eastAsia="Georgia" w:hAnsi="Georgia"/>
          <w:color w:val="1A1A1A"/>
          <w:sz w:val="22"/>
          <w:szCs w:val="22"/>
        </w:rPr>
        <w:t xml:space="preserve">This is why a short brine—on the order of forty to fifty minutes—delivers real benefit to a quantity of meat that has been divided into chunks or deeply scored, but only surface benefit to an intact roast of the same total weight. For the divided or scored case, the outer layers of every piece (which constitute most of the total volume) are within the salt's reach in that window; for the intact case, the geometric center remains essentially unbrined and will cook as though it had never been salted. A cook working with a cut-up five-pound quantity is therefore in a genuinely different regime from one working with a five-pound solid roast, even though the scale reads the same. Where deeper seasoning of a large intact cut is desired, the evidence favors extending a wet brine to several hours or, more conveniently, switching to an overnight dry brine that needs no submersion vessel and leaves a browning-friendly surface.</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Food safety is non-negotiable. </w:t>
            </w:r>
            <w:r>
              <w:rPr>
                <w:rFonts w:ascii="Georgia" w:cs="Georgia" w:eastAsia="Georgia" w:hAnsi="Georgia"/>
                <w:color w:val="1A1A1A"/>
                <w:sz w:val="22"/>
                <w:szCs w:val="22"/>
              </w:rPr>
              <w:t xml:space="preserve">All brining of perishable meat must occur under refrigeration. The USDA “Danger Zone”—the temperature band within which bacteria multiply most rapidly—spans 40°F to 140°F, and perishable food should not sit within it for more than two hours cumulatively. A brine is not a preservative at these concentrations and timescales; it is a seasoning and texture treatment, and it must be kept cold.</w:t>
            </w:r>
          </w:p>
        </w:tc>
      </w:tr>
    </w:tbl>
    <w:p>
      <w:pPr>
        <w:spacing w:after="160" w:before="0" w:line="300"/>
        <w:jc w:val="both"/>
      </w:pPr>
      <w:r>
        <w:rPr>
          <w:rFonts w:ascii="Georgia" w:cs="Georgia" w:eastAsia="Georgia" w:hAnsi="Georgia"/>
          <w:color w:val="1A1A1A"/>
          <w:sz w:val="22"/>
          <w:szCs w:val="22"/>
        </w:rPr>
        <w:t xml:space="preserve">After brining by either method, the surface should be patted thoroughly dry before high-heat cooking. The reason belongs to the next section: a wet surface spends the grill's energy boiling off water and cannot exceed water's boiling point until it is dry, which delays and weakens the browning reactions that create a seared crust.</w:t>
      </w:r>
    </w:p>
    <w:p>
      <w:r>
        <w:br w:type="page"/>
      </w:r>
    </w:p>
    <w:p>
      <w:pPr>
        <w:pStyle w:val="Heading1"/>
        <w:spacing w:after="200" w:before="360"/>
      </w:pPr>
      <w:bookmarkStart w:name="maillard" w:id="1004"/>
      <w:r>
        <w:rPr>
          <w:rFonts w:ascii="Georgia" w:cs="Georgia" w:eastAsia="Georgia" w:hAnsi="Georgia"/>
          <w:b/>
          <w:bCs/>
          <w:i w:val="false"/>
          <w:iCs w:val="false"/>
          <w:caps w:val="false"/>
          <w:color w:val="1A1A1A"/>
          <w:sz w:val="22"/>
          <w:szCs w:val="22"/>
        </w:rPr>
        <w:t xml:space="preserve">4. Browning: The Maillard Reaction, the Sear, and the Crust</w:t>
      </w:r>
      <w:bookmarkEnd w:id="1004"/>
    </w:p>
    <w:p>
      <w:pPr>
        <w:spacing w:after="160" w:before="0" w:line="300"/>
        <w:jc w:val="both"/>
      </w:pPr>
      <w:r>
        <w:rPr>
          <w:rFonts w:ascii="Georgia" w:cs="Georgia" w:eastAsia="Georgia" w:hAnsi="Georgia"/>
          <w:color w:val="1A1A1A"/>
          <w:sz w:val="22"/>
          <w:szCs w:val="22"/>
        </w:rPr>
        <w:t xml:space="preserve">The deep brown, savory, aromatic crust on a well-grilled steak or a roasted vegetable is not merely “cooked” color. It is the visible signature of a vast family of chemical reactions—collectively the Maillard reaction—first described by the French physician and chemist Louis-Camille Maillard in 1912.</w:t>
      </w:r>
      <w:r>
        <w:rPr>
          <w:rStyle w:val="FootnoteReference"/>
        </w:rPr>
        <w:footnoteReference w:id="22"/>
      </w:r>
      <w:r>
        <w:rPr>
          <w:rFonts w:ascii="Georgia" w:cs="Georgia" w:eastAsia="Georgia" w:hAnsi="Georgia"/>
          <w:color w:val="1A1A1A"/>
          <w:sz w:val="22"/>
          <w:szCs w:val="22"/>
        </w:rPr>
        <w:t xml:space="preserve"> These reactions generate, from a handful of simple precursors, hundreds of new flavor and aroma compounds and the brown nitrogenous polymers called melanoidins. No other single process contributes more to the flavor of grilled and roasted food.</w:t>
      </w:r>
    </w:p>
    <w:p>
      <w:pPr>
        <w:pStyle w:val="Heading2"/>
        <w:spacing w:after="140" w:before="280"/>
      </w:pPr>
      <w:r>
        <w:rPr>
          <w:rFonts w:ascii="Georgia" w:cs="Georgia" w:eastAsia="Georgia" w:hAnsi="Georgia"/>
          <w:b/>
          <w:bCs/>
          <w:i w:val="false"/>
          <w:iCs w:val="false"/>
          <w:caps w:val="false"/>
          <w:color w:val="1A1A1A"/>
          <w:sz w:val="22"/>
          <w:szCs w:val="22"/>
        </w:rPr>
        <w:t xml:space="preserve">4.1 The reaction in outline</w:t>
      </w:r>
    </w:p>
    <w:p>
      <w:pPr>
        <w:spacing w:after="160" w:before="0" w:line="300"/>
        <w:jc w:val="both"/>
      </w:pPr>
      <w:r>
        <w:rPr>
          <w:rFonts w:ascii="Georgia" w:cs="Georgia" w:eastAsia="Georgia" w:hAnsi="Georgia"/>
          <w:color w:val="1A1A1A"/>
          <w:sz w:val="22"/>
          <w:szCs w:val="22"/>
        </w:rPr>
        <w:t xml:space="preserve">At its chemical core, the Maillard reaction is a condensation between a reducing sugar (a carbohydrate with a free aldehyde or ketone group) and a free amino group, typically from an amino acid or protein. The initial union forms an unstable intermediate that rearranges (via the Amadori rearrangement) and then fragments and recombines through a branching cascade, yielding aroma-active compounds—pyrazines, furans, thiophenes, and many others—and ultimately the brown melanoidin polymers.</w:t>
      </w:r>
      <w:r>
        <w:rPr>
          <w:rStyle w:val="FootnoteReference"/>
        </w:rPr>
        <w:footnoteReference w:id="23"/>
      </w:r>
      <w:r>
        <w:rPr>
          <w:rFonts w:ascii="Georgia" w:cs="Georgia" w:eastAsia="Georgia" w:hAnsi="Georgia"/>
          <w:color w:val="1A1A1A"/>
          <w:sz w:val="22"/>
          <w:szCs w:val="22"/>
        </w:rPr>
        <w:t xml:space="preserve"> Because the precursor pool (sugars and amino acids) differs from food to food, the reaction's product spectrum is food-specific: this is why seared beef, toasted bread, roasted coffee, and grilled onions each smell distinct despite sharing the same underlying chemistry. The reaction is also intertwined with caramelization (the heat-driven breakdown of sugars alone) and, in meat, with the thermal degradation of lipids; together these supply the full sensory complexity of browned food.</w:t>
      </w:r>
      <w:r>
        <w:rPr>
          <w:rStyle w:val="FootnoteReference"/>
        </w:rPr>
        <w:footnoteReference w:id="24"/>
      </w:r>
    </w:p>
    <w:p>
      <w:pPr>
        <w:pStyle w:val="Heading2"/>
        <w:spacing w:after="140" w:before="280"/>
      </w:pPr>
      <w:r>
        <w:rPr>
          <w:rFonts w:ascii="Georgia" w:cs="Georgia" w:eastAsia="Georgia" w:hAnsi="Georgia"/>
          <w:b/>
          <w:bCs/>
          <w:i w:val="false"/>
          <w:iCs w:val="false"/>
          <w:caps w:val="false"/>
          <w:color w:val="1A1A1A"/>
          <w:sz w:val="22"/>
          <w:szCs w:val="22"/>
        </w:rPr>
        <w:t xml:space="preserve">4.2 The variables a cook actually controls</w:t>
      </w:r>
    </w:p>
    <w:p>
      <w:pPr>
        <w:spacing w:after="160" w:before="0" w:line="300"/>
        <w:jc w:val="both"/>
      </w:pPr>
      <w:r>
        <w:rPr>
          <w:rFonts w:ascii="Georgia" w:cs="Georgia" w:eastAsia="Georgia" w:hAnsi="Georgia"/>
          <w:color w:val="1A1A1A"/>
          <w:sz w:val="22"/>
          <w:szCs w:val="22"/>
        </w:rPr>
        <w:t xml:space="preserve">Comprehensive reviews of the Maillard reaction identify a consistent set of parameters that govern its rate and its product profile—temperature, water activity, pH, time, and the availability of precursors.</w:t>
      </w:r>
      <w:r>
        <w:rPr>
          <w:rStyle w:val="FootnoteReference"/>
        </w:rPr>
        <w:footnoteReference w:id="25"/>
      </w:r>
      <w:r>
        <w:rPr>
          <w:rFonts w:ascii="Georgia" w:cs="Georgia" w:eastAsia="Georgia" w:hAnsi="Georgia"/>
          <w:color w:val="1A1A1A"/>
          <w:sz w:val="22"/>
          <w:szCs w:val="22"/>
        </w:rPr>
        <w:t xml:space="preserve"> Three of these are directly and immediately controllable at the grill, and explain most of what separates a pale, gray exterior from a deeply browned one.</w:t>
      </w:r>
    </w:p>
    <w:p>
      <w:pPr>
        <w:pStyle w:val="Heading3"/>
        <w:spacing w:after="120" w:before="220"/>
      </w:pPr>
      <w:r>
        <w:rPr>
          <w:rFonts w:ascii="Georgia" w:cs="Georgia" w:eastAsia="Georgia" w:hAnsi="Georgia"/>
          <w:b/>
          <w:bCs/>
          <w:i w:val="false"/>
          <w:iCs w:val="false"/>
          <w:caps w:val="false"/>
          <w:color w:val="1A1A1A"/>
          <w:sz w:val="22"/>
          <w:szCs w:val="22"/>
        </w:rPr>
        <w:t xml:space="preserve">Temperature</w:t>
      </w:r>
    </w:p>
    <w:p>
      <w:pPr>
        <w:spacing w:after="160" w:before="0" w:line="300"/>
        <w:jc w:val="both"/>
      </w:pPr>
      <w:r>
        <w:rPr>
          <w:rFonts w:ascii="Georgia" w:cs="Georgia" w:eastAsia="Georgia" w:hAnsi="Georgia"/>
          <w:color w:val="1A1A1A"/>
          <w:sz w:val="22"/>
          <w:szCs w:val="22"/>
        </w:rPr>
        <w:t xml:space="preserve">The reaction proceeds appreciably only at temperatures well above the boiling point of water, accelerating sharply in the approximate range of 140°C to 165°C (about 285°F to 330°F) and higher. This single fact has a decisive corollary: </w:t>
      </w:r>
      <w:r>
        <w:rPr>
          <w:rFonts w:ascii="Georgia" w:cs="Georgia" w:eastAsia="Georgia" w:hAnsi="Georgia"/>
          <w:b/>
          <w:bCs/>
          <w:i w:val="false"/>
          <w:iCs w:val="false"/>
          <w:caps w:val="false"/>
          <w:color w:val="1A1A1A"/>
          <w:sz w:val="22"/>
          <w:szCs w:val="22"/>
        </w:rPr>
        <w:t xml:space="preserve">a wet surface cannot brown</w:t>
      </w:r>
      <w:r>
        <w:rPr>
          <w:rFonts w:ascii="Georgia" w:cs="Georgia" w:eastAsia="Georgia" w:hAnsi="Georgia"/>
          <w:color w:val="1A1A1A"/>
          <w:sz w:val="22"/>
          <w:szCs w:val="22"/>
        </w:rPr>
        <w:t xml:space="preserve">. So long as liquid water is present, evaporative cooling pins the surface near 100°C, below the Maillard threshold; the food steams. Browning begins only once the surface has dried and its temperature can climb past the boiling point. This is the mechanistic justification for the universal instruction to pat meat dry before searing and for the caution against crowding a hot grill or pan, which traps escaping steam and keeps surfaces wet.</w:t>
      </w:r>
    </w:p>
    <w:p>
      <w:pPr>
        <w:pStyle w:val="Heading3"/>
        <w:spacing w:after="120" w:before="220"/>
      </w:pPr>
      <w:r>
        <w:rPr>
          <w:rFonts w:ascii="Georgia" w:cs="Georgia" w:eastAsia="Georgia" w:hAnsi="Georgia"/>
          <w:b/>
          <w:bCs/>
          <w:i w:val="false"/>
          <w:iCs w:val="false"/>
          <w:caps w:val="false"/>
          <w:color w:val="1A1A1A"/>
          <w:sz w:val="22"/>
          <w:szCs w:val="22"/>
        </w:rPr>
        <w:t xml:space="preserve">Water activity</w:t>
      </w:r>
    </w:p>
    <w:p>
      <w:pPr>
        <w:spacing w:after="160" w:before="0" w:line="300"/>
        <w:jc w:val="both"/>
      </w:pPr>
      <w:r>
        <w:rPr>
          <w:rFonts w:ascii="Georgia" w:cs="Georgia" w:eastAsia="Georgia" w:hAnsi="Georgia"/>
          <w:color w:val="1A1A1A"/>
          <w:sz w:val="22"/>
          <w:szCs w:val="22"/>
        </w:rPr>
        <w:t xml:space="preserve">Beyond simple surface wetness, the reaction is sensitive to water activity, proceeding most readily at intermediate values rather than in either very wet or bone-dry conditions.</w:t>
      </w:r>
      <w:r>
        <w:rPr>
          <w:rStyle w:val="FootnoteReference"/>
        </w:rPr>
        <w:footnoteReference w:id="26"/>
      </w:r>
      <w:r>
        <w:rPr>
          <w:rFonts w:ascii="Georgia" w:cs="Georgia" w:eastAsia="Georgia" w:hAnsi="Georgia"/>
          <w:color w:val="1A1A1A"/>
          <w:sz w:val="22"/>
          <w:szCs w:val="22"/>
        </w:rPr>
        <w:t xml:space="preserve"> In practice the cook manages this by drying the surface (lowering surface water activity into the favorable range) while the interior remains moist—precisely the state produced by a dry brine followed by thorough patting.</w:t>
      </w:r>
    </w:p>
    <w:p>
      <w:pPr>
        <w:pStyle w:val="Heading3"/>
        <w:spacing w:after="120" w:before="220"/>
      </w:pPr>
      <w:r>
        <w:rPr>
          <w:rFonts w:ascii="Georgia" w:cs="Georgia" w:eastAsia="Georgia" w:hAnsi="Georgia"/>
          <w:b/>
          <w:bCs/>
          <w:i w:val="false"/>
          <w:iCs w:val="false"/>
          <w:caps w:val="false"/>
          <w:color w:val="1A1A1A"/>
          <w:sz w:val="22"/>
          <w:szCs w:val="22"/>
        </w:rPr>
        <w:t xml:space="preserve">pH and precursor supply</w:t>
      </w:r>
    </w:p>
    <w:p>
      <w:pPr>
        <w:spacing w:after="160" w:before="0" w:line="300"/>
        <w:jc w:val="both"/>
      </w:pPr>
      <w:r>
        <w:rPr>
          <w:rFonts w:ascii="Georgia" w:cs="Georgia" w:eastAsia="Georgia" w:hAnsi="Georgia"/>
          <w:color w:val="1A1A1A"/>
          <w:sz w:val="22"/>
          <w:szCs w:val="22"/>
        </w:rPr>
        <w:t xml:space="preserve">The reaction generally accelerates under mildly alkaline conditions and slows under acidic ones, and it is bounded by the supply of reducing sugars and free amino groups.</w:t>
      </w:r>
      <w:r>
        <w:rPr>
          <w:rStyle w:val="FootnoteReference"/>
        </w:rPr>
        <w:footnoteReference w:id="27"/>
      </w:r>
      <w:r>
        <w:rPr>
          <w:rFonts w:ascii="Georgia" w:cs="Georgia" w:eastAsia="Georgia" w:hAnsi="Georgia"/>
          <w:color w:val="1A1A1A"/>
          <w:sz w:val="22"/>
          <w:szCs w:val="22"/>
        </w:rPr>
        <w:t xml:space="preserve"> This is why some cooks dust proteins with a trace of baking soda to speed browning, and why a light coating of oil aids the process: oil raises the achievable surface temperature, distributes heat evenly across the microscopic peaks and valleys of the surface, and improves contact with the cooking grate. The household's choice of a high-smoke-point oil such as avocado oil is well suited to high-heat searing, because the oil must withstand grate-level temperatures without breaking down.</w:t>
      </w:r>
    </w:p>
    <w:p>
      <w:pPr>
        <w:pStyle w:val="Heading2"/>
        <w:spacing w:after="140" w:before="280"/>
      </w:pPr>
      <w:r>
        <w:rPr>
          <w:rFonts w:ascii="Georgia" w:cs="Georgia" w:eastAsia="Georgia" w:hAnsi="Georgia"/>
          <w:b/>
          <w:bCs/>
          <w:i w:val="false"/>
          <w:iCs w:val="false"/>
          <w:caps w:val="false"/>
          <w:color w:val="1A1A1A"/>
          <w:sz w:val="22"/>
          <w:szCs w:val="22"/>
        </w:rPr>
        <w:t xml:space="preserve">4.3 The searing-seals-juices myth, settled</w:t>
      </w:r>
    </w:p>
    <w:p>
      <w:pPr>
        <w:spacing w:after="160" w:before="0" w:line="300"/>
        <w:jc w:val="both"/>
      </w:pPr>
      <w:r>
        <w:rPr>
          <w:rFonts w:ascii="Georgia" w:cs="Georgia" w:eastAsia="Georgia" w:hAnsi="Georgia"/>
          <w:color w:val="1A1A1A"/>
          <w:sz w:val="22"/>
          <w:szCs w:val="22"/>
        </w:rPr>
        <w:t xml:space="preserve">The belief that searing forms a moisture-impermeable seal traces to a nineteenth-century hypothesis and has been repeatedly falsified. McGee's standard reference treats it as a known error,</w:t>
      </w:r>
      <w:r>
        <w:rPr>
          <w:rStyle w:val="FootnoteReference"/>
        </w:rPr>
        <w:footnoteReference w:id="28"/>
      </w:r>
      <w:r>
        <w:rPr>
          <w:rFonts w:ascii="Georgia" w:cs="Georgia" w:eastAsia="Georgia" w:hAnsi="Georgia"/>
          <w:color w:val="1A1A1A"/>
          <w:sz w:val="22"/>
          <w:szCs w:val="22"/>
        </w:rPr>
        <w:t xml:space="preserve"> and direct comparative cooking tests show that seared meat continues to lose moisture through the crust and does not retain measurably more juice than unseared meat cooked to the same internal temperature. Searing is worth doing—emphatically so—but for flavor and texture, not for moisture sealing. Its value is the Maillard crust itself: the concentrated browned exterior that supplies the aromatic and savory contrast against the tender interior. This reframing matters practically, because it directs the cook to optimize searing for </w:t>
      </w:r>
      <w:r>
        <w:rPr>
          <w:rFonts w:ascii="Georgia" w:cs="Georgia" w:eastAsia="Georgia" w:hAnsi="Georgia"/>
          <w:b w:val="false"/>
          <w:bCs w:val="false"/>
          <w:i/>
          <w:iCs/>
          <w:caps w:val="false"/>
          <w:color w:val="1A1A1A"/>
          <w:sz w:val="22"/>
          <w:szCs w:val="22"/>
        </w:rPr>
        <w:t xml:space="preserve">crust quality</w:t>
      </w:r>
      <w:r>
        <w:rPr>
          <w:rFonts w:ascii="Georgia" w:cs="Georgia" w:eastAsia="Georgia" w:hAnsi="Georgia"/>
          <w:color w:val="1A1A1A"/>
          <w:sz w:val="22"/>
          <w:szCs w:val="22"/>
        </w:rPr>
        <w:t xml:space="preserve"> (a dry, oiled surface over high direct heat) rather than for an imaginary seal, and to rely on temperature control and resting—not the sear—for juiciness.</w:t>
      </w:r>
    </w:p>
    <w:p>
      <w:pPr>
        <w:pStyle w:val="Heading2"/>
        <w:spacing w:after="140" w:before="280"/>
      </w:pPr>
      <w:r>
        <w:rPr>
          <w:rFonts w:ascii="Georgia" w:cs="Georgia" w:eastAsia="Georgia" w:hAnsi="Georgia"/>
          <w:b/>
          <w:bCs/>
          <w:i w:val="false"/>
          <w:iCs w:val="false"/>
          <w:caps w:val="false"/>
          <w:color w:val="1A1A1A"/>
          <w:sz w:val="22"/>
          <w:szCs w:val="22"/>
        </w:rPr>
        <w:t xml:space="preserve">4.4 A note on browning and health</w:t>
      </w:r>
    </w:p>
    <w:p>
      <w:pPr>
        <w:spacing w:after="160" w:before="0" w:line="300"/>
        <w:jc w:val="both"/>
      </w:pPr>
      <w:r>
        <w:rPr>
          <w:rFonts w:ascii="Georgia" w:cs="Georgia" w:eastAsia="Georgia" w:hAnsi="Georgia"/>
          <w:color w:val="1A1A1A"/>
          <w:sz w:val="22"/>
          <w:szCs w:val="22"/>
        </w:rPr>
        <w:t xml:space="preserve">Maillard chemistry is overwhelmingly desirable, but a complete account notes that very high-temperature cooking of muscle, and charring in particular, can generate trace heterocyclic and polycyclic aromatic compounds of toxicological interest. The relevant practical guidance—avoiding direct flame contact and gross charring, trimming excess fat that causes flare-ups, and not cooking to blackened surfaces—reduces their formation without sacrificing a good crust. This subject is treated more fully in the discussion of smoke chemistry in Section 6.4.</w:t>
      </w:r>
      <w:r>
        <w:rPr>
          <w:rStyle w:val="FootnoteReference"/>
        </w:rPr>
        <w:footnoteReference w:id="29"/>
      </w:r>
    </w:p>
    <w:p>
      <w:r>
        <w:br w:type="page"/>
      </w:r>
    </w:p>
    <w:p>
      <w:pPr>
        <w:pStyle w:val="Heading1"/>
        <w:spacing w:after="200" w:before="360"/>
      </w:pPr>
      <w:bookmarkStart w:name="doneness" w:id="1005"/>
      <w:r>
        <w:rPr>
          <w:rFonts w:ascii="Georgia" w:cs="Georgia" w:eastAsia="Georgia" w:hAnsi="Georgia"/>
          <w:b/>
          <w:bCs/>
          <w:i w:val="false"/>
          <w:iCs w:val="false"/>
          <w:caps w:val="false"/>
          <w:color w:val="1A1A1A"/>
          <w:sz w:val="22"/>
          <w:szCs w:val="22"/>
        </w:rPr>
        <w:t xml:space="preserve">5. Doneness, Safety, Carryover, and Resting</w:t>
      </w:r>
      <w:bookmarkEnd w:id="1005"/>
    </w:p>
    <w:p>
      <w:pPr>
        <w:spacing w:after="160" w:before="0" w:line="300"/>
        <w:jc w:val="both"/>
      </w:pPr>
      <w:r>
        <w:rPr>
          <w:rFonts w:ascii="Georgia" w:cs="Georgia" w:eastAsia="Georgia" w:hAnsi="Georgia"/>
          <w:color w:val="1A1A1A"/>
          <w:sz w:val="22"/>
          <w:szCs w:val="22"/>
        </w:rPr>
        <w:t xml:space="preserve">If browning supplies flavor, internal temperature supplies almost everything else: safety, the texture transition from raw to done, the rendering of fat and connective tissue, and the moisture state of the finished cut. Of all the instruments in a kitchen, an accurate, fast-reading thermometer is the one that most reliably separates competent from inconsistent results, because it replaces guesswork about an invisible interior with measurement.</w:t>
      </w:r>
    </w:p>
    <w:p>
      <w:pPr>
        <w:pStyle w:val="Heading2"/>
        <w:spacing w:after="140" w:before="280"/>
      </w:pPr>
      <w:r>
        <w:rPr>
          <w:rFonts w:ascii="Georgia" w:cs="Georgia" w:eastAsia="Georgia" w:hAnsi="Georgia"/>
          <w:b/>
          <w:bCs/>
          <w:i w:val="false"/>
          <w:iCs w:val="false"/>
          <w:caps w:val="false"/>
          <w:color w:val="1A1A1A"/>
          <w:sz w:val="22"/>
          <w:szCs w:val="22"/>
        </w:rPr>
        <w:t xml:space="preserve">5.1 Safety is defined by temperature, not appearance</w:t>
      </w:r>
    </w:p>
    <w:p>
      <w:pPr>
        <w:spacing w:after="160" w:before="0" w:line="300"/>
        <w:jc w:val="both"/>
      </w:pPr>
      <w:r>
        <w:rPr>
          <w:rFonts w:ascii="Georgia" w:cs="Georgia" w:eastAsia="Georgia" w:hAnsi="Georgia"/>
          <w:color w:val="1A1A1A"/>
          <w:sz w:val="22"/>
          <w:szCs w:val="22"/>
        </w:rPr>
        <w:t xml:space="preserve">The single most important food-safety principle for cooked meat is that </w:t>
      </w:r>
      <w:r>
        <w:rPr>
          <w:rFonts w:ascii="Georgia" w:cs="Georgia" w:eastAsia="Georgia" w:hAnsi="Georgia"/>
          <w:b/>
          <w:bCs/>
          <w:i w:val="false"/>
          <w:iCs w:val="false"/>
          <w:caps w:val="false"/>
          <w:color w:val="1A1A1A"/>
          <w:sz w:val="22"/>
          <w:szCs w:val="22"/>
        </w:rPr>
        <w:t xml:space="preserve">doneness and safety are not the same thing</w:t>
      </w:r>
      <w:r>
        <w:rPr>
          <w:rFonts w:ascii="Georgia" w:cs="Georgia" w:eastAsia="Georgia" w:hAnsi="Georgia"/>
          <w:color w:val="1A1A1A"/>
          <w:sz w:val="22"/>
          <w:szCs w:val="22"/>
        </w:rPr>
        <w:t xml:space="preserve">, and only a thermometer confirms the latter. Color, firmness, and clear juices are unreliable indicators; meat can appear “done” while remaining unsafe, and can remain pink while being entirely safe. The USDA Food Safety and Inspection Service publishes the controlling thresholds, summarized in Table 5.1.</w:t>
      </w:r>
      <w:r>
        <w:rPr>
          <w:rStyle w:val="FootnoteReference"/>
        </w:rPr>
        <w:footnoteReference w:id="30"/>
        <w:footnoteReference w:id="31"/>
      </w:r>
      <w:r>
        <w:rPr>
          <w:rFonts w:ascii="Georgia" w:cs="Georgia" w:eastAsia="Georgia" w:hAnsi="Georgia"/>
          <w:color w:val="1A1A1A"/>
          <w:sz w:val="22"/>
          <w:szCs w:val="22"/>
        </w:rPr>
        <w:t xml:space="preserve"> Microbial growth is fastest within the 40°F–140°F “Danger Zone,” and cumulative time in that band—across storage, brining, and resting—should be minimized.</w:t>
      </w:r>
      <w:r>
        <w:rPr>
          <w:rStyle w:val="FootnoteReference"/>
        </w:rPr>
        <w:footnoteReference w:id="32"/>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200"/>
        <w:gridCol w:w="1800"/>
      </w:tblGrid>
      <w:tr>
        <w:trPr>
          <w:tblHeader/>
        </w:trPr>
        <w:tc>
          <w:tcPr>
            <w:tcW w:type="dxa" w:w="43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Food</w:t>
            </w:r>
          </w:p>
        </w:tc>
        <w:tc>
          <w:tcPr>
            <w:tcW w:type="dxa" w:w="32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Safe minimum internal temperature</w:t>
            </w:r>
          </w:p>
        </w:tc>
        <w:tc>
          <w:tcPr>
            <w:tcW w:type="dxa" w:w="18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Required rest</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Beef, pork, veal, and lamb — steaks, chops, roasts (whole muscle)</w:t>
            </w:r>
          </w:p>
        </w:tc>
        <w:tc>
          <w:tcPr>
            <w:tcW w:type="dxa" w:w="3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 (63°C)</w:t>
            </w:r>
          </w:p>
        </w:tc>
        <w:tc>
          <w:tcPr>
            <w:tcW w:type="dxa" w:w="18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3 minutes</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Ground meats (beef, pork, veal, lamb)</w:t>
            </w:r>
          </w:p>
        </w:tc>
        <w:tc>
          <w:tcPr>
            <w:tcW w:type="dxa" w:w="3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160°F (71°C)</w:t>
            </w:r>
          </w:p>
        </w:tc>
        <w:tc>
          <w:tcPr>
            <w:tcW w:type="dxa" w:w="18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None specified</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All poultry — whole, parts, and ground</w:t>
            </w:r>
          </w:p>
        </w:tc>
        <w:tc>
          <w:tcPr>
            <w:tcW w:type="dxa" w:w="3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165°F (74°C)</w:t>
            </w:r>
          </w:p>
        </w:tc>
        <w:tc>
          <w:tcPr>
            <w:tcW w:type="dxa" w:w="18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None specified</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Fish and shellfish (finfish)</w:t>
            </w:r>
          </w:p>
        </w:tc>
        <w:tc>
          <w:tcPr>
            <w:tcW w:type="dxa" w:w="3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145°F (63°C)</w:t>
            </w:r>
          </w:p>
        </w:tc>
        <w:tc>
          <w:tcPr>
            <w:tcW w:type="dxa" w:w="18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None specified</w:t>
            </w:r>
          </w:p>
        </w:tc>
      </w:tr>
      <w:tr>
        <w:trPr>
          <w:tblHeader w:val="false"/>
        </w:trPr>
        <w:tc>
          <w:tcPr>
            <w:tcW w:type="dxa" w:w="43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Egg dishes</w:t>
            </w:r>
          </w:p>
        </w:tc>
        <w:tc>
          <w:tcPr>
            <w:tcW w:type="dxa" w:w="3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160°F (71°C)</w:t>
            </w:r>
          </w:p>
        </w:tc>
        <w:tc>
          <w:tcPr>
            <w:tcW w:type="dxa" w:w="18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None specified</w:t>
            </w:r>
          </w:p>
        </w:tc>
      </w:tr>
      <w:tr>
        <w:trPr>
          <w:tblHeader w:val="false"/>
        </w:trPr>
        <w:tc>
          <w:tcPr>
            <w:tcW w:type="dxa" w:w="43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Leftovers and casseroles (reheating)</w:t>
            </w:r>
          </w:p>
        </w:tc>
        <w:tc>
          <w:tcPr>
            <w:tcW w:type="dxa" w:w="3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165°F (74°C)</w:t>
            </w:r>
          </w:p>
        </w:tc>
        <w:tc>
          <w:tcPr>
            <w:tcW w:type="dxa" w:w="18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None specified</w:t>
            </w:r>
          </w:p>
        </w:tc>
      </w:tr>
    </w:tbl>
    <w:p>
      <w:pPr>
        <w:spacing w:after="200" w:before="60"/>
      </w:pPr>
      <w:r>
        <w:rPr>
          <w:rFonts w:ascii="Georgia" w:cs="Georgia" w:eastAsia="Georgia" w:hAnsi="Georgia"/>
          <w:b w:val="false"/>
          <w:bCs w:val="false"/>
          <w:i/>
          <w:iCs/>
          <w:caps w:val="false"/>
          <w:color w:val="5B5B52"/>
          <w:sz w:val="18"/>
          <w:szCs w:val="18"/>
        </w:rPr>
        <w:t xml:space="preserve">Table 5.1. USDA FSIS safe minimum internal temperatures. The three-minute rest specified for whole-muscle beef, pork, veal, and lamb is a safety hold, during which the temperature remains at or above 145°F and any surviving pathogens continue to be reduced. Goat, as a red meat, is conventionally treated under the whole-muscle red-meat and ground-meat thresholds. Source: USDA FSIS (Refs. 1, 4).</w:t>
      </w:r>
    </w:p>
    <w:p>
      <w:pPr>
        <w:pStyle w:val="Heading2"/>
        <w:spacing w:after="140" w:before="280"/>
      </w:pPr>
      <w:r>
        <w:rPr>
          <w:rFonts w:ascii="Georgia" w:cs="Georgia" w:eastAsia="Georgia" w:hAnsi="Georgia"/>
          <w:b/>
          <w:bCs/>
          <w:i w:val="false"/>
          <w:iCs w:val="false"/>
          <w:caps w:val="false"/>
          <w:color w:val="1A1A1A"/>
          <w:sz w:val="22"/>
          <w:szCs w:val="22"/>
        </w:rPr>
        <w:t xml:space="preserve">5.2 What happens to texture as temperature climbs</w:t>
      </w:r>
    </w:p>
    <w:p>
      <w:pPr>
        <w:spacing w:after="160" w:before="0" w:line="300"/>
        <w:jc w:val="both"/>
      </w:pPr>
      <w:r>
        <w:rPr>
          <w:rFonts w:ascii="Georgia" w:cs="Georgia" w:eastAsia="Georgia" w:hAnsi="Georgia"/>
          <w:color w:val="1A1A1A"/>
          <w:sz w:val="22"/>
          <w:szCs w:val="22"/>
        </w:rPr>
        <w:t xml:space="preserve">Heating muscle is a sequence of overlapping protein transitions. Myofibrillar proteins begin to denature and the meat firms; as temperature rises further, the collagen of connective tissue shrinks and squeezes out moisture, which is why an overcooked lean cut turns dry and tough. The thermal denaturation of meat proteins and its consequences for structure and quality have been characterized in detail by Tornberg and others,</w:t>
      </w:r>
      <w:r>
        <w:rPr>
          <w:rStyle w:val="FootnoteReference"/>
        </w:rPr>
        <w:footnoteReference w:id="33"/>
      </w:r>
      <w:r>
        <w:rPr>
          <w:rFonts w:ascii="Georgia" w:cs="Georgia" w:eastAsia="Georgia" w:hAnsi="Georgia"/>
          <w:color w:val="1A1A1A"/>
          <w:sz w:val="22"/>
          <w:szCs w:val="22"/>
        </w:rPr>
        <w:t xml:space="preserve"> and the relationship between core temperature, cooking method, and the resulting juiciness and tenderness of pork has been documented experimentally across a range of endpoints.</w:t>
      </w:r>
      <w:r>
        <w:rPr>
          <w:rStyle w:val="FootnoteReference"/>
        </w:rPr>
        <w:footnoteReference w:id="34"/>
        <w:footnoteReference w:id="35"/>
      </w:r>
      <w:r>
        <w:rPr>
          <w:rFonts w:ascii="Georgia" w:cs="Georgia" w:eastAsia="Georgia" w:hAnsi="Georgia"/>
          <w:color w:val="1A1A1A"/>
          <w:sz w:val="22"/>
          <w:szCs w:val="22"/>
        </w:rPr>
        <w:t xml:space="preserve"> For lean, tender cuts the implication is to cook to the lowest safe-and-palatable endpoint and no further; every additional degree past that point trades moisture for nothing.</w:t>
      </w:r>
    </w:p>
    <w:p>
      <w:pPr>
        <w:spacing w:after="160" w:before="0" w:line="300"/>
        <w:jc w:val="both"/>
      </w:pPr>
      <w:r>
        <w:rPr>
          <w:rFonts w:ascii="Georgia" w:cs="Georgia" w:eastAsia="Georgia" w:hAnsi="Georgia"/>
          <w:color w:val="1A1A1A"/>
          <w:sz w:val="22"/>
          <w:szCs w:val="22"/>
        </w:rPr>
        <w:t xml:space="preserve">Tough cuts rich in connective tissue follow a different logic, addressed in Section 6.3: their collagen must be held at elevated temperature long enough to hydrolyze into gelatin, which requires cooking well past the point of mere doneness and is the entire rationale for low-and-slow barbecue.</w:t>
      </w:r>
      <w:r>
        <w:rPr>
          <w:rStyle w:val="FootnoteReference"/>
        </w:rPr>
        <w:footnoteReference w:id="36"/>
        <w:footnoteReference w:id="37"/>
      </w:r>
    </w:p>
    <w:p>
      <w:pPr>
        <w:pStyle w:val="Heading2"/>
        <w:spacing w:after="140" w:before="280"/>
      </w:pPr>
      <w:r>
        <w:rPr>
          <w:rFonts w:ascii="Georgia" w:cs="Georgia" w:eastAsia="Georgia" w:hAnsi="Georgia"/>
          <w:b/>
          <w:bCs/>
          <w:i w:val="false"/>
          <w:iCs w:val="false"/>
          <w:caps w:val="false"/>
          <w:color w:val="1A1A1A"/>
          <w:sz w:val="22"/>
          <w:szCs w:val="22"/>
        </w:rPr>
        <w:t xml:space="preserve">5.3 Carryover cooking</w:t>
      </w:r>
    </w:p>
    <w:p>
      <w:pPr>
        <w:spacing w:after="160" w:before="0" w:line="300"/>
        <w:jc w:val="both"/>
      </w:pPr>
      <w:r>
        <w:rPr>
          <w:rFonts w:ascii="Georgia" w:cs="Georgia" w:eastAsia="Georgia" w:hAnsi="Georgia"/>
          <w:color w:val="1A1A1A"/>
          <w:sz w:val="22"/>
          <w:szCs w:val="22"/>
        </w:rPr>
        <w:t xml:space="preserve">Meat removed from heat does not immediately stop cooking. Heat already stored in the hot exterior continues to conduct inward down the temperature gradient, so the geometric center keeps rising for a period after the cut leaves the grill—commonly several degrees for a steak and more for a large roast. Competent cooks exploit this </w:t>
      </w:r>
      <w:r>
        <w:rPr>
          <w:rFonts w:ascii="Georgia" w:cs="Georgia" w:eastAsia="Georgia" w:hAnsi="Georgia"/>
          <w:b/>
          <w:bCs/>
          <w:i w:val="false"/>
          <w:iCs w:val="false"/>
          <w:caps w:val="false"/>
          <w:color w:val="1A1A1A"/>
          <w:sz w:val="22"/>
          <w:szCs w:val="22"/>
        </w:rPr>
        <w:t xml:space="preserve">carryover</w:t>
      </w:r>
      <w:r>
        <w:rPr>
          <w:rFonts w:ascii="Georgia" w:cs="Georgia" w:eastAsia="Georgia" w:hAnsi="Georgia"/>
          <w:color w:val="1A1A1A"/>
          <w:sz w:val="22"/>
          <w:szCs w:val="22"/>
        </w:rPr>
        <w:t xml:space="preserve"> by pulling meat from the heat a few degrees below the target endpoint and allowing it to coast to temperature during the rest. The magnitude of carryover scales with the mass of the cut and the steepness of the surface-to-center temperature gradient, so a thick roast seared hard overshoots more than a thin cut cooked gently. Controlled testing of resting and carryover supports planning for this rise rather than ignoring it.</w:t>
      </w:r>
      <w:r>
        <w:rPr>
          <w:rStyle w:val="FootnoteReference"/>
        </w:rPr>
        <w:footnoteReference w:id="38"/>
      </w:r>
    </w:p>
    <w:p>
      <w:pPr>
        <w:pStyle w:val="Heading2"/>
        <w:spacing w:after="140" w:before="280"/>
      </w:pPr>
      <w:r>
        <w:rPr>
          <w:rFonts w:ascii="Georgia" w:cs="Georgia" w:eastAsia="Georgia" w:hAnsi="Georgia"/>
          <w:b/>
          <w:bCs/>
          <w:i w:val="false"/>
          <w:iCs w:val="false"/>
          <w:caps w:val="false"/>
          <w:color w:val="1A1A1A"/>
          <w:sz w:val="22"/>
          <w:szCs w:val="22"/>
        </w:rPr>
        <w:t xml:space="preserve">5.4 Resting: what it does, and what it does not</w:t>
      </w:r>
    </w:p>
    <w:p>
      <w:pPr>
        <w:spacing w:after="160" w:before="0" w:line="300"/>
        <w:jc w:val="both"/>
      </w:pPr>
      <w:r>
        <w:rPr>
          <w:rFonts w:ascii="Georgia" w:cs="Georgia" w:eastAsia="Georgia" w:hAnsi="Georgia"/>
          <w:color w:val="1A1A1A"/>
          <w:sz w:val="22"/>
          <w:szCs w:val="22"/>
        </w:rPr>
        <w:t xml:space="preserve">The conventional instruction to rest meat after cooking is sound, but its usual justification—that juices “redistribute”—is only part of the story and is often overstated. The careful comparative work of Blonder and Goldwyn found that the difference in liquid lost between rested and unrested meat is real but modest, and that a principal benefit of a brief rest is simply that the meat cools slightly, which thickens the now-warmer juices and reduces the volume that runs out when the cut is sliced.</w:t>
      </w:r>
      <w:r>
        <w:rPr>
          <w:rStyle w:val="FootnoteReference"/>
        </w:rPr>
        <w:footnoteReference w:id="39"/>
      </w:r>
      <w:r>
        <w:rPr>
          <w:rFonts w:ascii="Georgia" w:cs="Georgia" w:eastAsia="Georgia" w:hAnsi="Georgia"/>
          <w:color w:val="1A1A1A"/>
          <w:sz w:val="22"/>
          <w:szCs w:val="22"/>
        </w:rPr>
        <w:t xml:space="preserve"> A short rest also makes very hot meat easier and safer to handle. The practical recommendation that emerges is a measured one: rest long enough to let carryover complete and the juices firm—minutes for a steak, longer for a roast—without resting so long that a carefully built crust goes soft and the meat drops below an appetizing serving temperature.</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The juiciness chain. </w:t>
            </w:r>
            <w:r>
              <w:rPr>
                <w:rFonts w:ascii="Georgia" w:cs="Georgia" w:eastAsia="Georgia" w:hAnsi="Georgia"/>
                <w:color w:val="1A1A1A"/>
                <w:sz w:val="22"/>
                <w:szCs w:val="22"/>
              </w:rPr>
              <w:t xml:space="preserve">Juiciness is built in this order: (1) buy a cut with adequate intramuscular fat for its intended use; (2) optionally brine to raise water-holding capacity; (3) cook to the lowest safe-and-palatable internal temperature, measured, not guessed; (4) account for carryover by pulling a few degrees early; (5) rest briefly. The sear contributes flavor, not moisture. Skipping the thermometer undermines every link after the second.</w:t>
            </w:r>
          </w:p>
        </w:tc>
      </w:tr>
    </w:tbl>
    <w:p>
      <w:r>
        <w:br w:type="page"/>
      </w:r>
    </w:p>
    <w:p>
      <w:pPr>
        <w:pStyle w:val="Heading1"/>
        <w:spacing w:after="200" w:before="360"/>
      </w:pPr>
      <w:bookmarkStart w:name="fire" w:id="1006"/>
      <w:r>
        <w:rPr>
          <w:rFonts w:ascii="Georgia" w:cs="Georgia" w:eastAsia="Georgia" w:hAnsi="Georgia"/>
          <w:b/>
          <w:bCs/>
          <w:i w:val="false"/>
          <w:iCs w:val="false"/>
          <w:caps w:val="false"/>
          <w:color w:val="1A1A1A"/>
          <w:sz w:val="22"/>
          <w:szCs w:val="22"/>
        </w:rPr>
        <w:t xml:space="preserve">6. Fire, Smoke, and Equipment: Grilling Versus Smoking</w:t>
      </w:r>
      <w:bookmarkEnd w:id="1006"/>
    </w:p>
    <w:p>
      <w:pPr>
        <w:spacing w:after="160" w:before="0" w:line="300"/>
        <w:jc w:val="both"/>
      </w:pPr>
      <w:r>
        <w:rPr>
          <w:rFonts w:ascii="Georgia" w:cs="Georgia" w:eastAsia="Georgia" w:hAnsi="Georgia"/>
          <w:color w:val="1A1A1A"/>
          <w:sz w:val="22"/>
          <w:szCs w:val="22"/>
        </w:rPr>
        <w:t xml:space="preserve">Grilling and smoking are often spoken of together, but thermodynamically they are nearly opposite techniques that happen to share a fuel. Grilling cooks small, tender items quickly with intense radiant and conductive heat; smoking cooks large, tough items slowly in a hot-air environment, using time and gentle temperature to transform connective tissue while a thin stream of wood smoke deposits flavor. Mastery of outdoor cooking is largely the mastery of choosing between—and combining—these two regimes, which is the conceptual key to the merged method of Section 11.</w:t>
      </w:r>
    </w:p>
    <w:p>
      <w:pPr>
        <w:pStyle w:val="Heading2"/>
        <w:spacing w:after="140" w:before="280"/>
      </w:pPr>
      <w:r>
        <w:rPr>
          <w:rFonts w:ascii="Georgia" w:cs="Georgia" w:eastAsia="Georgia" w:hAnsi="Georgia"/>
          <w:b/>
          <w:bCs/>
          <w:i w:val="false"/>
          <w:iCs w:val="false"/>
          <w:caps w:val="false"/>
          <w:color w:val="1A1A1A"/>
          <w:sz w:val="22"/>
          <w:szCs w:val="22"/>
        </w:rPr>
        <w:t xml:space="preserve">6.1 Direct, indirect, and the two-zone fire</w:t>
      </w:r>
    </w:p>
    <w:p>
      <w:pPr>
        <w:spacing w:after="160" w:before="0" w:line="300"/>
        <w:jc w:val="both"/>
      </w:pPr>
      <w:r>
        <w:rPr>
          <w:rFonts w:ascii="Georgia" w:cs="Georgia" w:eastAsia="Georgia" w:hAnsi="Georgia"/>
          <w:color w:val="1A1A1A"/>
          <w:sz w:val="22"/>
          <w:szCs w:val="22"/>
        </w:rPr>
        <w:t xml:space="preserve">The foundational technique of competent grilling is the establishment of distinct heat zones. In a </w:t>
      </w:r>
      <w:r>
        <w:rPr>
          <w:rFonts w:ascii="Georgia" w:cs="Georgia" w:eastAsia="Georgia" w:hAnsi="Georgia"/>
          <w:b/>
          <w:bCs/>
          <w:i w:val="false"/>
          <w:iCs w:val="false"/>
          <w:caps w:val="false"/>
          <w:color w:val="1A1A1A"/>
          <w:sz w:val="22"/>
          <w:szCs w:val="22"/>
        </w:rPr>
        <w:t xml:space="preserve">direct-heat</w:t>
      </w:r>
      <w:r>
        <w:rPr>
          <w:rFonts w:ascii="Georgia" w:cs="Georgia" w:eastAsia="Georgia" w:hAnsi="Georgia"/>
          <w:color w:val="1A1A1A"/>
          <w:sz w:val="22"/>
          <w:szCs w:val="22"/>
        </w:rPr>
        <w:t xml:space="preserve"> zone the food sits immediately above the fire and cooks rapidly by radiation and conduction; this is where searing and the Maillard crust are built. In an </w:t>
      </w:r>
      <w:r>
        <w:rPr>
          <w:rFonts w:ascii="Georgia" w:cs="Georgia" w:eastAsia="Georgia" w:hAnsi="Georgia"/>
          <w:b/>
          <w:bCs/>
          <w:i w:val="false"/>
          <w:iCs w:val="false"/>
          <w:caps w:val="false"/>
          <w:color w:val="1A1A1A"/>
          <w:sz w:val="22"/>
          <w:szCs w:val="22"/>
        </w:rPr>
        <w:t xml:space="preserve">indirect-heat</w:t>
      </w:r>
      <w:r>
        <w:rPr>
          <w:rFonts w:ascii="Georgia" w:cs="Georgia" w:eastAsia="Georgia" w:hAnsi="Georgia"/>
          <w:color w:val="1A1A1A"/>
          <w:sz w:val="22"/>
          <w:szCs w:val="22"/>
        </w:rPr>
        <w:t xml:space="preserve"> zone the food sits away from the fire and cooks more gently in circulating hot air, more like an oven; this is where thick cuts finish without their exteriors scorching, and where smoking happens. Arranging a grill so that both zones exist simultaneously—the </w:t>
      </w:r>
      <w:r>
        <w:rPr>
          <w:rFonts w:ascii="Georgia" w:cs="Georgia" w:eastAsia="Georgia" w:hAnsi="Georgia"/>
          <w:b/>
          <w:bCs/>
          <w:i w:val="false"/>
          <w:iCs w:val="false"/>
          <w:caps w:val="false"/>
          <w:color w:val="1A1A1A"/>
          <w:sz w:val="22"/>
          <w:szCs w:val="22"/>
        </w:rPr>
        <w:t xml:space="preserve">two-zone fire</w:t>
      </w:r>
      <w:r>
        <w:rPr>
          <w:rFonts w:ascii="Georgia" w:cs="Georgia" w:eastAsia="Georgia" w:hAnsi="Georgia"/>
          <w:color w:val="1A1A1A"/>
          <w:sz w:val="22"/>
          <w:szCs w:val="22"/>
        </w:rPr>
        <w:t xml:space="preserve">—gives the cook a place to develop crust and a place of refuge to which food can be moved when its surface is browning faster than its interior is cooking. This single arrangement solves the most common grilling failure, the charred-outside-raw-inside result, and is endorsed across the applied-grilling literature.</w:t>
      </w:r>
      <w:r>
        <w:rPr>
          <w:rStyle w:val="FootnoteReference"/>
        </w:rPr>
        <w:footnoteReference w:id="40"/>
        <w:footnoteReference w:id="41"/>
      </w:r>
    </w:p>
    <w:p>
      <w:pPr>
        <w:spacing w:after="160" w:before="0" w:line="300"/>
        <w:jc w:val="both"/>
      </w:pPr>
      <w:r>
        <w:rPr>
          <w:rFonts w:ascii="Georgia" w:cs="Georgia" w:eastAsia="Georgia" w:hAnsi="Georgia"/>
          <w:color w:val="1A1A1A"/>
          <w:sz w:val="22"/>
          <w:szCs w:val="22"/>
        </w:rPr>
        <w:t xml:space="preserve">A multi-burner gas grill makes zoning trivial: some burners are set high for the direct zone and others low or off for the indirect zone. A grill whose burners are all set to a single equalized level can still cook well, but it sacrifices the indirect refuge; the cook then manages an overshooting exterior only by removing food from the heat entirely. For thin, quick-cooking pieces this is often acceptable; for thick cuts it is a liability, which is why the merged method preserves explicit zones even on a gas grill.</w:t>
      </w:r>
    </w:p>
    <w:p>
      <w:pPr>
        <w:pStyle w:val="Heading2"/>
        <w:spacing w:after="140" w:before="280"/>
      </w:pPr>
      <w:r>
        <w:rPr>
          <w:rFonts w:ascii="Georgia" w:cs="Georgia" w:eastAsia="Georgia" w:hAnsi="Georgia"/>
          <w:b/>
          <w:bCs/>
          <w:i w:val="false"/>
          <w:iCs w:val="false"/>
          <w:caps w:val="false"/>
          <w:color w:val="1A1A1A"/>
          <w:sz w:val="22"/>
          <w:szCs w:val="22"/>
        </w:rPr>
        <w:t xml:space="preserve">6.2 Fuel: charcoal, gas, and wood</w:t>
      </w:r>
    </w:p>
    <w:p>
      <w:pPr>
        <w:spacing w:after="160" w:before="0" w:line="300"/>
        <w:jc w:val="both"/>
      </w:pPr>
      <w:r>
        <w:rPr>
          <w:rFonts w:ascii="Georgia" w:cs="Georgia" w:eastAsia="Georgia" w:hAnsi="Georgia"/>
          <w:color w:val="1A1A1A"/>
          <w:sz w:val="22"/>
          <w:szCs w:val="22"/>
        </w:rPr>
        <w:t xml:space="preserve">The three principal outdoor fuels differ in convenience, achievable temperature, and flavor contribution. </w:t>
      </w:r>
      <w:r>
        <w:rPr>
          <w:rFonts w:ascii="Georgia" w:cs="Georgia" w:eastAsia="Georgia" w:hAnsi="Georgia"/>
          <w:b/>
          <w:bCs/>
          <w:i w:val="false"/>
          <w:iCs w:val="false"/>
          <w:caps w:val="false"/>
          <w:color w:val="1A1A1A"/>
          <w:sz w:val="22"/>
          <w:szCs w:val="22"/>
        </w:rPr>
        <w:t xml:space="preserve">Lump hardwood charcoal</w:t>
      </w:r>
      <w:r>
        <w:rPr>
          <w:rFonts w:ascii="Georgia" w:cs="Georgia" w:eastAsia="Georgia" w:hAnsi="Georgia"/>
          <w:color w:val="1A1A1A"/>
          <w:sz w:val="22"/>
          <w:szCs w:val="22"/>
        </w:rPr>
        <w:t xml:space="preserve"> burns hot and clean and imparts a mild charcoal character; </w:t>
      </w:r>
      <w:r>
        <w:rPr>
          <w:rFonts w:ascii="Georgia" w:cs="Georgia" w:eastAsia="Georgia" w:hAnsi="Georgia"/>
          <w:b/>
          <w:bCs/>
          <w:i w:val="false"/>
          <w:iCs w:val="false"/>
          <w:caps w:val="false"/>
          <w:color w:val="1A1A1A"/>
          <w:sz w:val="22"/>
          <w:szCs w:val="22"/>
        </w:rPr>
        <w:t xml:space="preserve">charcoal briquettes</w:t>
      </w:r>
      <w:r>
        <w:rPr>
          <w:rFonts w:ascii="Georgia" w:cs="Georgia" w:eastAsia="Georgia" w:hAnsi="Georgia"/>
          <w:color w:val="1A1A1A"/>
          <w:sz w:val="22"/>
          <w:szCs w:val="22"/>
        </w:rPr>
        <w:t xml:space="preserve"> burn more uniformly and predictably but contain binders and burn slightly cooler. </w:t>
      </w:r>
      <w:r>
        <w:rPr>
          <w:rFonts w:ascii="Georgia" w:cs="Georgia" w:eastAsia="Georgia" w:hAnsi="Georgia"/>
          <w:b/>
          <w:bCs/>
          <w:i w:val="false"/>
          <w:iCs w:val="false"/>
          <w:caps w:val="false"/>
          <w:color w:val="1A1A1A"/>
          <w:sz w:val="22"/>
          <w:szCs w:val="22"/>
        </w:rPr>
        <w:t xml:space="preserve">Propane (and natural gas)</w:t>
      </w:r>
      <w:r>
        <w:rPr>
          <w:rFonts w:ascii="Georgia" w:cs="Georgia" w:eastAsia="Georgia" w:hAnsi="Georgia"/>
          <w:color w:val="1A1A1A"/>
          <w:sz w:val="22"/>
          <w:szCs w:val="22"/>
        </w:rPr>
        <w:t xml:space="preserve"> offers unmatched control and convenience and contributes essentially no flavor of its own, which is why purists supplement it with wood when smoke character is wanted. </w:t>
      </w:r>
      <w:r>
        <w:rPr>
          <w:rFonts w:ascii="Georgia" w:cs="Georgia" w:eastAsia="Georgia" w:hAnsi="Georgia"/>
          <w:b/>
          <w:bCs/>
          <w:i w:val="false"/>
          <w:iCs w:val="false"/>
          <w:caps w:val="false"/>
          <w:color w:val="1A1A1A"/>
          <w:sz w:val="22"/>
          <w:szCs w:val="22"/>
        </w:rPr>
        <w:t xml:space="preserve">Wood</w:t>
      </w:r>
      <w:r>
        <w:rPr>
          <w:rFonts w:ascii="Georgia" w:cs="Georgia" w:eastAsia="Georgia" w:hAnsi="Georgia"/>
          <w:color w:val="1A1A1A"/>
          <w:sz w:val="22"/>
          <w:szCs w:val="22"/>
        </w:rPr>
        <w:t xml:space="preserve">—as logs in a stick-burning smoker, or as chunks and chips added to a charcoal or gas fire—serves primarily as a flavor source rather than a primary heat source in most home contexts.</w:t>
      </w:r>
      <w:r>
        <w:rPr>
          <w:rStyle w:val="FootnoteReference"/>
        </w:rPr>
        <w:footnoteReference w:id="42"/>
      </w:r>
      <w:r>
        <w:rPr>
          <w:rFonts w:ascii="Georgia" w:cs="Georgia" w:eastAsia="Georgia" w:hAnsi="Georgia"/>
          <w:color w:val="1A1A1A"/>
          <w:sz w:val="22"/>
          <w:szCs w:val="22"/>
        </w:rPr>
        <w:t xml:space="preserve"> A practical and inexpensive technique on a gas grill is a foil pouch or metal box of wood chips placed over a lit burner, which smolders and supplies smoke without converting the grill into a dedicated smoker.</w:t>
      </w:r>
    </w:p>
    <w:p>
      <w:pPr>
        <w:pStyle w:val="Heading2"/>
        <w:spacing w:after="140" w:before="280"/>
      </w:pPr>
      <w:r>
        <w:rPr>
          <w:rFonts w:ascii="Georgia" w:cs="Georgia" w:eastAsia="Georgia" w:hAnsi="Georgia"/>
          <w:b/>
          <w:bCs/>
          <w:i w:val="false"/>
          <w:iCs w:val="false"/>
          <w:caps w:val="false"/>
          <w:color w:val="1A1A1A"/>
          <w:sz w:val="22"/>
          <w:szCs w:val="22"/>
        </w:rPr>
        <w:t xml:space="preserve">6.3 Low-and-slow: collagen, time, and the transformation of tough cuts</w:t>
      </w:r>
    </w:p>
    <w:p>
      <w:pPr>
        <w:spacing w:after="160" w:before="0" w:line="300"/>
        <w:jc w:val="both"/>
      </w:pPr>
      <w:r>
        <w:rPr>
          <w:rFonts w:ascii="Georgia" w:cs="Georgia" w:eastAsia="Georgia" w:hAnsi="Georgia"/>
          <w:color w:val="1A1A1A"/>
          <w:sz w:val="22"/>
          <w:szCs w:val="22"/>
        </w:rPr>
        <w:t xml:space="preserve">The defining achievement of American barbecue—turning brisket, pork shoulder, and ribs from intractably tough to lusciously tender—rests on the thermal behavior of collagen. The connective tissue that makes these cuts tough is largely collagen, which on slow heating in the presence of moisture hydrolyzes into gelatin, lubricating the meat and producing the characteristic succulence of properly barbecued cuts. This conversion proceeds meaningfully only at elevated temperatures held over long periods; it cannot be rushed, which is the entire reason barbecue is cooked “low and slow” for many hours rather than quickly.</w:t>
      </w:r>
      <w:r>
        <w:rPr>
          <w:rStyle w:val="FootnoteReference"/>
        </w:rPr>
        <w:footnoteReference w:id="43"/>
        <w:footnoteReference w:id="44"/>
      </w:r>
      <w:r>
        <w:rPr>
          <w:rFonts w:ascii="Georgia" w:cs="Georgia" w:eastAsia="Georgia" w:hAnsi="Georgia"/>
          <w:color w:val="1A1A1A"/>
          <w:sz w:val="22"/>
          <w:szCs w:val="22"/>
        </w:rPr>
        <w:t xml:space="preserve"> The role of intramuscular connective tissue in meat quality, and the temperature-dependence of its breakdown, are well established in the meat-science literature.</w:t>
      </w:r>
      <w:r>
        <w:rPr>
          <w:rStyle w:val="FootnoteReference"/>
        </w:rPr>
        <w:footnoteReference w:id="45"/>
      </w:r>
    </w:p>
    <w:p>
      <w:pPr>
        <w:pStyle w:val="Heading2"/>
        <w:spacing w:after="140" w:before="280"/>
      </w:pPr>
      <w:r>
        <w:rPr>
          <w:rFonts w:ascii="Georgia" w:cs="Georgia" w:eastAsia="Georgia" w:hAnsi="Georgia"/>
          <w:b/>
          <w:bCs/>
          <w:i w:val="false"/>
          <w:iCs w:val="false"/>
          <w:caps w:val="false"/>
          <w:color w:val="1A1A1A"/>
          <w:sz w:val="22"/>
          <w:szCs w:val="22"/>
        </w:rPr>
        <w:t xml:space="preserve">6.4 The chemistry of smoke—and the smoke ring</w:t>
      </w:r>
    </w:p>
    <w:p>
      <w:pPr>
        <w:spacing w:after="160" w:before="0" w:line="300"/>
        <w:jc w:val="both"/>
      </w:pPr>
      <w:r>
        <w:rPr>
          <w:rFonts w:ascii="Georgia" w:cs="Georgia" w:eastAsia="Georgia" w:hAnsi="Georgia"/>
          <w:color w:val="1A1A1A"/>
          <w:sz w:val="22"/>
          <w:szCs w:val="22"/>
        </w:rPr>
        <w:t xml:space="preserve">Wood smoke is a complex aerosol, and its flavor contribution comes principally from phenolic compounds—guaiacol and syringol prominent among them—generated by the thermal decomposition of lignin in the wood.</w:t>
      </w:r>
      <w:r>
        <w:rPr>
          <w:rStyle w:val="FootnoteReference"/>
        </w:rPr>
        <w:footnoteReference w:id="46"/>
      </w:r>
      <w:r>
        <w:rPr>
          <w:rFonts w:ascii="Georgia" w:cs="Georgia" w:eastAsia="Georgia" w:hAnsi="Georgia"/>
          <w:color w:val="1A1A1A"/>
          <w:sz w:val="22"/>
          <w:szCs w:val="22"/>
        </w:rPr>
        <w:t xml:space="preserve"> The much-prized “thin blue smoke” of barbecue practice corresponds to relatively clean combustion producing these desirable aromatics; thick, white or gray smoke from smoldering or oxygen-starved wood deposits acrid compounds and creosote and is a flavor defect, not a virtue. Wood species vary in intensity—oak and fruitwoods are comparatively mild, hickory stronger, and mesquite strongest—allowing the cook to match smoke intensity to the food.</w:t>
      </w:r>
    </w:p>
    <w:p>
      <w:pPr>
        <w:spacing w:after="160" w:before="0" w:line="300"/>
        <w:jc w:val="both"/>
      </w:pPr>
      <w:r>
        <w:rPr>
          <w:rFonts w:ascii="Georgia" w:cs="Georgia" w:eastAsia="Georgia" w:hAnsi="Georgia"/>
          <w:color w:val="1A1A1A"/>
          <w:sz w:val="22"/>
          <w:szCs w:val="22"/>
        </w:rPr>
        <w:t xml:space="preserve">The pink “smoke ring” just beneath the surface of barbecued meat is widely misunderstood as the literal mark of smoke penetration. Controlled investigation shows that it is in fact a chemical reaction: nitric oxide and carbon monoxide, produced during combustion, react with the meat's myoglobin to fix it in a pink form near the surface, where gas penetration is sufficient. Notably, the ring can be produced without wood smoke at all and is therefore an indicator of a particular gaseous chemistry rather than of smoke flavor or of quality per se.</w:t>
      </w:r>
      <w:r>
        <w:rPr>
          <w:rStyle w:val="FootnoteReference"/>
        </w:rPr>
        <w:footnoteReference w:id="47"/>
      </w:r>
      <w:r>
        <w:rPr>
          <w:rFonts w:ascii="Georgia" w:cs="Georgia" w:eastAsia="Georgia" w:hAnsi="Georgia"/>
          <w:color w:val="1A1A1A"/>
          <w:sz w:val="22"/>
          <w:szCs w:val="22"/>
        </w:rPr>
        <w:t xml:space="preserve"> This is a useful corrective: a cook should chase flavor and tenderness, not the cosmetic ring.</w:t>
      </w:r>
    </w:p>
    <w:p>
      <w:pPr>
        <w:pStyle w:val="Heading2"/>
        <w:spacing w:after="140" w:before="280"/>
      </w:pPr>
      <w:r>
        <w:rPr>
          <w:rFonts w:ascii="Georgia" w:cs="Georgia" w:eastAsia="Georgia" w:hAnsi="Georgia"/>
          <w:b/>
          <w:bCs/>
          <w:i w:val="false"/>
          <w:iCs w:val="false"/>
          <w:caps w:val="false"/>
          <w:color w:val="1A1A1A"/>
          <w:sz w:val="22"/>
          <w:szCs w:val="22"/>
        </w:rPr>
        <w:t xml:space="preserve">6.5 Smoke and safety</w:t>
      </w:r>
    </w:p>
    <w:p>
      <w:pPr>
        <w:spacing w:after="160" w:before="0" w:line="300"/>
        <w:jc w:val="both"/>
      </w:pPr>
      <w:r>
        <w:rPr>
          <w:rFonts w:ascii="Georgia" w:cs="Georgia" w:eastAsia="Georgia" w:hAnsi="Georgia"/>
          <w:color w:val="1A1A1A"/>
          <w:sz w:val="22"/>
          <w:szCs w:val="22"/>
        </w:rPr>
        <w:t xml:space="preserve">Because smoking exposes food to the products of combustion, a complete account notes the formation of polycyclic aromatic hydrocarbons (PAHs) during smoking, the processing factors that influence their levels, and the methods—cleaner combustion, avoidance of direct contact with flame and dripping-fat smoke, and control of temperature—that reduce them.</w:t>
      </w:r>
      <w:r>
        <w:rPr>
          <w:rStyle w:val="FootnoteReference"/>
        </w:rPr>
        <w:footnoteReference w:id="48"/>
        <w:footnoteReference w:id="49"/>
      </w:r>
      <w:r>
        <w:rPr>
          <w:rFonts w:ascii="Georgia" w:cs="Georgia" w:eastAsia="Georgia" w:hAnsi="Georgia"/>
          <w:color w:val="1A1A1A"/>
          <w:sz w:val="22"/>
          <w:szCs w:val="22"/>
        </w:rPr>
        <w:t xml:space="preserve"> For the home cook these risks are managed, not eliminated, by favoring clean thin smoke over acrid smoke, avoiding fat flare-ups and gross charring, and not treating heavily blackened bark as a goal. The flavor benefits of well-managed smoke are real; so is the value of managing combustion cleanly.</w:t>
      </w:r>
    </w:p>
    <w:p>
      <w:r>
        <w:br w:type="page"/>
      </w:r>
    </w:p>
    <w:p>
      <w:pPr>
        <w:pStyle w:val="Heading1"/>
        <w:spacing w:after="200" w:before="360"/>
      </w:pPr>
      <w:bookmarkStart w:name="nutrition" w:id="1007"/>
      <w:r>
        <w:rPr>
          <w:rFonts w:ascii="Georgia" w:cs="Georgia" w:eastAsia="Georgia" w:hAnsi="Georgia"/>
          <w:b/>
          <w:bCs/>
          <w:i w:val="false"/>
          <w:iCs w:val="false"/>
          <w:caps w:val="false"/>
          <w:color w:val="1A1A1A"/>
          <w:sz w:val="22"/>
          <w:szCs w:val="22"/>
        </w:rPr>
        <w:t xml:space="preserve">7. Nutrient Density and the Synergies of Absorption</w:t>
      </w:r>
      <w:bookmarkEnd w:id="1007"/>
    </w:p>
    <w:p>
      <w:pPr>
        <w:spacing w:after="160" w:before="0" w:line="300"/>
        <w:jc w:val="both"/>
      </w:pPr>
      <w:r>
        <w:rPr>
          <w:rFonts w:ascii="Georgia" w:cs="Georgia" w:eastAsia="Georgia" w:hAnsi="Georgia"/>
          <w:color w:val="1A1A1A"/>
          <w:sz w:val="22"/>
          <w:szCs w:val="22"/>
        </w:rPr>
        <w:t xml:space="preserve">A food's value to the body is not captured by calories alone, nor even by the nutrients it nominally contains. What matters is the quantity of beneficial nutrients delivered per unit of energy, and—crucially—how much of those nutrients the body can actually absorb, which depends heavily on what the food is eaten with. This section develops both ideas, because together they explain why certain pairings of meat and plant are not merely traditional but biochemically advantageous.</w:t>
      </w:r>
    </w:p>
    <w:p>
      <w:pPr>
        <w:pStyle w:val="Heading2"/>
        <w:spacing w:after="140" w:before="280"/>
      </w:pPr>
      <w:r>
        <w:rPr>
          <w:rFonts w:ascii="Georgia" w:cs="Georgia" w:eastAsia="Georgia" w:hAnsi="Georgia"/>
          <w:b/>
          <w:bCs/>
          <w:i w:val="false"/>
          <w:iCs w:val="false"/>
          <w:caps w:val="false"/>
          <w:color w:val="1A1A1A"/>
          <w:sz w:val="22"/>
          <w:szCs w:val="22"/>
        </w:rPr>
        <w:t xml:space="preserve">7.1 The concept of nutrient density</w:t>
      </w:r>
    </w:p>
    <w:p>
      <w:pPr>
        <w:spacing w:after="160" w:before="0" w:line="300"/>
        <w:jc w:val="both"/>
      </w:pPr>
      <w:r>
        <w:rPr>
          <w:rFonts w:ascii="Georgia" w:cs="Georgia" w:eastAsia="Georgia" w:hAnsi="Georgia"/>
          <w:color w:val="1A1A1A"/>
          <w:sz w:val="22"/>
          <w:szCs w:val="22"/>
        </w:rPr>
        <w:t xml:space="preserve">Nutrient density expresses the concentration of beneficial nutrients relative to energy content. Drewnowski's foundational work formalized the idea of a nutrient-density score as a basis for defining a “nutritious” food,</w:t>
      </w:r>
      <w:r>
        <w:rPr>
          <w:rStyle w:val="FootnoteReference"/>
        </w:rPr>
        <w:footnoteReference w:id="50"/>
      </w:r>
      <w:r>
        <w:rPr>
          <w:rFonts w:ascii="Georgia" w:cs="Georgia" w:eastAsia="Georgia" w:hAnsi="Georgia"/>
          <w:color w:val="1A1A1A"/>
          <w:sz w:val="22"/>
          <w:szCs w:val="22"/>
        </w:rPr>
        <w:t xml:space="preserve"> and Di Noia operationalized it memorably for fruits and vegetables, defining “powerhouse” foods as those providing, on average, at least ten percent of the daily value across seventeen qualifying nutrients per hundred kilocalories. Of forty-seven candidate foods, forty-one met the threshold, with watercress, Chinese cabbage, chard, beet greens, and spinach at the top of the ranking—a result that elevates leafy greens and cruciferous vegetables as exceptionally efficient nutrient sources.</w:t>
      </w:r>
      <w:r>
        <w:rPr>
          <w:rStyle w:val="FootnoteReference"/>
        </w:rPr>
        <w:footnoteReference w:id="51"/>
      </w:r>
    </w:p>
    <w:p>
      <w:pPr>
        <w:spacing w:after="160" w:before="0" w:line="300"/>
        <w:jc w:val="both"/>
      </w:pPr>
      <w:r>
        <w:rPr>
          <w:rFonts w:ascii="Georgia" w:cs="Georgia" w:eastAsia="Georgia" w:hAnsi="Georgia"/>
          <w:color w:val="1A1A1A"/>
          <w:sz w:val="22"/>
          <w:szCs w:val="22"/>
        </w:rPr>
        <w:t xml:space="preserve">The concept extends naturally to animal foods. Eggs, ruminant liver and muscle, and dairy deliver complete protein and a suite of vitamins and minerals—vitamin B12, heme iron, zinc, choline—at modest caloric cost and in highly bioavailable forms. National dietary-intake analyses underscore how dependent the population is on a relatively small set of nutrient-dense foods, fortificants, and supplements for adequacy of several key micronutrients.</w:t>
      </w:r>
      <w:r>
        <w:rPr>
          <w:rStyle w:val="FootnoteReference"/>
        </w:rPr>
        <w:footnoteReference w:id="52"/>
      </w:r>
      <w:r>
        <w:rPr>
          <w:rFonts w:ascii="Georgia" w:cs="Georgia" w:eastAsia="Georgia" w:hAnsi="Georgia"/>
          <w:color w:val="1A1A1A"/>
          <w:sz w:val="22"/>
          <w:szCs w:val="22"/>
        </w:rPr>
        <w:t xml:space="preserve"> The practical lesson is that a plate combining a nutrient-dense animal protein with nutrient-dense vegetables is, in caloric terms, an efficient delivery vehicle for a broad nutrient spectrum.</w:t>
      </w:r>
    </w:p>
    <w:p>
      <w:pPr>
        <w:pStyle w:val="Heading2"/>
        <w:spacing w:after="140" w:before="280"/>
      </w:pPr>
      <w:r>
        <w:rPr>
          <w:rFonts w:ascii="Georgia" w:cs="Georgia" w:eastAsia="Georgia" w:hAnsi="Georgia"/>
          <w:b/>
          <w:bCs/>
          <w:i w:val="false"/>
          <w:iCs w:val="false"/>
          <w:caps w:val="false"/>
          <w:color w:val="1A1A1A"/>
          <w:sz w:val="22"/>
          <w:szCs w:val="22"/>
        </w:rPr>
        <w:t xml:space="preserve">7.2 Iron and the ascorbate synergy</w:t>
      </w:r>
    </w:p>
    <w:p>
      <w:pPr>
        <w:spacing w:after="160" w:before="0" w:line="300"/>
        <w:jc w:val="both"/>
      </w:pPr>
      <w:r>
        <w:rPr>
          <w:rFonts w:ascii="Georgia" w:cs="Georgia" w:eastAsia="Georgia" w:hAnsi="Georgia"/>
          <w:color w:val="1A1A1A"/>
          <w:sz w:val="22"/>
          <w:szCs w:val="22"/>
        </w:rPr>
        <w:t xml:space="preserve">Dietary iron exists in two forms with very different absorption behavior. </w:t>
      </w:r>
      <w:r>
        <w:rPr>
          <w:rFonts w:ascii="Georgia" w:cs="Georgia" w:eastAsia="Georgia" w:hAnsi="Georgia"/>
          <w:b/>
          <w:bCs/>
          <w:i w:val="false"/>
          <w:iCs w:val="false"/>
          <w:caps w:val="false"/>
          <w:color w:val="1A1A1A"/>
          <w:sz w:val="22"/>
          <w:szCs w:val="22"/>
        </w:rPr>
        <w:t xml:space="preserve">Heme iron</w:t>
      </w:r>
      <w:r>
        <w:rPr>
          <w:rFonts w:ascii="Georgia" w:cs="Georgia" w:eastAsia="Georgia" w:hAnsi="Georgia"/>
          <w:color w:val="1A1A1A"/>
          <w:sz w:val="22"/>
          <w:szCs w:val="22"/>
        </w:rPr>
        <w:t xml:space="preserve">, found in meat, poultry, and fish, is absorbed efficiently and relatively independently of the rest of the meal. </w:t>
      </w:r>
      <w:r>
        <w:rPr>
          <w:rFonts w:ascii="Georgia" w:cs="Georgia" w:eastAsia="Georgia" w:hAnsi="Georgia"/>
          <w:b/>
          <w:bCs/>
          <w:i w:val="false"/>
          <w:iCs w:val="false"/>
          <w:caps w:val="false"/>
          <w:color w:val="1A1A1A"/>
          <w:sz w:val="22"/>
          <w:szCs w:val="22"/>
        </w:rPr>
        <w:t xml:space="preserve">Non-heme iron</w:t>
      </w:r>
      <w:r>
        <w:rPr>
          <w:rFonts w:ascii="Georgia" w:cs="Georgia" w:eastAsia="Georgia" w:hAnsi="Georgia"/>
          <w:color w:val="1A1A1A"/>
          <w:sz w:val="22"/>
          <w:szCs w:val="22"/>
        </w:rPr>
        <w:t xml:space="preserve">, the form in plants, eggs, and dairy, is absorbed far less efficiently and its uptake is strongly modulated by other meal components: it is inhibited by phytates and certain polyphenols and </w:t>
      </w:r>
      <w:r>
        <w:rPr>
          <w:rFonts w:ascii="Georgia" w:cs="Georgia" w:eastAsia="Georgia" w:hAnsi="Georgia"/>
          <w:b/>
          <w:bCs/>
          <w:i w:val="false"/>
          <w:iCs w:val="false"/>
          <w:caps w:val="false"/>
          <w:color w:val="1A1A1A"/>
          <w:sz w:val="22"/>
          <w:szCs w:val="22"/>
        </w:rPr>
        <w:t xml:space="preserve">markedly enhanced by vitamin C</w:t>
      </w:r>
      <w:r>
        <w:rPr>
          <w:rFonts w:ascii="Georgia" w:cs="Georgia" w:eastAsia="Georgia" w:hAnsi="Georgia"/>
          <w:color w:val="1A1A1A"/>
          <w:sz w:val="22"/>
          <w:szCs w:val="22"/>
        </w:rPr>
        <w:t xml:space="preserve">. The mechanism is well characterized—ascorbic acid reduces ferric to the more soluble ferrous iron and forms an absorbable complex with it, counteracting the inhibitors.</w:t>
      </w:r>
      <w:r>
        <w:rPr>
          <w:rStyle w:val="FootnoteReference"/>
        </w:rPr>
        <w:footnoteReference w:id="53"/>
        <w:footnoteReference w:id="54"/>
      </w:r>
    </w:p>
    <w:p>
      <w:pPr>
        <w:spacing w:after="160" w:before="0" w:line="300"/>
        <w:jc w:val="both"/>
      </w:pPr>
      <w:r>
        <w:rPr>
          <w:rFonts w:ascii="Georgia" w:cs="Georgia" w:eastAsia="Georgia" w:hAnsi="Georgia"/>
          <w:color w:val="1A1A1A"/>
          <w:sz w:val="22"/>
          <w:szCs w:val="22"/>
        </w:rPr>
        <w:t xml:space="preserve">The magnitude is substantial. Classic absorption studies demonstrated that ascorbate can multiply non-heme iron absorption several-fold and can overcome the inhibitory effect of phytate in a dose-dependent manner.</w:t>
      </w:r>
      <w:r>
        <w:rPr>
          <w:rStyle w:val="FootnoteReference"/>
        </w:rPr>
        <w:footnoteReference w:id="55"/>
        <w:footnoteReference w:id="56"/>
      </w:r>
      <w:r>
        <w:rPr>
          <w:rFonts w:ascii="Georgia" w:cs="Georgia" w:eastAsia="Georgia" w:hAnsi="Georgia"/>
          <w:color w:val="1A1A1A"/>
          <w:sz w:val="22"/>
          <w:szCs w:val="22"/>
        </w:rPr>
        <w:t xml:space="preserve"> Hurrell and Egli's review, prepared in support of dietary reference values, confirms vitamin C as the most potent enhancer of non-heme iron absorption and discusses its practical use in improving iron status from mixed diets.</w:t>
      </w:r>
      <w:r>
        <w:rPr>
          <w:rStyle w:val="FootnoteReference"/>
        </w:rPr>
        <w:footnoteReference w:id="57"/>
      </w:r>
      <w:r>
        <w:rPr>
          <w:rFonts w:ascii="Georgia" w:cs="Georgia" w:eastAsia="Georgia" w:hAnsi="Georgia"/>
          <w:color w:val="1A1A1A"/>
          <w:sz w:val="22"/>
          <w:szCs w:val="22"/>
        </w:rPr>
        <w:t xml:space="preserve"> This is the rigorous nutritional foundation for a pairing that cooks arrived at by taste long ago: a vitamin-C-rich accompaniment—a tomato-and-onion </w:t>
      </w:r>
      <w:r>
        <w:rPr>
          <w:rFonts w:ascii="Georgia" w:cs="Georgia" w:eastAsia="Georgia" w:hAnsi="Georgia"/>
          <w:b w:val="false"/>
          <w:bCs w:val="false"/>
          <w:i/>
          <w:iCs/>
          <w:caps w:val="false"/>
          <w:color w:val="1A1A1A"/>
          <w:sz w:val="22"/>
          <w:szCs w:val="22"/>
        </w:rPr>
        <w:t xml:space="preserve">salsa criolla</w:t>
      </w:r>
      <w:r>
        <w:rPr>
          <w:rFonts w:ascii="Georgia" w:cs="Georgia" w:eastAsia="Georgia" w:hAnsi="Georgia"/>
          <w:color w:val="1A1A1A"/>
          <w:sz w:val="22"/>
          <w:szCs w:val="22"/>
        </w:rPr>
        <w:t xml:space="preserve">, a squeeze of citrus, a parsley-laden chimichurri, a side of bell peppers or broccoli—served alongside iron-bearing meat or eggs measurably improves the iron the body extracts from the meal.</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A pairing that is chemistry, not just custom. </w:t>
            </w:r>
            <w:r>
              <w:rPr>
                <w:rFonts w:ascii="Georgia" w:cs="Georgia" w:eastAsia="Georgia" w:hAnsi="Georgia"/>
                <w:color w:val="1A1A1A"/>
                <w:sz w:val="22"/>
                <w:szCs w:val="22"/>
              </w:rPr>
              <w:t xml:space="preserve">Chimichurri on Argentine beef, lime and pico de gallo on Mexican carne asada, a spinach-and-pepper accompaniment to eggs: in each case a vitamin-C-rich plant sits beside an iron-bearing protein. The result is enhanced non-heme iron absorption (Refs. 28–30). The world's great meat cuisines are, in this respect, applied nutrition.</w:t>
            </w:r>
          </w:p>
        </w:tc>
      </w:tr>
    </w:tbl>
    <w:p>
      <w:pPr>
        <w:pStyle w:val="Heading2"/>
        <w:spacing w:after="140" w:before="280"/>
      </w:pPr>
      <w:r>
        <w:rPr>
          <w:rFonts w:ascii="Georgia" w:cs="Georgia" w:eastAsia="Georgia" w:hAnsi="Georgia"/>
          <w:b/>
          <w:bCs/>
          <w:i w:val="false"/>
          <w:iCs w:val="false"/>
          <w:caps w:val="false"/>
          <w:color w:val="1A1A1A"/>
          <w:sz w:val="22"/>
          <w:szCs w:val="22"/>
        </w:rPr>
        <w:t xml:space="preserve">7.3 Fat-soluble vitamins and carotenoids require dietary fat</w:t>
      </w:r>
    </w:p>
    <w:p>
      <w:pPr>
        <w:spacing w:after="160" w:before="0" w:line="300"/>
        <w:jc w:val="both"/>
      </w:pPr>
      <w:r>
        <w:rPr>
          <w:rFonts w:ascii="Georgia" w:cs="Georgia" w:eastAsia="Georgia" w:hAnsi="Georgia"/>
          <w:color w:val="1A1A1A"/>
          <w:sz w:val="22"/>
          <w:szCs w:val="22"/>
        </w:rPr>
        <w:t xml:space="preserve">A second, equally consequential synergy concerns the fat-soluble vitamins (A, D, E, K) and the carotenoid pigments of colorful vegetables. These compounds are lipophilic; their absorption from the gut depends on the presence of dietary fat to form the mixed micelles that ferry them across the intestinal lining. Eaten without fat, much of the carotenoid content of a salad passes through largely unabsorbed.</w:t>
      </w:r>
    </w:p>
    <w:p>
      <w:pPr>
        <w:spacing w:after="160" w:before="0" w:line="300"/>
        <w:jc w:val="both"/>
      </w:pPr>
      <w:r>
        <w:rPr>
          <w:rFonts w:ascii="Georgia" w:cs="Georgia" w:eastAsia="Georgia" w:hAnsi="Georgia"/>
          <w:color w:val="1A1A1A"/>
          <w:sz w:val="22"/>
          <w:szCs w:val="22"/>
        </w:rPr>
        <w:t xml:space="preserve">The human evidence is direct and striking. Brown and colleagues showed that carotenoid absorption from salads was substantially higher when the salads were eaten with full-fat rather than fat-reduced dressing, with negligible absorption from fat-free dressing.</w:t>
      </w:r>
      <w:r>
        <w:rPr>
          <w:rStyle w:val="FootnoteReference"/>
        </w:rPr>
        <w:footnoteReference w:id="58"/>
      </w:r>
      <w:r>
        <w:rPr>
          <w:rFonts w:ascii="Georgia" w:cs="Georgia" w:eastAsia="Georgia" w:hAnsi="Georgia"/>
          <w:color w:val="1A1A1A"/>
          <w:sz w:val="22"/>
          <w:szCs w:val="22"/>
        </w:rPr>
        <w:t xml:space="preserve"> Unlu and colleagues demonstrated that adding avocado or avocado oil to salsa and salad markedly increased the absorption of several carotenoids, including a severalfold increase for some.</w:t>
      </w:r>
      <w:r>
        <w:rPr>
          <w:rStyle w:val="FootnoteReference"/>
        </w:rPr>
        <w:footnoteReference w:id="59"/>
      </w:r>
      <w:r>
        <w:rPr>
          <w:rFonts w:ascii="Georgia" w:cs="Georgia" w:eastAsia="Georgia" w:hAnsi="Georgia"/>
          <w:color w:val="1A1A1A"/>
          <w:sz w:val="22"/>
          <w:szCs w:val="22"/>
        </w:rPr>
        <w:t xml:space="preserve"> Subsequent reviews have consolidated the principle that co-ingested lipids govern carotenoid bioavailability.</w:t>
      </w:r>
      <w:r>
        <w:rPr>
          <w:rStyle w:val="FootnoteReference"/>
        </w:rPr>
        <w:footnoteReference w:id="60"/>
      </w:r>
      <w:r>
        <w:rPr>
          <w:rFonts w:ascii="Georgia" w:cs="Georgia" w:eastAsia="Georgia" w:hAnsi="Georgia"/>
          <w:color w:val="1A1A1A"/>
          <w:sz w:val="22"/>
          <w:szCs w:val="22"/>
        </w:rPr>
        <w:t xml:space="preserve"> The applied lesson reinforces a third classic pairing: avocado with tomato and egg, olive or avocado oil over grilled vegetables, a fat-bearing dressing on leafy greens. Healthy fat on the plate is not merely a flavor or satiety choice; it is what unlocks the fat-soluble micronutrients of the vegetables it accompanies.</w:t>
      </w:r>
    </w:p>
    <w:p>
      <w:pPr>
        <w:pStyle w:val="Heading2"/>
        <w:spacing w:after="140" w:before="280"/>
      </w:pPr>
      <w:r>
        <w:rPr>
          <w:rFonts w:ascii="Georgia" w:cs="Georgia" w:eastAsia="Georgia" w:hAnsi="Georgia"/>
          <w:b/>
          <w:bCs/>
          <w:i w:val="false"/>
          <w:iCs w:val="false"/>
          <w:caps w:val="false"/>
          <w:color w:val="1A1A1A"/>
          <w:sz w:val="22"/>
          <w:szCs w:val="22"/>
        </w:rPr>
        <w:t xml:space="preserve">7.4 Choline, B12, and complete protein</w:t>
      </w:r>
    </w:p>
    <w:p>
      <w:pPr>
        <w:spacing w:after="160" w:before="0" w:line="300"/>
        <w:jc w:val="both"/>
      </w:pPr>
      <w:r>
        <w:rPr>
          <w:rFonts w:ascii="Georgia" w:cs="Georgia" w:eastAsia="Georgia" w:hAnsi="Georgia"/>
          <w:color w:val="1A1A1A"/>
          <w:sz w:val="22"/>
          <w:szCs w:val="22"/>
        </w:rPr>
        <w:t xml:space="preserve">Three further contributions of animal foods deserve specific mention because they bear on the household's stated staples. </w:t>
      </w:r>
      <w:r>
        <w:rPr>
          <w:rFonts w:ascii="Georgia" w:cs="Georgia" w:eastAsia="Georgia" w:hAnsi="Georgia"/>
          <w:b/>
          <w:bCs/>
          <w:i w:val="false"/>
          <w:iCs w:val="false"/>
          <w:caps w:val="false"/>
          <w:color w:val="1A1A1A"/>
          <w:sz w:val="22"/>
          <w:szCs w:val="22"/>
        </w:rPr>
        <w:t xml:space="preserve">Choline</w:t>
      </w:r>
      <w:r>
        <w:rPr>
          <w:rFonts w:ascii="Georgia" w:cs="Georgia" w:eastAsia="Georgia" w:hAnsi="Georgia"/>
          <w:color w:val="1A1A1A"/>
          <w:sz w:val="22"/>
          <w:szCs w:val="22"/>
        </w:rPr>
        <w:t xml:space="preserve">, an essential nutrient important for liver function and neurotransmitter synthesis and frequently under-consumed, is supplied in concentrated form by eggs (in the yolk) and by meats; Zeisel and da Costa's review establishes its status as an essential nutrient of public-health importance, and intake analyses link adequate choline intake closely to egg and protein-food consumption.</w:t>
      </w:r>
      <w:r>
        <w:rPr>
          <w:rStyle w:val="FootnoteReference"/>
        </w:rPr>
        <w:footnoteReference w:id="61"/>
        <w:footnoteReference w:id="62"/>
      </w:r>
      <w:r>
        <w:rPr>
          <w:rFonts w:ascii="Georgia" w:cs="Georgia" w:eastAsia="Georgia" w:hAnsi="Georgia"/>
          <w:color w:val="1A1A1A"/>
          <w:sz w:val="22"/>
          <w:szCs w:val="22"/>
        </w:rPr>
        <w:t xml:space="preserve"> </w:t>
      </w:r>
      <w:r>
        <w:rPr>
          <w:rFonts w:ascii="Georgia" w:cs="Georgia" w:eastAsia="Georgia" w:hAnsi="Georgia"/>
          <w:b/>
          <w:bCs/>
          <w:i w:val="false"/>
          <w:iCs w:val="false"/>
          <w:caps w:val="false"/>
          <w:color w:val="1A1A1A"/>
          <w:sz w:val="22"/>
          <w:szCs w:val="22"/>
        </w:rPr>
        <w:t xml:space="preserve">Vitamin B12</w:t>
      </w:r>
      <w:r>
        <w:rPr>
          <w:rFonts w:ascii="Georgia" w:cs="Georgia" w:eastAsia="Georgia" w:hAnsi="Georgia"/>
          <w:color w:val="1A1A1A"/>
          <w:sz w:val="22"/>
          <w:szCs w:val="22"/>
        </w:rPr>
        <w:t xml:space="preserve"> is reliably obtained only from animal foods and requires intact gastric function for absorption; its deficiency is common in populations with low animal-food intake.</w:t>
      </w:r>
      <w:r>
        <w:rPr>
          <w:rStyle w:val="FootnoteReference"/>
        </w:rPr>
        <w:footnoteReference w:id="63"/>
        <w:footnoteReference w:id="64"/>
      </w:r>
      <w:r>
        <w:rPr>
          <w:rFonts w:ascii="Georgia" w:cs="Georgia" w:eastAsia="Georgia" w:hAnsi="Georgia"/>
          <w:color w:val="1A1A1A"/>
          <w:sz w:val="22"/>
          <w:szCs w:val="22"/>
        </w:rPr>
        <w:t xml:space="preserve"> And </w:t>
      </w:r>
      <w:r>
        <w:rPr>
          <w:rFonts w:ascii="Georgia" w:cs="Georgia" w:eastAsia="Georgia" w:hAnsi="Georgia"/>
          <w:b/>
          <w:bCs/>
          <w:i w:val="false"/>
          <w:iCs w:val="false"/>
          <w:caps w:val="false"/>
          <w:color w:val="1A1A1A"/>
          <w:sz w:val="22"/>
          <w:szCs w:val="22"/>
        </w:rPr>
        <w:t xml:space="preserve">complete protein</w:t>
      </w:r>
      <w:r>
        <w:rPr>
          <w:rFonts w:ascii="Georgia" w:cs="Georgia" w:eastAsia="Georgia" w:hAnsi="Georgia"/>
          <w:color w:val="1A1A1A"/>
          <w:sz w:val="22"/>
          <w:szCs w:val="22"/>
        </w:rPr>
        <w:t xml:space="preserve">—protein supplying all indispensable amino acids in usable proportion—is characteristic of eggs, meat, and dairy, which score at the top of standard protein-quality metrics.</w:t>
      </w:r>
      <w:r>
        <w:rPr>
          <w:rStyle w:val="FootnoteReference"/>
        </w:rPr>
        <w:footnoteReference w:id="65"/>
        <w:footnoteReference w:id="66"/>
      </w:r>
      <w:r>
        <w:rPr>
          <w:rFonts w:ascii="Georgia" w:cs="Georgia" w:eastAsia="Georgia" w:hAnsi="Georgia"/>
          <w:color w:val="1A1A1A"/>
          <w:sz w:val="22"/>
          <w:szCs w:val="22"/>
        </w:rPr>
        <w:t xml:space="preserve"> Eggs in particular are frequently used as the reference standard for protein quality and carry an exceptional micronutrient density for their caloric cost.</w:t>
      </w:r>
      <w:r>
        <w:rPr>
          <w:rStyle w:val="FootnoteReference"/>
        </w:rPr>
        <w:footnoteReference w:id="67"/>
      </w:r>
    </w:p>
    <w:p>
      <w:pPr>
        <w:pStyle w:val="Heading2"/>
        <w:spacing w:after="140" w:before="280"/>
      </w:pPr>
      <w:r>
        <w:rPr>
          <w:rFonts w:ascii="Georgia" w:cs="Georgia" w:eastAsia="Georgia" w:hAnsi="Georgia"/>
          <w:b/>
          <w:bCs/>
          <w:i w:val="false"/>
          <w:iCs w:val="false"/>
          <w:caps w:val="false"/>
          <w:color w:val="1A1A1A"/>
          <w:sz w:val="22"/>
          <w:szCs w:val="22"/>
        </w:rPr>
        <w:t xml:space="preserve">7.5 Vegetables beyond vitamins: fiber and phytochemicals</w:t>
      </w:r>
    </w:p>
    <w:p>
      <w:pPr>
        <w:spacing w:after="160" w:before="0" w:line="300"/>
        <w:jc w:val="both"/>
      </w:pPr>
      <w:r>
        <w:rPr>
          <w:rFonts w:ascii="Georgia" w:cs="Georgia" w:eastAsia="Georgia" w:hAnsi="Georgia"/>
          <w:color w:val="1A1A1A"/>
          <w:sz w:val="22"/>
          <w:szCs w:val="22"/>
        </w:rPr>
        <w:t xml:space="preserve">The case for abundant vegetables rests on more than vitamins and minerals. Large prospective syntheses associate higher fruit and vegetable intake with lower risk of cardiovascular disease, certain cancers, and all-cause mortality,</w:t>
      </w:r>
      <w:r>
        <w:rPr>
          <w:rStyle w:val="FootnoteReference"/>
        </w:rPr>
        <w:footnoteReference w:id="68"/>
      </w:r>
      <w:r>
        <w:rPr>
          <w:rFonts w:ascii="Georgia" w:cs="Georgia" w:eastAsia="Georgia" w:hAnsi="Georgia"/>
          <w:color w:val="1A1A1A"/>
          <w:sz w:val="22"/>
          <w:szCs w:val="22"/>
        </w:rPr>
        <w:t xml:space="preserve"> and mechanistic reviews attribute much of this benefit to fiber and to the diverse phytochemicals—polyphenols, glucosinolates, carotenoids—that plants supply.</w:t>
      </w:r>
      <w:r>
        <w:rPr>
          <w:rStyle w:val="FootnoteReference"/>
        </w:rPr>
        <w:footnoteReference w:id="69"/>
        <w:footnoteReference w:id="70"/>
      </w:r>
      <w:r>
        <w:rPr>
          <w:rFonts w:ascii="Georgia" w:cs="Georgia" w:eastAsia="Georgia" w:hAnsi="Georgia"/>
          <w:color w:val="1A1A1A"/>
          <w:sz w:val="22"/>
          <w:szCs w:val="22"/>
        </w:rPr>
        <w:t xml:space="preserve"> Cruciferous vegetables in particular have been associated with favorable inflammatory profiles,</w:t>
      </w:r>
      <w:r>
        <w:rPr>
          <w:rStyle w:val="FootnoteReference"/>
        </w:rPr>
        <w:footnoteReference w:id="71"/>
      </w:r>
      <w:r>
        <w:rPr>
          <w:rFonts w:ascii="Georgia" w:cs="Georgia" w:eastAsia="Georgia" w:hAnsi="Georgia"/>
          <w:color w:val="1A1A1A"/>
          <w:sz w:val="22"/>
          <w:szCs w:val="22"/>
        </w:rPr>
        <w:t xml:space="preserve"> and dietary polyphenols with metabolic benefits.</w:t>
      </w:r>
      <w:r>
        <w:rPr>
          <w:rStyle w:val="FootnoteReference"/>
        </w:rPr>
        <w:footnoteReference w:id="72"/>
      </w:r>
      <w:r>
        <w:rPr>
          <w:rFonts w:ascii="Georgia" w:cs="Georgia" w:eastAsia="Georgia" w:hAnsi="Georgia"/>
          <w:color w:val="1A1A1A"/>
          <w:sz w:val="22"/>
          <w:szCs w:val="22"/>
        </w:rPr>
        <w:t xml:space="preserve"> Alliums such as garlic, ubiquitous in the seasoning of grilled meats, carry their own documented bioactive constituents,</w:t>
      </w:r>
      <w:r>
        <w:rPr>
          <w:rStyle w:val="FootnoteReference"/>
        </w:rPr>
        <w:footnoteReference w:id="73"/>
      </w:r>
      <w:r>
        <w:rPr>
          <w:rFonts w:ascii="Georgia" w:cs="Georgia" w:eastAsia="Georgia" w:hAnsi="Georgia"/>
          <w:color w:val="1A1A1A"/>
          <w:sz w:val="22"/>
          <w:szCs w:val="22"/>
        </w:rPr>
        <w:t xml:space="preserve"> and culinary herbs and spices contribute concentrated antioxidants far out of proportion to their mass.</w:t>
      </w:r>
      <w:r>
        <w:rPr>
          <w:rStyle w:val="FootnoteReference"/>
        </w:rPr>
        <w:footnoteReference w:id="74"/>
        <w:footnoteReference w:id="75"/>
      </w:r>
      <w:r>
        <w:rPr>
          <w:rFonts w:ascii="Georgia" w:cs="Georgia" w:eastAsia="Georgia" w:hAnsi="Georgia"/>
          <w:color w:val="1A1A1A"/>
          <w:sz w:val="22"/>
          <w:szCs w:val="22"/>
        </w:rPr>
        <w:t xml:space="preserve"> A plate that is mostly vegetables, herbs, and a well-chosen protein is thus supported from several independent directions in the literature.</w:t>
      </w:r>
    </w:p>
    <w:p>
      <w:r>
        <w:br w:type="page"/>
      </w:r>
    </w:p>
    <w:p>
      <w:pPr>
        <w:pStyle w:val="Heading1"/>
        <w:spacing w:after="200" w:before="360"/>
      </w:pPr>
      <w:bookmarkStart w:name="staples" w:id="1008"/>
      <w:r>
        <w:rPr>
          <w:rFonts w:ascii="Georgia" w:cs="Georgia" w:eastAsia="Georgia" w:hAnsi="Georgia"/>
          <w:b/>
          <w:bCs/>
          <w:i w:val="false"/>
          <w:iCs w:val="false"/>
          <w:caps w:val="false"/>
          <w:color w:val="1A1A1A"/>
          <w:sz w:val="22"/>
          <w:szCs w:val="22"/>
        </w:rPr>
        <w:t xml:space="preserve">8. The Household Staples: Eggs, Ruminant Meat, and Goat Milk</w:t>
      </w:r>
      <w:bookmarkEnd w:id="1008"/>
    </w:p>
    <w:p>
      <w:pPr>
        <w:spacing w:after="160" w:before="0" w:line="300"/>
        <w:jc w:val="both"/>
      </w:pPr>
      <w:r>
        <w:rPr>
          <w:rFonts w:ascii="Georgia" w:cs="Georgia" w:eastAsia="Georgia" w:hAnsi="Georgia"/>
          <w:color w:val="1A1A1A"/>
          <w:sz w:val="22"/>
          <w:szCs w:val="22"/>
        </w:rPr>
        <w:t xml:space="preserve">The household at the center of this study has converged on a triad of staples—eggs, beef, and goat milk—and it is worth examining each on its nutritional merits, because the choices are well supported and the goat-milk question in particular invites a careful, balanced reading of the evidence.</w:t>
      </w:r>
    </w:p>
    <w:p>
      <w:pPr>
        <w:pStyle w:val="Heading2"/>
        <w:spacing w:after="140" w:before="280"/>
      </w:pPr>
      <w:r>
        <w:rPr>
          <w:rFonts w:ascii="Georgia" w:cs="Georgia" w:eastAsia="Georgia" w:hAnsi="Georgia"/>
          <w:b/>
          <w:bCs/>
          <w:i w:val="false"/>
          <w:iCs w:val="false"/>
          <w:caps w:val="false"/>
          <w:color w:val="1A1A1A"/>
          <w:sz w:val="22"/>
          <w:szCs w:val="22"/>
        </w:rPr>
        <w:t xml:space="preserve">8.1 Eggs</w:t>
      </w:r>
    </w:p>
    <w:p>
      <w:pPr>
        <w:spacing w:after="160" w:before="0" w:line="300"/>
        <w:jc w:val="both"/>
      </w:pPr>
      <w:r>
        <w:rPr>
          <w:rFonts w:ascii="Georgia" w:cs="Georgia" w:eastAsia="Georgia" w:hAnsi="Georgia"/>
          <w:color w:val="1A1A1A"/>
          <w:sz w:val="22"/>
          <w:szCs w:val="22"/>
        </w:rPr>
        <w:t xml:space="preserve">The egg is among the most nutrient-complete single foods available. It supplies high-quality complete protein, the concentrated choline discussed above, vitamin B12, vitamin D, selenium, and the carotenoids lutein and zeaxanthin, all at modest caloric cost; comprehensive reviews characterize it as a nutrient-dense food with emerging health benefits beyond its basic macronutrients.</w:t>
      </w:r>
      <w:r>
        <w:rPr>
          <w:rStyle w:val="FootnoteReference"/>
        </w:rPr>
        <w:footnoteReference w:id="76"/>
      </w:r>
      <w:r>
        <w:rPr>
          <w:rFonts w:ascii="Georgia" w:cs="Georgia" w:eastAsia="Georgia" w:hAnsi="Georgia"/>
          <w:color w:val="1A1A1A"/>
          <w:sz w:val="22"/>
          <w:szCs w:val="22"/>
        </w:rPr>
        <w:t xml:space="preserve"> For decades dietary advice cautioned against eggs on account of their cholesterol content, but the contemporary evidence base has substantially softened that concern for the general population, and choline and protein adequacy are now recognized as meaningful reasons to include eggs.</w:t>
      </w:r>
      <w:r>
        <w:rPr>
          <w:rStyle w:val="FootnoteReference"/>
        </w:rPr>
        <w:footnoteReference w:id="77"/>
        <w:footnoteReference w:id="78"/>
      </w:r>
      <w:r>
        <w:rPr>
          <w:rFonts w:ascii="Georgia" w:cs="Georgia" w:eastAsia="Georgia" w:hAnsi="Georgia"/>
          <w:color w:val="1A1A1A"/>
          <w:sz w:val="22"/>
          <w:szCs w:val="22"/>
        </w:rPr>
        <w:t xml:space="preserve"> From a culinary-chemistry standpoint, the egg is also a uniquely versatile coagulating and emulsifying ingredient, but its place among the staples here is earned principally by nutrient density.</w:t>
      </w:r>
    </w:p>
    <w:p>
      <w:pPr>
        <w:pStyle w:val="Heading2"/>
        <w:spacing w:after="140" w:before="280"/>
      </w:pPr>
      <w:r>
        <w:rPr>
          <w:rFonts w:ascii="Georgia" w:cs="Georgia" w:eastAsia="Georgia" w:hAnsi="Georgia"/>
          <w:b/>
          <w:bCs/>
          <w:i w:val="false"/>
          <w:iCs w:val="false"/>
          <w:caps w:val="false"/>
          <w:color w:val="1A1A1A"/>
          <w:sz w:val="22"/>
          <w:szCs w:val="22"/>
        </w:rPr>
        <w:t xml:space="preserve">8.2 Ruminant meat (beef and goat)</w:t>
      </w:r>
    </w:p>
    <w:p>
      <w:pPr>
        <w:spacing w:after="160" w:before="0" w:line="300"/>
        <w:jc w:val="both"/>
      </w:pPr>
      <w:r>
        <w:rPr>
          <w:rFonts w:ascii="Georgia" w:cs="Georgia" w:eastAsia="Georgia" w:hAnsi="Georgia"/>
          <w:color w:val="1A1A1A"/>
          <w:sz w:val="22"/>
          <w:szCs w:val="22"/>
        </w:rPr>
        <w:t xml:space="preserve">Beef and goat, as ruminant red meats, supply heme iron in its readily absorbed form, high-quality complete protein, zinc, and vitamin B12. Goat meat warrants specific note as a globally important but, in the United States, under-appreciated protein: it is characteristically lean, and where it is available from local producers it offers a flavorful, nutrient-dense alternative to the more familiar red meats. Both respond to the same preparation science developed in Sections 3 through 6—brining where lean, cooking to a measured endpoint, and (for tougher cuts) low-and-slow collagen conversion—and both pair, by the iron–ascorbate logic of Section 7.2, with vitamin-C-rich accompaniments.</w:t>
      </w:r>
    </w:p>
    <w:p>
      <w:pPr>
        <w:pStyle w:val="Heading2"/>
        <w:spacing w:after="140" w:before="280"/>
      </w:pPr>
      <w:r>
        <w:rPr>
          <w:rFonts w:ascii="Georgia" w:cs="Georgia" w:eastAsia="Georgia" w:hAnsi="Georgia"/>
          <w:b/>
          <w:bCs/>
          <w:i w:val="false"/>
          <w:iCs w:val="false"/>
          <w:caps w:val="false"/>
          <w:color w:val="1A1A1A"/>
          <w:sz w:val="22"/>
          <w:szCs w:val="22"/>
        </w:rPr>
        <w:t xml:space="preserve">8.3 Goat milk: a careful reading of the digestibility question</w:t>
      </w:r>
    </w:p>
    <w:p>
      <w:pPr>
        <w:spacing w:after="160" w:before="0" w:line="300"/>
        <w:jc w:val="both"/>
      </w:pPr>
      <w:r>
        <w:rPr>
          <w:rFonts w:ascii="Georgia" w:cs="Georgia" w:eastAsia="Georgia" w:hAnsi="Georgia"/>
          <w:color w:val="1A1A1A"/>
          <w:sz w:val="22"/>
          <w:szCs w:val="22"/>
        </w:rPr>
        <w:t xml:space="preserve">Goat milk is the most widely consumed milk worldwide and is frequently promoted as more digestible than cow milk. The compositional differences underpinning that claim are real and well documented; whether they translate into a clinically meaningful digestibility advantage for the general population is more nuanced, and an honest account presents both.</w:t>
      </w:r>
    </w:p>
    <w:p>
      <w:pPr>
        <w:pStyle w:val="Heading3"/>
        <w:spacing w:after="120" w:before="220"/>
      </w:pPr>
      <w:r>
        <w:rPr>
          <w:rFonts w:ascii="Georgia" w:cs="Georgia" w:eastAsia="Georgia" w:hAnsi="Georgia"/>
          <w:b/>
          <w:bCs/>
          <w:i w:val="false"/>
          <w:iCs w:val="false"/>
          <w:caps w:val="false"/>
          <w:color w:val="1A1A1A"/>
          <w:sz w:val="22"/>
          <w:szCs w:val="22"/>
        </w:rPr>
        <w:t xml:space="preserve">The documented compositional differences</w:t>
      </w:r>
    </w:p>
    <w:p>
      <w:pPr>
        <w:spacing w:after="160" w:before="0" w:line="300"/>
        <w:jc w:val="both"/>
      </w:pPr>
      <w:r>
        <w:rPr>
          <w:rFonts w:ascii="Georgia" w:cs="Georgia" w:eastAsia="Georgia" w:hAnsi="Georgia"/>
          <w:color w:val="1A1A1A"/>
          <w:sz w:val="22"/>
          <w:szCs w:val="22"/>
        </w:rPr>
        <w:t xml:space="preserve">Goat milk differs from cow milk in several respects established across the dairy-science literature. Its fat globules are smaller on average, which increases the surface area exposed to lipases and is associated with finer emulsion and softer curd formation. Its protein composition differs, notably in a generally lower content of αs1-casein—a protein implicated in cow-milk protein allergy and in the formation of a firm, slow-digesting curd—and its casein genetics give rise to a softer coagulum. Haenlein's review of goat milk in human nutrition catalogs these differences and their nutritional implications,</w:t>
      </w:r>
      <w:r>
        <w:rPr>
          <w:rStyle w:val="FootnoteReference"/>
        </w:rPr>
        <w:footnoteReference w:id="79"/>
      </w:r>
      <w:r>
        <w:rPr>
          <w:rFonts w:ascii="Georgia" w:cs="Georgia" w:eastAsia="Georgia" w:hAnsi="Georgia"/>
          <w:color w:val="1A1A1A"/>
          <w:sz w:val="22"/>
          <w:szCs w:val="22"/>
        </w:rPr>
        <w:t xml:space="preserve"> and the comprehensive hundred-year review by Clark and Mora García, together with detailed physico-chemical characterizations by Park and colleagues, document the smaller fat globules, distinct casein profile, and softer curd in depth.</w:t>
      </w:r>
      <w:r>
        <w:rPr>
          <w:rStyle w:val="FootnoteReference"/>
        </w:rPr>
        <w:footnoteReference w:id="80"/>
        <w:footnoteReference w:id="81"/>
      </w:r>
      <w:r>
        <w:rPr>
          <w:rFonts w:ascii="Georgia" w:cs="Georgia" w:eastAsia="Georgia" w:hAnsi="Georgia"/>
          <w:color w:val="1A1A1A"/>
          <w:sz w:val="22"/>
          <w:szCs w:val="22"/>
        </w:rPr>
        <w:t xml:space="preserve"> The genetic variability of goat caseins, including the αs1-casein variants that govern much of this behavior, has been characterized in detail,</w:t>
      </w:r>
      <w:r>
        <w:rPr>
          <w:rStyle w:val="FootnoteReference"/>
        </w:rPr>
        <w:footnoteReference w:id="82"/>
      </w:r>
      <w:r>
        <w:rPr>
          <w:rFonts w:ascii="Georgia" w:cs="Georgia" w:eastAsia="Georgia" w:hAnsi="Georgia"/>
          <w:color w:val="1A1A1A"/>
          <w:sz w:val="22"/>
          <w:szCs w:val="22"/>
        </w:rPr>
        <w:t xml:space="preserve"> and reviews note that goat β-casein is predominantly of the A2 type, a point of interest given separate discussion of A1 versus A2 cow milk.</w:t>
      </w:r>
      <w:r>
        <w:rPr>
          <w:rStyle w:val="FootnoteReference"/>
        </w:rPr>
        <w:footnoteReference w:id="83"/>
      </w:r>
    </w:p>
    <w:p>
      <w:pPr>
        <w:pStyle w:val="Heading3"/>
        <w:spacing w:after="120" w:before="220"/>
      </w:pPr>
      <w:r>
        <w:rPr>
          <w:rFonts w:ascii="Georgia" w:cs="Georgia" w:eastAsia="Georgia" w:hAnsi="Georgia"/>
          <w:b/>
          <w:bCs/>
          <w:i w:val="false"/>
          <w:iCs w:val="false"/>
          <w:caps w:val="false"/>
          <w:color w:val="1A1A1A"/>
          <w:sz w:val="22"/>
          <w:szCs w:val="22"/>
        </w:rPr>
        <w:t xml:space="preserve">What the differences do and do not establish</w:t>
      </w:r>
    </w:p>
    <w:p>
      <w:pPr>
        <w:spacing w:after="160" w:before="0" w:line="300"/>
        <w:jc w:val="both"/>
      </w:pPr>
      <w:r>
        <w:rPr>
          <w:rFonts w:ascii="Georgia" w:cs="Georgia" w:eastAsia="Georgia" w:hAnsi="Georgia"/>
          <w:color w:val="1A1A1A"/>
          <w:sz w:val="22"/>
          <w:szCs w:val="22"/>
        </w:rPr>
        <w:t xml:space="preserve">These compositional facts make the softer-curd, finer-emulsion mechanism for easier digestion biologically plausible, and reviews of milk from different mammalian species treat goat milk as a reasonable alternative with a distinct and in some respects advantageous profile.</w:t>
      </w:r>
      <w:r>
        <w:rPr>
          <w:rStyle w:val="FootnoteReference"/>
        </w:rPr>
        <w:footnoteReference w:id="84"/>
      </w:r>
      <w:r>
        <w:rPr>
          <w:rFonts w:ascii="Georgia" w:cs="Georgia" w:eastAsia="Georgia" w:hAnsi="Georgia"/>
          <w:color w:val="1A1A1A"/>
          <w:sz w:val="22"/>
          <w:szCs w:val="22"/>
        </w:rPr>
        <w:t xml:space="preserve"> What the literature does </w:t>
      </w:r>
      <w:r>
        <w:rPr>
          <w:rFonts w:ascii="Georgia" w:cs="Georgia" w:eastAsia="Georgia" w:hAnsi="Georgia"/>
          <w:b w:val="false"/>
          <w:bCs w:val="false"/>
          <w:i/>
          <w:iCs/>
          <w:caps w:val="false"/>
          <w:color w:val="1A1A1A"/>
          <w:sz w:val="22"/>
          <w:szCs w:val="22"/>
        </w:rPr>
        <w:t xml:space="preserve">not</w:t>
      </w:r>
      <w:r>
        <w:rPr>
          <w:rFonts w:ascii="Georgia" w:cs="Georgia" w:eastAsia="Georgia" w:hAnsi="Georgia"/>
          <w:color w:val="1A1A1A"/>
          <w:sz w:val="22"/>
          <w:szCs w:val="22"/>
        </w:rPr>
        <w:t xml:space="preserve"> cleanly establish is a large, consistent, clinically meaningful digestibility advantage for the general adult population in controlled human trials; much of the supporting evidence is mechanistic or compositional rather than derived from rigorous in-vivo digestion endpoints, and individual responses vary. Two further points must be stated plainly for safety and accuracy. First, goat milk is </w:t>
      </w:r>
      <w:r>
        <w:rPr>
          <w:rFonts w:ascii="Georgia" w:cs="Georgia" w:eastAsia="Georgia" w:hAnsi="Georgia"/>
          <w:b w:val="false"/>
          <w:bCs w:val="false"/>
          <w:i/>
          <w:iCs/>
          <w:caps w:val="false"/>
          <w:color w:val="1A1A1A"/>
          <w:sz w:val="22"/>
          <w:szCs w:val="22"/>
        </w:rPr>
        <w:t xml:space="preserve">not</w:t>
      </w:r>
      <w:r>
        <w:rPr>
          <w:rFonts w:ascii="Georgia" w:cs="Georgia" w:eastAsia="Georgia" w:hAnsi="Georgia"/>
          <w:color w:val="1A1A1A"/>
          <w:sz w:val="22"/>
          <w:szCs w:val="22"/>
        </w:rPr>
        <w:t xml:space="preserve"> a reliable solution for cow-milk protein allergy: cross-reactivity between goat and cow caseins is common, and goat milk should not be substituted for a diagnosed cow-milk allergy without medical guidance. Second, goat milk contains lactose and is therefore </w:t>
      </w:r>
      <w:r>
        <w:rPr>
          <w:rFonts w:ascii="Georgia" w:cs="Georgia" w:eastAsia="Georgia" w:hAnsi="Georgia"/>
          <w:b w:val="false"/>
          <w:bCs w:val="false"/>
          <w:i/>
          <w:iCs/>
          <w:caps w:val="false"/>
          <w:color w:val="1A1A1A"/>
          <w:sz w:val="22"/>
          <w:szCs w:val="22"/>
        </w:rPr>
        <w:t xml:space="preserve">not</w:t>
      </w:r>
      <w:r>
        <w:rPr>
          <w:rFonts w:ascii="Georgia" w:cs="Georgia" w:eastAsia="Georgia" w:hAnsi="Georgia"/>
          <w:color w:val="1A1A1A"/>
          <w:sz w:val="22"/>
          <w:szCs w:val="22"/>
        </w:rPr>
        <w:t xml:space="preserve"> lactose-free, so it is not a categorical solution for lactose intolerance. The defensible summary is that goat milk is a nutritionally sound, compositionally distinct dairy choice with a plausible and frequently reported digestibility benefit, presented here with its mechanism and its limits rather than as a marketing absolute.</w:t>
      </w:r>
    </w:p>
    <w:tbl>
      <w:tblPr>
        <w:tblW w:type="dxa" w:w="9360"/>
        <w:tblBorders>
          <w:top w:val="none"/>
          <w:left w:val="single" w:color="8C4A2F" w:sz="24"/>
          <w:bottom w:val="none"/>
          <w:right w:val="none"/>
          <w:insideH w:val="none"/>
          <w:insideV w:val="none"/>
        </w:tblBorders>
      </w:tblPr>
      <w:tblGrid>
        <w:gridCol w:w="9360"/>
      </w:tblGrid>
      <w:tr>
        <w:tc>
          <w:tcPr>
            <w:tcW w:type="dxa" w:w="9360"/>
            <w:shd w:fill="F6F1EA"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Balanced verdict on goat milk. </w:t>
            </w:r>
            <w:r>
              <w:rPr>
                <w:rFonts w:ascii="Georgia" w:cs="Georgia" w:eastAsia="Georgia" w:hAnsi="Georgia"/>
                <w:color w:val="1A1A1A"/>
                <w:sz w:val="22"/>
                <w:szCs w:val="22"/>
              </w:rPr>
              <w:t xml:space="preserve">Real, documented differences—smaller fat globules, lower αs1-casein, softer curd (Refs. 45–49)—make easier digestibility plausible and explain why many individuals tolerate it better. But it is not lactose-free, not a safe substitute in diagnosed cow-milk allergy, and the population-level human digestion evidence is suggestive rather than conclusive. Sound choice; not a panacea.</w:t>
            </w:r>
          </w:p>
        </w:tc>
      </w:tr>
    </w:tbl>
    <w:p>
      <w:r>
        <w:br w:type="page"/>
      </w:r>
    </w:p>
    <w:p>
      <w:pPr>
        <w:pStyle w:val="Heading1"/>
        <w:spacing w:after="200" w:before="360"/>
      </w:pPr>
      <w:bookmarkStart w:name="regenerative" w:id="1009"/>
      <w:r>
        <w:rPr>
          <w:rFonts w:ascii="Georgia" w:cs="Georgia" w:eastAsia="Georgia" w:hAnsi="Georgia"/>
          <w:b/>
          <w:bCs/>
          <w:i w:val="false"/>
          <w:iCs w:val="false"/>
          <w:caps w:val="false"/>
          <w:color w:val="1A1A1A"/>
          <w:sz w:val="22"/>
          <w:szCs w:val="22"/>
        </w:rPr>
        <w:t xml:space="preserve">9. The Forage and Regenerative Question: Composition, Claims, and Contested Evidence</w:t>
      </w:r>
      <w:bookmarkEnd w:id="1009"/>
    </w:p>
    <w:p>
      <w:pPr>
        <w:spacing w:after="160" w:before="0" w:line="300"/>
        <w:jc w:val="both"/>
      </w:pPr>
      <w:r>
        <w:rPr>
          <w:rFonts w:ascii="Georgia" w:cs="Georgia" w:eastAsia="Georgia" w:hAnsi="Georgia"/>
          <w:color w:val="1A1A1A"/>
          <w:sz w:val="22"/>
          <w:szCs w:val="22"/>
        </w:rPr>
        <w:t xml:space="preserve">Among the most consequential—and most marketed—decisions a meat buyer makes is whether to seek out grass-finished and regeneratively raised products. The topic attracts strong claims on all sides. This section separates what the evidence supports well, what it supports modestly, and what remains genuinely unresolved, treating compositional, nutritional, and environmental questions in turn.</w:t>
      </w:r>
    </w:p>
    <w:p>
      <w:pPr>
        <w:pStyle w:val="Heading2"/>
        <w:spacing w:after="140" w:before="280"/>
      </w:pPr>
      <w:r>
        <w:rPr>
          <w:rFonts w:ascii="Georgia" w:cs="Georgia" w:eastAsia="Georgia" w:hAnsi="Georgia"/>
          <w:b/>
          <w:bCs/>
          <w:i w:val="false"/>
          <w:iCs w:val="false"/>
          <w:caps w:val="false"/>
          <w:color w:val="1A1A1A"/>
          <w:sz w:val="22"/>
          <w:szCs w:val="22"/>
        </w:rPr>
        <w:t xml:space="preserve">9.1 Grass-finished versus grain-finished beef: compositional differences</w:t>
      </w:r>
    </w:p>
    <w:p>
      <w:pPr>
        <w:spacing w:after="160" w:before="0" w:line="300"/>
        <w:jc w:val="both"/>
      </w:pPr>
      <w:r>
        <w:rPr>
          <w:rFonts w:ascii="Georgia" w:cs="Georgia" w:eastAsia="Georgia" w:hAnsi="Georgia"/>
          <w:color w:val="1A1A1A"/>
          <w:sz w:val="22"/>
          <w:szCs w:val="22"/>
        </w:rPr>
        <w:t xml:space="preserve">That forage finishing alters the fatty-acid and antioxidant composition of beef is well established. The widely cited review by Daley and colleagues concluded that grass-based diets significantly improve the fatty-acid composition and antioxidant content of beef relative to grain finishing—raising the proportion of omega-3 fatty acids, improving the omega-6 to omega-3 ratio, increasing conjugated linoleic acid and the precursor trans-vaccenic acid, and elevating antioxidants such as vitamin E and certain carotenoids.</w:t>
      </w:r>
      <w:r>
        <w:rPr>
          <w:rStyle w:val="FootnoteReference"/>
        </w:rPr>
        <w:footnoteReference w:id="85"/>
      </w:r>
      <w:r>
        <w:rPr>
          <w:rFonts w:ascii="Georgia" w:cs="Georgia" w:eastAsia="Georgia" w:hAnsi="Georgia"/>
          <w:color w:val="1A1A1A"/>
          <w:sz w:val="22"/>
          <w:szCs w:val="22"/>
        </w:rPr>
        <w:t xml:space="preserve"> Subsequent compositional comparisons have reinforced the direction of these differences,</w:t>
      </w:r>
      <w:r>
        <w:rPr>
          <w:rStyle w:val="FootnoteReference"/>
        </w:rPr>
        <w:footnoteReference w:id="86"/>
      </w:r>
      <w:r>
        <w:rPr>
          <w:rFonts w:ascii="Georgia" w:cs="Georgia" w:eastAsia="Georgia" w:hAnsi="Georgia"/>
          <w:color w:val="1A1A1A"/>
          <w:sz w:val="22"/>
          <w:szCs w:val="22"/>
        </w:rPr>
        <w:t xml:space="preserve"> and analyses of feeding system effects in Australian and U.S. contexts report consistent shifts in omega-3, CLA, and related fractions.</w:t>
      </w:r>
      <w:r>
        <w:rPr>
          <w:rStyle w:val="FootnoteReference"/>
        </w:rPr>
        <w:footnoteReference w:id="87"/>
        <w:footnoteReference w:id="88"/>
      </w:r>
    </w:p>
    <w:p>
      <w:pPr>
        <w:spacing w:after="160" w:before="0" w:line="300"/>
        <w:jc w:val="both"/>
      </w:pPr>
      <w:r>
        <w:rPr>
          <w:rFonts w:ascii="Georgia" w:cs="Georgia" w:eastAsia="Georgia" w:hAnsi="Georgia"/>
          <w:color w:val="1A1A1A"/>
          <w:sz w:val="22"/>
          <w:szCs w:val="22"/>
        </w:rPr>
        <w:t xml:space="preserve">Two qualifications keep this finding in proportion. First, beef is not a major source of omega-3 fatty acids in either system; grass finishing improves the ratio and raises the absolute amount from a low base, but fish remains the dominant dietary source of long-chain omega-3s (Section 8 references and Section 10's seafood discussion). Second, the U.S. experience reviewed by Van Elswyk and McNeill notes that while compositional differences are real, their translation into sensory and health outcomes is more complex and depends on the cut, the animal, and the rest of the diet.</w:t>
      </w:r>
      <w:r>
        <w:rPr>
          <w:rStyle w:val="FootnoteReference"/>
        </w:rPr>
        <w:footnoteReference w:id="89"/>
      </w:r>
      <w:r>
        <w:rPr>
          <w:rFonts w:ascii="Georgia" w:cs="Georgia" w:eastAsia="Georgia" w:hAnsi="Georgia"/>
          <w:color w:val="1A1A1A"/>
          <w:sz w:val="22"/>
          <w:szCs w:val="22"/>
        </w:rPr>
        <w:t xml:space="preserve"> The accurate statement is that grass finishing measurably improves several compositional markers of beef, and does so from a modest baseline.</w:t>
      </w:r>
    </w:p>
    <w:p>
      <w:pPr>
        <w:pStyle w:val="Heading2"/>
        <w:spacing w:after="140" w:before="280"/>
      </w:pPr>
      <w:r>
        <w:rPr>
          <w:rFonts w:ascii="Georgia" w:cs="Georgia" w:eastAsia="Georgia" w:hAnsi="Georgia"/>
          <w:b/>
          <w:bCs/>
          <w:i w:val="false"/>
          <w:iCs w:val="false"/>
          <w:caps w:val="false"/>
          <w:color w:val="1A1A1A"/>
          <w:sz w:val="22"/>
          <w:szCs w:val="22"/>
        </w:rPr>
        <w:t xml:space="preserve">9.2 The environmental and “regenerative” claim: genuinely contested</w:t>
      </w:r>
    </w:p>
    <w:p>
      <w:pPr>
        <w:spacing w:after="160" w:before="0" w:line="300"/>
        <w:jc w:val="both"/>
      </w:pPr>
      <w:r>
        <w:rPr>
          <w:rFonts w:ascii="Georgia" w:cs="Georgia" w:eastAsia="Georgia" w:hAnsi="Georgia"/>
          <w:color w:val="1A1A1A"/>
          <w:sz w:val="22"/>
          <w:szCs w:val="22"/>
        </w:rPr>
        <w:t xml:space="preserve">The stronger and more contested set of claims concerns the environmental footprint of managed, forage-based, and “regenerative” grazing—specifically the assertion that well-managed grazing can sequester enough soil carbon to offset, or even reverse, the greenhouse-gas emissions of beef production. Here the literature genuinely diverges, and this monograph presents both poles rather than adjudicating.</w:t>
      </w:r>
    </w:p>
    <w:p>
      <w:pPr>
        <w:spacing w:after="160" w:before="0" w:line="300"/>
        <w:jc w:val="both"/>
      </w:pPr>
      <w:r>
        <w:rPr>
          <w:rFonts w:ascii="Georgia" w:cs="Georgia" w:eastAsia="Georgia" w:hAnsi="Georgia"/>
          <w:color w:val="1A1A1A"/>
          <w:sz w:val="22"/>
          <w:szCs w:val="22"/>
        </w:rPr>
        <w:t xml:space="preserve">On the affirmative side, the modeling study by Stanley and colleagues found that an adaptive multi-paddock grazing system, when soil-carbon sequestration was included, had substantially lower—and in their model net-negative—life-cycle greenhouse-gas emissions over the studied period than a comparable feedlot system.</w:t>
      </w:r>
      <w:r>
        <w:rPr>
          <w:rStyle w:val="FootnoteReference"/>
        </w:rPr>
        <w:footnoteReference w:id="90"/>
      </w:r>
      <w:r>
        <w:rPr>
          <w:rFonts w:ascii="Georgia" w:cs="Georgia" w:eastAsia="Georgia" w:hAnsi="Georgia"/>
          <w:color w:val="1A1A1A"/>
          <w:sz w:val="22"/>
          <w:szCs w:val="22"/>
        </w:rPr>
        <w:t xml:space="preserve"> Rowntree and colleagues' multi-species pastured-livestock analysis likewise reported a markedly lower greenhouse-gas footprint, while also documenting that the system required considerably more land per unit of output.</w:t>
      </w:r>
      <w:r>
        <w:rPr>
          <w:rStyle w:val="FootnoteReference"/>
        </w:rPr>
        <w:footnoteReference w:id="91"/>
      </w:r>
      <w:r>
        <w:rPr>
          <w:rFonts w:ascii="Georgia" w:cs="Georgia" w:eastAsia="Georgia" w:hAnsi="Georgia"/>
          <w:color w:val="1A1A1A"/>
          <w:sz w:val="22"/>
          <w:szCs w:val="22"/>
        </w:rPr>
        <w:t xml:space="preserve"> A broader argument that well-managed ruminants can reduce North American agriculture's carbon footprint has been advanced by Teague and colleagues.</w:t>
      </w:r>
      <w:r>
        <w:rPr>
          <w:rStyle w:val="FootnoteReference"/>
        </w:rPr>
        <w:footnoteReference w:id="92"/>
      </w:r>
    </w:p>
    <w:p>
      <w:pPr>
        <w:spacing w:after="160" w:before="0" w:line="300"/>
        <w:jc w:val="both"/>
      </w:pPr>
      <w:r>
        <w:rPr>
          <w:rFonts w:ascii="Georgia" w:cs="Georgia" w:eastAsia="Georgia" w:hAnsi="Georgia"/>
          <w:color w:val="1A1A1A"/>
          <w:sz w:val="22"/>
          <w:szCs w:val="22"/>
        </w:rPr>
        <w:t xml:space="preserve">On the skeptical side, the influential </w:t>
      </w:r>
      <w:r>
        <w:rPr>
          <w:rFonts w:ascii="Georgia" w:cs="Georgia" w:eastAsia="Georgia" w:hAnsi="Georgia"/>
          <w:b w:val="false"/>
          <w:bCs w:val="false"/>
          <w:i/>
          <w:iCs/>
          <w:caps w:val="false"/>
          <w:color w:val="1A1A1A"/>
          <w:sz w:val="22"/>
          <w:szCs w:val="22"/>
        </w:rPr>
        <w:t xml:space="preserve">Grazed and Confused?</w:t>
      </w:r>
      <w:r>
        <w:rPr>
          <w:rFonts w:ascii="Georgia" w:cs="Georgia" w:eastAsia="Georgia" w:hAnsi="Georgia"/>
          <w:color w:val="1A1A1A"/>
          <w:sz w:val="22"/>
          <w:szCs w:val="22"/>
        </w:rPr>
        <w:t xml:space="preserve"> report from the Food Climate Research Network at the University of Oxford reviewed the global evidence and concluded that grazing-driven soil-carbon sequestration is real but limited in magnitude, time-bounded (soils saturate), reversible (gains can be lost with management changes), and generally insufficient to offset the methane and other emissions of the ruminants involved.</w:t>
      </w:r>
      <w:r>
        <w:rPr>
          <w:rStyle w:val="FootnoteReference"/>
        </w:rPr>
        <w:footnoteReference w:id="93"/>
      </w:r>
      <w:r>
        <w:rPr>
          <w:rFonts w:ascii="Georgia" w:cs="Georgia" w:eastAsia="Georgia" w:hAnsi="Georgia"/>
          <w:color w:val="1A1A1A"/>
          <w:sz w:val="22"/>
          <w:szCs w:val="22"/>
        </w:rPr>
        <w:t xml:space="preserve"> The disagreement turns on system boundaries, the durability and saturation of soil-carbon gains, land-use trade-offs, and how methane is accounted—and it is not resolved. The honest conclusion for a buyer is that local, forage-based, and regenerative purchasing has well-documented benefits for animal welfare, supply-chain transparency, and several compositional markers, and a genuine but contested and context-dependent climate case that should not be overstated.</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Where the evidence lands. </w:t>
            </w:r>
            <w:r>
              <w:rPr>
                <w:rFonts w:ascii="Georgia" w:cs="Georgia" w:eastAsia="Georgia" w:hAnsi="Georgia"/>
                <w:color w:val="1A1A1A"/>
                <w:sz w:val="22"/>
                <w:szCs w:val="22"/>
              </w:rPr>
              <w:t xml:space="preserve">Strongly supported: grass finishing shifts fatty-acid and antioxidant composition favorably (Ref. 50), and local sourcing improves traceability and welfare. Contested and unresolved: whether managed grazing's soil-carbon sequestration offsets ruminant emissions at scale (Refs. 50–52, 54 versus the Oxford FCRN synthesis). This volume recommends local and forage-based buying on grounds that are solid, while flagging the climate claim as genuinely debated.</w:t>
            </w:r>
          </w:p>
        </w:tc>
      </w:tr>
    </w:tbl>
    <w:p>
      <w:pPr>
        <w:pStyle w:val="Heading2"/>
        <w:spacing w:after="140" w:before="280"/>
      </w:pPr>
      <w:r>
        <w:rPr>
          <w:rFonts w:ascii="Georgia" w:cs="Georgia" w:eastAsia="Georgia" w:hAnsi="Georgia"/>
          <w:b/>
          <w:bCs/>
          <w:i w:val="false"/>
          <w:iCs w:val="false"/>
          <w:caps w:val="false"/>
          <w:color w:val="1A1A1A"/>
          <w:sz w:val="22"/>
          <w:szCs w:val="22"/>
        </w:rPr>
        <w:t xml:space="preserve">9.3 Practical implications for the buyer</w:t>
      </w:r>
    </w:p>
    <w:p>
      <w:pPr>
        <w:spacing w:after="160" w:before="0" w:line="300"/>
        <w:jc w:val="both"/>
      </w:pPr>
      <w:r>
        <w:rPr>
          <w:rFonts w:ascii="Georgia" w:cs="Georgia" w:eastAsia="Georgia" w:hAnsi="Georgia"/>
          <w:color w:val="1A1A1A"/>
          <w:sz w:val="22"/>
          <w:szCs w:val="22"/>
        </w:rPr>
        <w:t xml:space="preserve">Translating this into purchasing guidance: the case for buying grass-finished and regeneratively raised meat from a transparent local producer rests most firmly on supply-chain transparency, animal welfare, freshness, support of the regional foodshed, and a measurably improved fatty-acid and antioxidant profile in the case of beef. The climate argument may add to that case but should be held with appropriate humility given the unresolved science. A buyer who values these attributes will find them well served by the verified Northwest Arkansas producers catalogued in the companion field guide; a buyer on a strict budget can still eat well from conventional sources by applying the same preparation science, and the two strategies can be mixed—bulk forage-based purchasing for the freezer, supplemented by conventional and seasonal buying for the rest.</w:t>
      </w:r>
    </w:p>
    <w:p>
      <w:r>
        <w:br w:type="page"/>
      </w:r>
    </w:p>
    <w:p>
      <w:pPr>
        <w:pStyle w:val="Heading1"/>
        <w:spacing w:after="200" w:before="360"/>
      </w:pPr>
      <w:bookmarkStart w:name="traditions" w:id="1010"/>
      <w:r>
        <w:rPr>
          <w:rFonts w:ascii="Georgia" w:cs="Georgia" w:eastAsia="Georgia" w:hAnsi="Georgia"/>
          <w:b/>
          <w:bCs/>
          <w:i w:val="false"/>
          <w:iCs w:val="false"/>
          <w:caps w:val="false"/>
          <w:color w:val="1A1A1A"/>
          <w:sz w:val="22"/>
          <w:szCs w:val="22"/>
        </w:rPr>
        <w:t xml:space="preserve">10. The World's Great Meat-and-Fire Traditions</w:t>
      </w:r>
      <w:bookmarkEnd w:id="1010"/>
    </w:p>
    <w:p>
      <w:pPr>
        <w:spacing w:after="160" w:before="0" w:line="300"/>
        <w:jc w:val="both"/>
      </w:pPr>
      <w:r>
        <w:rPr>
          <w:rFonts w:ascii="Georgia" w:cs="Georgia" w:eastAsia="Georgia" w:hAnsi="Georgia"/>
          <w:color w:val="1A1A1A"/>
          <w:sz w:val="22"/>
          <w:szCs w:val="22"/>
        </w:rPr>
        <w:t xml:space="preserve">Having established the chemistry and nutrition of meat and plants, the analysis turns to culture—to the national traditions that have spent centuries refining the application of fire to flesh, and to the reputations attached to specific national products. These traditions are not interchangeable styles to be ranked on a single scale; each is an optimized solution to a particular set of ingredients, fuels, and social purposes. Understanding them on their own terms is the prerequisite to the synthesis of Section 11.</w:t>
      </w:r>
    </w:p>
    <w:p>
      <w:pPr>
        <w:pStyle w:val="Heading2"/>
        <w:spacing w:after="140" w:before="280"/>
      </w:pPr>
      <w:r>
        <w:rPr>
          <w:rFonts w:ascii="Georgia" w:cs="Georgia" w:eastAsia="Georgia" w:hAnsi="Georgia"/>
          <w:b/>
          <w:bCs/>
          <w:i w:val="false"/>
          <w:iCs w:val="false"/>
          <w:caps w:val="false"/>
          <w:color w:val="1A1A1A"/>
          <w:sz w:val="22"/>
          <w:szCs w:val="22"/>
        </w:rPr>
        <w:t xml:space="preserve">10.1 Argentine asado: fire, embers, and the discipline of restraint</w:t>
      </w:r>
    </w:p>
    <w:p>
      <w:pPr>
        <w:spacing w:after="160" w:before="0" w:line="300"/>
        <w:jc w:val="both"/>
      </w:pPr>
      <w:r>
        <w:rPr>
          <w:rFonts w:ascii="Georgia" w:cs="Georgia" w:eastAsia="Georgia" w:hAnsi="Georgia"/>
          <w:color w:val="1A1A1A"/>
          <w:sz w:val="22"/>
          <w:szCs w:val="22"/>
        </w:rPr>
        <w:t xml:space="preserve">The Argentine </w:t>
      </w:r>
      <w:r>
        <w:rPr>
          <w:rFonts w:ascii="Georgia" w:cs="Georgia" w:eastAsia="Georgia" w:hAnsi="Georgia"/>
          <w:b w:val="false"/>
          <w:bCs w:val="false"/>
          <w:i/>
          <w:iCs/>
          <w:caps w:val="false"/>
          <w:color w:val="1A1A1A"/>
          <w:sz w:val="22"/>
          <w:szCs w:val="22"/>
        </w:rPr>
        <w:t xml:space="preserve">asado</w:t>
      </w:r>
      <w:r>
        <w:rPr>
          <w:rFonts w:ascii="Georgia" w:cs="Georgia" w:eastAsia="Georgia" w:hAnsi="Georgia"/>
          <w:color w:val="1A1A1A"/>
          <w:sz w:val="22"/>
          <w:szCs w:val="22"/>
        </w:rPr>
        <w:t xml:space="preserve"> is among the world's most respected beef traditions, and its defining quality is restraint. Meat—beef foremost, alongside sausages and offal—is cooked over the embers of a hardwood fire on a </w:t>
      </w:r>
      <w:r>
        <w:rPr>
          <w:rFonts w:ascii="Georgia" w:cs="Georgia" w:eastAsia="Georgia" w:hAnsi="Georgia"/>
          <w:b w:val="false"/>
          <w:bCs w:val="false"/>
          <w:i/>
          <w:iCs/>
          <w:caps w:val="false"/>
          <w:color w:val="1A1A1A"/>
          <w:sz w:val="22"/>
          <w:szCs w:val="22"/>
        </w:rPr>
        <w:t xml:space="preserve">parrilla</w:t>
      </w:r>
      <w:r>
        <w:rPr>
          <w:rFonts w:ascii="Georgia" w:cs="Georgia" w:eastAsia="Georgia" w:hAnsi="Georgia"/>
          <w:color w:val="1A1A1A"/>
          <w:sz w:val="22"/>
          <w:szCs w:val="22"/>
        </w:rPr>
        <w:t xml:space="preserve">, a grill whose grate height is often adjustable to control the intensity of heat reaching the meat. Seasoning is minimal, frequently nothing more than coarse salt, on the philosophy that excellent beef cooked correctly over wood needs little else. The </w:t>
      </w:r>
      <w:r>
        <w:rPr>
          <w:rFonts w:ascii="Georgia" w:cs="Georgia" w:eastAsia="Georgia" w:hAnsi="Georgia"/>
          <w:b w:val="false"/>
          <w:bCs w:val="false"/>
          <w:i/>
          <w:iCs/>
          <w:caps w:val="false"/>
          <w:color w:val="1A1A1A"/>
          <w:sz w:val="22"/>
          <w:szCs w:val="22"/>
        </w:rPr>
        <w:t xml:space="preserve">asador</w:t>
      </w:r>
      <w:r>
        <w:rPr>
          <w:rFonts w:ascii="Georgia" w:cs="Georgia" w:eastAsia="Georgia" w:hAnsi="Georgia"/>
          <w:color w:val="1A1A1A"/>
          <w:sz w:val="22"/>
          <w:szCs w:val="22"/>
        </w:rPr>
        <w:t xml:space="preserve"> manages the fire patiently, building and replenishing embers and moving meat to control its rate of cooking, and the accompaniment of choice is </w:t>
      </w:r>
      <w:r>
        <w:rPr>
          <w:rFonts w:ascii="Georgia" w:cs="Georgia" w:eastAsia="Georgia" w:hAnsi="Georgia"/>
          <w:b w:val="false"/>
          <w:bCs w:val="false"/>
          <w:i/>
          <w:iCs/>
          <w:caps w:val="false"/>
          <w:color w:val="1A1A1A"/>
          <w:sz w:val="22"/>
          <w:szCs w:val="22"/>
        </w:rPr>
        <w:t xml:space="preserve">chimichurri</w:t>
      </w:r>
      <w:r>
        <w:rPr>
          <w:rFonts w:ascii="Georgia" w:cs="Georgia" w:eastAsia="Georgia" w:hAnsi="Georgia"/>
          <w:color w:val="1A1A1A"/>
          <w:sz w:val="22"/>
          <w:szCs w:val="22"/>
        </w:rPr>
        <w:t xml:space="preserve">—an uncooked sauce of parsley, garlic, oregano, vinegar or acid, oil, and chili—served alongside rather than cooked onto the meat. The cultural and technical contours of the asado are documented in the broader food-studies and culinary-reference literature.</w:t>
      </w:r>
      <w:r>
        <w:rPr>
          <w:rStyle w:val="FootnoteReference"/>
        </w:rPr>
        <w:footnoteReference w:id="94"/>
        <w:footnoteReference w:id="95"/>
      </w:r>
    </w:p>
    <w:p>
      <w:pPr>
        <w:pStyle w:val="Heading2"/>
        <w:spacing w:after="140" w:before="280"/>
      </w:pPr>
      <w:r>
        <w:rPr>
          <w:rFonts w:ascii="Georgia" w:cs="Georgia" w:eastAsia="Georgia" w:hAnsi="Georgia"/>
          <w:b/>
          <w:bCs/>
          <w:i w:val="false"/>
          <w:iCs w:val="false"/>
          <w:caps w:val="false"/>
          <w:color w:val="1A1A1A"/>
          <w:sz w:val="22"/>
          <w:szCs w:val="22"/>
        </w:rPr>
        <w:t xml:space="preserve">10.2 North American barbecue: the science of low and slow</w:t>
      </w:r>
    </w:p>
    <w:p>
      <w:pPr>
        <w:spacing w:after="160" w:before="0" w:line="300"/>
        <w:jc w:val="both"/>
      </w:pPr>
      <w:r>
        <w:rPr>
          <w:rFonts w:ascii="Georgia" w:cs="Georgia" w:eastAsia="Georgia" w:hAnsi="Georgia"/>
          <w:color w:val="1A1A1A"/>
          <w:sz w:val="22"/>
          <w:szCs w:val="22"/>
        </w:rPr>
        <w:t xml:space="preserve">If the asado is the art of fire and restraint, American barbecue is the art of time and smoke. Its central achievement, developed in regional schools across the American South and Midwest, is the transformation of tough, collagen-rich cuts—brisket, pork shoulder, ribs—through long cooking at low temperature in a smoke-laden hot-air environment, exploiting the collagen-to-gelatin conversion detailed in Section 6.3. The regional styles diverge in characteristic ways: Texas barbecue centers on beef, especially brisket, often seasoned simply with salt and pepper and smoked over post oak; the Carolinas favor whole-hog and pork shoulder dressed with vinegar- or mustard-based sauces; Kansas City is known for a broad range of meats and sweeter tomato-based sauces. The documentary and oral-history record of these traditions is preserved by the Southern Foodways Alliance and by chroniclers such as Robb Walsh.</w:t>
      </w:r>
      <w:r>
        <w:rPr>
          <w:rStyle w:val="FootnoteReference"/>
        </w:rPr>
        <w:footnoteReference w:id="96"/>
        <w:footnoteReference w:id="97"/>
      </w:r>
      <w:r>
        <w:rPr>
          <w:rFonts w:ascii="Georgia" w:cs="Georgia" w:eastAsia="Georgia" w:hAnsi="Georgia"/>
          <w:color w:val="1A1A1A"/>
          <w:sz w:val="22"/>
          <w:szCs w:val="22"/>
        </w:rPr>
        <w:t xml:space="preserve"> The applied-science dimension—fire management, smoke chemistry, the smoke ring—has been investigated rigorously by the practitioner-scientists cited throughout Section 6.</w:t>
      </w:r>
      <w:r>
        <w:rPr>
          <w:rStyle w:val="FootnoteReference"/>
        </w:rPr>
        <w:footnoteReference w:id="98"/>
        <w:footnoteReference w:id="99"/>
        <w:footnoteReference w:id="100"/>
      </w:r>
    </w:p>
    <w:p>
      <w:pPr>
        <w:pStyle w:val="Heading2"/>
        <w:spacing w:after="140" w:before="280"/>
      </w:pPr>
      <w:r>
        <w:rPr>
          <w:rFonts w:ascii="Georgia" w:cs="Georgia" w:eastAsia="Georgia" w:hAnsi="Georgia"/>
          <w:b/>
          <w:bCs/>
          <w:i w:val="false"/>
          <w:iCs w:val="false"/>
          <w:caps w:val="false"/>
          <w:color w:val="1A1A1A"/>
          <w:sz w:val="22"/>
          <w:szCs w:val="22"/>
        </w:rPr>
        <w:t xml:space="preserve">10.3 Brazilian churrasco: the skewer and the cut</w:t>
      </w:r>
    </w:p>
    <w:p>
      <w:pPr>
        <w:spacing w:after="160" w:before="0" w:line="300"/>
        <w:jc w:val="both"/>
      </w:pPr>
      <w:r>
        <w:rPr>
          <w:rFonts w:ascii="Georgia" w:cs="Georgia" w:eastAsia="Georgia" w:hAnsi="Georgia"/>
          <w:color w:val="1A1A1A"/>
          <w:sz w:val="22"/>
          <w:szCs w:val="22"/>
        </w:rPr>
        <w:t xml:space="preserve">Brazil's </w:t>
      </w:r>
      <w:r>
        <w:rPr>
          <w:rFonts w:ascii="Georgia" w:cs="Georgia" w:eastAsia="Georgia" w:hAnsi="Georgia"/>
          <w:b w:val="false"/>
          <w:bCs w:val="false"/>
          <w:i/>
          <w:iCs/>
          <w:caps w:val="false"/>
          <w:color w:val="1A1A1A"/>
          <w:sz w:val="22"/>
          <w:szCs w:val="22"/>
        </w:rPr>
        <w:t xml:space="preserve">churrasco</w:t>
      </w:r>
      <w:r>
        <w:rPr>
          <w:rFonts w:ascii="Georgia" w:cs="Georgia" w:eastAsia="Georgia" w:hAnsi="Georgia"/>
          <w:color w:val="1A1A1A"/>
          <w:sz w:val="22"/>
          <w:szCs w:val="22"/>
        </w:rPr>
        <w:t xml:space="preserve">, rooted in the cattle culture of the southern </w:t>
      </w:r>
      <w:r>
        <w:rPr>
          <w:rFonts w:ascii="Georgia" w:cs="Georgia" w:eastAsia="Georgia" w:hAnsi="Georgia"/>
          <w:b w:val="false"/>
          <w:bCs w:val="false"/>
          <w:i/>
          <w:iCs/>
          <w:caps w:val="false"/>
          <w:color w:val="1A1A1A"/>
          <w:sz w:val="22"/>
          <w:szCs w:val="22"/>
        </w:rPr>
        <w:t xml:space="preserve">gaúcho</w:t>
      </w:r>
      <w:r>
        <w:rPr>
          <w:rFonts w:ascii="Georgia" w:cs="Georgia" w:eastAsia="Georgia" w:hAnsi="Georgia"/>
          <w:color w:val="1A1A1A"/>
          <w:sz w:val="22"/>
          <w:szCs w:val="22"/>
        </w:rPr>
        <w:t xml:space="preserve"> region of Rio Grande do Sul, cooks meat on large skewers (</w:t>
      </w:r>
      <w:r>
        <w:rPr>
          <w:rFonts w:ascii="Georgia" w:cs="Georgia" w:eastAsia="Georgia" w:hAnsi="Georgia"/>
          <w:b w:val="false"/>
          <w:bCs w:val="false"/>
          <w:i/>
          <w:iCs/>
          <w:caps w:val="false"/>
          <w:color w:val="1A1A1A"/>
          <w:sz w:val="22"/>
          <w:szCs w:val="22"/>
        </w:rPr>
        <w:t xml:space="preserve">espetos</w:t>
      </w:r>
      <w:r>
        <w:rPr>
          <w:rFonts w:ascii="Georgia" w:cs="Georgia" w:eastAsia="Georgia" w:hAnsi="Georgia"/>
          <w:color w:val="1A1A1A"/>
          <w:sz w:val="22"/>
          <w:szCs w:val="22"/>
        </w:rPr>
        <w:t xml:space="preserve">) over open fire or in a </w:t>
      </w:r>
      <w:r>
        <w:rPr>
          <w:rFonts w:ascii="Georgia" w:cs="Georgia" w:eastAsia="Georgia" w:hAnsi="Georgia"/>
          <w:b w:val="false"/>
          <w:bCs w:val="false"/>
          <w:i/>
          <w:iCs/>
          <w:caps w:val="false"/>
          <w:color w:val="1A1A1A"/>
          <w:sz w:val="22"/>
          <w:szCs w:val="22"/>
        </w:rPr>
        <w:t xml:space="preserve">churrasqueira</w:t>
      </w:r>
      <w:r>
        <w:rPr>
          <w:rFonts w:ascii="Georgia" w:cs="Georgia" w:eastAsia="Georgia" w:hAnsi="Georgia"/>
          <w:color w:val="1A1A1A"/>
          <w:sz w:val="22"/>
          <w:szCs w:val="22"/>
        </w:rPr>
        <w:t xml:space="preserve">, with the meat seasoned simply—often with coarse salt—and turned to char its exterior while the interior cooks. The </w:t>
      </w:r>
      <w:r>
        <w:rPr>
          <w:rFonts w:ascii="Georgia" w:cs="Georgia" w:eastAsia="Georgia" w:hAnsi="Georgia"/>
          <w:b w:val="false"/>
          <w:bCs w:val="false"/>
          <w:i/>
          <w:iCs/>
          <w:caps w:val="false"/>
          <w:color w:val="1A1A1A"/>
          <w:sz w:val="22"/>
          <w:szCs w:val="22"/>
        </w:rPr>
        <w:t xml:space="preserve">rodízio</w:t>
      </w:r>
      <w:r>
        <w:rPr>
          <w:rFonts w:ascii="Georgia" w:cs="Georgia" w:eastAsia="Georgia" w:hAnsi="Georgia"/>
          <w:color w:val="1A1A1A"/>
          <w:sz w:val="22"/>
          <w:szCs w:val="22"/>
        </w:rPr>
        <w:t xml:space="preserve"> service style, in which skewers of many different cuts are brought continuously to the table and sliced to order, expresses the tradition's emphasis on variety and abundance. The signature cut, </w:t>
      </w:r>
      <w:r>
        <w:rPr>
          <w:rFonts w:ascii="Georgia" w:cs="Georgia" w:eastAsia="Georgia" w:hAnsi="Georgia"/>
          <w:b w:val="false"/>
          <w:bCs w:val="false"/>
          <w:i/>
          <w:iCs/>
          <w:caps w:val="false"/>
          <w:color w:val="1A1A1A"/>
          <w:sz w:val="22"/>
          <w:szCs w:val="22"/>
        </w:rPr>
        <w:t xml:space="preserve">picanha</w:t>
      </w:r>
      <w:r>
        <w:rPr>
          <w:rFonts w:ascii="Georgia" w:cs="Georgia" w:eastAsia="Georgia" w:hAnsi="Georgia"/>
          <w:color w:val="1A1A1A"/>
          <w:sz w:val="22"/>
          <w:szCs w:val="22"/>
        </w:rPr>
        <w:t xml:space="preserve"> (the rump cap, prized for its fat cap), exemplifies the tradition's respect for fat as a flavor and basting agent. Like the asado, churrasco belongs to a family of high-respect, low-intervention beef traditions documented in the culinary-reference literature.</w:t>
      </w:r>
      <w:r>
        <w:rPr>
          <w:rStyle w:val="FootnoteReference"/>
        </w:rPr>
        <w:footnoteReference w:id="101"/>
      </w:r>
    </w:p>
    <w:p>
      <w:pPr>
        <w:pStyle w:val="Heading2"/>
        <w:spacing w:after="140" w:before="280"/>
      </w:pPr>
      <w:r>
        <w:rPr>
          <w:rFonts w:ascii="Georgia" w:cs="Georgia" w:eastAsia="Georgia" w:hAnsi="Georgia"/>
          <w:b/>
          <w:bCs/>
          <w:i w:val="false"/>
          <w:iCs w:val="false"/>
          <w:caps w:val="false"/>
          <w:color w:val="1A1A1A"/>
          <w:sz w:val="22"/>
          <w:szCs w:val="22"/>
        </w:rPr>
        <w:t xml:space="preserve">10.4 Mexican carne asada and barbacoa: marinade and the pit</w:t>
      </w:r>
    </w:p>
    <w:p>
      <w:pPr>
        <w:spacing w:after="160" w:before="0" w:line="300"/>
        <w:jc w:val="both"/>
      </w:pPr>
      <w:r>
        <w:rPr>
          <w:rFonts w:ascii="Georgia" w:cs="Georgia" w:eastAsia="Georgia" w:hAnsi="Georgia"/>
          <w:color w:val="1A1A1A"/>
          <w:sz w:val="22"/>
          <w:szCs w:val="22"/>
        </w:rPr>
        <w:t xml:space="preserve">Mexico contributes two complementary techniques of global importance. </w:t>
      </w:r>
      <w:r>
        <w:rPr>
          <w:rFonts w:ascii="Georgia" w:cs="Georgia" w:eastAsia="Georgia" w:hAnsi="Georgia"/>
          <w:b w:val="false"/>
          <w:bCs w:val="false"/>
          <w:i/>
          <w:iCs/>
          <w:caps w:val="false"/>
          <w:color w:val="1A1A1A"/>
          <w:sz w:val="22"/>
          <w:szCs w:val="22"/>
        </w:rPr>
        <w:t xml:space="preserve">Carne asada</w:t>
      </w:r>
      <w:r>
        <w:rPr>
          <w:rFonts w:ascii="Georgia" w:cs="Georgia" w:eastAsia="Georgia" w:hAnsi="Georgia"/>
          <w:color w:val="1A1A1A"/>
          <w:sz w:val="22"/>
          <w:szCs w:val="22"/>
        </w:rPr>
        <w:t xml:space="preserve"> applies high, direct heat to thin cuts—traditionally skirt or flank—often after a marinade built on citrus, garlic, and chili, producing a fast, intensely charred result sliced against the grain and served with lime, onion, cilantro, salsa, and tortillas. The acid-and-aromatics marinade is both a flavor treatment and, as Section 3 notes, a mild protein and water-state modifier.</w:t>
      </w:r>
      <w:r>
        <w:rPr>
          <w:rStyle w:val="FootnoteReference"/>
        </w:rPr>
        <w:footnoteReference w:id="102"/>
      </w:r>
      <w:r>
        <w:rPr>
          <w:rFonts w:ascii="Georgia" w:cs="Georgia" w:eastAsia="Georgia" w:hAnsi="Georgia"/>
          <w:color w:val="1A1A1A"/>
          <w:sz w:val="22"/>
          <w:szCs w:val="22"/>
        </w:rPr>
        <w:t xml:space="preserve"> </w:t>
      </w:r>
      <w:r>
        <w:rPr>
          <w:rFonts w:ascii="Georgia" w:cs="Georgia" w:eastAsia="Georgia" w:hAnsi="Georgia"/>
          <w:b w:val="false"/>
          <w:bCs w:val="false"/>
          <w:i/>
          <w:iCs/>
          <w:caps w:val="false"/>
          <w:color w:val="1A1A1A"/>
          <w:sz w:val="22"/>
          <w:szCs w:val="22"/>
        </w:rPr>
        <w:t xml:space="preserve">Barbacoa</w:t>
      </w:r>
      <w:r>
        <w:rPr>
          <w:rFonts w:ascii="Georgia" w:cs="Georgia" w:eastAsia="Georgia" w:hAnsi="Georgia"/>
          <w:color w:val="1A1A1A"/>
          <w:sz w:val="22"/>
          <w:szCs w:val="22"/>
        </w:rPr>
        <w:t xml:space="preserve">, by contrast, is a slow, moist, pit-cooked method—traditionally meat wrapped and cooked in an earthen pit—and is of special etymological significance: the Spanish </w:t>
      </w:r>
      <w:r>
        <w:rPr>
          <w:rFonts w:ascii="Georgia" w:cs="Georgia" w:eastAsia="Georgia" w:hAnsi="Georgia"/>
          <w:b w:val="false"/>
          <w:bCs w:val="false"/>
          <w:i/>
          <w:iCs/>
          <w:caps w:val="false"/>
          <w:color w:val="1A1A1A"/>
          <w:sz w:val="22"/>
          <w:szCs w:val="22"/>
        </w:rPr>
        <w:t xml:space="preserve">barbacoa</w:t>
      </w:r>
      <w:r>
        <w:rPr>
          <w:rFonts w:ascii="Georgia" w:cs="Georgia" w:eastAsia="Georgia" w:hAnsi="Georgia"/>
          <w:color w:val="1A1A1A"/>
          <w:sz w:val="22"/>
          <w:szCs w:val="22"/>
        </w:rPr>
        <w:t xml:space="preserve"> is the linguistic ancestor of the English word “barbecue.” Diana Kennedy's foundational documentation of Mexican regional cuisines records these techniques and their variations,</w:t>
      </w:r>
      <w:r>
        <w:rPr>
          <w:rStyle w:val="FootnoteReference"/>
        </w:rPr>
        <w:footnoteReference w:id="103"/>
      </w:r>
      <w:r>
        <w:rPr>
          <w:rFonts w:ascii="Georgia" w:cs="Georgia" w:eastAsia="Georgia" w:hAnsi="Georgia"/>
          <w:color w:val="1A1A1A"/>
          <w:sz w:val="22"/>
          <w:szCs w:val="22"/>
        </w:rPr>
        <w:t xml:space="preserve"> and the broader reference literature situates them within the global history of fire cookery.</w:t>
      </w:r>
      <w:r>
        <w:rPr>
          <w:rStyle w:val="FootnoteReference"/>
        </w:rPr>
        <w:footnoteReference w:id="104"/>
      </w:r>
    </w:p>
    <w:p>
      <w:pPr>
        <w:pStyle w:val="Heading2"/>
        <w:spacing w:after="140" w:before="280"/>
      </w:pPr>
      <w:r>
        <w:rPr>
          <w:rFonts w:ascii="Georgia" w:cs="Georgia" w:eastAsia="Georgia" w:hAnsi="Georgia"/>
          <w:b/>
          <w:bCs/>
          <w:i w:val="false"/>
          <w:iCs w:val="false"/>
          <w:caps w:val="false"/>
          <w:color w:val="1A1A1A"/>
          <w:sz w:val="22"/>
          <w:szCs w:val="22"/>
        </w:rPr>
        <w:t xml:space="preserve">10.5 Reputations attached to specific national products</w:t>
      </w:r>
    </w:p>
    <w:p>
      <w:pPr>
        <w:spacing w:after="160" w:before="0" w:line="300"/>
        <w:jc w:val="both"/>
      </w:pPr>
      <w:r>
        <w:rPr>
          <w:rFonts w:ascii="Georgia" w:cs="Georgia" w:eastAsia="Georgia" w:hAnsi="Georgia"/>
          <w:color w:val="1A1A1A"/>
          <w:sz w:val="22"/>
          <w:szCs w:val="22"/>
        </w:rPr>
        <w:t xml:space="preserve">Distinct from cooking traditions are the quality reputations attached to particular national products, several of which rest on documented, sometimes legally protected, distinctions.</w:t>
      </w:r>
    </w:p>
    <w:p>
      <w:pPr>
        <w:pStyle w:val="Heading3"/>
        <w:spacing w:after="120" w:before="220"/>
      </w:pPr>
      <w:r>
        <w:rPr>
          <w:rFonts w:ascii="Georgia" w:cs="Georgia" w:eastAsia="Georgia" w:hAnsi="Georgia"/>
          <w:b/>
          <w:bCs/>
          <w:i w:val="false"/>
          <w:iCs w:val="false"/>
          <w:caps w:val="false"/>
          <w:color w:val="1A1A1A"/>
          <w:sz w:val="22"/>
          <w:szCs w:val="22"/>
        </w:rPr>
        <w:t xml:space="preserve">Japanese wagyu and the science of marbling</w:t>
      </w:r>
    </w:p>
    <w:p>
      <w:pPr>
        <w:spacing w:after="160" w:before="0" w:line="300"/>
        <w:jc w:val="both"/>
      </w:pPr>
      <w:r>
        <w:rPr>
          <w:rFonts w:ascii="Georgia" w:cs="Georgia" w:eastAsia="Georgia" w:hAnsi="Georgia"/>
          <w:color w:val="1A1A1A"/>
          <w:sz w:val="22"/>
          <w:szCs w:val="22"/>
        </w:rPr>
        <w:t xml:space="preserve">Japanese </w:t>
      </w:r>
      <w:r>
        <w:rPr>
          <w:rFonts w:ascii="Georgia" w:cs="Georgia" w:eastAsia="Georgia" w:hAnsi="Georgia"/>
          <w:b w:val="false"/>
          <w:bCs w:val="false"/>
          <w:i/>
          <w:iCs/>
          <w:caps w:val="false"/>
          <w:color w:val="1A1A1A"/>
          <w:sz w:val="22"/>
          <w:szCs w:val="22"/>
        </w:rPr>
        <w:t xml:space="preserve">wagyu</w:t>
      </w:r>
      <w:r>
        <w:rPr>
          <w:rFonts w:ascii="Georgia" w:cs="Georgia" w:eastAsia="Georgia" w:hAnsi="Georgia"/>
          <w:color w:val="1A1A1A"/>
          <w:sz w:val="22"/>
          <w:szCs w:val="22"/>
        </w:rPr>
        <w:t xml:space="preserve"> beef is internationally esteemed for its extreme intramuscular fat, or marbling. Its quality is formally graded—a yield grade (A–C) combined with a quality score (1–5), with marbling assessed on a Beef Marbling Standard scale, the highest designations requiring exceptional marbling. The industry context and the factors contributing to wagyu's characteristic quality have been reviewed by Motoyama and colleagues,</w:t>
      </w:r>
      <w:r>
        <w:rPr>
          <w:rStyle w:val="FootnoteReference"/>
        </w:rPr>
        <w:footnoteReference w:id="105"/>
      </w:r>
      <w:r>
        <w:rPr>
          <w:rFonts w:ascii="Georgia" w:cs="Georgia" w:eastAsia="Georgia" w:hAnsi="Georgia"/>
          <w:color w:val="1A1A1A"/>
          <w:sz w:val="22"/>
          <w:szCs w:val="22"/>
        </w:rPr>
        <w:t xml:space="preserve"> and the comparative logic of the Japanese and Australian grading systems analyzed by Smith and colleagues.</w:t>
      </w:r>
      <w:r>
        <w:rPr>
          <w:rStyle w:val="FootnoteReference"/>
        </w:rPr>
        <w:footnoteReference w:id="106"/>
      </w:r>
      <w:r>
        <w:rPr>
          <w:rFonts w:ascii="Georgia" w:cs="Georgia" w:eastAsia="Georgia" w:hAnsi="Georgia"/>
          <w:color w:val="1A1A1A"/>
          <w:sz w:val="22"/>
          <w:szCs w:val="22"/>
        </w:rPr>
        <w:t xml:space="preserve"> The sensory rationale—why abundant, finely distributed intramuscular fat is prized—is supported by consumer-acceptance research on intramuscular fat and its texture.</w:t>
      </w:r>
      <w:r>
        <w:rPr>
          <w:rStyle w:val="FootnoteReference"/>
        </w:rPr>
        <w:footnoteReference w:id="107"/>
        <w:footnoteReference w:id="108"/>
      </w:r>
    </w:p>
    <w:p>
      <w:pPr>
        <w:pStyle w:val="Heading3"/>
        <w:spacing w:after="120" w:before="220"/>
      </w:pPr>
      <w:r>
        <w:rPr>
          <w:rFonts w:ascii="Georgia" w:cs="Georgia" w:eastAsia="Georgia" w:hAnsi="Georgia"/>
          <w:b/>
          <w:bCs/>
          <w:i w:val="false"/>
          <w:iCs w:val="false"/>
          <w:caps w:val="false"/>
          <w:color w:val="1A1A1A"/>
          <w:sz w:val="22"/>
          <w:szCs w:val="22"/>
        </w:rPr>
        <w:t xml:space="preserve">Spanish Ibérico pork and acorn finishing</w:t>
      </w:r>
    </w:p>
    <w:p>
      <w:pPr>
        <w:spacing w:after="160" w:before="0" w:line="300"/>
        <w:jc w:val="both"/>
      </w:pPr>
      <w:r>
        <w:rPr>
          <w:rFonts w:ascii="Georgia" w:cs="Georgia" w:eastAsia="Georgia" w:hAnsi="Georgia"/>
          <w:color w:val="1A1A1A"/>
          <w:sz w:val="22"/>
          <w:szCs w:val="22"/>
        </w:rPr>
        <w:t xml:space="preserve">Spain's </w:t>
      </w:r>
      <w:r>
        <w:rPr>
          <w:rFonts w:ascii="Georgia" w:cs="Georgia" w:eastAsia="Georgia" w:hAnsi="Georgia"/>
          <w:b w:val="false"/>
          <w:bCs w:val="false"/>
          <w:i/>
          <w:iCs/>
          <w:caps w:val="false"/>
          <w:color w:val="1A1A1A"/>
          <w:sz w:val="22"/>
          <w:szCs w:val="22"/>
        </w:rPr>
        <w:t xml:space="preserve">jamón ibérico</w:t>
      </w:r>
      <w:r>
        <w:rPr>
          <w:rFonts w:ascii="Georgia" w:cs="Georgia" w:eastAsia="Georgia" w:hAnsi="Georgia"/>
          <w:color w:val="1A1A1A"/>
          <w:sz w:val="22"/>
          <w:szCs w:val="22"/>
        </w:rPr>
        <w:t xml:space="preserve">, at its highest </w:t>
      </w:r>
      <w:r>
        <w:rPr>
          <w:rFonts w:ascii="Georgia" w:cs="Georgia" w:eastAsia="Georgia" w:hAnsi="Georgia"/>
          <w:b w:val="false"/>
          <w:bCs w:val="false"/>
          <w:i/>
          <w:iCs/>
          <w:caps w:val="false"/>
          <w:color w:val="1A1A1A"/>
          <w:sz w:val="22"/>
          <w:szCs w:val="22"/>
        </w:rPr>
        <w:t xml:space="preserve">de bellota</w:t>
      </w:r>
      <w:r>
        <w:rPr>
          <w:rFonts w:ascii="Georgia" w:cs="Georgia" w:eastAsia="Georgia" w:hAnsi="Georgia"/>
          <w:color w:val="1A1A1A"/>
          <w:sz w:val="22"/>
          <w:szCs w:val="22"/>
        </w:rPr>
        <w:t xml:space="preserve"> grade, derives its prized character from the Iberian pig breed and an acorn-rich </w:t>
      </w:r>
      <w:r>
        <w:rPr>
          <w:rFonts w:ascii="Georgia" w:cs="Georgia" w:eastAsia="Georgia" w:hAnsi="Georgia"/>
          <w:b w:val="false"/>
          <w:bCs w:val="false"/>
          <w:i/>
          <w:iCs/>
          <w:caps w:val="false"/>
          <w:color w:val="1A1A1A"/>
          <w:sz w:val="22"/>
          <w:szCs w:val="22"/>
        </w:rPr>
        <w:t xml:space="preserve">montanera</w:t>
      </w:r>
      <w:r>
        <w:rPr>
          <w:rFonts w:ascii="Georgia" w:cs="Georgia" w:eastAsia="Georgia" w:hAnsi="Georgia"/>
          <w:color w:val="1A1A1A"/>
          <w:sz w:val="22"/>
          <w:szCs w:val="22"/>
        </w:rPr>
        <w:t xml:space="preserve"> finishing diet that yields a distinctive, oleic-rich fat. The breed's sustainable utilization and the compositional and sensory consequences of its production system are documented in the meat-science literature.</w:t>
      </w:r>
      <w:r>
        <w:rPr>
          <w:rStyle w:val="FootnoteReference"/>
        </w:rPr>
        <w:footnoteReference w:id="109"/>
        <w:footnoteReference w:id="110"/>
      </w:r>
    </w:p>
    <w:p>
      <w:pPr>
        <w:pStyle w:val="Heading3"/>
        <w:spacing w:after="120" w:before="220"/>
      </w:pPr>
      <w:r>
        <w:rPr>
          <w:rFonts w:ascii="Georgia" w:cs="Georgia" w:eastAsia="Georgia" w:hAnsi="Georgia"/>
          <w:b/>
          <w:bCs/>
          <w:i w:val="false"/>
          <w:iCs w:val="false"/>
          <w:caps w:val="false"/>
          <w:color w:val="1A1A1A"/>
          <w:sz w:val="22"/>
          <w:szCs w:val="22"/>
        </w:rPr>
        <w:t xml:space="preserve">French poultry: Bresse and the Label Rouge logic</w:t>
      </w:r>
    </w:p>
    <w:p>
      <w:pPr>
        <w:spacing w:after="160" w:before="0" w:line="300"/>
        <w:jc w:val="both"/>
      </w:pPr>
      <w:r>
        <w:rPr>
          <w:rFonts w:ascii="Georgia" w:cs="Georgia" w:eastAsia="Georgia" w:hAnsi="Georgia"/>
          <w:color w:val="1A1A1A"/>
          <w:sz w:val="22"/>
          <w:szCs w:val="22"/>
        </w:rPr>
        <w:t xml:space="preserve">France's poultry reputation rests on slow-grown, free-ranging birds, epitomized by the </w:t>
      </w:r>
      <w:r>
        <w:rPr>
          <w:rFonts w:ascii="Georgia" w:cs="Georgia" w:eastAsia="Georgia" w:hAnsi="Georgia"/>
          <w:b w:val="false"/>
          <w:bCs w:val="false"/>
          <w:i/>
          <w:iCs/>
          <w:caps w:val="false"/>
          <w:color w:val="1A1A1A"/>
          <w:sz w:val="22"/>
          <w:szCs w:val="22"/>
        </w:rPr>
        <w:t xml:space="preserve">poulet de Bresse</w:t>
      </w:r>
      <w:r>
        <w:rPr>
          <w:rFonts w:ascii="Georgia" w:cs="Georgia" w:eastAsia="Georgia" w:hAnsi="Georgia"/>
          <w:color w:val="1A1A1A"/>
          <w:sz w:val="22"/>
          <w:szCs w:val="22"/>
        </w:rPr>
        <w:t xml:space="preserve">—the only chicken to hold France's protected </w:t>
      </w:r>
      <w:r>
        <w:rPr>
          <w:rFonts w:ascii="Georgia" w:cs="Georgia" w:eastAsia="Georgia" w:hAnsi="Georgia"/>
          <w:b w:val="false"/>
          <w:bCs w:val="false"/>
          <w:i/>
          <w:iCs/>
          <w:caps w:val="false"/>
          <w:color w:val="1A1A1A"/>
          <w:sz w:val="22"/>
          <w:szCs w:val="22"/>
        </w:rPr>
        <w:t xml:space="preserve">Appellation d'Origine Contrôlée</w:t>
      </w:r>
      <w:r>
        <w:rPr>
          <w:rFonts w:ascii="Georgia" w:cs="Georgia" w:eastAsia="Georgia" w:hAnsi="Georgia"/>
          <w:color w:val="1A1A1A"/>
          <w:sz w:val="22"/>
          <w:szCs w:val="22"/>
        </w:rPr>
        <w:t xml:space="preserve"> status—and institutionalized more broadly in the Label Rouge system, which certifies higher-welfare, slower-grown birds. Research on the effect of age and growth rate on poultry-meat quality supports the sensory basis for valuing slower-grown birds.</w:t>
      </w:r>
      <w:r>
        <w:rPr>
          <w:rStyle w:val="FootnoteReference"/>
        </w:rPr>
        <w:footnoteReference w:id="111"/>
      </w:r>
    </w:p>
    <w:p>
      <w:pPr>
        <w:pStyle w:val="Heading3"/>
        <w:spacing w:after="120" w:before="220"/>
      </w:pPr>
      <w:r>
        <w:rPr>
          <w:rFonts w:ascii="Georgia" w:cs="Georgia" w:eastAsia="Georgia" w:hAnsi="Georgia"/>
          <w:b/>
          <w:bCs/>
          <w:i w:val="false"/>
          <w:iCs w:val="false"/>
          <w:caps w:val="false"/>
          <w:color w:val="1A1A1A"/>
          <w:sz w:val="22"/>
          <w:szCs w:val="22"/>
        </w:rPr>
        <w:t xml:space="preserve">Antipodean lamb and the role of seafood traditions</w:t>
      </w:r>
    </w:p>
    <w:p>
      <w:pPr>
        <w:spacing w:after="160" w:before="0" w:line="300"/>
        <w:jc w:val="both"/>
      </w:pPr>
      <w:r>
        <w:rPr>
          <w:rFonts w:ascii="Georgia" w:cs="Georgia" w:eastAsia="Georgia" w:hAnsi="Georgia"/>
          <w:color w:val="1A1A1A"/>
          <w:sz w:val="22"/>
          <w:szCs w:val="22"/>
        </w:rPr>
        <w:t xml:space="preserve">New Zealand and Australian lamb enjoy a global reputation grounded in extensive pasture raising. And although seafood is not the focus of a grilling-centered study, the world's coastal cuisines—Japanese above all—demonstrate that the freshest fish, minimally handled, is its own tradition; for the home cook the relevant nutritional point, developed in Sections 7 and 9, is that fish remains the dominant dietary source of long-chain omega-3 fatty acids, a fact that argues for its inclusion regardless of grilling tradition.</w:t>
      </w:r>
      <w:r>
        <w:rPr>
          <w:rStyle w:val="FootnoteReference"/>
        </w:rPr>
        <w:footnoteReference w:id="112"/>
        <w:footnoteReference w:id="113"/>
      </w:r>
    </w:p>
    <w:p>
      <w:r>
        <w:br w:type="page"/>
      </w:r>
    </w:p>
    <w:p>
      <w:pPr>
        <w:pStyle w:val="Heading1"/>
        <w:spacing w:after="200" w:before="360"/>
      </w:pPr>
      <w:bookmarkStart w:name="merged" w:id="1011"/>
      <w:r>
        <w:rPr>
          <w:rFonts w:ascii="Georgia" w:cs="Georgia" w:eastAsia="Georgia" w:hAnsi="Georgia"/>
          <w:b/>
          <w:bCs/>
          <w:i w:val="false"/>
          <w:iCs w:val="false"/>
          <w:caps w:val="false"/>
          <w:color w:val="1A1A1A"/>
          <w:sz w:val="22"/>
          <w:szCs w:val="22"/>
        </w:rPr>
        <w:t xml:space="preserve">11. Synthesis: A Merged Method for the Multi-Zone Home Grill</w:t>
      </w:r>
      <w:bookmarkEnd w:id="1011"/>
    </w:p>
    <w:p>
      <w:pPr>
        <w:spacing w:after="160" w:before="0" w:line="300"/>
        <w:jc w:val="both"/>
      </w:pPr>
      <w:r>
        <w:rPr>
          <w:rFonts w:ascii="Georgia" w:cs="Georgia" w:eastAsia="Georgia" w:hAnsi="Georgia"/>
          <w:color w:val="1A1A1A"/>
          <w:sz w:val="22"/>
          <w:szCs w:val="22"/>
        </w:rPr>
        <w:t xml:space="preserve">The preceding sections supply the components of a single, coherent method that draws the best logic from each tradition and rests on the established science. The goal of this synthesis is not fusion for novelty's sake but the assembly of independently justified principles into one workflow executable on an ordinary multi-burner gas grill augmented with wood for smoke. The merged method is presented here in principle; the companion field guide renders it as step-by-step recipes with specific temperatures and times.</w:t>
      </w:r>
    </w:p>
    <w:p>
      <w:pPr>
        <w:pStyle w:val="Heading2"/>
        <w:spacing w:after="140" w:before="280"/>
      </w:pPr>
      <w:r>
        <w:rPr>
          <w:rFonts w:ascii="Georgia" w:cs="Georgia" w:eastAsia="Georgia" w:hAnsi="Georgia"/>
          <w:b/>
          <w:bCs/>
          <w:i w:val="false"/>
          <w:iCs w:val="false"/>
          <w:caps w:val="false"/>
          <w:color w:val="1A1A1A"/>
          <w:sz w:val="22"/>
          <w:szCs w:val="22"/>
        </w:rPr>
        <w:t xml:space="preserve">11.1 The unifying logic</w:t>
      </w:r>
    </w:p>
    <w:p>
      <w:pPr>
        <w:spacing w:after="160" w:before="0" w:line="300"/>
        <w:jc w:val="both"/>
      </w:pPr>
      <w:r>
        <w:rPr>
          <w:rFonts w:ascii="Georgia" w:cs="Georgia" w:eastAsia="Georgia" w:hAnsi="Georgia"/>
          <w:color w:val="1A1A1A"/>
          <w:sz w:val="22"/>
          <w:szCs w:val="22"/>
        </w:rPr>
        <w:t xml:space="preserve">Each tradition contributes a principle that the others lack or underweight. From the Argentine asado and Brazilian churrasco comes the discipline of </w:t>
      </w:r>
      <w:r>
        <w:rPr>
          <w:rFonts w:ascii="Georgia" w:cs="Georgia" w:eastAsia="Georgia" w:hAnsi="Georgia"/>
          <w:b/>
          <w:bCs/>
          <w:i w:val="false"/>
          <w:iCs w:val="false"/>
          <w:caps w:val="false"/>
          <w:color w:val="1A1A1A"/>
          <w:sz w:val="22"/>
          <w:szCs w:val="22"/>
        </w:rPr>
        <w:t xml:space="preserve">high-heat char and seasoning restraint</w:t>
      </w:r>
      <w:r>
        <w:rPr>
          <w:rFonts w:ascii="Georgia" w:cs="Georgia" w:eastAsia="Georgia" w:hAnsi="Georgia"/>
          <w:color w:val="1A1A1A"/>
          <w:sz w:val="22"/>
          <w:szCs w:val="22"/>
        </w:rPr>
        <w:t xml:space="preserve">—salt-forward seasoning, respect for fat, and a hard sear to build the Maillard crust (Section 4). From American barbecue comes </w:t>
      </w:r>
      <w:r>
        <w:rPr>
          <w:rFonts w:ascii="Georgia" w:cs="Georgia" w:eastAsia="Georgia" w:hAnsi="Georgia"/>
          <w:b/>
          <w:bCs/>
          <w:i w:val="false"/>
          <w:iCs w:val="false"/>
          <w:caps w:val="false"/>
          <w:color w:val="1A1A1A"/>
          <w:sz w:val="22"/>
          <w:szCs w:val="22"/>
        </w:rPr>
        <w:t xml:space="preserve">zone management and clean wood smoke</w:t>
      </w:r>
      <w:r>
        <w:rPr>
          <w:rFonts w:ascii="Georgia" w:cs="Georgia" w:eastAsia="Georgia" w:hAnsi="Georgia"/>
          <w:color w:val="1A1A1A"/>
          <w:sz w:val="22"/>
          <w:szCs w:val="22"/>
        </w:rPr>
        <w:t xml:space="preserve">—the two-zone fire, the collagen-converting indirect zone, and thin-blue-smoke flavor (Sections 6.1, 6.3, 6.4). From Mexican practice comes the </w:t>
      </w:r>
      <w:r>
        <w:rPr>
          <w:rFonts w:ascii="Georgia" w:cs="Georgia" w:eastAsia="Georgia" w:hAnsi="Georgia"/>
          <w:b/>
          <w:bCs/>
          <w:i w:val="false"/>
          <w:iCs w:val="false"/>
          <w:caps w:val="false"/>
          <w:color w:val="1A1A1A"/>
          <w:sz w:val="22"/>
          <w:szCs w:val="22"/>
        </w:rPr>
        <w:t xml:space="preserve">acid-and-aromatics finish</w:t>
      </w:r>
      <w:r>
        <w:rPr>
          <w:rFonts w:ascii="Georgia" w:cs="Georgia" w:eastAsia="Georgia" w:hAnsi="Georgia"/>
          <w:color w:val="1A1A1A"/>
          <w:sz w:val="22"/>
          <w:szCs w:val="22"/>
        </w:rPr>
        <w:t xml:space="preserve">—citrus, herbs, and fresh salsa that both flavor the meat and, by the iron–ascorbate synergy, improve its nutrition (Section 7.2). And from the food science throughout comes the </w:t>
      </w:r>
      <w:r>
        <w:rPr>
          <w:rFonts w:ascii="Georgia" w:cs="Georgia" w:eastAsia="Georgia" w:hAnsi="Georgia"/>
          <w:b/>
          <w:bCs/>
          <w:i w:val="false"/>
          <w:iCs w:val="false"/>
          <w:caps w:val="false"/>
          <w:color w:val="1A1A1A"/>
          <w:sz w:val="22"/>
          <w:szCs w:val="22"/>
        </w:rPr>
        <w:t xml:space="preserve">measured-endpoint discipline</w:t>
      </w:r>
      <w:r>
        <w:rPr>
          <w:rFonts w:ascii="Georgia" w:cs="Georgia" w:eastAsia="Georgia" w:hAnsi="Georgia"/>
          <w:color w:val="1A1A1A"/>
          <w:sz w:val="22"/>
          <w:szCs w:val="22"/>
        </w:rPr>
        <w:t xml:space="preserve">: brine where lean, dry the surface, cook to a thermometer-verified temperature, account for carryover, and rest (Sections 3, 5).</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The merged method in one sentence. </w:t>
            </w:r>
            <w:r>
              <w:rPr>
                <w:rFonts w:ascii="Georgia" w:cs="Georgia" w:eastAsia="Georgia" w:hAnsi="Georgia"/>
                <w:color w:val="1A1A1A"/>
                <w:sz w:val="22"/>
                <w:szCs w:val="22"/>
              </w:rPr>
              <w:t xml:space="preserve">Source well; brine the lean and dry-brine the fatty; pat bone-dry; build a two-zone fire and add a pouch of clean wood smoke; sear hard on the direct zone for the Maillard crust; finish thick or tough cuts in the indirect zone (long and low for collagen-rich cuts); pull a few degrees early for carryover; rest briefly; and serve with a vitamin-C-rich, fat-bearing fresh accompaniment that is both flavor and applied nutrition.</w:t>
            </w:r>
          </w:p>
        </w:tc>
      </w:tr>
    </w:tbl>
    <w:p>
      <w:pPr>
        <w:pStyle w:val="Heading2"/>
        <w:spacing w:after="140" w:before="280"/>
      </w:pPr>
      <w:r>
        <w:rPr>
          <w:rFonts w:ascii="Georgia" w:cs="Georgia" w:eastAsia="Georgia" w:hAnsi="Georgia"/>
          <w:b/>
          <w:bCs/>
          <w:i w:val="false"/>
          <w:iCs w:val="false"/>
          <w:caps w:val="false"/>
          <w:color w:val="1A1A1A"/>
          <w:sz w:val="22"/>
          <w:szCs w:val="22"/>
        </w:rPr>
        <w:t xml:space="preserve">11.2 Equipment, justified rather than assumed</w:t>
      </w:r>
    </w:p>
    <w:p>
      <w:pPr>
        <w:spacing w:after="160" w:before="0" w:line="300"/>
        <w:jc w:val="both"/>
      </w:pPr>
      <w:r>
        <w:rPr>
          <w:rFonts w:ascii="Georgia" w:cs="Georgia" w:eastAsia="Georgia" w:hAnsi="Georgia"/>
          <w:color w:val="1A1A1A"/>
          <w:sz w:val="22"/>
          <w:szCs w:val="22"/>
        </w:rPr>
        <w:t xml:space="preserve">The method assumes only what the science requires. A multi-burner grill is sufficient because it permits the two-zone fire (Section 6.1); a dedicated smoker is an enhancement, not a prerequisite, since a foil pouch or metal box of wood chips over a lit burner supplies clean smoke on a gas grill (Section 6.2). A fast, accurate instant-read thermometer is non-negotiable, because every link in the juiciness chain after brining depends on hitting a measured endpoint (Section 5). A high-smoke-point oil such as avocado oil suits high-heat searing (Section 4.2). Long tongs, a sturdy board for resting, and—for the churrasco mode—metal skewers complete a deliberately minimal kit. Nothing here is specified for its own sake; each item earns its place by serving a mechanism established earlier in the volume.</w:t>
      </w:r>
    </w:p>
    <w:p>
      <w:pPr>
        <w:pStyle w:val="Heading2"/>
        <w:spacing w:after="140" w:before="280"/>
      </w:pPr>
      <w:r>
        <w:rPr>
          <w:rFonts w:ascii="Georgia" w:cs="Georgia" w:eastAsia="Georgia" w:hAnsi="Georgia"/>
          <w:b/>
          <w:bCs/>
          <w:i w:val="false"/>
          <w:iCs w:val="false"/>
          <w:caps w:val="false"/>
          <w:color w:val="1A1A1A"/>
          <w:sz w:val="22"/>
          <w:szCs w:val="22"/>
        </w:rPr>
        <w:t xml:space="preserve">11.3 The workflow as a sequence of decisions</w:t>
      </w:r>
    </w:p>
    <w:p>
      <w:pPr>
        <w:spacing w:after="160" w:before="0" w:line="300"/>
        <w:jc w:val="both"/>
      </w:pPr>
      <w:r>
        <w:rPr>
          <w:rFonts w:ascii="Georgia" w:cs="Georgia" w:eastAsia="Georgia" w:hAnsi="Georgia"/>
          <w:color w:val="1A1A1A"/>
          <w:sz w:val="22"/>
          <w:szCs w:val="22"/>
        </w:rPr>
        <w:t xml:space="preserve">The merged method is best understood not as a single recipe but as a short decision tree applied to whatever the cook has sourced:</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Classify the cut. </w:t>
      </w:r>
      <w:r>
        <w:rPr>
          <w:rFonts w:ascii="Georgia" w:cs="Georgia" w:eastAsia="Georgia" w:hAnsi="Georgia"/>
          <w:color w:val="1A1A1A"/>
          <w:sz w:val="22"/>
          <w:szCs w:val="22"/>
        </w:rPr>
        <w:t xml:space="preserve">Is it lean or fatty? Thin or thick? Tender or collagen-rich? These determine everything that follows.</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Pre-season by type. </w:t>
      </w:r>
      <w:r>
        <w:rPr>
          <w:rFonts w:ascii="Georgia" w:cs="Georgia" w:eastAsia="Georgia" w:hAnsi="Georgia"/>
          <w:color w:val="1A1A1A"/>
          <w:sz w:val="22"/>
          <w:szCs w:val="22"/>
        </w:rPr>
        <w:t xml:space="preserve">Lean cuts benefit from a wet brine (and, if cut up or scored, a short one suffices—Section 3.4); fatty cuts favor a dry brine that leaves a browning-friendly surface (Section 3.3). Thin cuts destined for carne-asada treatment take a brief acid-and-aromatics marinade (Section 10.4).</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Dry the surface. </w:t>
      </w:r>
      <w:r>
        <w:rPr>
          <w:rFonts w:ascii="Georgia" w:cs="Georgia" w:eastAsia="Georgia" w:hAnsi="Georgia"/>
          <w:color w:val="1A1A1A"/>
          <w:sz w:val="22"/>
          <w:szCs w:val="22"/>
        </w:rPr>
        <w:t xml:space="preserve">Pat thoroughly dry so the surface can exceed water's boiling point and brown (Section 4.2). Apply oil and final seasoning.</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Build zones and smoke. </w:t>
      </w:r>
      <w:r>
        <w:rPr>
          <w:rFonts w:ascii="Georgia" w:cs="Georgia" w:eastAsia="Georgia" w:hAnsi="Georgia"/>
          <w:color w:val="1A1A1A"/>
          <w:sz w:val="22"/>
          <w:szCs w:val="22"/>
        </w:rPr>
        <w:t xml:space="preserve">Establish a hot direct zone and a cooler indirect zone; add a wood pouch for clean smoke if depth is wanted (Sections 6.1–6.4).</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Sear, then place by thickness. </w:t>
      </w:r>
      <w:r>
        <w:rPr>
          <w:rFonts w:ascii="Georgia" w:cs="Georgia" w:eastAsia="Georgia" w:hAnsi="Georgia"/>
          <w:color w:val="1A1A1A"/>
          <w:sz w:val="22"/>
          <w:szCs w:val="22"/>
        </w:rPr>
        <w:t xml:space="preserve">Build the crust over direct heat; move thick cuts to the indirect zone to finish without scorching; cook collagen-rich cuts long and low in the indirect zone until the connective tissue converts (Section 6.3).</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Measure, pull early, rest. </w:t>
      </w:r>
      <w:r>
        <w:rPr>
          <w:rFonts w:ascii="Georgia" w:cs="Georgia" w:eastAsia="Georgia" w:hAnsi="Georgia"/>
          <w:color w:val="1A1A1A"/>
          <w:sz w:val="22"/>
          <w:szCs w:val="22"/>
        </w:rPr>
        <w:t xml:space="preserve">Cook to the USDA-safe, palatability-appropriate endpoint by thermometer (Table 5.1); pull a few degrees early for carryover (Section 5.3); rest briefly (Section 5.4).</w:t>
      </w:r>
    </w:p>
    <w:p>
      <w:pPr>
        <w:pStyle w:val="ListParagraph"/>
        <w:numPr>
          <w:ilvl w:val="0"/>
          <w:numId w:val="2"/>
        </w:numPr>
        <w:spacing w:after="90" w:line="290"/>
        <w:jc w:val="both"/>
      </w:pPr>
      <w:r>
        <w:rPr>
          <w:rFonts w:ascii="Georgia" w:cs="Georgia" w:eastAsia="Georgia" w:hAnsi="Georgia"/>
          <w:b/>
          <w:bCs/>
          <w:i w:val="false"/>
          <w:iCs w:val="false"/>
          <w:caps w:val="false"/>
          <w:color w:val="1A1A1A"/>
          <w:sz w:val="22"/>
          <w:szCs w:val="22"/>
        </w:rPr>
        <w:t xml:space="preserve">Finish with nutrition on the plate. </w:t>
      </w:r>
      <w:r>
        <w:rPr>
          <w:rFonts w:ascii="Georgia" w:cs="Georgia" w:eastAsia="Georgia" w:hAnsi="Georgia"/>
          <w:color w:val="1A1A1A"/>
          <w:sz w:val="22"/>
          <w:szCs w:val="22"/>
        </w:rPr>
        <w:t xml:space="preserve">Serve with a fresh, vitamin-C-rich, fat-bearing accompaniment—chimichurri, salsa criolla, pico de gallo, citrus, avocado—that improves both flavor and the absorption of iron and carotenoids (Sections 7.2–7.3).</w:t>
      </w:r>
    </w:p>
    <w:p>
      <w:pPr>
        <w:pStyle w:val="Heading2"/>
        <w:spacing w:after="140" w:before="280"/>
      </w:pPr>
      <w:r>
        <w:rPr>
          <w:rFonts w:ascii="Georgia" w:cs="Georgia" w:eastAsia="Georgia" w:hAnsi="Georgia"/>
          <w:b/>
          <w:bCs/>
          <w:i w:val="false"/>
          <w:iCs w:val="false"/>
          <w:caps w:val="false"/>
          <w:color w:val="1A1A1A"/>
          <w:sz w:val="22"/>
          <w:szCs w:val="22"/>
        </w:rPr>
        <w:t xml:space="preserve">11.4 Why this is better than any single tradition for the home cook</w:t>
      </w:r>
    </w:p>
    <w:p>
      <w:pPr>
        <w:spacing w:after="160" w:before="0" w:line="300"/>
        <w:jc w:val="both"/>
      </w:pPr>
      <w:r>
        <w:rPr>
          <w:rFonts w:ascii="Georgia" w:cs="Georgia" w:eastAsia="Georgia" w:hAnsi="Georgia"/>
          <w:color w:val="1A1A1A"/>
          <w:sz w:val="22"/>
          <w:szCs w:val="22"/>
        </w:rPr>
        <w:t xml:space="preserve">No single tradition optimizes every variable a home cook faces across a week of varied ingredients. The asado perfects beef over wood but says little about tough cuts or lean poultry; barbecue perfects tough cuts but is impractical for a Tuesday steak; carne asada perfects thin marinated cuts but not roasts. The merged method's advantage is range: it equips one cook with one grill to handle steaks, chops, thick roasts, collagen-rich cuts, lean poultry, fish, and vegetables, applying to each the principle best suited to it, and finishing each with an accompaniment that is simultaneously culinary and nutritional. It is, in effect, the practical expression of the entire preceding argument.</w:t>
      </w:r>
    </w:p>
    <w:p>
      <w:r>
        <w:br w:type="page"/>
      </w:r>
    </w:p>
    <w:p>
      <w:pPr>
        <w:pStyle w:val="Heading1"/>
        <w:spacing w:after="200" w:before="360"/>
      </w:pPr>
      <w:bookmarkStart w:name="geoquality" w:id="1012"/>
      <w:r>
        <w:rPr>
          <w:rFonts w:ascii="Georgia" w:cs="Georgia" w:eastAsia="Georgia" w:hAnsi="Georgia"/>
          <w:b/>
          <w:bCs/>
          <w:i w:val="false"/>
          <w:iCs w:val="false"/>
          <w:caps w:val="false"/>
          <w:color w:val="1A1A1A"/>
          <w:sz w:val="22"/>
          <w:szCs w:val="22"/>
        </w:rPr>
        <w:t xml:space="preserve">12. The Geography of Quality: National Products, Breeds, and What Sets Them Apart</w:t>
      </w:r>
      <w:bookmarkEnd w:id="1012"/>
    </w:p>
    <w:p>
      <w:pPr>
        <w:spacing w:after="160" w:before="0" w:line="300"/>
        <w:jc w:val="both"/>
      </w:pPr>
      <w:r>
        <w:rPr>
          <w:rFonts w:ascii="Georgia" w:cs="Georgia" w:eastAsia="Georgia" w:hAnsi="Georgia"/>
          <w:color w:val="1A1A1A"/>
          <w:sz w:val="22"/>
          <w:szCs w:val="22"/>
        </w:rPr>
        <w:t xml:space="preserve">Section 10 examined the world's great </w:t>
      </w:r>
      <w:r>
        <w:rPr>
          <w:rFonts w:ascii="Georgia" w:cs="Georgia" w:eastAsia="Georgia" w:hAnsi="Georgia"/>
          <w:b w:val="false"/>
          <w:bCs w:val="false"/>
          <w:i/>
          <w:iCs/>
          <w:caps w:val="false"/>
          <w:color w:val="1A1A1A"/>
          <w:sz w:val="22"/>
          <w:szCs w:val="22"/>
        </w:rPr>
        <w:t xml:space="preserve">methods</w:t>
      </w:r>
      <w:r>
        <w:rPr>
          <w:rFonts w:ascii="Georgia" w:cs="Georgia" w:eastAsia="Georgia" w:hAnsi="Georgia"/>
          <w:color w:val="1A1A1A"/>
          <w:sz w:val="22"/>
          <w:szCs w:val="22"/>
        </w:rPr>
        <w:t xml:space="preserve">—the fire traditions. This section turns to the world's great </w:t>
      </w:r>
      <w:r>
        <w:rPr>
          <w:rFonts w:ascii="Georgia" w:cs="Georgia" w:eastAsia="Georgia" w:hAnsi="Georgia"/>
          <w:b w:val="false"/>
          <w:bCs w:val="false"/>
          <w:i/>
          <w:iCs/>
          <w:caps w:val="false"/>
          <w:color w:val="1A1A1A"/>
          <w:sz w:val="22"/>
          <w:szCs w:val="22"/>
        </w:rPr>
        <w:t xml:space="preserve">products</w:t>
      </w:r>
      <w:r>
        <w:rPr>
          <w:rFonts w:ascii="Georgia" w:cs="Georgia" w:eastAsia="Georgia" w:hAnsi="Georgia"/>
          <w:color w:val="1A1A1A"/>
          <w:sz w:val="22"/>
          <w:szCs w:val="22"/>
        </w:rPr>
        <w:t xml:space="preserve">: the specific countries, regions, breeds, and finishing regimes that have earned global reputations for quality in each major food, and the mechanistic and institutional reasons behind those reputations. The aim is neither to romanticize imported prestige nor to dismiss it, but to explain, in each case, </w:t>
      </w:r>
      <w:r>
        <w:rPr>
          <w:rFonts w:ascii="Georgia" w:cs="Georgia" w:eastAsia="Georgia" w:hAnsi="Georgia"/>
          <w:b/>
          <w:bCs/>
          <w:i w:val="false"/>
          <w:iCs w:val="false"/>
          <w:caps w:val="false"/>
          <w:color w:val="1A1A1A"/>
          <w:sz w:val="22"/>
          <w:szCs w:val="22"/>
        </w:rPr>
        <w:t xml:space="preserve">what is actually different</w:t>
      </w:r>
      <w:r>
        <w:rPr>
          <w:rFonts w:ascii="Georgia" w:cs="Georgia" w:eastAsia="Georgia" w:hAnsi="Georgia"/>
          <w:color w:val="1A1A1A"/>
          <w:sz w:val="22"/>
          <w:szCs w:val="22"/>
        </w:rPr>
        <w:t xml:space="preserve"> about the celebrated product—whether it is genetics, diet, climate, husbandry, aging, or a legally enforced standard—so that a buyer can judge when the premium is justified and when a local or domestic product delivers the same underlying attribute at lower cost.</w:t>
      </w:r>
    </w:p>
    <w:p>
      <w:pPr>
        <w:spacing w:after="160" w:before="0" w:line="300"/>
        <w:jc w:val="both"/>
      </w:pPr>
      <w:r>
        <w:rPr>
          <w:rFonts w:ascii="Georgia" w:cs="Georgia" w:eastAsia="Georgia" w:hAnsi="Georgia"/>
          <w:color w:val="1A1A1A"/>
          <w:sz w:val="22"/>
          <w:szCs w:val="22"/>
        </w:rPr>
        <w:t xml:space="preserve">A caution frames the whole section. A country's reputation is a prior, not a guarantee. “Japanese beef,” “Spanish ham,” and “French chicken” name distributions, not constants; each contains a range of grades, and the highest designations are precisely the ones defined and defended by formal grading systems (Section 13). The reputation is useful exactly insofar as it tracks a verifiable attribute—a grade, a breed, a feed, a certification—rather than a flag on a label.</w:t>
      </w:r>
    </w:p>
    <w:p>
      <w:pPr>
        <w:pStyle w:val="Heading2"/>
        <w:spacing w:after="140" w:before="280"/>
      </w:pPr>
      <w:r>
        <w:rPr>
          <w:rFonts w:ascii="Georgia" w:cs="Georgia" w:eastAsia="Georgia" w:hAnsi="Georgia"/>
          <w:b/>
          <w:bCs/>
          <w:i w:val="false"/>
          <w:iCs w:val="false"/>
          <w:caps w:val="false"/>
          <w:color w:val="1A1A1A"/>
          <w:sz w:val="22"/>
          <w:szCs w:val="22"/>
        </w:rPr>
        <w:t xml:space="preserve">12.1 Beef: four philosophies of excellence</w:t>
      </w:r>
    </w:p>
    <w:p>
      <w:pPr>
        <w:spacing w:after="160" w:before="0" w:line="300"/>
        <w:jc w:val="both"/>
      </w:pPr>
      <w:r>
        <w:rPr>
          <w:rFonts w:ascii="Georgia" w:cs="Georgia" w:eastAsia="Georgia" w:hAnsi="Georgia"/>
          <w:color w:val="1A1A1A"/>
          <w:sz w:val="22"/>
          <w:szCs w:val="22"/>
        </w:rPr>
        <w:t xml:space="preserve">No meat is more globally benchmarked than beef, and its four great reputations correspond to genuinely different philosophies of what beef should be. </w:t>
      </w:r>
      <w:r>
        <w:rPr>
          <w:rFonts w:ascii="Georgia" w:cs="Georgia" w:eastAsia="Georgia" w:hAnsi="Georgia"/>
          <w:b/>
          <w:bCs/>
          <w:i w:val="false"/>
          <w:iCs w:val="false"/>
          <w:caps w:val="false"/>
          <w:color w:val="1A1A1A"/>
          <w:sz w:val="22"/>
          <w:szCs w:val="22"/>
        </w:rPr>
        <w:t xml:space="preserve">Japan</w:t>
      </w:r>
      <w:r>
        <w:rPr>
          <w:rFonts w:ascii="Georgia" w:cs="Georgia" w:eastAsia="Georgia" w:hAnsi="Georgia"/>
          <w:color w:val="1A1A1A"/>
          <w:sz w:val="22"/>
          <w:szCs w:val="22"/>
        </w:rPr>
        <w:t xml:space="preserve"> represents the apotheosis of marbling. The Japanese Black (</w:t>
      </w:r>
      <w:r>
        <w:rPr>
          <w:rFonts w:ascii="Georgia" w:cs="Georgia" w:eastAsia="Georgia" w:hAnsi="Georgia"/>
          <w:b w:val="false"/>
          <w:bCs w:val="false"/>
          <w:i/>
          <w:iCs/>
          <w:caps w:val="false"/>
          <w:color w:val="1A1A1A"/>
          <w:sz w:val="22"/>
          <w:szCs w:val="22"/>
        </w:rPr>
        <w:t xml:space="preserve">Kuroge Washu</w:t>
      </w:r>
      <w:r>
        <w:rPr>
          <w:rFonts w:ascii="Georgia" w:cs="Georgia" w:eastAsia="Georgia" w:hAnsi="Georgia"/>
          <w:color w:val="1A1A1A"/>
          <w:sz w:val="22"/>
          <w:szCs w:val="22"/>
        </w:rPr>
        <w:t xml:space="preserve">), the dominant Wagyu strain, has been bred for extraordinary intramuscular fat deposition, and Japanese husbandry finishes cattle on long, energy-dense rations to express it. The result is scored on the Beef Marbling Standard, whose upper reaches (BMS 8–12) define the A5 grade—a quantity of intramuscular fat with no equivalent in commodity beef anywhere.</w:t>
      </w:r>
      <w:r>
        <w:rPr>
          <w:rStyle w:val="FootnoteReference"/>
        </w:rPr>
        <w:footnoteReference w:id="114"/>
      </w:r>
      <w:r>
        <w:rPr>
          <w:rFonts w:ascii="Georgia" w:cs="Georgia" w:eastAsia="Georgia" w:hAnsi="Georgia"/>
          <w:color w:val="1A1A1A"/>
          <w:sz w:val="22"/>
          <w:szCs w:val="22"/>
        </w:rPr>
        <w:t xml:space="preserve"> The eating experience is correspondingly rich, and the appropriate portion is small; A5 is a condiment-like luxury, not a sixteen-ounce steak.</w:t>
      </w:r>
    </w:p>
    <w:p>
      <w:pPr>
        <w:spacing w:after="160" w:before="0" w:line="300"/>
        <w:jc w:val="both"/>
      </w:pPr>
      <w:r>
        <w:rPr>
          <w:rFonts w:ascii="Georgia" w:cs="Georgia" w:eastAsia="Georgia" w:hAnsi="Georgia"/>
          <w:color w:val="1A1A1A"/>
          <w:sz w:val="22"/>
          <w:szCs w:val="22"/>
        </w:rPr>
        <w:t xml:space="preserve">The </w:t>
      </w:r>
      <w:r>
        <w:rPr>
          <w:rFonts w:ascii="Georgia" w:cs="Georgia" w:eastAsia="Georgia" w:hAnsi="Georgia"/>
          <w:b/>
          <w:bCs/>
          <w:i w:val="false"/>
          <w:iCs w:val="false"/>
          <w:caps w:val="false"/>
          <w:color w:val="1A1A1A"/>
          <w:sz w:val="22"/>
          <w:szCs w:val="22"/>
        </w:rPr>
        <w:t xml:space="preserve">United States</w:t>
      </w:r>
      <w:r>
        <w:rPr>
          <w:rFonts w:ascii="Georgia" w:cs="Georgia" w:eastAsia="Georgia" w:hAnsi="Georgia"/>
          <w:color w:val="1A1A1A"/>
          <w:sz w:val="22"/>
          <w:szCs w:val="22"/>
        </w:rPr>
        <w:t xml:space="preserve"> represents grain-finished flavor and the art of dry-aging. The USDA grades—Prime, Choice, Select—rank marbling on a coarser scale than the Japanese system, with Prime representing roughly the top few percent of graded carcasses.</w:t>
      </w:r>
      <w:r>
        <w:rPr>
          <w:rStyle w:val="FootnoteReference"/>
        </w:rPr>
        <w:footnoteReference w:id="115"/>
      </w:r>
      <w:r>
        <w:rPr>
          <w:rFonts w:ascii="Georgia" w:cs="Georgia" w:eastAsia="Georgia" w:hAnsi="Georgia"/>
          <w:color w:val="1A1A1A"/>
          <w:sz w:val="22"/>
          <w:szCs w:val="22"/>
        </w:rPr>
        <w:t xml:space="preserve"> American excellence is expressed less through the extreme marbling of Wagyu than through breed selection (the Angus lineage above all), corn-and-grain finishing that produces the sweet, familiar “beefy” flavor of the American steakhouse, and—distinctively—dry-aging, in which controlled enzymatic and evaporative processes over three to six weeks concentrate flavor and tenderize the muscle. American Wagyu, the crossbreeding of Japanese genetics with Angus, is a deliberate hybrid of the two philosophies.</w:t>
      </w:r>
    </w:p>
    <w:p>
      <w:pPr>
        <w:spacing w:after="160" w:before="0" w:line="300"/>
        <w:jc w:val="both"/>
      </w:pPr>
      <w:r>
        <w:rPr>
          <w:rFonts w:ascii="Georgia" w:cs="Georgia" w:eastAsia="Georgia" w:hAnsi="Georgia"/>
          <w:b/>
          <w:bCs/>
          <w:i w:val="false"/>
          <w:iCs w:val="false"/>
          <w:caps w:val="false"/>
          <w:color w:val="1A1A1A"/>
          <w:sz w:val="22"/>
          <w:szCs w:val="22"/>
        </w:rPr>
        <w:t xml:space="preserve">Argentina</w:t>
      </w:r>
      <w:r>
        <w:rPr>
          <w:rFonts w:ascii="Georgia" w:cs="Georgia" w:eastAsia="Georgia" w:hAnsi="Georgia"/>
          <w:color w:val="1A1A1A"/>
          <w:sz w:val="22"/>
          <w:szCs w:val="22"/>
        </w:rPr>
        <w:t xml:space="preserve"> represents grass and fire. Cattle raised on the Pampas are predominantly pasture-fed, yielding leaner, more mineral-driven beef whose quality is inseparable from the national </w:t>
      </w:r>
      <w:r>
        <w:rPr>
          <w:rFonts w:ascii="Georgia" w:cs="Georgia" w:eastAsia="Georgia" w:hAnsi="Georgia"/>
          <w:b w:val="false"/>
          <w:bCs w:val="false"/>
          <w:i/>
          <w:iCs/>
          <w:caps w:val="false"/>
          <w:color w:val="1A1A1A"/>
          <w:sz w:val="22"/>
          <w:szCs w:val="22"/>
        </w:rPr>
        <w:t xml:space="preserve">asado</w:t>
      </w:r>
      <w:r>
        <w:rPr>
          <w:rFonts w:ascii="Georgia" w:cs="Georgia" w:eastAsia="Georgia" w:hAnsi="Georgia"/>
          <w:color w:val="1A1A1A"/>
          <w:sz w:val="22"/>
          <w:szCs w:val="22"/>
        </w:rPr>
        <w:t xml:space="preserve"> tradition analyzed in Section 10.1. The compositional consequences of grass-finishing—a more favorable omega-6 to omega-3 ratio, higher conjugated linoleic acid, a distinct flavor—are documented in Section 9.1 and revisited below.</w:t>
      </w:r>
      <w:r>
        <w:rPr>
          <w:rStyle w:val="FootnoteReference"/>
        </w:rPr>
        <w:footnoteReference w:id="116"/>
      </w:r>
      <w:r>
        <w:rPr>
          <w:rFonts w:ascii="Georgia" w:cs="Georgia" w:eastAsia="Georgia" w:hAnsi="Georgia"/>
          <w:color w:val="1A1A1A"/>
          <w:sz w:val="22"/>
          <w:szCs w:val="22"/>
        </w:rPr>
        <w:t xml:space="preserve"> </w:t>
      </w:r>
      <w:r>
        <w:rPr>
          <w:rFonts w:ascii="Georgia" w:cs="Georgia" w:eastAsia="Georgia" w:hAnsi="Georgia"/>
          <w:b/>
          <w:bCs/>
          <w:i w:val="false"/>
          <w:iCs w:val="false"/>
          <w:caps w:val="false"/>
          <w:color w:val="1A1A1A"/>
          <w:sz w:val="22"/>
          <w:szCs w:val="22"/>
        </w:rPr>
        <w:t xml:space="preserve">Australia</w:t>
      </w:r>
      <w:r>
        <w:rPr>
          <w:rFonts w:ascii="Georgia" w:cs="Georgia" w:eastAsia="Georgia" w:hAnsi="Georgia"/>
          <w:color w:val="1A1A1A"/>
          <w:sz w:val="22"/>
          <w:szCs w:val="22"/>
        </w:rPr>
        <w:t xml:space="preserve">, finally, represents versatility and scale: a large, traceable industry producing both extensive grass-fed beef and a rapidly growing Wagyu and Wagyu-cross sector, graded on the AUS-MEAT marbling scale and the Meat Standards Australia eating-quality system.</w:t>
      </w:r>
      <w:r>
        <w:rPr>
          <w:rStyle w:val="FootnoteReference"/>
        </w:rPr>
        <w:footnoteReference w:id="117"/>
      </w:r>
      <w:r>
        <w:rPr>
          <w:rFonts w:ascii="Georgia" w:cs="Georgia" w:eastAsia="Georgia" w:hAnsi="Georgia"/>
          <w:color w:val="1A1A1A"/>
          <w:sz w:val="22"/>
          <w:szCs w:val="22"/>
        </w:rPr>
        <w:t xml:space="preserve"> Australian product often supplies the accessible middle of the premium market—serious marbling at prices below Japanese A5.</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Kobe, precisely. </w:t>
            </w:r>
            <w:r>
              <w:rPr>
                <w:rFonts w:ascii="Georgia" w:cs="Georgia" w:eastAsia="Georgia" w:hAnsi="Georgia"/>
                <w:color w:val="1A1A1A"/>
                <w:sz w:val="22"/>
                <w:szCs w:val="22"/>
              </w:rPr>
              <w:t xml:space="preserve">“Kobe” is not a synonym for Wagyu or for A5. It is a brand: Tajima-strain Japanese Black cattle, raised in Hyōgo Prefecture, meeting a defined marbling and carcass standard and certified within the brand's association. Most “Kobe” on non-Japanese menus is either American Wagyu or simply mislabeled; genuine Kobe is rare, certificated, and traceable to the association's registry.</w:t>
            </w:r>
            <w:r>
              <w:rPr>
                <w:rStyle w:val="FootnoteReference"/>
              </w:rPr>
              <w:footnoteReference w:id="118"/>
            </w:r>
          </w:p>
        </w:tc>
      </w:tr>
    </w:tbl>
    <w:p>
      <w:pPr>
        <w:pStyle w:val="Heading2"/>
        <w:spacing w:after="140" w:before="280"/>
      </w:pPr>
      <w:r>
        <w:rPr>
          <w:rFonts w:ascii="Georgia" w:cs="Georgia" w:eastAsia="Georgia" w:hAnsi="Georgia"/>
          <w:b/>
          <w:bCs/>
          <w:i w:val="false"/>
          <w:iCs w:val="false"/>
          <w:caps w:val="false"/>
          <w:color w:val="1A1A1A"/>
          <w:sz w:val="22"/>
          <w:szCs w:val="22"/>
        </w:rPr>
        <w:t xml:space="preserve">12.2 Pork: the acorn, the breed, and the cure</w:t>
      </w:r>
    </w:p>
    <w:p>
      <w:pPr>
        <w:spacing w:after="160" w:before="0" w:line="300"/>
        <w:jc w:val="both"/>
      </w:pPr>
      <w:r>
        <w:rPr>
          <w:rFonts w:ascii="Georgia" w:cs="Georgia" w:eastAsia="Georgia" w:hAnsi="Georgia"/>
          <w:color w:val="1A1A1A"/>
          <w:sz w:val="22"/>
          <w:szCs w:val="22"/>
        </w:rPr>
        <w:t xml:space="preserve">Pork's reputations turn on three levers: breed, diet, and the art of curing. </w:t>
      </w:r>
      <w:r>
        <w:rPr>
          <w:rFonts w:ascii="Georgia" w:cs="Georgia" w:eastAsia="Georgia" w:hAnsi="Georgia"/>
          <w:b/>
          <w:bCs/>
          <w:i w:val="false"/>
          <w:iCs w:val="false"/>
          <w:caps w:val="false"/>
          <w:color w:val="1A1A1A"/>
          <w:sz w:val="22"/>
          <w:szCs w:val="22"/>
        </w:rPr>
        <w:t xml:space="preserve">Spain</w:t>
      </w:r>
      <w:r>
        <w:rPr>
          <w:rFonts w:ascii="Georgia" w:cs="Georgia" w:eastAsia="Georgia" w:hAnsi="Georgia"/>
          <w:color w:val="1A1A1A"/>
          <w:sz w:val="22"/>
          <w:szCs w:val="22"/>
        </w:rPr>
        <w:t xml:space="preserve"> holds the summit through the Iberian pig (</w:t>
      </w:r>
      <w:r>
        <w:rPr>
          <w:rFonts w:ascii="Georgia" w:cs="Georgia" w:eastAsia="Georgia" w:hAnsi="Georgia"/>
          <w:b w:val="false"/>
          <w:bCs w:val="false"/>
          <w:i/>
          <w:iCs/>
          <w:caps w:val="false"/>
          <w:color w:val="1A1A1A"/>
          <w:sz w:val="22"/>
          <w:szCs w:val="22"/>
        </w:rPr>
        <w:t xml:space="preserve">cerdo ibérico</w:t>
      </w:r>
      <w:r>
        <w:rPr>
          <w:rFonts w:ascii="Georgia" w:cs="Georgia" w:eastAsia="Georgia" w:hAnsi="Georgia"/>
          <w:color w:val="1A1A1A"/>
          <w:sz w:val="22"/>
          <w:szCs w:val="22"/>
        </w:rPr>
        <w:t xml:space="preserve">) and, at its apex, the </w:t>
      </w:r>
      <w:r>
        <w:rPr>
          <w:rFonts w:ascii="Georgia" w:cs="Georgia" w:eastAsia="Georgia" w:hAnsi="Georgia"/>
          <w:b w:val="false"/>
          <w:bCs w:val="false"/>
          <w:i/>
          <w:iCs/>
          <w:caps w:val="false"/>
          <w:color w:val="1A1A1A"/>
          <w:sz w:val="22"/>
          <w:szCs w:val="22"/>
        </w:rPr>
        <w:t xml:space="preserve">bellota</w:t>
      </w:r>
      <w:r>
        <w:rPr>
          <w:rFonts w:ascii="Georgia" w:cs="Georgia" w:eastAsia="Georgia" w:hAnsi="Georgia"/>
          <w:color w:val="1A1A1A"/>
          <w:sz w:val="22"/>
          <w:szCs w:val="22"/>
        </w:rPr>
        <w:t xml:space="preserve"> designation—animals finished free-ranging in oak </w:t>
      </w:r>
      <w:r>
        <w:rPr>
          <w:rFonts w:ascii="Georgia" w:cs="Georgia" w:eastAsia="Georgia" w:hAnsi="Georgia"/>
          <w:b w:val="false"/>
          <w:bCs w:val="false"/>
          <w:i/>
          <w:iCs/>
          <w:caps w:val="false"/>
          <w:color w:val="1A1A1A"/>
          <w:sz w:val="22"/>
          <w:szCs w:val="22"/>
        </w:rPr>
        <w:t xml:space="preserve">dehesa</w:t>
      </w:r>
      <w:r>
        <w:rPr>
          <w:rFonts w:ascii="Georgia" w:cs="Georgia" w:eastAsia="Georgia" w:hAnsi="Georgia"/>
          <w:color w:val="1A1A1A"/>
          <w:sz w:val="22"/>
          <w:szCs w:val="22"/>
        </w:rPr>
        <w:t xml:space="preserve"> during the </w:t>
      </w:r>
      <w:r>
        <w:rPr>
          <w:rFonts w:ascii="Georgia" w:cs="Georgia" w:eastAsia="Georgia" w:hAnsi="Georgia"/>
          <w:b w:val="false"/>
          <w:bCs w:val="false"/>
          <w:i/>
          <w:iCs/>
          <w:caps w:val="false"/>
          <w:color w:val="1A1A1A"/>
          <w:sz w:val="22"/>
          <w:szCs w:val="22"/>
        </w:rPr>
        <w:t xml:space="preserve">montanera</w:t>
      </w:r>
      <w:r>
        <w:rPr>
          <w:rFonts w:ascii="Georgia" w:cs="Georgia" w:eastAsia="Georgia" w:hAnsi="Georgia"/>
          <w:color w:val="1A1A1A"/>
          <w:sz w:val="22"/>
          <w:szCs w:val="22"/>
        </w:rPr>
        <w:t xml:space="preserve">, feeding on acorns whose oleic-acid-rich fat produces a soft, nutty, monounsaturated-dominant marbling that renders at remarkably low temperature. The distinction is not folklore; it is legally codified in the Spanish quality norm (Section 13), whose four-color seal system separates 100% Ibérico </w:t>
      </w:r>
      <w:r>
        <w:rPr>
          <w:rFonts w:ascii="Georgia" w:cs="Georgia" w:eastAsia="Georgia" w:hAnsi="Georgia"/>
          <w:b w:val="false"/>
          <w:bCs w:val="false"/>
          <w:i/>
          <w:iCs/>
          <w:caps w:val="false"/>
          <w:color w:val="1A1A1A"/>
          <w:sz w:val="22"/>
          <w:szCs w:val="22"/>
        </w:rPr>
        <w:t xml:space="preserve">bellota</w:t>
      </w:r>
      <w:r>
        <w:rPr>
          <w:rFonts w:ascii="Georgia" w:cs="Georgia" w:eastAsia="Georgia" w:hAnsi="Georgia"/>
          <w:color w:val="1A1A1A"/>
          <w:sz w:val="22"/>
          <w:szCs w:val="22"/>
        </w:rPr>
        <w:t xml:space="preserve"> from crossbred and grain-fed grades.</w:t>
      </w:r>
      <w:r>
        <w:rPr>
          <w:rStyle w:val="FootnoteReference"/>
        </w:rPr>
        <w:footnoteReference w:id="119"/>
      </w:r>
    </w:p>
    <w:p>
      <w:pPr>
        <w:spacing w:after="160" w:before="0" w:line="300"/>
        <w:jc w:val="both"/>
      </w:pPr>
      <w:r>
        <w:rPr>
          <w:rFonts w:ascii="Georgia" w:cs="Georgia" w:eastAsia="Georgia" w:hAnsi="Georgia"/>
          <w:color w:val="1A1A1A"/>
          <w:sz w:val="22"/>
          <w:szCs w:val="22"/>
        </w:rPr>
        <w:t xml:space="preserve">The </w:t>
      </w:r>
      <w:r>
        <w:rPr>
          <w:rFonts w:ascii="Georgia" w:cs="Georgia" w:eastAsia="Georgia" w:hAnsi="Georgia"/>
          <w:b/>
          <w:bCs/>
          <w:i w:val="false"/>
          <w:iCs w:val="false"/>
          <w:caps w:val="false"/>
          <w:color w:val="1A1A1A"/>
          <w:sz w:val="22"/>
          <w:szCs w:val="22"/>
        </w:rPr>
        <w:t xml:space="preserve">United States</w:t>
      </w:r>
      <w:r>
        <w:rPr>
          <w:rFonts w:ascii="Georgia" w:cs="Georgia" w:eastAsia="Georgia" w:hAnsi="Georgia"/>
          <w:color w:val="1A1A1A"/>
          <w:sz w:val="22"/>
          <w:szCs w:val="22"/>
        </w:rPr>
        <w:t xml:space="preserve"> represents the heritage-breed renaissance—a deliberate reversal of the twentieth-century breeding program that stripped flavor and fat from commodity pork in pursuit of leanness. Berkshire (marketed as Kurobuta), Duroc, Mangalitsa, Red Wattle, and Tamworth restore the intramuscular fat, color, and flavor that make pork worth cooking to a juicy medium rather than a dry well-done. </w:t>
      </w:r>
      <w:r>
        <w:rPr>
          <w:rFonts w:ascii="Georgia" w:cs="Georgia" w:eastAsia="Georgia" w:hAnsi="Georgia"/>
          <w:b/>
          <w:bCs/>
          <w:i w:val="false"/>
          <w:iCs w:val="false"/>
          <w:caps w:val="false"/>
          <w:color w:val="1A1A1A"/>
          <w:sz w:val="22"/>
          <w:szCs w:val="22"/>
        </w:rPr>
        <w:t xml:space="preserve">Italy</w:t>
      </w:r>
      <w:r>
        <w:rPr>
          <w:rFonts w:ascii="Georgia" w:cs="Georgia" w:eastAsia="Georgia" w:hAnsi="Georgia"/>
          <w:color w:val="1A1A1A"/>
          <w:sz w:val="22"/>
          <w:szCs w:val="22"/>
        </w:rPr>
        <w:t xml:space="preserve"> represents the mastery of the cure: the protected-origin hams of Parma and San Daniele, aged twelve to thirty-six months under legally defined conditions, are the benchmark against which all dry-cured pork is measured.</w:t>
      </w:r>
      <w:r>
        <w:rPr>
          <w:rStyle w:val="FootnoteReference"/>
        </w:rPr>
        <w:footnoteReference w:id="120"/>
      </w:r>
      <w:r>
        <w:rPr>
          <w:rFonts w:ascii="Georgia" w:cs="Georgia" w:eastAsia="Georgia" w:hAnsi="Georgia"/>
          <w:color w:val="1A1A1A"/>
          <w:sz w:val="22"/>
          <w:szCs w:val="22"/>
        </w:rPr>
        <w:t xml:space="preserve"> </w:t>
      </w:r>
      <w:r>
        <w:rPr>
          <w:rFonts w:ascii="Georgia" w:cs="Georgia" w:eastAsia="Georgia" w:hAnsi="Georgia"/>
          <w:b/>
          <w:bCs/>
          <w:i w:val="false"/>
          <w:iCs w:val="false"/>
          <w:caps w:val="false"/>
          <w:color w:val="1A1A1A"/>
          <w:sz w:val="22"/>
          <w:szCs w:val="22"/>
        </w:rPr>
        <w:t xml:space="preserve">Germany</w:t>
      </w:r>
      <w:r>
        <w:rPr>
          <w:rFonts w:ascii="Georgia" w:cs="Georgia" w:eastAsia="Georgia" w:hAnsi="Georgia"/>
          <w:color w:val="1A1A1A"/>
          <w:sz w:val="22"/>
          <w:szCs w:val="22"/>
        </w:rPr>
        <w:t xml:space="preserve"> represents the whole-hog craft of sausage-making, smoking, and everyday charcuterie—a tradition of precision and thrift rather than luxury. Together these four define pork's quality space: fresh breed-and-diet excellence, and the transformations of salt, air, time, and smoke.</w:t>
      </w:r>
    </w:p>
    <w:p>
      <w:pPr>
        <w:pStyle w:val="Heading2"/>
        <w:spacing w:after="140" w:before="280"/>
      </w:pPr>
      <w:r>
        <w:rPr>
          <w:rFonts w:ascii="Georgia" w:cs="Georgia" w:eastAsia="Georgia" w:hAnsi="Georgia"/>
          <w:b/>
          <w:bCs/>
          <w:i w:val="false"/>
          <w:iCs w:val="false"/>
          <w:caps w:val="false"/>
          <w:color w:val="1A1A1A"/>
          <w:sz w:val="22"/>
          <w:szCs w:val="22"/>
        </w:rPr>
        <w:t xml:space="preserve">12.3 Poultry: the case of Bresse and the logic of slow growth</w:t>
      </w:r>
    </w:p>
    <w:p>
      <w:pPr>
        <w:spacing w:after="160" w:before="0" w:line="300"/>
        <w:jc w:val="both"/>
      </w:pPr>
      <w:r>
        <w:rPr>
          <w:rFonts w:ascii="Georgia" w:cs="Georgia" w:eastAsia="Georgia" w:hAnsi="Georgia"/>
          <w:color w:val="1A1A1A"/>
          <w:sz w:val="22"/>
          <w:szCs w:val="22"/>
        </w:rPr>
        <w:t xml:space="preserve">Poultry demonstrates, more starkly than any other meat, how much husbandry matters relative to the flag on the label. </w:t>
      </w:r>
      <w:r>
        <w:rPr>
          <w:rFonts w:ascii="Georgia" w:cs="Georgia" w:eastAsia="Georgia" w:hAnsi="Georgia"/>
          <w:b/>
          <w:bCs/>
          <w:i w:val="false"/>
          <w:iCs w:val="false"/>
          <w:caps w:val="false"/>
          <w:color w:val="1A1A1A"/>
          <w:sz w:val="22"/>
          <w:szCs w:val="22"/>
        </w:rPr>
        <w:t xml:space="preserve">France</w:t>
      </w:r>
      <w:r>
        <w:rPr>
          <w:rFonts w:ascii="Georgia" w:cs="Georgia" w:eastAsia="Georgia" w:hAnsi="Georgia"/>
          <w:color w:val="1A1A1A"/>
          <w:sz w:val="22"/>
          <w:szCs w:val="22"/>
        </w:rPr>
        <w:t xml:space="preserve"> holds the reputation through the </w:t>
      </w:r>
      <w:r>
        <w:rPr>
          <w:rFonts w:ascii="Georgia" w:cs="Georgia" w:eastAsia="Georgia" w:hAnsi="Georgia"/>
          <w:b w:val="false"/>
          <w:bCs w:val="false"/>
          <w:i/>
          <w:iCs/>
          <w:caps w:val="false"/>
          <w:color w:val="1A1A1A"/>
          <w:sz w:val="22"/>
          <w:szCs w:val="22"/>
        </w:rPr>
        <w:t xml:space="preserve">Poulet de Bresse</w:t>
      </w:r>
      <w:r>
        <w:rPr>
          <w:rFonts w:ascii="Georgia" w:cs="Georgia" w:eastAsia="Georgia" w:hAnsi="Georgia"/>
          <w:color w:val="1A1A1A"/>
          <w:sz w:val="22"/>
          <w:szCs w:val="22"/>
        </w:rPr>
        <w:t xml:space="preserve">—the only chicken in the world with a protected Appellation d'Origine Contrôlée, a blue-legged, white-feathered, red-combed bird raised on defined terroir with pasture, grain, and dairy, grown slowly to develop flavor and a fine, well-distributed fat.</w:t>
      </w:r>
      <w:r>
        <w:rPr>
          <w:rStyle w:val="FootnoteReference"/>
        </w:rPr>
        <w:footnoteReference w:id="121"/>
      </w:r>
      <w:r>
        <w:rPr>
          <w:rFonts w:ascii="Georgia" w:cs="Georgia" w:eastAsia="Georgia" w:hAnsi="Georgia"/>
          <w:color w:val="1A1A1A"/>
          <w:sz w:val="22"/>
          <w:szCs w:val="22"/>
        </w:rPr>
        <w:t xml:space="preserve"> More broadly, the French </w:t>
      </w:r>
      <w:r>
        <w:rPr>
          <w:rFonts w:ascii="Georgia" w:cs="Georgia" w:eastAsia="Georgia" w:hAnsi="Georgia"/>
          <w:b w:val="false"/>
          <w:bCs w:val="false"/>
          <w:i/>
          <w:iCs/>
          <w:caps w:val="false"/>
          <w:color w:val="1A1A1A"/>
          <w:sz w:val="22"/>
          <w:szCs w:val="22"/>
        </w:rPr>
        <w:t xml:space="preserve">Label Rouge</w:t>
      </w:r>
      <w:r>
        <w:rPr>
          <w:rFonts w:ascii="Georgia" w:cs="Georgia" w:eastAsia="Georgia" w:hAnsi="Georgia"/>
          <w:color w:val="1A1A1A"/>
          <w:sz w:val="22"/>
          <w:szCs w:val="22"/>
        </w:rPr>
        <w:t xml:space="preserve"> system certifies free-range birds reared for a minimum of eighty-one days—roughly twice the age of a conventional broiler—with sensory-quality standards that panels can actually detect.</w:t>
      </w:r>
      <w:r>
        <w:rPr>
          <w:rStyle w:val="FootnoteReference"/>
        </w:rPr>
        <w:footnoteReference w:id="122"/>
      </w:r>
    </w:p>
    <w:p>
      <w:pPr>
        <w:spacing w:after="160" w:before="0" w:line="300"/>
        <w:jc w:val="both"/>
      </w:pPr>
      <w:r>
        <w:rPr>
          <w:rFonts w:ascii="Georgia" w:cs="Georgia" w:eastAsia="Georgia" w:hAnsi="Georgia"/>
          <w:color w:val="1A1A1A"/>
          <w:sz w:val="22"/>
          <w:szCs w:val="22"/>
        </w:rPr>
        <w:t xml:space="preserve">The mechanistic lesson generalizes beyond France: the predictors of poultry quality are a slower-growing breed, genuine outdoor foraging, a varied diet, and sufficient age at slaughter for flavor and firm, fine-grained flesh to develop. These factors—not national origin per se—are what a buyer should seek, whether in a French Label Rouge bird, an American “poulet rouge” raised on the same principles, or a well-managed pasture-raised heritage bird. This is a domain, as the companion guide emphasizes, in which a good local pasture flock can rival the finest imported reputation, because the causal variables are reproducible anywhere they are respected.</w:t>
      </w:r>
    </w:p>
    <w:p>
      <w:pPr>
        <w:pStyle w:val="Heading2"/>
        <w:spacing w:after="140" w:before="280"/>
      </w:pPr>
      <w:r>
        <w:rPr>
          <w:rFonts w:ascii="Georgia" w:cs="Georgia" w:eastAsia="Georgia" w:hAnsi="Georgia"/>
          <w:b/>
          <w:bCs/>
          <w:i w:val="false"/>
          <w:iCs w:val="false"/>
          <w:caps w:val="false"/>
          <w:color w:val="1A1A1A"/>
          <w:sz w:val="22"/>
          <w:szCs w:val="22"/>
        </w:rPr>
        <w:t xml:space="preserve">12.4 Lamb and goat: the grass nations and the world's most-eaten red meat</w:t>
      </w:r>
    </w:p>
    <w:p>
      <w:pPr>
        <w:spacing w:after="160" w:before="0" w:line="300"/>
        <w:jc w:val="both"/>
      </w:pPr>
      <w:r>
        <w:rPr>
          <w:rFonts w:ascii="Georgia" w:cs="Georgia" w:eastAsia="Georgia" w:hAnsi="Georgia"/>
          <w:color w:val="1A1A1A"/>
          <w:sz w:val="22"/>
          <w:szCs w:val="22"/>
        </w:rPr>
        <w:t xml:space="preserve">Lamb's reputations are grassland reputations. </w:t>
      </w:r>
      <w:r>
        <w:rPr>
          <w:rFonts w:ascii="Georgia" w:cs="Georgia" w:eastAsia="Georgia" w:hAnsi="Georgia"/>
          <w:b/>
          <w:bCs/>
          <w:i w:val="false"/>
          <w:iCs w:val="false"/>
          <w:caps w:val="false"/>
          <w:color w:val="1A1A1A"/>
          <w:sz w:val="22"/>
          <w:szCs w:val="22"/>
        </w:rPr>
        <w:t xml:space="preserve">New Zealand</w:t>
      </w:r>
      <w:r>
        <w:rPr>
          <w:rFonts w:ascii="Georgia" w:cs="Georgia" w:eastAsia="Georgia" w:hAnsi="Georgia"/>
          <w:color w:val="1A1A1A"/>
          <w:sz w:val="22"/>
          <w:szCs w:val="22"/>
        </w:rPr>
        <w:t xml:space="preserve"> sets the global standard for pasture-raised lamb—clean, mild, remarkably consistent, and almost entirely grass-finished—while </w:t>
      </w:r>
      <w:r>
        <w:rPr>
          <w:rFonts w:ascii="Georgia" w:cs="Georgia" w:eastAsia="Georgia" w:hAnsi="Georgia"/>
          <w:b/>
          <w:bCs/>
          <w:i w:val="false"/>
          <w:iCs w:val="false"/>
          <w:caps w:val="false"/>
          <w:color w:val="1A1A1A"/>
          <w:sz w:val="22"/>
          <w:szCs w:val="22"/>
        </w:rPr>
        <w:t xml:space="preserve">Australia</w:t>
      </w:r>
      <w:r>
        <w:rPr>
          <w:rFonts w:ascii="Georgia" w:cs="Georgia" w:eastAsia="Georgia" w:hAnsi="Georgia"/>
          <w:color w:val="1A1A1A"/>
          <w:sz w:val="22"/>
          <w:szCs w:val="22"/>
        </w:rPr>
        <w:t xml:space="preserve"> supplies a larger-framed, sometimes grain-finished complement at comparable quality and greater scale. </w:t>
      </w:r>
      <w:r>
        <w:rPr>
          <w:rFonts w:ascii="Georgia" w:cs="Georgia" w:eastAsia="Georgia" w:hAnsi="Georgia"/>
          <w:b/>
          <w:bCs/>
          <w:i w:val="false"/>
          <w:iCs w:val="false"/>
          <w:caps w:val="false"/>
          <w:color w:val="1A1A1A"/>
          <w:sz w:val="22"/>
          <w:szCs w:val="22"/>
        </w:rPr>
        <w:t xml:space="preserve">Iceland</w:t>
      </w:r>
      <w:r>
        <w:rPr>
          <w:rFonts w:ascii="Georgia" w:cs="Georgia" w:eastAsia="Georgia" w:hAnsi="Georgia"/>
          <w:color w:val="1A1A1A"/>
          <w:sz w:val="22"/>
          <w:szCs w:val="22"/>
        </w:rPr>
        <w:t xml:space="preserve"> offers a cult product: sheep grazed freely on wild highland pasture, yielding fine-grained, subtly gamey meat raised without routine antibiotics or added hormones. </w:t>
      </w:r>
      <w:r>
        <w:rPr>
          <w:rFonts w:ascii="Georgia" w:cs="Georgia" w:eastAsia="Georgia" w:hAnsi="Georgia"/>
          <w:b/>
          <w:bCs/>
          <w:i w:val="false"/>
          <w:iCs w:val="false"/>
          <w:caps w:val="false"/>
          <w:color w:val="1A1A1A"/>
          <w:sz w:val="22"/>
          <w:szCs w:val="22"/>
        </w:rPr>
        <w:t xml:space="preserve">American</w:t>
      </w:r>
      <w:r>
        <w:rPr>
          <w:rFonts w:ascii="Georgia" w:cs="Georgia" w:eastAsia="Georgia" w:hAnsi="Georgia"/>
          <w:color w:val="1A1A1A"/>
          <w:sz w:val="22"/>
          <w:szCs w:val="22"/>
        </w:rPr>
        <w:t xml:space="preserve"> lamb, often larger and grain-finished, occupies a distinct sensory niche—meatier and more robust—preferred by those who find imported grass-fed lamb too delicate.</w:t>
      </w:r>
    </w:p>
    <w:p>
      <w:pPr>
        <w:spacing w:after="160" w:before="0" w:line="300"/>
        <w:jc w:val="both"/>
      </w:pPr>
      <w:r>
        <w:rPr>
          <w:rFonts w:ascii="Georgia" w:cs="Georgia" w:eastAsia="Georgia" w:hAnsi="Georgia"/>
          <w:color w:val="1A1A1A"/>
          <w:sz w:val="22"/>
          <w:szCs w:val="22"/>
        </w:rPr>
        <w:t xml:space="preserve">Goat—</w:t>
      </w:r>
      <w:r>
        <w:rPr>
          <w:rFonts w:ascii="Georgia" w:cs="Georgia" w:eastAsia="Georgia" w:hAnsi="Georgia"/>
          <w:b w:val="false"/>
          <w:bCs w:val="false"/>
          <w:i/>
          <w:iCs/>
          <w:caps w:val="false"/>
          <w:color w:val="1A1A1A"/>
          <w:sz w:val="22"/>
          <w:szCs w:val="22"/>
        </w:rPr>
        <w:t xml:space="preserve">chevon</w:t>
      </w:r>
      <w:r>
        <w:rPr>
          <w:rFonts w:ascii="Georgia" w:cs="Georgia" w:eastAsia="Georgia" w:hAnsi="Georgia"/>
          <w:color w:val="1A1A1A"/>
          <w:sz w:val="22"/>
          <w:szCs w:val="22"/>
        </w:rPr>
        <w:t xml:space="preserve"> or, for young milk-fed kid, </w:t>
      </w:r>
      <w:r>
        <w:rPr>
          <w:rFonts w:ascii="Georgia" w:cs="Georgia" w:eastAsia="Georgia" w:hAnsi="Georgia"/>
          <w:b w:val="false"/>
          <w:bCs w:val="false"/>
          <w:i/>
          <w:iCs/>
          <w:caps w:val="false"/>
          <w:color w:val="1A1A1A"/>
          <w:sz w:val="22"/>
          <w:szCs w:val="22"/>
        </w:rPr>
        <w:t xml:space="preserve">cabrito</w:t>
      </w:r>
      <w:r>
        <w:rPr>
          <w:rFonts w:ascii="Georgia" w:cs="Georgia" w:eastAsia="Georgia" w:hAnsi="Georgia"/>
          <w:color w:val="1A1A1A"/>
          <w:sz w:val="22"/>
          <w:szCs w:val="22"/>
        </w:rPr>
        <w:t xml:space="preserve">—is the most widely consumed red meat on the planet and the most underrepresented in the American supermarket, a gap the companion guide treats as an opportunity rather than an obstacle. Its great traditions are culinary rather than industrial: the </w:t>
      </w:r>
      <w:r>
        <w:rPr>
          <w:rFonts w:ascii="Georgia" w:cs="Georgia" w:eastAsia="Georgia" w:hAnsi="Georgia"/>
          <w:b w:val="false"/>
          <w:bCs w:val="false"/>
          <w:i/>
          <w:iCs/>
          <w:caps w:val="false"/>
          <w:color w:val="1A1A1A"/>
          <w:sz w:val="22"/>
          <w:szCs w:val="22"/>
        </w:rPr>
        <w:t xml:space="preserve">cabrito</w:t>
      </w:r>
      <w:r>
        <w:rPr>
          <w:rFonts w:ascii="Georgia" w:cs="Georgia" w:eastAsia="Georgia" w:hAnsi="Georgia"/>
          <w:color w:val="1A1A1A"/>
          <w:sz w:val="22"/>
          <w:szCs w:val="22"/>
        </w:rPr>
        <w:t xml:space="preserve"> of northern Mexico, the spit-roasted and braised kid of the Mediterranean and Middle East, and the curried and jerked preparations of the Caribbean and South Asia. Goat's defining physical trait is leanness, which dictates its cooking logic directly: tender cuts demand quick, moderate heat to avoid drying, while tougher, collagen-rich cuts reward the long, moist, low-temperature braising whose biochemistry Section 6.3 develops. Northwest Arkansas, with its custom processors and halal markets, has genuine local access to a meat most of the country must mail-order.</w:t>
      </w:r>
    </w:p>
    <w:p>
      <w:r>
        <w:br w:type="page"/>
      </w:r>
    </w:p>
    <w:p>
      <w:pPr>
        <w:pStyle w:val="Heading1"/>
        <w:spacing w:after="200" w:before="360"/>
      </w:pPr>
      <w:bookmarkStart w:name="grading" w:id="1013"/>
      <w:r>
        <w:rPr>
          <w:rFonts w:ascii="Georgia" w:cs="Georgia" w:eastAsia="Georgia" w:hAnsi="Georgia"/>
          <w:b/>
          <w:bCs/>
          <w:i w:val="false"/>
          <w:iCs w:val="false"/>
          <w:caps w:val="false"/>
          <w:color w:val="1A1A1A"/>
          <w:sz w:val="22"/>
          <w:szCs w:val="22"/>
        </w:rPr>
        <w:t xml:space="preserve">13. Grading, Labeling, and Certification: How Quality Is Measured and Defended</w:t>
      </w:r>
      <w:bookmarkEnd w:id="1013"/>
    </w:p>
    <w:p>
      <w:pPr>
        <w:spacing w:after="160" w:before="0" w:line="300"/>
        <w:jc w:val="both"/>
      </w:pPr>
      <w:r>
        <w:rPr>
          <w:rFonts w:ascii="Georgia" w:cs="Georgia" w:eastAsia="Georgia" w:hAnsi="Georgia"/>
          <w:color w:val="1A1A1A"/>
          <w:sz w:val="22"/>
          <w:szCs w:val="22"/>
        </w:rPr>
        <w:t xml:space="preserve">A reputation is only as useful as the standard that enforces it. This section consolidates the formal systems by which the quality of the foods in this study is measured, graded, and legally protected, because these systems are the buyer's most reliable instruments—more reliable than adjectives on packaging, and often more reliable than price. Each converts a diffuse notion of “quality” into a defined, auditable attribute.</w:t>
      </w:r>
    </w:p>
    <w:p>
      <w:pPr>
        <w:pStyle w:val="Heading2"/>
        <w:spacing w:after="140" w:before="280"/>
      </w:pPr>
      <w:r>
        <w:rPr>
          <w:rFonts w:ascii="Georgia" w:cs="Georgia" w:eastAsia="Georgia" w:hAnsi="Georgia"/>
          <w:b/>
          <w:bCs/>
          <w:i w:val="false"/>
          <w:iCs w:val="false"/>
          <w:caps w:val="false"/>
          <w:color w:val="1A1A1A"/>
          <w:sz w:val="22"/>
          <w:szCs w:val="22"/>
        </w:rPr>
        <w:t xml:space="preserve">13.1 Beef marbling grades</w:t>
      </w:r>
    </w:p>
    <w:p>
      <w:pPr>
        <w:spacing w:after="160" w:before="0" w:line="300"/>
        <w:jc w:val="both"/>
      </w:pPr>
      <w:r>
        <w:rPr>
          <w:rFonts w:ascii="Georgia" w:cs="Georgia" w:eastAsia="Georgia" w:hAnsi="Georgia"/>
          <w:color w:val="1A1A1A"/>
          <w:sz w:val="22"/>
          <w:szCs w:val="22"/>
        </w:rPr>
        <w:t xml:space="preserve">Two grading regimes dominate. The Japanese system, administered by the Japan Meat Grading Association, assigns a yield grade (A–C) and a quality grade (1–5), the latter driven chiefly by marbling scored on the twelve-point Beef Marbling Standard; the coveted A5 requires the highest yield grade and BMS 8–12.</w:t>
      </w:r>
      <w:r>
        <w:rPr>
          <w:rStyle w:val="FootnoteReference"/>
        </w:rPr>
        <w:footnoteReference w:id="123"/>
      </w:r>
      <w:r>
        <w:rPr>
          <w:rFonts w:ascii="Georgia" w:cs="Georgia" w:eastAsia="Georgia" w:hAnsi="Georgia"/>
          <w:color w:val="1A1A1A"/>
          <w:sz w:val="22"/>
          <w:szCs w:val="22"/>
        </w:rPr>
        <w:t xml:space="preserve"> The USDA system is coarser, sorting carcasses into Prime, Choice, and Select by degree of marbling assessed at the ribeye, with Prime the top tier.</w:t>
      </w:r>
      <w:r>
        <w:rPr>
          <w:rStyle w:val="FootnoteReference"/>
        </w:rPr>
        <w:footnoteReference w:id="124"/>
      </w:r>
      <w:r>
        <w:rPr>
          <w:rFonts w:ascii="Georgia" w:cs="Georgia" w:eastAsia="Georgia" w:hAnsi="Georgia"/>
          <w:color w:val="1A1A1A"/>
          <w:sz w:val="22"/>
          <w:szCs w:val="22"/>
        </w:rPr>
        <w:t xml:space="preserve"> The two are not directly interchangeable: the marbling that earns U.S. Prime corresponds only to the lower-to-middle rungs of the Japanese BMS scale, which is why A5 reads as almost unrecognizably fat-rich to a palate calibrated on American beef. Australia's AUS-MEAT marbling scale (0–9+) and its Meat Standards Australia eating-quality grading provide a third, consumer-outcome-oriented framework.</w:t>
      </w:r>
      <w:r>
        <w:rPr>
          <w:rStyle w:val="FootnoteReference"/>
        </w:rPr>
        <w:footnoteReference w:id="125"/>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System</w:t>
            </w:r>
          </w:p>
        </w:tc>
        <w:tc>
          <w:tcPr>
            <w:tcW w:type="dxa" w:w="26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Scale</w:t>
            </w:r>
          </w:p>
        </w:tc>
        <w:tc>
          <w:tcPr>
            <w:tcW w:type="dxa" w:w="22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Top designation</w:t>
            </w:r>
          </w:p>
        </w:tc>
        <w:tc>
          <w:tcPr>
            <w:tcW w:type="dxa" w:w="21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What it certifies</w:t>
            </w:r>
          </w:p>
        </w:tc>
      </w:tr>
      <w:tr>
        <w:trPr>
          <w:tblHeader w:val="false"/>
        </w:trPr>
        <w:tc>
          <w:tcPr>
            <w:tcW w:type="dxa" w:w="24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Japan (JMGA)</w:t>
            </w:r>
          </w:p>
        </w:tc>
        <w:tc>
          <w:tcPr>
            <w:tcW w:type="dxa" w:w="26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Yield A–C + Quality 1–5; BMS 1–12</w:t>
            </w:r>
          </w:p>
        </w:tc>
        <w:tc>
          <w:tcPr>
            <w:tcW w:type="dxa" w:w="2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A5 (BMS 8–12)</w:t>
            </w:r>
          </w:p>
        </w:tc>
        <w:tc>
          <w:tcPr>
            <w:tcW w:type="dxa" w:w="2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Extreme intramuscular marbling</w:t>
            </w:r>
          </w:p>
        </w:tc>
      </w:tr>
      <w:tr>
        <w:trPr>
          <w:tblHeader w:val="false"/>
        </w:trPr>
        <w:tc>
          <w:tcPr>
            <w:tcW w:type="dxa" w:w="24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USA (USDA)</w:t>
            </w:r>
          </w:p>
        </w:tc>
        <w:tc>
          <w:tcPr>
            <w:tcW w:type="dxa" w:w="26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Prime / Choice / Select</w:t>
            </w:r>
          </w:p>
        </w:tc>
        <w:tc>
          <w:tcPr>
            <w:tcW w:type="dxa" w:w="22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Prime (top few %)</w:t>
            </w:r>
          </w:p>
        </w:tc>
        <w:tc>
          <w:tcPr>
            <w:tcW w:type="dxa" w:w="21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Marbling at the ribeye</w:t>
            </w:r>
          </w:p>
        </w:tc>
      </w:tr>
      <w:tr>
        <w:trPr>
          <w:tblHeader w:val="false"/>
        </w:trPr>
        <w:tc>
          <w:tcPr>
            <w:tcW w:type="dxa" w:w="24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Australia (AUS-MEAT/MSA)</w:t>
            </w:r>
          </w:p>
        </w:tc>
        <w:tc>
          <w:tcPr>
            <w:tcW w:type="dxa" w:w="26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Marbling 0–9+; MSA index</w:t>
            </w:r>
          </w:p>
        </w:tc>
        <w:tc>
          <w:tcPr>
            <w:tcW w:type="dxa" w:w="22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9+ / high MSA</w:t>
            </w:r>
          </w:p>
        </w:tc>
        <w:tc>
          <w:tcPr>
            <w:tcW w:type="dxa" w:w="2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Marbling and predicted eating quality</w:t>
            </w:r>
          </w:p>
        </w:tc>
      </w:tr>
    </w:tbl>
    <w:p>
      <w:pPr>
        <w:spacing w:after="200" w:before="60"/>
      </w:pPr>
      <w:r>
        <w:rPr>
          <w:rFonts w:ascii="Georgia" w:cs="Georgia" w:eastAsia="Georgia" w:hAnsi="Georgia"/>
          <w:b w:val="false"/>
          <w:bCs w:val="false"/>
          <w:i/>
          <w:iCs/>
          <w:caps w:val="false"/>
          <w:color w:val="5B5B52"/>
          <w:sz w:val="18"/>
          <w:szCs w:val="18"/>
        </w:rPr>
        <w:t xml:space="preserve">Beef grading regimes are not directly interchangeable; U.S. Prime marbling maps to the lower-middle of the Japanese BMS scale.</w:t>
      </w:r>
    </w:p>
    <w:p>
      <w:pPr>
        <w:pStyle w:val="Heading2"/>
        <w:spacing w:after="140" w:before="280"/>
      </w:pPr>
      <w:r>
        <w:rPr>
          <w:rFonts w:ascii="Georgia" w:cs="Georgia" w:eastAsia="Georgia" w:hAnsi="Georgia"/>
          <w:b/>
          <w:bCs/>
          <w:i w:val="false"/>
          <w:iCs w:val="false"/>
          <w:caps w:val="false"/>
          <w:color w:val="1A1A1A"/>
          <w:sz w:val="22"/>
          <w:szCs w:val="22"/>
        </w:rPr>
        <w:t xml:space="preserve">13.2 The Spanish Ibérico norm</w:t>
      </w:r>
    </w:p>
    <w:p>
      <w:pPr>
        <w:spacing w:after="160" w:before="0" w:line="300"/>
        <w:jc w:val="both"/>
      </w:pPr>
      <w:r>
        <w:rPr>
          <w:rFonts w:ascii="Georgia" w:cs="Georgia" w:eastAsia="Georgia" w:hAnsi="Georgia"/>
          <w:color w:val="1A1A1A"/>
          <w:sz w:val="22"/>
          <w:szCs w:val="22"/>
        </w:rPr>
        <w:t xml:space="preserve">Spain's </w:t>
      </w:r>
      <w:r>
        <w:rPr>
          <w:rFonts w:ascii="Georgia" w:cs="Georgia" w:eastAsia="Georgia" w:hAnsi="Georgia"/>
          <w:b w:val="false"/>
          <w:bCs w:val="false"/>
          <w:i/>
          <w:iCs/>
          <w:caps w:val="false"/>
          <w:color w:val="1A1A1A"/>
          <w:sz w:val="22"/>
          <w:szCs w:val="22"/>
        </w:rPr>
        <w:t xml:space="preserve">Norma de Calidad</w:t>
      </w:r>
      <w:r>
        <w:rPr>
          <w:rFonts w:ascii="Georgia" w:cs="Georgia" w:eastAsia="Georgia" w:hAnsi="Georgia"/>
          <w:color w:val="1A1A1A"/>
          <w:sz w:val="22"/>
          <w:szCs w:val="22"/>
        </w:rPr>
        <w:t xml:space="preserve"> for Iberian products (Real Decreto 4/2014) is a model of legally enforced transparency, using a four-color plastic seal affixed at slaughter to encode both diet and breed purity: </w:t>
      </w:r>
      <w:r>
        <w:rPr>
          <w:rFonts w:ascii="Georgia" w:cs="Georgia" w:eastAsia="Georgia" w:hAnsi="Georgia"/>
          <w:b/>
          <w:bCs/>
          <w:i w:val="false"/>
          <w:iCs w:val="false"/>
          <w:caps w:val="false"/>
          <w:color w:val="1A1A1A"/>
          <w:sz w:val="22"/>
          <w:szCs w:val="22"/>
        </w:rPr>
        <w:t xml:space="preserve">black</w:t>
      </w:r>
      <w:r>
        <w:rPr>
          <w:rFonts w:ascii="Georgia" w:cs="Georgia" w:eastAsia="Georgia" w:hAnsi="Georgia"/>
          <w:color w:val="1A1A1A"/>
          <w:sz w:val="22"/>
          <w:szCs w:val="22"/>
        </w:rPr>
        <w:t xml:space="preserve"> for 100% Iberian </w:t>
      </w:r>
      <w:r>
        <w:rPr>
          <w:rFonts w:ascii="Georgia" w:cs="Georgia" w:eastAsia="Georgia" w:hAnsi="Georgia"/>
          <w:b w:val="false"/>
          <w:bCs w:val="false"/>
          <w:i/>
          <w:iCs/>
          <w:caps w:val="false"/>
          <w:color w:val="1A1A1A"/>
          <w:sz w:val="22"/>
          <w:szCs w:val="22"/>
        </w:rPr>
        <w:t xml:space="preserve">bellota</w:t>
      </w:r>
      <w:r>
        <w:rPr>
          <w:rFonts w:ascii="Georgia" w:cs="Georgia" w:eastAsia="Georgia" w:hAnsi="Georgia"/>
          <w:color w:val="1A1A1A"/>
          <w:sz w:val="22"/>
          <w:szCs w:val="22"/>
        </w:rPr>
        <w:t xml:space="preserve"> (acorn-finished, purebred—the </w:t>
      </w:r>
      <w:r>
        <w:rPr>
          <w:rFonts w:ascii="Georgia" w:cs="Georgia" w:eastAsia="Georgia" w:hAnsi="Georgia"/>
          <w:b w:val="false"/>
          <w:bCs w:val="false"/>
          <w:i/>
          <w:iCs/>
          <w:caps w:val="false"/>
          <w:color w:val="1A1A1A"/>
          <w:sz w:val="22"/>
          <w:szCs w:val="22"/>
        </w:rPr>
        <w:t xml:space="preserve">pata negra</w:t>
      </w:r>
      <w:r>
        <w:rPr>
          <w:rFonts w:ascii="Georgia" w:cs="Georgia" w:eastAsia="Georgia" w:hAnsi="Georgia"/>
          <w:color w:val="1A1A1A"/>
          <w:sz w:val="22"/>
          <w:szCs w:val="22"/>
        </w:rPr>
        <w:t xml:space="preserve"> apex); </w:t>
      </w:r>
      <w:r>
        <w:rPr>
          <w:rFonts w:ascii="Georgia" w:cs="Georgia" w:eastAsia="Georgia" w:hAnsi="Georgia"/>
          <w:b/>
          <w:bCs/>
          <w:i w:val="false"/>
          <w:iCs w:val="false"/>
          <w:caps w:val="false"/>
          <w:color w:val="1A1A1A"/>
          <w:sz w:val="22"/>
          <w:szCs w:val="22"/>
        </w:rPr>
        <w:t xml:space="preserve">red</w:t>
      </w:r>
      <w:r>
        <w:rPr>
          <w:rFonts w:ascii="Georgia" w:cs="Georgia" w:eastAsia="Georgia" w:hAnsi="Georgia"/>
          <w:color w:val="1A1A1A"/>
          <w:sz w:val="22"/>
          <w:szCs w:val="22"/>
        </w:rPr>
        <w:t xml:space="preserve"> for </w:t>
      </w:r>
      <w:r>
        <w:rPr>
          <w:rFonts w:ascii="Georgia" w:cs="Georgia" w:eastAsia="Georgia" w:hAnsi="Georgia"/>
          <w:b w:val="false"/>
          <w:bCs w:val="false"/>
          <w:i/>
          <w:iCs/>
          <w:caps w:val="false"/>
          <w:color w:val="1A1A1A"/>
          <w:sz w:val="22"/>
          <w:szCs w:val="22"/>
        </w:rPr>
        <w:t xml:space="preserve">bellota</w:t>
      </w:r>
      <w:r>
        <w:rPr>
          <w:rFonts w:ascii="Georgia" w:cs="Georgia" w:eastAsia="Georgia" w:hAnsi="Georgia"/>
          <w:color w:val="1A1A1A"/>
          <w:sz w:val="22"/>
          <w:szCs w:val="22"/>
        </w:rPr>
        <w:t xml:space="preserve"> from crossbred animals; </w:t>
      </w:r>
      <w:r>
        <w:rPr>
          <w:rFonts w:ascii="Georgia" w:cs="Georgia" w:eastAsia="Georgia" w:hAnsi="Georgia"/>
          <w:b/>
          <w:bCs/>
          <w:i w:val="false"/>
          <w:iCs w:val="false"/>
          <w:caps w:val="false"/>
          <w:color w:val="1A1A1A"/>
          <w:sz w:val="22"/>
          <w:szCs w:val="22"/>
        </w:rPr>
        <w:t xml:space="preserve">green</w:t>
      </w:r>
      <w:r>
        <w:rPr>
          <w:rFonts w:ascii="Georgia" w:cs="Georgia" w:eastAsia="Georgia" w:hAnsi="Georgia"/>
          <w:color w:val="1A1A1A"/>
          <w:sz w:val="22"/>
          <w:szCs w:val="22"/>
        </w:rPr>
        <w:t xml:space="preserve"> for </w:t>
      </w:r>
      <w:r>
        <w:rPr>
          <w:rFonts w:ascii="Georgia" w:cs="Georgia" w:eastAsia="Georgia" w:hAnsi="Georgia"/>
          <w:b w:val="false"/>
          <w:bCs w:val="false"/>
          <w:i/>
          <w:iCs/>
          <w:caps w:val="false"/>
          <w:color w:val="1A1A1A"/>
          <w:sz w:val="22"/>
          <w:szCs w:val="22"/>
        </w:rPr>
        <w:t xml:space="preserve">cebo de campo</w:t>
      </w:r>
      <w:r>
        <w:rPr>
          <w:rFonts w:ascii="Georgia" w:cs="Georgia" w:eastAsia="Georgia" w:hAnsi="Georgia"/>
          <w:color w:val="1A1A1A"/>
          <w:sz w:val="22"/>
          <w:szCs w:val="22"/>
        </w:rPr>
        <w:t xml:space="preserve"> (free-range, mixed feed); and </w:t>
      </w:r>
      <w:r>
        <w:rPr>
          <w:rFonts w:ascii="Georgia" w:cs="Georgia" w:eastAsia="Georgia" w:hAnsi="Georgia"/>
          <w:b/>
          <w:bCs/>
          <w:i w:val="false"/>
          <w:iCs w:val="false"/>
          <w:caps w:val="false"/>
          <w:color w:val="1A1A1A"/>
          <w:sz w:val="22"/>
          <w:szCs w:val="22"/>
        </w:rPr>
        <w:t xml:space="preserve">white</w:t>
      </w:r>
      <w:r>
        <w:rPr>
          <w:rFonts w:ascii="Georgia" w:cs="Georgia" w:eastAsia="Georgia" w:hAnsi="Georgia"/>
          <w:color w:val="1A1A1A"/>
          <w:sz w:val="22"/>
          <w:szCs w:val="22"/>
        </w:rPr>
        <w:t xml:space="preserve"> for </w:t>
      </w:r>
      <w:r>
        <w:rPr>
          <w:rFonts w:ascii="Georgia" w:cs="Georgia" w:eastAsia="Georgia" w:hAnsi="Georgia"/>
          <w:b w:val="false"/>
          <w:bCs w:val="false"/>
          <w:i/>
          <w:iCs/>
          <w:caps w:val="false"/>
          <w:color w:val="1A1A1A"/>
          <w:sz w:val="22"/>
          <w:szCs w:val="22"/>
        </w:rPr>
        <w:t xml:space="preserve">cebo</w:t>
      </w:r>
      <w:r>
        <w:rPr>
          <w:rFonts w:ascii="Georgia" w:cs="Georgia" w:eastAsia="Georgia" w:hAnsi="Georgia"/>
          <w:color w:val="1A1A1A"/>
          <w:sz w:val="22"/>
          <w:szCs w:val="22"/>
        </w:rPr>
        <w:t xml:space="preserve"> (conventionally fed).</w:t>
      </w:r>
      <w:r>
        <w:rPr>
          <w:rStyle w:val="FootnoteReference"/>
        </w:rPr>
        <w:footnoteReference w:id="126"/>
      </w:r>
      <w:r>
        <w:rPr>
          <w:rFonts w:ascii="Georgia" w:cs="Georgia" w:eastAsia="Georgia" w:hAnsi="Georgia"/>
          <w:color w:val="1A1A1A"/>
          <w:sz w:val="22"/>
          <w:szCs w:val="22"/>
        </w:rPr>
        <w:t xml:space="preserve"> The seal lets a buyer verify, at a glance, the two variables that most determine quality in Iberian pork—what the animal ate and how pure its lineage—rather than relying on the marketing term “Ibérico” alone.</w:t>
      </w:r>
    </w:p>
    <w:p>
      <w:pPr>
        <w:pStyle w:val="Heading2"/>
        <w:spacing w:after="140" w:before="280"/>
      </w:pPr>
      <w:r>
        <w:rPr>
          <w:rFonts w:ascii="Georgia" w:cs="Georgia" w:eastAsia="Georgia" w:hAnsi="Georgia"/>
          <w:b/>
          <w:bCs/>
          <w:i w:val="false"/>
          <w:iCs w:val="false"/>
          <w:caps w:val="false"/>
          <w:color w:val="1A1A1A"/>
          <w:sz w:val="22"/>
          <w:szCs w:val="22"/>
        </w:rPr>
        <w:t xml:space="preserve">13.3 French poultry: AOC and Label Rouge</w:t>
      </w:r>
    </w:p>
    <w:p>
      <w:pPr>
        <w:spacing w:after="160" w:before="0" w:line="300"/>
        <w:jc w:val="both"/>
      </w:pPr>
      <w:r>
        <w:rPr>
          <w:rFonts w:ascii="Georgia" w:cs="Georgia" w:eastAsia="Georgia" w:hAnsi="Georgia"/>
          <w:color w:val="1A1A1A"/>
          <w:sz w:val="22"/>
          <w:szCs w:val="22"/>
        </w:rPr>
        <w:t xml:space="preserve">France protects poultry quality through two instruments. The Appellation d'Origine Contrôlée, familiar from wine, applies to exactly one chicken—the </w:t>
      </w:r>
      <w:r>
        <w:rPr>
          <w:rFonts w:ascii="Georgia" w:cs="Georgia" w:eastAsia="Georgia" w:hAnsi="Georgia"/>
          <w:b w:val="false"/>
          <w:bCs w:val="false"/>
          <w:i/>
          <w:iCs/>
          <w:caps w:val="false"/>
          <w:color w:val="1A1A1A"/>
          <w:sz w:val="22"/>
          <w:szCs w:val="22"/>
        </w:rPr>
        <w:t xml:space="preserve">Poulet de Bresse</w:t>
      </w:r>
      <w:r>
        <w:rPr>
          <w:rFonts w:ascii="Georgia" w:cs="Georgia" w:eastAsia="Georgia" w:hAnsi="Georgia"/>
          <w:color w:val="1A1A1A"/>
          <w:sz w:val="22"/>
          <w:szCs w:val="22"/>
        </w:rPr>
        <w:t xml:space="preserve">—binding it to a defined geography and husbandry.</w:t>
      </w:r>
      <w:r>
        <w:rPr>
          <w:rStyle w:val="FootnoteReference"/>
        </w:rPr>
        <w:footnoteReference w:id="127"/>
      </w:r>
      <w:r>
        <w:rPr>
          <w:rFonts w:ascii="Georgia" w:cs="Georgia" w:eastAsia="Georgia" w:hAnsi="Georgia"/>
          <w:color w:val="1A1A1A"/>
          <w:sz w:val="22"/>
          <w:szCs w:val="22"/>
        </w:rPr>
        <w:t xml:space="preserve"> The broader Label Rouge certification guarantees free-range rearing, a minimum age of eighty-one days, and demonstrable sensory superiority verified by tasting panels.</w:t>
      </w:r>
      <w:r>
        <w:rPr>
          <w:rStyle w:val="FootnoteReference"/>
        </w:rPr>
        <w:footnoteReference w:id="128"/>
      </w:r>
      <w:r>
        <w:rPr>
          <w:rFonts w:ascii="Georgia" w:cs="Georgia" w:eastAsia="Georgia" w:hAnsi="Georgia"/>
          <w:color w:val="1A1A1A"/>
          <w:sz w:val="22"/>
          <w:szCs w:val="22"/>
        </w:rPr>
        <w:t xml:space="preserve"> Both convert “better chicken” from a claim into an audited standard, and both encode the same causal insight developed in Section 12.3: quality in poultry is bought with time, space, and breed.</w:t>
      </w:r>
    </w:p>
    <w:p>
      <w:pPr>
        <w:pStyle w:val="Heading2"/>
        <w:spacing w:after="140" w:before="280"/>
      </w:pPr>
      <w:r>
        <w:rPr>
          <w:rFonts w:ascii="Georgia" w:cs="Georgia" w:eastAsia="Georgia" w:hAnsi="Georgia"/>
          <w:b/>
          <w:bCs/>
          <w:i w:val="false"/>
          <w:iCs w:val="false"/>
          <w:caps w:val="false"/>
          <w:color w:val="1A1A1A"/>
          <w:sz w:val="22"/>
          <w:szCs w:val="22"/>
        </w:rPr>
        <w:t xml:space="preserve">13.4 Sustainable-seafood certifications</w:t>
      </w:r>
    </w:p>
    <w:p>
      <w:pPr>
        <w:spacing w:after="160" w:before="0" w:line="300"/>
        <w:jc w:val="both"/>
      </w:pPr>
      <w:r>
        <w:rPr>
          <w:rFonts w:ascii="Georgia" w:cs="Georgia" w:eastAsia="Georgia" w:hAnsi="Georgia"/>
          <w:color w:val="1A1A1A"/>
          <w:sz w:val="22"/>
          <w:szCs w:val="22"/>
        </w:rPr>
        <w:t xml:space="preserve">Seafood quality carries an ethical dimension absent from terrestrial grading, and three programs dominate the landscape. The Monterey Bay Aquarium's </w:t>
      </w:r>
      <w:r>
        <w:rPr>
          <w:rFonts w:ascii="Georgia" w:cs="Georgia" w:eastAsia="Georgia" w:hAnsi="Georgia"/>
          <w:b w:val="false"/>
          <w:bCs w:val="false"/>
          <w:i/>
          <w:iCs/>
          <w:caps w:val="false"/>
          <w:color w:val="1A1A1A"/>
          <w:sz w:val="22"/>
          <w:szCs w:val="22"/>
        </w:rPr>
        <w:t xml:space="preserve">Seafood Watch</w:t>
      </w:r>
      <w:r>
        <w:rPr>
          <w:rFonts w:ascii="Georgia" w:cs="Georgia" w:eastAsia="Georgia" w:hAnsi="Georgia"/>
          <w:color w:val="1A1A1A"/>
          <w:sz w:val="22"/>
          <w:szCs w:val="22"/>
        </w:rPr>
        <w:t xml:space="preserve"> rates species and sources as Best Choice, Good Alternative, or Avoid, integrating stock health, bycatch, and habitat impact.</w:t>
      </w:r>
      <w:r>
        <w:rPr>
          <w:rStyle w:val="FootnoteReference"/>
        </w:rPr>
        <w:footnoteReference w:id="129"/>
      </w:r>
      <w:r>
        <w:rPr>
          <w:rFonts w:ascii="Georgia" w:cs="Georgia" w:eastAsia="Georgia" w:hAnsi="Georgia"/>
          <w:color w:val="1A1A1A"/>
          <w:sz w:val="22"/>
          <w:szCs w:val="22"/>
        </w:rPr>
        <w:t xml:space="preserve"> The </w:t>
      </w:r>
      <w:r>
        <w:rPr>
          <w:rFonts w:ascii="Georgia" w:cs="Georgia" w:eastAsia="Georgia" w:hAnsi="Georgia"/>
          <w:b w:val="false"/>
          <w:bCs w:val="false"/>
          <w:i/>
          <w:iCs/>
          <w:caps w:val="false"/>
          <w:color w:val="1A1A1A"/>
          <w:sz w:val="22"/>
          <w:szCs w:val="22"/>
        </w:rPr>
        <w:t xml:space="preserve">Marine Stewardship Council</w:t>
      </w:r>
      <w:r>
        <w:rPr>
          <w:rFonts w:ascii="Georgia" w:cs="Georgia" w:eastAsia="Georgia" w:hAnsi="Georgia"/>
          <w:color w:val="1A1A1A"/>
          <w:sz w:val="22"/>
          <w:szCs w:val="22"/>
        </w:rPr>
        <w:t xml:space="preserve"> (MSC) certifies wild-capture fisheries against a sustainability standard and licenses its blue ecolabel;</w:t>
      </w:r>
      <w:r>
        <w:rPr>
          <w:rStyle w:val="FootnoteReference"/>
        </w:rPr>
        <w:footnoteReference w:id="130"/>
      </w:r>
      <w:r>
        <w:rPr>
          <w:rFonts w:ascii="Georgia" w:cs="Georgia" w:eastAsia="Georgia" w:hAnsi="Georgia"/>
          <w:color w:val="1A1A1A"/>
          <w:sz w:val="22"/>
          <w:szCs w:val="22"/>
        </w:rPr>
        <w:t xml:space="preserve"> the </w:t>
      </w:r>
      <w:r>
        <w:rPr>
          <w:rFonts w:ascii="Georgia" w:cs="Georgia" w:eastAsia="Georgia" w:hAnsi="Georgia"/>
          <w:b w:val="false"/>
          <w:bCs w:val="false"/>
          <w:i/>
          <w:iCs/>
          <w:caps w:val="false"/>
          <w:color w:val="1A1A1A"/>
          <w:sz w:val="22"/>
          <w:szCs w:val="22"/>
        </w:rPr>
        <w:t xml:space="preserve">Aquaculture Stewardship Council</w:t>
      </w:r>
      <w:r>
        <w:rPr>
          <w:rFonts w:ascii="Georgia" w:cs="Georgia" w:eastAsia="Georgia" w:hAnsi="Georgia"/>
          <w:color w:val="1A1A1A"/>
          <w:sz w:val="22"/>
          <w:szCs w:val="22"/>
        </w:rPr>
        <w:t xml:space="preserve"> (ASC) performs the analogous function for farmed seafood.</w:t>
      </w:r>
      <w:r>
        <w:rPr>
          <w:rStyle w:val="FootnoteReference"/>
        </w:rPr>
        <w:footnoteReference w:id="131"/>
      </w:r>
      <w:r>
        <w:rPr>
          <w:rFonts w:ascii="Georgia" w:cs="Georgia" w:eastAsia="Georgia" w:hAnsi="Georgia"/>
          <w:color w:val="1A1A1A"/>
          <w:sz w:val="22"/>
          <w:szCs w:val="22"/>
        </w:rPr>
        <w:t xml:space="preserve"> For the buyer, these labels function as quality instruments in a double sense: they track not only environmental responsibility but, frequently, the handling and provenance that correlate with eating quality—wild Alaskan salmon, MSC-certified and rated Best Choice, being the paradigm case.</w:t>
      </w:r>
      <w:r>
        <w:rPr>
          <w:rStyle w:val="FootnoteReference"/>
        </w:rPr>
        <w:footnoteReference w:id="132"/>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rPr>
          <w:tblHeader/>
        </w:trPr>
        <w:tc>
          <w:tcPr>
            <w:tcW w:type="dxa" w:w="34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Program</w:t>
            </w:r>
          </w:p>
        </w:tc>
        <w:tc>
          <w:tcPr>
            <w:tcW w:type="dxa" w:w="316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Domain</w:t>
            </w:r>
          </w:p>
        </w:tc>
        <w:tc>
          <w:tcPr>
            <w:tcW w:type="dxa" w:w="2800"/>
            <w:tcBorders>
              <w:top w:val="single" w:color="C9CFc4" w:sz="1"/>
              <w:left w:val="single" w:color="C9CFc4" w:sz="1"/>
              <w:bottom w:val="single" w:color="C9CFc4" w:sz="1"/>
              <w:right w:val="single" w:color="C9CFc4" w:sz="1"/>
            </w:tcBorders>
            <w:shd w:fill="234A35" w:val="clear"/>
            <w:tcMar>
              <w:top w:type="dxa" w:w="70"/>
              <w:left w:type="dxa" w:w="110"/>
              <w:bottom w:type="dxa" w:w="70"/>
              <w:right w:type="dxa" w:w="110"/>
            </w:tcMar>
            <w:vAlign w:val="center"/>
          </w:tcPr>
          <w:p>
            <w:pPr>
              <w:spacing w:after="0" w:line="270"/>
              <w:jc w:val="left"/>
            </w:pPr>
            <w:r>
              <w:rPr>
                <w:rFonts w:ascii="Arial" w:cs="Arial" w:eastAsia="Arial" w:hAnsi="Arial"/>
                <w:b/>
                <w:bCs/>
                <w:color w:val="FFFFFF"/>
                <w:sz w:val="18"/>
                <w:szCs w:val="18"/>
              </w:rPr>
              <w:t xml:space="preserve">Signal</w:t>
            </w:r>
          </w:p>
        </w:tc>
      </w:tr>
      <w:tr>
        <w:trPr>
          <w:tblHeader w:val="false"/>
        </w:trPr>
        <w:tc>
          <w:tcPr>
            <w:tcW w:type="dxa" w:w="34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Seafood Watch</w:t>
            </w:r>
          </w:p>
        </w:tc>
        <w:tc>
          <w:tcPr>
            <w:tcW w:type="dxa" w:w="3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Wild &amp; farmed</w:t>
            </w:r>
          </w:p>
        </w:tc>
        <w:tc>
          <w:tcPr>
            <w:tcW w:type="dxa" w:w="28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Best Choice / Good Alternative / Avoid</w:t>
            </w:r>
          </w:p>
        </w:tc>
      </w:tr>
      <w:tr>
        <w:trPr>
          <w:tblHeader w:val="false"/>
        </w:trPr>
        <w:tc>
          <w:tcPr>
            <w:tcW w:type="dxa" w:w="34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Marine Stewardship Council (MSC)</w:t>
            </w:r>
          </w:p>
        </w:tc>
        <w:tc>
          <w:tcPr>
            <w:tcW w:type="dxa" w:w="316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Wild-capture fisheries</w:t>
            </w:r>
          </w:p>
        </w:tc>
        <w:tc>
          <w:tcPr>
            <w:tcW w:type="dxa" w:w="2800"/>
            <w:tcBorders>
              <w:top w:val="single" w:color="C9CFc4" w:sz="1"/>
              <w:left w:val="single" w:color="C9CFc4" w:sz="1"/>
              <w:bottom w:val="single" w:color="C9CFc4" w:sz="1"/>
              <w:right w:val="single" w:color="C9CFc4" w:sz="1"/>
            </w:tcBorders>
            <w:shd w:fill="F6F1EA"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Blue ecolabel = certified sustainable</w:t>
            </w:r>
          </w:p>
        </w:tc>
      </w:tr>
      <w:tr>
        <w:trPr>
          <w:tblHeader w:val="false"/>
        </w:trPr>
        <w:tc>
          <w:tcPr>
            <w:tcW w:type="dxa" w:w="34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Aquaculture Stewardship Council (ASC)</w:t>
            </w:r>
          </w:p>
        </w:tc>
        <w:tc>
          <w:tcPr>
            <w:tcW w:type="dxa" w:w="316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Farmed seafood</w:t>
            </w:r>
          </w:p>
        </w:tc>
        <w:tc>
          <w:tcPr>
            <w:tcW w:type="dxa" w:w="2800"/>
            <w:tcBorders>
              <w:top w:val="single" w:color="C9CFc4" w:sz="1"/>
              <w:left w:val="single" w:color="C9CFc4" w:sz="1"/>
              <w:bottom w:val="single" w:color="C9CFc4" w:sz="1"/>
              <w:right w:val="single" w:color="C9CFc4" w:sz="1"/>
            </w:tcBorders>
            <w:shd w:fill="FFFFFF" w:val="clear"/>
            <w:tcMar>
              <w:top w:type="dxa" w:w="70"/>
              <w:left w:type="dxa" w:w="110"/>
              <w:bottom w:type="dxa" w:w="70"/>
              <w:right w:type="dxa" w:w="110"/>
            </w:tcMar>
            <w:vAlign w:val="center"/>
          </w:tcPr>
          <w:p>
            <w:pPr>
              <w:spacing w:after="0" w:line="270"/>
              <w:jc w:val="left"/>
            </w:pPr>
            <w:r>
              <w:rPr>
                <w:rFonts w:ascii="Georgia" w:cs="Georgia" w:eastAsia="Georgia" w:hAnsi="Georgia"/>
                <w:b w:val="false"/>
                <w:bCs w:val="false"/>
                <w:color w:val="1A1A1A"/>
                <w:sz w:val="20"/>
                <w:szCs w:val="20"/>
              </w:rPr>
              <w:t xml:space="preserve">Responsible-aquaculture certification</w:t>
            </w:r>
          </w:p>
        </w:tc>
      </w:tr>
    </w:tbl>
    <w:p>
      <w:pPr>
        <w:spacing w:after="200" w:before="60"/>
      </w:pPr>
      <w:r>
        <w:rPr>
          <w:rFonts w:ascii="Georgia" w:cs="Georgia" w:eastAsia="Georgia" w:hAnsi="Georgia"/>
          <w:b w:val="false"/>
          <w:bCs w:val="false"/>
          <w:i/>
          <w:iCs/>
          <w:caps w:val="false"/>
          <w:color w:val="5B5B52"/>
          <w:sz w:val="18"/>
          <w:szCs w:val="18"/>
        </w:rPr>
        <w:t xml:space="preserve">The three dominant seafood-sustainability instruments; wild Alaskan salmon (MSC-certified, Seafood Watch Best Choice) is the paradigm of ratings tracking both ethics and eating quality.</w:t>
      </w:r>
    </w:p>
    <w:p>
      <w:r>
        <w:br w:type="page"/>
      </w:r>
    </w:p>
    <w:p>
      <w:pPr>
        <w:pStyle w:val="Heading1"/>
        <w:spacing w:after="200" w:before="360"/>
      </w:pPr>
      <w:bookmarkStart w:name="seafoodsci" w:id="1014"/>
      <w:r>
        <w:rPr>
          <w:rFonts w:ascii="Georgia" w:cs="Georgia" w:eastAsia="Georgia" w:hAnsi="Georgia"/>
          <w:b/>
          <w:bCs/>
          <w:i w:val="false"/>
          <w:iCs w:val="false"/>
          <w:caps w:val="false"/>
          <w:color w:val="1A1A1A"/>
          <w:sz w:val="22"/>
          <w:szCs w:val="22"/>
        </w:rPr>
        <w:t xml:space="preserve">14. The Science of Seafood: Composition, Wild Versus Farmed, and the Landlocked Kitchen</w:t>
      </w:r>
      <w:bookmarkEnd w:id="1014"/>
    </w:p>
    <w:p>
      <w:pPr>
        <w:spacing w:after="160" w:before="0" w:line="300"/>
        <w:jc w:val="both"/>
      </w:pPr>
      <w:r>
        <w:rPr>
          <w:rFonts w:ascii="Georgia" w:cs="Georgia" w:eastAsia="Georgia" w:hAnsi="Georgia"/>
          <w:color w:val="1A1A1A"/>
          <w:sz w:val="22"/>
          <w:szCs w:val="22"/>
        </w:rPr>
        <w:t xml:space="preserve">Seafood receives its own section because it differs from terrestrial meat in ways that matter both nutritionally and technically, and because the Northwest Arkansas setting poses a specific challenge: the region has no fresh local ocean fishery, so nearly all quality seafood must be sourced from a distance. This section develops the science that makes such sourcing rational rather than intimidating.</w:t>
      </w:r>
    </w:p>
    <w:p>
      <w:pPr>
        <w:pStyle w:val="Heading2"/>
        <w:spacing w:after="140" w:before="280"/>
      </w:pPr>
      <w:r>
        <w:rPr>
          <w:rFonts w:ascii="Georgia" w:cs="Georgia" w:eastAsia="Georgia" w:hAnsi="Georgia"/>
          <w:b/>
          <w:bCs/>
          <w:i w:val="false"/>
          <w:iCs w:val="false"/>
          <w:caps w:val="false"/>
          <w:color w:val="1A1A1A"/>
          <w:sz w:val="22"/>
          <w:szCs w:val="22"/>
        </w:rPr>
        <w:t xml:space="preserve">14.1 Why fish cooks differently: connective tissue and fat</w:t>
      </w:r>
    </w:p>
    <w:p>
      <w:pPr>
        <w:spacing w:after="160" w:before="0" w:line="300"/>
        <w:jc w:val="both"/>
      </w:pPr>
      <w:r>
        <w:rPr>
          <w:rFonts w:ascii="Georgia" w:cs="Georgia" w:eastAsia="Georgia" w:hAnsi="Georgia"/>
          <w:color w:val="1A1A1A"/>
          <w:sz w:val="22"/>
          <w:szCs w:val="22"/>
        </w:rPr>
        <w:t xml:space="preserve">Fish flesh is structurally unlike the flesh of land animals. Its muscle fibers are short, arranged in flakes (</w:t>
      </w:r>
      <w:r>
        <w:rPr>
          <w:rFonts w:ascii="Georgia" w:cs="Georgia" w:eastAsia="Georgia" w:hAnsi="Georgia"/>
          <w:b w:val="false"/>
          <w:bCs w:val="false"/>
          <w:i/>
          <w:iCs/>
          <w:caps w:val="false"/>
          <w:color w:val="1A1A1A"/>
          <w:sz w:val="22"/>
          <w:szCs w:val="22"/>
        </w:rPr>
        <w:t xml:space="preserve">myotomes</w:t>
      </w:r>
      <w:r>
        <w:rPr>
          <w:rFonts w:ascii="Georgia" w:cs="Georgia" w:eastAsia="Georgia" w:hAnsi="Georgia"/>
          <w:color w:val="1A1A1A"/>
          <w:sz w:val="22"/>
          <w:szCs w:val="22"/>
        </w:rPr>
        <w:t xml:space="preserve">) separated by very thin sheets of connective tissue, and that connective tissue is far richer in the readily soluble collagen that gelatinizes at low temperature. The practical consequence is that fish requires little heat to become tender and passes quickly from moist to dry: the window between undercooked and overcooked is narrow, and the target internal temperatures are correspondingly lower than for meat. Lean species—cod, halibut, most white fish—have almost no intramuscular fat to buffer overcooking, which is why they turn dry and rubbery so abruptly, while fatty species—salmon, in particular—are more forgiving and benefit from being pulled while the center is still translucent.</w:t>
      </w:r>
    </w:p>
    <w:p>
      <w:pPr>
        <w:pStyle w:val="Heading2"/>
        <w:spacing w:after="140" w:before="280"/>
      </w:pPr>
      <w:r>
        <w:rPr>
          <w:rFonts w:ascii="Georgia" w:cs="Georgia" w:eastAsia="Georgia" w:hAnsi="Georgia"/>
          <w:b/>
          <w:bCs/>
          <w:i w:val="false"/>
          <w:iCs w:val="false"/>
          <w:caps w:val="false"/>
          <w:color w:val="1A1A1A"/>
          <w:sz w:val="22"/>
          <w:szCs w:val="22"/>
        </w:rPr>
        <w:t xml:space="preserve">14.2 The omega-3 story and the nutritional case for fish</w:t>
      </w:r>
    </w:p>
    <w:p>
      <w:pPr>
        <w:spacing w:after="160" w:before="0" w:line="300"/>
        <w:jc w:val="both"/>
      </w:pPr>
      <w:r>
        <w:rPr>
          <w:rFonts w:ascii="Georgia" w:cs="Georgia" w:eastAsia="Georgia" w:hAnsi="Georgia"/>
          <w:color w:val="1A1A1A"/>
          <w:sz w:val="22"/>
          <w:szCs w:val="22"/>
        </w:rPr>
        <w:t xml:space="preserve">The distinctive nutritional value of fish lies in its long-chain omega-3 fatty acids, eicosapentaenoic acid (EPA) and docosahexaenoic acid (DHA), which terrestrial foods supply poorly and which carry well-documented cardiovascular and neurological benefits. Content varies markedly by species and, importantly, by wild-versus-farmed status: fatty cold-water species such as salmon, sablefish, and mackerel are the richest sources, and the omega-3 concentration of a given fillet reflects both its species and its diet.</w:t>
      </w:r>
      <w:r>
        <w:rPr>
          <w:rStyle w:val="FootnoteReference"/>
        </w:rPr>
        <w:footnoteReference w:id="133"/>
      </w:r>
      <w:r>
        <w:rPr>
          <w:rFonts w:ascii="Georgia" w:cs="Georgia" w:eastAsia="Georgia" w:hAnsi="Georgia"/>
          <w:color w:val="1A1A1A"/>
          <w:sz w:val="22"/>
          <w:szCs w:val="22"/>
        </w:rPr>
        <w:t xml:space="preserve"> This places fish alongside eggs, ruminant meat, and leafy greens among the nutrient-dense anchors of the diet developed in Sections 7 and 8, contributing a fatty-acid profile the others cannot.</w:t>
      </w:r>
    </w:p>
    <w:p>
      <w:pPr>
        <w:pStyle w:val="Heading2"/>
        <w:spacing w:after="140" w:before="280"/>
      </w:pPr>
      <w:r>
        <w:rPr>
          <w:rFonts w:ascii="Georgia" w:cs="Georgia" w:eastAsia="Georgia" w:hAnsi="Georgia"/>
          <w:b/>
          <w:bCs/>
          <w:i w:val="false"/>
          <w:iCs w:val="false"/>
          <w:caps w:val="false"/>
          <w:color w:val="1A1A1A"/>
          <w:sz w:val="22"/>
          <w:szCs w:val="22"/>
        </w:rPr>
        <w:t xml:space="preserve">14.3 Wild versus farmed: a compositional and qualitative comparison</w:t>
      </w:r>
    </w:p>
    <w:p>
      <w:pPr>
        <w:spacing w:after="160" w:before="0" w:line="300"/>
        <w:jc w:val="both"/>
      </w:pPr>
      <w:r>
        <w:rPr>
          <w:rFonts w:ascii="Georgia" w:cs="Georgia" w:eastAsia="Georgia" w:hAnsi="Georgia"/>
          <w:color w:val="1A1A1A"/>
          <w:sz w:val="22"/>
          <w:szCs w:val="22"/>
        </w:rPr>
        <w:t xml:space="preserve">The wild-versus-farmed distinction is the seafood analogue of the grass-versus-grain question in beef (Section 9), and it resists a simple verdict. Wild fish is generally leaner, firmer, and more variable, with a flavor and fatty-acid profile shaped by a natural diet; farmed fish is typically fattier, milder, more uniform, and available year-round, with a composition shaped by formulated feed. Neither is categorically superior across all three of the study's objective functions. Wild Alaskan salmon is both a sustainability Best Choice and a flavor benchmark;</w:t>
      </w:r>
      <w:r>
        <w:rPr>
          <w:rStyle w:val="FootnoteReference"/>
        </w:rPr>
        <w:footnoteReference w:id="134"/>
      </w:r>
      <w:r>
        <w:rPr>
          <w:rFonts w:ascii="Georgia" w:cs="Georgia" w:eastAsia="Georgia" w:hAnsi="Georgia"/>
          <w:color w:val="1A1A1A"/>
          <w:sz w:val="22"/>
          <w:szCs w:val="22"/>
        </w:rPr>
        <w:t xml:space="preserve"> responsibly farmed salmon (ASC-certified) offers consistency, higher fat, and lower cost.</w:t>
      </w:r>
      <w:r>
        <w:rPr>
          <w:rStyle w:val="FootnoteReference"/>
        </w:rPr>
        <w:footnoteReference w:id="135"/>
      </w:r>
      <w:r>
        <w:rPr>
          <w:rFonts w:ascii="Georgia" w:cs="Georgia" w:eastAsia="Georgia" w:hAnsi="Georgia"/>
          <w:color w:val="1A1A1A"/>
          <w:sz w:val="22"/>
          <w:szCs w:val="22"/>
        </w:rPr>
        <w:t xml:space="preserve"> The buyer's task is to match the specific product to the specific use, using the certifications of Section 13 as a guide, rather than to seek a blanket rule.</w:t>
      </w:r>
    </w:p>
    <w:p>
      <w:pPr>
        <w:pStyle w:val="Heading2"/>
        <w:spacing w:after="140" w:before="280"/>
      </w:pPr>
      <w:r>
        <w:rPr>
          <w:rFonts w:ascii="Georgia" w:cs="Georgia" w:eastAsia="Georgia" w:hAnsi="Georgia"/>
          <w:b/>
          <w:bCs/>
          <w:i w:val="false"/>
          <w:iCs w:val="false"/>
          <w:caps w:val="false"/>
          <w:color w:val="1A1A1A"/>
          <w:sz w:val="22"/>
          <w:szCs w:val="22"/>
        </w:rPr>
        <w:t xml:space="preserve">14.4 Two technical distinctions that decide quality</w:t>
      </w:r>
    </w:p>
    <w:p>
      <w:pPr>
        <w:spacing w:after="160" w:before="0" w:line="300"/>
        <w:jc w:val="both"/>
      </w:pPr>
      <w:r>
        <w:rPr>
          <w:rFonts w:ascii="Georgia" w:cs="Georgia" w:eastAsia="Georgia" w:hAnsi="Georgia"/>
          <w:color w:val="1A1A1A"/>
          <w:sz w:val="22"/>
          <w:szCs w:val="22"/>
        </w:rPr>
        <w:t xml:space="preserve">Two product-level distinctions determine success more than any cooking technique. The first is the </w:t>
      </w:r>
      <w:r>
        <w:rPr>
          <w:rFonts w:ascii="Georgia" w:cs="Georgia" w:eastAsia="Georgia" w:hAnsi="Georgia"/>
          <w:b/>
          <w:bCs/>
          <w:i w:val="false"/>
          <w:iCs w:val="false"/>
          <w:caps w:val="false"/>
          <w:color w:val="1A1A1A"/>
          <w:sz w:val="22"/>
          <w:szCs w:val="22"/>
        </w:rPr>
        <w:t xml:space="preserve">“dry” versus “wet” scallop</w:t>
      </w:r>
      <w:r>
        <w:rPr>
          <w:rFonts w:ascii="Georgia" w:cs="Georgia" w:eastAsia="Georgia" w:hAnsi="Georgia"/>
          <w:color w:val="1A1A1A"/>
          <w:sz w:val="22"/>
          <w:szCs w:val="22"/>
        </w:rPr>
        <w:t xml:space="preserve"> distinction. “Wet” scallops are soaked in a sodium tripolyphosphate solution that causes them to absorb water; that water floods the pan during cooking, dropping the surface temperature below the threshold for browning and making a proper sear physically impossible, while also diluting flavor and inflating sold weight. “Dry” scallops, untreated, can be dried at the surface and seared to the deep golden crust the Maillard chemistry of Section 4 requires.</w:t>
      </w:r>
      <w:r>
        <w:rPr>
          <w:rStyle w:val="FootnoteReference"/>
        </w:rPr>
        <w:footnoteReference w:id="136"/>
      </w:r>
      <w:r>
        <w:rPr>
          <w:rFonts w:ascii="Georgia" w:cs="Georgia" w:eastAsia="Georgia" w:hAnsi="Georgia"/>
          <w:color w:val="1A1A1A"/>
          <w:sz w:val="22"/>
          <w:szCs w:val="22"/>
        </w:rPr>
        <w:t xml:space="preserve"> No home technique overcomes a wet scallop; the outcome is decided at purchase.</w:t>
      </w:r>
    </w:p>
    <w:p>
      <w:pPr>
        <w:spacing w:after="160" w:before="0" w:line="300"/>
        <w:jc w:val="both"/>
      </w:pPr>
      <w:r>
        <w:rPr>
          <w:rFonts w:ascii="Georgia" w:cs="Georgia" w:eastAsia="Georgia" w:hAnsi="Georgia"/>
          <w:color w:val="1A1A1A"/>
          <w:sz w:val="22"/>
          <w:szCs w:val="22"/>
        </w:rPr>
        <w:t xml:space="preserve">The second is the meaning of </w:t>
      </w:r>
      <w:r>
        <w:rPr>
          <w:rFonts w:ascii="Georgia" w:cs="Georgia" w:eastAsia="Georgia" w:hAnsi="Georgia"/>
          <w:b/>
          <w:bCs/>
          <w:i w:val="false"/>
          <w:iCs w:val="false"/>
          <w:caps w:val="false"/>
          <w:color w:val="1A1A1A"/>
          <w:sz w:val="22"/>
          <w:szCs w:val="22"/>
        </w:rPr>
        <w:t xml:space="preserve">“sushi” or “sashimi grade”</w:t>
      </w:r>
      <w:r>
        <w:rPr>
          <w:rFonts w:ascii="Georgia" w:cs="Georgia" w:eastAsia="Georgia" w:hAnsi="Georgia"/>
          <w:color w:val="1A1A1A"/>
          <w:sz w:val="22"/>
          <w:szCs w:val="22"/>
        </w:rPr>
        <w:t xml:space="preserve"> for fish eaten raw or seared rare. The term is not a formal grade but a proxy for handling and, critically, for the parasite-destruction freezing that FDA guidance specifies for fish intended for raw consumption—freezing at defined low temperatures for defined durations.</w:t>
      </w:r>
      <w:r>
        <w:rPr>
          <w:rStyle w:val="FootnoteReference"/>
        </w:rPr>
        <w:footnoteReference w:id="137"/>
      </w:r>
      <w:r>
        <w:rPr>
          <w:rFonts w:ascii="Georgia" w:cs="Georgia" w:eastAsia="Georgia" w:hAnsi="Georgia"/>
          <w:color w:val="1A1A1A"/>
          <w:sz w:val="22"/>
          <w:szCs w:val="22"/>
        </w:rPr>
        <w:t xml:space="preserve"> For the seared-ahi and tataki preparations in the companion guide, sourcing genuinely sashimi-grade fish from a specialist is therefore a food-safety requirement, not merely a quality preference.</w:t>
      </w:r>
    </w:p>
    <w:p>
      <w:pPr>
        <w:pStyle w:val="Heading2"/>
        <w:spacing w:after="140" w:before="280"/>
      </w:pPr>
      <w:r>
        <w:rPr>
          <w:rFonts w:ascii="Georgia" w:cs="Georgia" w:eastAsia="Georgia" w:hAnsi="Georgia"/>
          <w:b/>
          <w:bCs/>
          <w:i w:val="false"/>
          <w:iCs w:val="false"/>
          <w:caps w:val="false"/>
          <w:color w:val="1A1A1A"/>
          <w:sz w:val="22"/>
          <w:szCs w:val="22"/>
        </w:rPr>
        <w:t xml:space="preserve">14.5 The frozen truth and the landlocked buyer</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For an inland kitchen, correctly frozen is usually superior to nominally fresh. </w:t>
            </w:r>
            <w:r>
              <w:rPr>
                <w:rFonts w:ascii="Georgia" w:cs="Georgia" w:eastAsia="Georgia" w:hAnsi="Georgia"/>
                <w:color w:val="1A1A1A"/>
                <w:sz w:val="22"/>
                <w:szCs w:val="22"/>
              </w:rPr>
              <w:t xml:space="preserve">Fish flash-frozen at sea or immediately after harvest is arrested at peak quality; the “fresh” fish at an inland counter has typically spent days in transit and was, in many cases, previously frozen and thawed for display. The buyer in Northwest Arkansas is thus not settling for second-best by purchasing flash-frozen seafood from a reputable shipper—often the opposite. This inverts the intuitive hierarchy of fresh over frozen and is the single most liberating fact for a landlocked cook who wants excellent fish.</w:t>
            </w:r>
          </w:p>
        </w:tc>
      </w:tr>
    </w:tbl>
    <w:p>
      <w:pPr>
        <w:spacing w:after="160" w:before="0" w:line="300"/>
        <w:jc w:val="both"/>
      </w:pPr>
      <w:r>
        <w:rPr>
          <w:rFonts w:ascii="Georgia" w:cs="Georgia" w:eastAsia="Georgia" w:hAnsi="Georgia"/>
          <w:color w:val="1A1A1A"/>
          <w:sz w:val="22"/>
          <w:szCs w:val="22"/>
        </w:rPr>
        <w:t xml:space="preserve">The economic corollary, developed next, is that direct-shipped seafood—by subscription, by community-supported fishery, or by the pound from a wholesale market—frequently delivers better quality per dollar than the limited inland retail alternative, precisely because it removes intermediaries and preserves the cold chain from catch to door.</w:t>
      </w:r>
    </w:p>
    <w:p>
      <w:r>
        <w:br w:type="page"/>
      </w:r>
    </w:p>
    <w:p>
      <w:pPr>
        <w:pStyle w:val="Heading1"/>
        <w:spacing w:after="200" w:before="360"/>
      </w:pPr>
      <w:bookmarkStart w:name="economics2" w:id="1015"/>
      <w:r>
        <w:rPr>
          <w:rFonts w:ascii="Georgia" w:cs="Georgia" w:eastAsia="Georgia" w:hAnsi="Georgia"/>
          <w:b/>
          <w:bCs/>
          <w:i w:val="false"/>
          <w:iCs w:val="false"/>
          <w:caps w:val="false"/>
          <w:color w:val="1A1A1A"/>
          <w:sz w:val="22"/>
          <w:szCs w:val="22"/>
        </w:rPr>
        <w:t xml:space="preserve">15. The Economics of Sourcing: Local, Direct, and Mail-Order Against the Supermarket</w:t>
      </w:r>
      <w:bookmarkEnd w:id="1015"/>
    </w:p>
    <w:p>
      <w:pPr>
        <w:spacing w:after="160" w:before="0" w:line="300"/>
        <w:jc w:val="both"/>
      </w:pPr>
      <w:r>
        <w:rPr>
          <w:rFonts w:ascii="Georgia" w:cs="Georgia" w:eastAsia="Georgia" w:hAnsi="Georgia"/>
          <w:color w:val="1A1A1A"/>
          <w:sz w:val="22"/>
          <w:szCs w:val="22"/>
        </w:rPr>
        <w:t xml:space="preserve">The third of the study's objective functions—economic cost—deserves its own treatment, because the intuition that premium quality always means premium price is frequently wrong. This section sets out the conditions under which sourcing better food also costs less, and the conditions under which a premium is real but justified.</w:t>
      </w:r>
    </w:p>
    <w:p>
      <w:pPr>
        <w:pStyle w:val="Heading2"/>
        <w:spacing w:after="140" w:before="280"/>
      </w:pPr>
      <w:r>
        <w:rPr>
          <w:rFonts w:ascii="Georgia" w:cs="Georgia" w:eastAsia="Georgia" w:hAnsi="Georgia"/>
          <w:b/>
          <w:bCs/>
          <w:i w:val="false"/>
          <w:iCs w:val="false"/>
          <w:caps w:val="false"/>
          <w:color w:val="1A1A1A"/>
          <w:sz w:val="22"/>
          <w:szCs w:val="22"/>
        </w:rPr>
        <w:t xml:space="preserve">15.1 When better is also cheaper: whole-animal and direct purchasing</w:t>
      </w:r>
    </w:p>
    <w:p>
      <w:pPr>
        <w:spacing w:after="160" w:before="0" w:line="300"/>
        <w:jc w:val="both"/>
      </w:pPr>
      <w:r>
        <w:rPr>
          <w:rFonts w:ascii="Georgia" w:cs="Georgia" w:eastAsia="Georgia" w:hAnsi="Georgia"/>
          <w:color w:val="1A1A1A"/>
          <w:sz w:val="22"/>
          <w:szCs w:val="22"/>
        </w:rPr>
        <w:t xml:space="preserve">The clearest case in which quality and economy align is bulk, whole-animal, and direct-from-producer purchasing. Buying a quarter, half, or whole animal from a local grass-finishing operation—or a whole-hog share from a heritage-breed farm—typically yields a per-pound cost below that of comparable-quality retail, and often below commodity retail, in exchange for freezer space and a larger upfront outlay. The mechanism is the removal of the retail markup and the distribution of premium and everyday cuts across a single purchase. The companion guide documents the Northwest Arkansas operations—grass-finished beef by the quarter, pastured pork and poultry by home delivery—through which this economy is available locally.</w:t>
      </w:r>
    </w:p>
    <w:p>
      <w:pPr>
        <w:pStyle w:val="Heading2"/>
        <w:spacing w:after="140" w:before="280"/>
      </w:pPr>
      <w:r>
        <w:rPr>
          <w:rFonts w:ascii="Georgia" w:cs="Georgia" w:eastAsia="Georgia" w:hAnsi="Georgia"/>
          <w:b/>
          <w:bCs/>
          <w:i w:val="false"/>
          <w:iCs w:val="false"/>
          <w:caps w:val="false"/>
          <w:color w:val="1A1A1A"/>
          <w:sz w:val="22"/>
          <w:szCs w:val="22"/>
        </w:rPr>
        <w:t xml:space="preserve">15.2 The mail-order calculus</w:t>
      </w:r>
    </w:p>
    <w:p>
      <w:pPr>
        <w:spacing w:after="160" w:before="0" w:line="300"/>
        <w:jc w:val="both"/>
      </w:pPr>
      <w:r>
        <w:rPr>
          <w:rFonts w:ascii="Georgia" w:cs="Georgia" w:eastAsia="Georgia" w:hAnsi="Georgia"/>
          <w:color w:val="1A1A1A"/>
          <w:sz w:val="22"/>
          <w:szCs w:val="22"/>
        </w:rPr>
        <w:t xml:space="preserve">For products the region cannot supply, national mail-order purveyors occupy a spectrum from genuine value to justified luxury. At the value end sit subscription and community-supported-fishery models for wild seafood, and by-the-pound frozen programs, whose per-portion cost is frequently at or below premium-grocery pricing for demonstrably higher quality and traceability—a direct consequence of the cold-chain and disintermediation logic of Section 14.5. In the middle sit heritage pork, American Wagyu, and pasture poultry, priced above commodity retail but competitive with premium retail for superior genetics and husbandry. At the luxury end sit Japanese A5, genuine sashimi-grade bluefin, and Alaskan king crab—honestly, splurges rather than value buys, though even these typically undercut restaurant markups, which commonly multiply wholesale cost several-fold.</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8C4A2F"/>
                <w:sz w:val="22"/>
                <w:szCs w:val="22"/>
              </w:rPr>
              <w:t xml:space="preserve">The honest rule the companion guide applies. </w:t>
            </w:r>
            <w:r>
              <w:rPr>
                <w:rFonts w:ascii="Georgia" w:cs="Georgia" w:eastAsia="Georgia" w:hAnsi="Georgia"/>
                <w:color w:val="1A1A1A"/>
                <w:sz w:val="22"/>
                <w:szCs w:val="22"/>
              </w:rPr>
              <w:t xml:space="preserve">A mail-order source earns inclusion for an everyday food only where its quality-adjusted price plausibly beats a conventional supermarket's bulk offering; genuine luxuries are labeled as such rather than dressed up as savings. This keeps the guidance defensible: the reader is never told that a delicacy is a bargain, only that—delicacy or staple—it is the verified route to a specific quality the local market cannot provide.</w:t>
            </w:r>
          </w:p>
        </w:tc>
      </w:tr>
    </w:tbl>
    <w:p>
      <w:pPr>
        <w:pStyle w:val="Heading2"/>
        <w:spacing w:after="140" w:before="280"/>
      </w:pPr>
      <w:r>
        <w:rPr>
          <w:rFonts w:ascii="Georgia" w:cs="Georgia" w:eastAsia="Georgia" w:hAnsi="Georgia"/>
          <w:b/>
          <w:bCs/>
          <w:i w:val="false"/>
          <w:iCs w:val="false"/>
          <w:caps w:val="false"/>
          <w:color w:val="1A1A1A"/>
          <w:sz w:val="22"/>
          <w:szCs w:val="22"/>
        </w:rPr>
        <w:t xml:space="preserve">15.3 When local wins outright</w:t>
      </w:r>
    </w:p>
    <w:p>
      <w:pPr>
        <w:spacing w:after="160" w:before="0" w:line="300"/>
        <w:jc w:val="both"/>
      </w:pPr>
      <w:r>
        <w:rPr>
          <w:rFonts w:ascii="Georgia" w:cs="Georgia" w:eastAsia="Georgia" w:hAnsi="Georgia"/>
          <w:color w:val="1A1A1A"/>
          <w:sz w:val="22"/>
          <w:szCs w:val="22"/>
        </w:rPr>
        <w:t xml:space="preserve">For a large class of foods—most produce, eggs, and pasture-raised poultry—local sourcing is not a compromise between quality and cost but the winner on both. Peak-season produce bought at a downtown market is fresher, more flavorful, more nutrient-dense (Section 7), and usually cheaper than shipped equivalents, because it has neither traveled nor been bred for shipping durability over flavor. Eggs and pasture poultry from a nearby farm are fresher and support the shortest possible supply chain. The analytical point, developed across both documents, is that the right sourcing channel is food-specific: bulk-direct for meat, mail-order for what the region lacks, and local-seasonal for produce and eggs—each chosen because it, and not a blanket preference, optimizes the three objectives for that food.</w:t>
      </w:r>
    </w:p>
    <w:p>
      <w:r>
        <w:br w:type="page"/>
      </w:r>
    </w:p>
    <w:p>
      <w:pPr>
        <w:pStyle w:val="Heading1"/>
        <w:spacing w:after="200" w:before="360"/>
      </w:pPr>
      <w:bookmarkStart w:name="economics" w:id="1016"/>
      <w:r>
        <w:rPr>
          <w:rFonts w:ascii="Georgia" w:cs="Georgia" w:eastAsia="Georgia" w:hAnsi="Georgia"/>
          <w:b/>
          <w:bCs/>
          <w:i w:val="false"/>
          <w:iCs w:val="false"/>
          <w:caps w:val="false"/>
          <w:color w:val="1A1A1A"/>
          <w:sz w:val="22"/>
          <w:szCs w:val="22"/>
        </w:rPr>
        <w:t xml:space="preserve">12. The Economics of Local and Bulk Purchasing</w:t>
      </w:r>
      <w:bookmarkEnd w:id="1016"/>
    </w:p>
    <w:p>
      <w:pPr>
        <w:spacing w:after="160" w:before="0" w:line="300"/>
        <w:jc w:val="both"/>
      </w:pPr>
      <w:r>
        <w:rPr>
          <w:rFonts w:ascii="Georgia" w:cs="Georgia" w:eastAsia="Georgia" w:hAnsi="Georgia"/>
          <w:color w:val="1A1A1A"/>
          <w:sz w:val="22"/>
          <w:szCs w:val="22"/>
        </w:rPr>
        <w:t xml:space="preserve">A study that recommends local, forage-based, and direct-from-producer buying must address cost honestly, because price is one of the three objective functions named at the outset and is, for most households, binding. The economics are more favorable than a simple per-pound comparison at the meat case suggests, but they require planning and capital outlay that not every household can make.</w:t>
      </w:r>
    </w:p>
    <w:p>
      <w:pPr>
        <w:pStyle w:val="Heading2"/>
        <w:spacing w:after="140" w:before="280"/>
      </w:pPr>
      <w:r>
        <w:rPr>
          <w:rFonts w:ascii="Georgia" w:cs="Georgia" w:eastAsia="Georgia" w:hAnsi="Georgia"/>
          <w:b/>
          <w:bCs/>
          <w:i w:val="false"/>
          <w:iCs w:val="false"/>
          <w:caps w:val="false"/>
          <w:color w:val="1A1A1A"/>
          <w:sz w:val="22"/>
          <w:szCs w:val="22"/>
        </w:rPr>
        <w:t xml:space="preserve">12.1 The structure of bulk pricing</w:t>
      </w:r>
    </w:p>
    <w:p>
      <w:pPr>
        <w:spacing w:after="160" w:before="0" w:line="300"/>
        <w:jc w:val="both"/>
      </w:pPr>
      <w:r>
        <w:rPr>
          <w:rFonts w:ascii="Georgia" w:cs="Georgia" w:eastAsia="Georgia" w:hAnsi="Georgia"/>
          <w:color w:val="1A1A1A"/>
          <w:sz w:val="22"/>
          <w:szCs w:val="22"/>
        </w:rPr>
        <w:t xml:space="preserve">Whole-, half-, and quarter-animal purchases—the principal bulk channel offered by the verified Northwest Arkansas beef producers—are typically billed not as a single retail price but as a price per pound of </w:t>
      </w:r>
      <w:r>
        <w:rPr>
          <w:rFonts w:ascii="Georgia" w:cs="Georgia" w:eastAsia="Georgia" w:hAnsi="Georgia"/>
          <w:b/>
          <w:bCs/>
          <w:i w:val="false"/>
          <w:iCs w:val="false"/>
          <w:caps w:val="false"/>
          <w:color w:val="1A1A1A"/>
          <w:sz w:val="22"/>
          <w:szCs w:val="22"/>
        </w:rPr>
        <w:t xml:space="preserve">hanging (carcass) weight</w:t>
      </w:r>
      <w:r>
        <w:rPr>
          <w:rFonts w:ascii="Georgia" w:cs="Georgia" w:eastAsia="Georgia" w:hAnsi="Georgia"/>
          <w:color w:val="1A1A1A"/>
          <w:sz w:val="22"/>
          <w:szCs w:val="22"/>
        </w:rPr>
        <w:t xml:space="preserve"> plus a separate </w:t>
      </w:r>
      <w:r>
        <w:rPr>
          <w:rFonts w:ascii="Georgia" w:cs="Georgia" w:eastAsia="Georgia" w:hAnsi="Georgia"/>
          <w:b/>
          <w:bCs/>
          <w:i w:val="false"/>
          <w:iCs w:val="false"/>
          <w:caps w:val="false"/>
          <w:color w:val="1A1A1A"/>
          <w:sz w:val="22"/>
          <w:szCs w:val="22"/>
        </w:rPr>
        <w:t xml:space="preserve">cut-and-wrap processing fee</w:t>
      </w:r>
      <w:r>
        <w:rPr>
          <w:rFonts w:ascii="Georgia" w:cs="Georgia" w:eastAsia="Georgia" w:hAnsi="Georgia"/>
          <w:color w:val="1A1A1A"/>
          <w:sz w:val="22"/>
          <w:szCs w:val="22"/>
        </w:rPr>
        <w:t xml:space="preserve"> paid to a butcher. Two conversions matter for understanding the true cost. Hanging weight is commonly just over half of the animal's live weight, and the final packaged take-home weight is lower still after bone, trim, and moisture loss during any dry-aging. A buyer comparing a hanging-weight price to a retail per-pound price is therefore not comparing like with like; the effective price per pound of usable, packaged meat is higher than the headline hanging-weight figure, though typically still favorable for the quality obtained, particularly for premium grass-finished product.</w:t>
      </w:r>
    </w:p>
    <w:p>
      <w:pPr>
        <w:pStyle w:val="Heading2"/>
        <w:spacing w:after="140" w:before="280"/>
      </w:pPr>
      <w:r>
        <w:rPr>
          <w:rFonts w:ascii="Georgia" w:cs="Georgia" w:eastAsia="Georgia" w:hAnsi="Georgia"/>
          <w:b/>
          <w:bCs/>
          <w:i w:val="false"/>
          <w:iCs w:val="false"/>
          <w:caps w:val="false"/>
          <w:color w:val="1A1A1A"/>
          <w:sz w:val="22"/>
          <w:szCs w:val="22"/>
        </w:rPr>
        <w:t xml:space="preserve">12.2 The genuine savings and the genuine costs</w:t>
      </w:r>
    </w:p>
    <w:p>
      <w:pPr>
        <w:spacing w:after="160" w:before="0" w:line="300"/>
        <w:jc w:val="both"/>
      </w:pPr>
      <w:r>
        <w:rPr>
          <w:rFonts w:ascii="Georgia" w:cs="Georgia" w:eastAsia="Georgia" w:hAnsi="Georgia"/>
          <w:color w:val="1A1A1A"/>
          <w:sz w:val="22"/>
          <w:szCs w:val="22"/>
        </w:rPr>
        <w:t xml:space="preserve">The savings from bulk and direct purchasing are real and arise from disintermediation—buying closer to the producer—and from the economics of purchasing an entire animal rather than only its most popular cuts. The offsetting costs are equally real: a substantial up-front payment, the need for freezer capacity sufficient to store a quarter- or half-animal, and acceptance of the full mix of cuts the animal yields, including the tougher cuts that the low-and-slow methods of Section 6.3 are designed to redeem. This last point links the economics directly to the technique: a household that can cook collagen-rich cuts well extracts more value from a whole animal than one that can only cook steaks, because it wastes none of the carcass.</w:t>
      </w:r>
    </w:p>
    <w:p>
      <w:pPr>
        <w:pStyle w:val="Heading2"/>
        <w:spacing w:after="140" w:before="280"/>
      </w:pPr>
      <w:r>
        <w:rPr>
          <w:rFonts w:ascii="Georgia" w:cs="Georgia" w:eastAsia="Georgia" w:hAnsi="Georgia"/>
          <w:b/>
          <w:bCs/>
          <w:i w:val="false"/>
          <w:iCs w:val="false"/>
          <w:caps w:val="false"/>
          <w:color w:val="1A1A1A"/>
          <w:sz w:val="22"/>
          <w:szCs w:val="22"/>
        </w:rPr>
        <w:t xml:space="preserve">12.3 A mixed strategy and the data to use</w:t>
      </w:r>
    </w:p>
    <w:p>
      <w:pPr>
        <w:spacing w:after="160" w:before="0" w:line="300"/>
        <w:jc w:val="both"/>
      </w:pPr>
      <w:r>
        <w:rPr>
          <w:rFonts w:ascii="Georgia" w:cs="Georgia" w:eastAsia="Georgia" w:hAnsi="Georgia"/>
          <w:color w:val="1A1A1A"/>
          <w:sz w:val="22"/>
          <w:szCs w:val="22"/>
        </w:rPr>
        <w:t xml:space="preserve">For most households the rational approach is mixed: periodic bulk or direct purchasing of forage-based product for the freezer, supplemented by conventional and seasonal buying for the remainder, with vegetables and fruit bought at their seasonal peak from producer-only markets where they are freshest and cheapest. The broader research on local and regional food systems documents both the consumer demand for and the structural barriers to direct purchasing,</w:t>
      </w:r>
      <w:r>
        <w:rPr>
          <w:rStyle w:val="FootnoteReference"/>
        </w:rPr>
        <w:footnoteReference w:id="138"/>
        <w:footnoteReference w:id="139"/>
      </w:r>
      <w:r>
        <w:rPr>
          <w:rFonts w:ascii="Georgia" w:cs="Georgia" w:eastAsia="Georgia" w:hAnsi="Georgia"/>
          <w:color w:val="1A1A1A"/>
          <w:sz w:val="22"/>
          <w:szCs w:val="22"/>
        </w:rPr>
        <w:t xml:space="preserve"> and notes the real hurdles small producers face in reaching buyers.</w:t>
      </w:r>
      <w:r>
        <w:rPr>
          <w:rStyle w:val="FootnoteReference"/>
        </w:rPr>
        <w:footnoteReference w:id="140"/>
      </w:r>
      <w:r>
        <w:rPr>
          <w:rFonts w:ascii="Georgia" w:cs="Georgia" w:eastAsia="Georgia" w:hAnsi="Georgia"/>
          <w:color w:val="1A1A1A"/>
          <w:sz w:val="22"/>
          <w:szCs w:val="22"/>
        </w:rPr>
        <w:t xml:space="preserve"> For current price benchmarks rather than the stale figures a printed document would carry, the USDA Agricultural Marketing Service's retail reports provide an authoritative, continuously updated reference,</w:t>
      </w:r>
      <w:r>
        <w:rPr>
          <w:rStyle w:val="FootnoteReference"/>
        </w:rPr>
        <w:footnoteReference w:id="141"/>
      </w:r>
      <w:r>
        <w:rPr>
          <w:rFonts w:ascii="Georgia" w:cs="Georgia" w:eastAsia="Georgia" w:hAnsi="Georgia"/>
          <w:color w:val="1A1A1A"/>
          <w:sz w:val="22"/>
          <w:szCs w:val="22"/>
        </w:rPr>
        <w:t xml:space="preserve"> and producer quotations supply the live and hanging-weight figures specific to each animal. The companion field guide lists the verified Northwest Arkansas producers from whom such quotations can be obtained.</w:t>
      </w:r>
    </w:p>
    <w:p>
      <w:r>
        <w:br w:type="page"/>
      </w:r>
    </w:p>
    <w:p>
      <w:pPr>
        <w:pStyle w:val="Heading1"/>
        <w:spacing w:after="200" w:before="360"/>
      </w:pPr>
      <w:bookmarkStart w:name="conclusion" w:id="1017"/>
      <w:r>
        <w:rPr>
          <w:rFonts w:ascii="Georgia" w:cs="Georgia" w:eastAsia="Georgia" w:hAnsi="Georgia"/>
          <w:b/>
          <w:bCs/>
          <w:i w:val="false"/>
          <w:iCs w:val="false"/>
          <w:caps w:val="false"/>
          <w:color w:val="1A1A1A"/>
          <w:sz w:val="22"/>
          <w:szCs w:val="22"/>
        </w:rPr>
        <w:t xml:space="preserve">13. Conclusion</w:t>
      </w:r>
      <w:bookmarkEnd w:id="1017"/>
    </w:p>
    <w:p>
      <w:pPr>
        <w:spacing w:after="160" w:before="0" w:line="300"/>
        <w:jc w:val="both"/>
      </w:pPr>
      <w:r>
        <w:rPr>
          <w:rFonts w:ascii="Georgia" w:cs="Georgia" w:eastAsia="Georgia" w:hAnsi="Georgia"/>
          <w:color w:val="1A1A1A"/>
          <w:sz w:val="22"/>
          <w:szCs w:val="22"/>
        </w:rPr>
        <w:t xml:space="preserve">This monograph set out to treat the sourcing and the cooking of food as the single coupled problem they are, and to ground every step of that problem in evidence proportionate to its certainty. The argument that emerges is coherent. Excellent eating begins with informed selection—of nutrient-dense animal proteins and an abundance of nutrient-dense plants, ideally from a transparent and, where the buyer values it, forage-based and local supply. It proceeds through preparation governed by a small set of robust mechanisms: salt's enhancement of water-holding capacity, the Maillard reaction's manufacture of flavor from a dry, hot surface, the thermal logic of doneness and carryover, and the two distinct fire regimes of searing and low-and-slow conversion. And it is completed on the plate by pairings—vitamin-C-rich and fat-bearing accompaniments to iron- and carotenoid-rich foods—that the world's great cuisines arrived at by taste and that nutrition science now explains by mechanism.</w:t>
      </w:r>
    </w:p>
    <w:p>
      <w:pPr>
        <w:spacing w:after="160" w:before="0" w:line="300"/>
        <w:jc w:val="both"/>
      </w:pPr>
      <w:r>
        <w:rPr>
          <w:rFonts w:ascii="Georgia" w:cs="Georgia" w:eastAsia="Georgia" w:hAnsi="Georgia"/>
          <w:color w:val="1A1A1A"/>
          <w:sz w:val="22"/>
          <w:szCs w:val="22"/>
        </w:rPr>
        <w:t xml:space="preserve">Two commitments have shaped the work throughout. The first is intellectual honesty about evidence: stating plainly what is well established, presenting fairly what is contested—the climate accounting of managed grazing, the human-digestibility advantage of goat milk—and never dressing a marketing claim in the language of settled science. The second is honesty about place: admitting a local business only on independent corroboration, sizing the Northwest Arkansas directory to what genuinely exists rather than to a flattering round number, and trusting that a shorter true account serves a cook better than a longer false one.</w:t>
      </w:r>
    </w:p>
    <w:p>
      <w:pPr>
        <w:spacing w:after="160" w:before="0" w:line="300"/>
        <w:jc w:val="both"/>
      </w:pPr>
      <w:r>
        <w:rPr>
          <w:rFonts w:ascii="Georgia" w:cs="Georgia" w:eastAsia="Georgia" w:hAnsi="Georgia"/>
          <w:color w:val="1A1A1A"/>
          <w:sz w:val="22"/>
          <w:szCs w:val="22"/>
        </w:rPr>
        <w:t xml:space="preserve">The merged method of Section 11 is the practical distillation of all of this—one cook, one grill, and a short decision tree capable of doing justice to anything from a Tuesday steak to a weekend brisket, finished each time with an accompaniment that is at once culinary and nutritional. Its detailed execution, together with the verified directory of where to source its raw materials in Northwest Arkansas, is the work of the companion field guide. The two volumes are meant to be used together: this one to know why, that one to know how and where. Read together, they aim to be usable at the grill on a Saturday and defensible in a seminar on Monday—which was, from the first page, the entire point.</w:t>
      </w:r>
    </w:p>
    <w:tbl>
      <w:tblPr>
        <w:tblW w:type="dxa" w:w="9360"/>
        <w:tblBorders>
          <w:top w:val="none"/>
          <w:left w:val="single" w:color="234A35" w:sz="24"/>
          <w:bottom w:val="none"/>
          <w:right w:val="none"/>
          <w:insideH w:val="none"/>
          <w:insideV w:val="none"/>
        </w:tblBorders>
      </w:tblPr>
      <w:tblGrid>
        <w:gridCol w:w="9360"/>
      </w:tblGrid>
      <w:tr>
        <w:tc>
          <w:tcPr>
            <w:tcW w:type="dxa" w:w="9360"/>
            <w:shd w:fill="EEF2EC" w:val="clear"/>
            <w:tcMar>
              <w:top w:type="dxa" w:w="140"/>
              <w:left w:type="dxa" w:w="220"/>
              <w:bottom w:type="dxa" w:w="140"/>
              <w:right w:type="dxa" w:w="200"/>
            </w:tcMar>
          </w:tcPr>
          <w:p>
            <w:pPr>
              <w:spacing w:after="80" w:line="290"/>
            </w:pPr>
            <w:r>
              <w:rPr>
                <w:rFonts w:ascii="Georgia" w:cs="Georgia" w:eastAsia="Georgia" w:hAnsi="Georgia"/>
                <w:b/>
                <w:bCs/>
                <w:i w:val="false"/>
                <w:iCs w:val="false"/>
                <w:caps w:val="false"/>
                <w:color w:val="234A35"/>
                <w:sz w:val="22"/>
                <w:szCs w:val="22"/>
              </w:rPr>
              <w:t xml:space="preserve">Patience pays. 🦞 </w:t>
            </w:r>
            <w:r>
              <w:rPr>
                <w:rFonts w:ascii="Georgia" w:cs="Georgia" w:eastAsia="Georgia" w:hAnsi="Georgia"/>
                <w:color w:val="1A1A1A"/>
                <w:sz w:val="22"/>
                <w:szCs w:val="22"/>
              </w:rPr>
              <w:t xml:space="preserve">The recurring lesson of both the science and the traditions is that the best results come from understanding a process and giving it the time it requires—the brine to penetrate, the collagen to convert, the carryover to finish, the producer relationship to form. Rushed, any of these fails; respected, each rewards. The craft is mostly patience, informed by evidence.</w:t>
            </w:r>
          </w:p>
        </w:tc>
      </w:tr>
    </w:tbl>
    <w:p>
      <w:r>
        <w:br w:type="page"/>
      </w:r>
    </w:p>
    <w:p>
      <w:pPr>
        <w:pStyle w:val="Heading1"/>
        <w:spacing w:after="200" w:before="360"/>
      </w:pPr>
      <w:bookmarkStart w:name="references" w:id="1018"/>
      <w:r>
        <w:rPr>
          <w:rFonts w:ascii="Georgia" w:cs="Georgia" w:eastAsia="Georgia" w:hAnsi="Georgia"/>
          <w:b/>
          <w:bCs/>
          <w:i w:val="false"/>
          <w:iCs w:val="false"/>
          <w:caps w:val="false"/>
          <w:color w:val="1A1A1A"/>
          <w:sz w:val="22"/>
          <w:szCs w:val="22"/>
        </w:rPr>
        <w:t xml:space="preserve">References</w:t>
      </w:r>
      <w:bookmarkEnd w:id="1018"/>
    </w:p>
    <w:p>
      <w:pPr>
        <w:spacing w:after="160" w:before="0" w:line="300"/>
        <w:jc w:val="both"/>
      </w:pPr>
      <w:r>
        <w:rPr>
          <w:rFonts w:ascii="Georgia" w:cs="Georgia" w:eastAsia="Georgia" w:hAnsi="Georgia"/>
          <w:b w:val="false"/>
          <w:bCs w:val="false"/>
          <w:i/>
          <w:iCs/>
          <w:caps w:val="false"/>
          <w:color w:val="5B5B52"/>
          <w:sz w:val="22"/>
          <w:szCs w:val="22"/>
        </w:rPr>
        <w:t xml:space="preserve">The following </w:t>
      </w:r>
      <w:r>
        <w:rPr>
          <w:rFonts w:ascii="Georgia" w:cs="Georgia" w:eastAsia="Georgia" w:hAnsi="Georgia"/>
          <w:b/>
          <w:bCs/>
          <w:i/>
          <w:iCs/>
          <w:caps w:val="false"/>
          <w:color w:val="5B5B52"/>
          <w:sz w:val="22"/>
          <w:szCs w:val="22"/>
        </w:rPr>
        <w:t xml:space="preserve">132</w:t>
      </w:r>
      <w:r>
        <w:rPr>
          <w:rFonts w:ascii="Georgia" w:cs="Georgia" w:eastAsia="Georgia" w:hAnsi="Georgia"/>
          <w:b w:val="false"/>
          <w:bCs w:val="false"/>
          <w:i/>
          <w:iCs/>
          <w:caps w:val="false"/>
          <w:color w:val="5B5B52"/>
          <w:sz w:val="22"/>
          <w:szCs w:val="22"/>
        </w:rPr>
        <w:t xml:space="preserve"> sources constitute the evidentiary base of this monograph. Peer-reviewed literature is cited with DOIs where available; government, university, and verified local-business sources are cited with stable URLs. Entries are numbered to correspond to the footnote markers throughout the text.</w:t>
      </w:r>
    </w:p>
    <w:p>
      <w:pPr>
        <w:spacing w:after="80"/>
      </w:pPr>
      <w:r>
        <w:t xml:space="preserve"/>
      </w:r>
    </w:p>
    <w:p>
      <w:pPr>
        <w:spacing w:after="110" w:line="264"/>
        <w:ind w:left="360" w:hanging="360"/>
      </w:pPr>
      <w:r>
        <w:rPr>
          <w:rFonts w:ascii="Arial" w:cs="Arial" w:eastAsia="Arial" w:hAnsi="Arial"/>
          <w:b/>
          <w:bCs/>
          <w:color w:val="234A35"/>
          <w:sz w:val="18"/>
          <w:szCs w:val="18"/>
        </w:rPr>
        <w:t xml:space="preserve">[1]  </w:t>
      </w:r>
      <w:r>
        <w:rPr>
          <w:rFonts w:ascii="Georgia" w:cs="Georgia" w:eastAsia="Georgia" w:hAnsi="Georgia"/>
          <w:color w:val="1A1A1A"/>
          <w:sz w:val="19"/>
          <w:szCs w:val="19"/>
        </w:rPr>
        <w:t xml:space="preserve">U.S. Department of Agriculture, Food Safety and Inspection Service (USDA FSIS) (2024). </w:t>
      </w:r>
      <w:r>
        <w:rPr>
          <w:rFonts w:ascii="Georgia" w:cs="Georgia" w:eastAsia="Georgia" w:hAnsi="Georgia"/>
          <w:i/>
          <w:iCs/>
          <w:color w:val="1A1A1A"/>
          <w:sz w:val="19"/>
          <w:szCs w:val="19"/>
        </w:rPr>
        <w:t xml:space="preserve">Safe minimum internal temperature chart. </w:t>
      </w:r>
      <w:r>
        <w:rPr>
          <w:rFonts w:ascii="Georgia" w:cs="Georgia" w:eastAsia="Georgia" w:hAnsi="Georgia"/>
          <w:color w:val="1A1A1A"/>
          <w:sz w:val="19"/>
          <w:szCs w:val="19"/>
        </w:rPr>
        <w:t xml:space="preserve">USDA FSIS. Food Safety and Inspection Service, Washington, DC</w:t>
      </w:r>
    </w:p>
    <w:p>
      <w:pPr>
        <w:spacing w:after="60" w:line="252"/>
        <w:ind w:left="360"/>
      </w:pPr>
      <w:hyperlink w:history="1" r:id="rIdiwkpaesuinoakk1uo_vh0">
        <w:r>
          <w:rPr>
            <w:rStyle w:val="Hyperlink"/>
            <w:rFonts w:ascii="Consolas" w:cs="Consolas" w:eastAsia="Consolas" w:hAnsi="Consolas"/>
            <w:sz w:val="16"/>
            <w:szCs w:val="16"/>
          </w:rPr>
          <w:t xml:space="preserve">https://www.fsis.usda.gov/food-safety/safe-food-handling-and-preparation/food-safety-basics/safe-temperature-chart</w:t>
        </w:r>
      </w:hyperlink>
    </w:p>
    <w:p>
      <w:pPr>
        <w:spacing w:after="110" w:line="264"/>
        <w:ind w:left="360" w:hanging="360"/>
      </w:pPr>
      <w:r>
        <w:rPr>
          <w:rFonts w:ascii="Arial" w:cs="Arial" w:eastAsia="Arial" w:hAnsi="Arial"/>
          <w:b/>
          <w:bCs/>
          <w:color w:val="234A35"/>
          <w:sz w:val="18"/>
          <w:szCs w:val="18"/>
        </w:rPr>
        <w:t xml:space="preserve">[2]  </w:t>
      </w:r>
      <w:r>
        <w:rPr>
          <w:rFonts w:ascii="Georgia" w:cs="Georgia" w:eastAsia="Georgia" w:hAnsi="Georgia"/>
          <w:color w:val="1A1A1A"/>
          <w:sz w:val="19"/>
          <w:szCs w:val="19"/>
        </w:rPr>
        <w:t xml:space="preserve">U.S. Department of Agriculture, Food Safety and Inspection Service (USDA FSIS) (2023). </w:t>
      </w:r>
      <w:r>
        <w:rPr>
          <w:rFonts w:ascii="Georgia" w:cs="Georgia" w:eastAsia="Georgia" w:hAnsi="Georgia"/>
          <w:i/>
          <w:iCs/>
          <w:color w:val="1A1A1A"/>
          <w:sz w:val="19"/>
          <w:szCs w:val="19"/>
        </w:rPr>
        <w:t xml:space="preserve">Steps to keep food safe: Food safety basics. </w:t>
      </w:r>
      <w:r>
        <w:rPr>
          <w:rFonts w:ascii="Georgia" w:cs="Georgia" w:eastAsia="Georgia" w:hAnsi="Georgia"/>
          <w:color w:val="1A1A1A"/>
          <w:sz w:val="19"/>
          <w:szCs w:val="19"/>
        </w:rPr>
        <w:t xml:space="preserve">USDA FSIS. Food Safety and Inspection Service, Washington, DC</w:t>
      </w:r>
    </w:p>
    <w:p>
      <w:pPr>
        <w:spacing w:after="60" w:line="252"/>
        <w:ind w:left="360"/>
      </w:pPr>
      <w:hyperlink w:history="1" r:id="rId53h5ih6uflpzqx7l6mhm8">
        <w:r>
          <w:rPr>
            <w:rStyle w:val="Hyperlink"/>
            <w:rFonts w:ascii="Consolas" w:cs="Consolas" w:eastAsia="Consolas" w:hAnsi="Consolas"/>
            <w:sz w:val="16"/>
            <w:szCs w:val="16"/>
          </w:rPr>
          <w:t xml:space="preserve">https://www.fsis.usda.gov/food-safety/safe-food-handling-and-preparation/food-safety-basics/steps-keep-food-safe</w:t>
        </w:r>
      </w:hyperlink>
    </w:p>
    <w:p>
      <w:pPr>
        <w:spacing w:after="110" w:line="264"/>
        <w:ind w:left="360" w:hanging="360"/>
      </w:pPr>
      <w:r>
        <w:rPr>
          <w:rFonts w:ascii="Arial" w:cs="Arial" w:eastAsia="Arial" w:hAnsi="Arial"/>
          <w:b/>
          <w:bCs/>
          <w:color w:val="234A35"/>
          <w:sz w:val="18"/>
          <w:szCs w:val="18"/>
        </w:rPr>
        <w:t xml:space="preserve">[3]  </w:t>
      </w:r>
      <w:r>
        <w:rPr>
          <w:rFonts w:ascii="Georgia" w:cs="Georgia" w:eastAsia="Georgia" w:hAnsi="Georgia"/>
          <w:color w:val="1A1A1A"/>
          <w:sz w:val="19"/>
          <w:szCs w:val="19"/>
        </w:rPr>
        <w:t xml:space="preserve">U.S. Department of Agriculture, Food Safety and Inspection Service (USDA FSIS) (2023). </w:t>
      </w:r>
      <w:r>
        <w:rPr>
          <w:rFonts w:ascii="Georgia" w:cs="Georgia" w:eastAsia="Georgia" w:hAnsi="Georgia"/>
          <w:i/>
          <w:iCs/>
          <w:color w:val="1A1A1A"/>
          <w:sz w:val="19"/>
          <w:szCs w:val="19"/>
        </w:rPr>
        <w:t xml:space="preserve">How temperatures affect food. </w:t>
      </w:r>
      <w:r>
        <w:rPr>
          <w:rFonts w:ascii="Georgia" w:cs="Georgia" w:eastAsia="Georgia" w:hAnsi="Georgia"/>
          <w:color w:val="1A1A1A"/>
          <w:sz w:val="19"/>
          <w:szCs w:val="19"/>
        </w:rPr>
        <w:t xml:space="preserve">USDA FSIS. Food Safety and Inspection Service, Washington, DC</w:t>
      </w:r>
    </w:p>
    <w:p>
      <w:pPr>
        <w:spacing w:after="60" w:line="252"/>
        <w:ind w:left="360"/>
      </w:pPr>
      <w:hyperlink w:history="1" r:id="rIdhbnv-gz6jveivzdwn3f7o">
        <w:r>
          <w:rPr>
            <w:rStyle w:val="Hyperlink"/>
            <w:rFonts w:ascii="Consolas" w:cs="Consolas" w:eastAsia="Consolas" w:hAnsi="Consolas"/>
            <w:sz w:val="16"/>
            <w:szCs w:val="16"/>
          </w:rPr>
          <w:t xml:space="preserve">https://www.fsis.usda.gov/food-safety/safe-food-handling-and-preparation/food-safety-basics/how-temperatures-affect-food</w:t>
        </w:r>
      </w:hyperlink>
    </w:p>
    <w:p>
      <w:pPr>
        <w:spacing w:after="110" w:line="264"/>
        <w:ind w:left="360" w:hanging="360"/>
      </w:pPr>
      <w:r>
        <w:rPr>
          <w:rFonts w:ascii="Arial" w:cs="Arial" w:eastAsia="Arial" w:hAnsi="Arial"/>
          <w:b/>
          <w:bCs/>
          <w:color w:val="234A35"/>
          <w:sz w:val="18"/>
          <w:szCs w:val="18"/>
        </w:rPr>
        <w:t xml:space="preserve">[4]  </w:t>
      </w:r>
      <w:r>
        <w:rPr>
          <w:rFonts w:ascii="Georgia" w:cs="Georgia" w:eastAsia="Georgia" w:hAnsi="Georgia"/>
          <w:color w:val="1A1A1A"/>
          <w:sz w:val="19"/>
          <w:szCs w:val="19"/>
        </w:rPr>
        <w:t xml:space="preserve">U.S. Department of Agriculture, Food Safety and Inspection Service (USDA FSIS) (2023). </w:t>
      </w:r>
      <w:r>
        <w:rPr>
          <w:rFonts w:ascii="Georgia" w:cs="Georgia" w:eastAsia="Georgia" w:hAnsi="Georgia"/>
          <w:i/>
          <w:iCs/>
          <w:color w:val="1A1A1A"/>
          <w:sz w:val="19"/>
          <w:szCs w:val="19"/>
        </w:rPr>
        <w:t xml:space="preserve">Doneness versus safety. </w:t>
      </w:r>
      <w:r>
        <w:rPr>
          <w:rFonts w:ascii="Georgia" w:cs="Georgia" w:eastAsia="Georgia" w:hAnsi="Georgia"/>
          <w:color w:val="1A1A1A"/>
          <w:sz w:val="19"/>
          <w:szCs w:val="19"/>
        </w:rPr>
        <w:t xml:space="preserve">USDA FSIS. Food Safety and Inspection Service, Washington, DC</w:t>
      </w:r>
    </w:p>
    <w:p>
      <w:pPr>
        <w:spacing w:after="60" w:line="252"/>
        <w:ind w:left="360"/>
      </w:pPr>
      <w:hyperlink w:history="1" r:id="rId1ius-jd9pjn1ogz1ymzdb">
        <w:r>
          <w:rPr>
            <w:rStyle w:val="Hyperlink"/>
            <w:rFonts w:ascii="Consolas" w:cs="Consolas" w:eastAsia="Consolas" w:hAnsi="Consolas"/>
            <w:sz w:val="16"/>
            <w:szCs w:val="16"/>
          </w:rPr>
          <w:t xml:space="preserve">https://www.fsis.usda.gov/food-safety/safe-food-handling-and-preparation/food-safety-basics/doneness-versus-safety</w:t>
        </w:r>
      </w:hyperlink>
    </w:p>
    <w:p>
      <w:pPr>
        <w:spacing w:after="110" w:line="264"/>
        <w:ind w:left="360" w:hanging="360"/>
      </w:pPr>
      <w:r>
        <w:rPr>
          <w:rFonts w:ascii="Arial" w:cs="Arial" w:eastAsia="Arial" w:hAnsi="Arial"/>
          <w:b/>
          <w:bCs/>
          <w:color w:val="234A35"/>
          <w:sz w:val="18"/>
          <w:szCs w:val="18"/>
        </w:rPr>
        <w:t xml:space="preserve">[5]  </w:t>
      </w:r>
      <w:r>
        <w:rPr>
          <w:rFonts w:ascii="Georgia" w:cs="Georgia" w:eastAsia="Georgia" w:hAnsi="Georgia"/>
          <w:color w:val="1A1A1A"/>
          <w:sz w:val="19"/>
          <w:szCs w:val="19"/>
        </w:rPr>
        <w:t xml:space="preserve">U.S. Department of Agriculture, Food Safety and Inspection Service (USDA FSIS) (2023). </w:t>
      </w:r>
      <w:r>
        <w:rPr>
          <w:rFonts w:ascii="Georgia" w:cs="Georgia" w:eastAsia="Georgia" w:hAnsi="Georgia"/>
          <w:i/>
          <w:iCs/>
          <w:color w:val="1A1A1A"/>
          <w:sz w:val="19"/>
          <w:szCs w:val="19"/>
        </w:rPr>
        <w:t xml:space="preserve">Leftovers and food safety. </w:t>
      </w:r>
      <w:r>
        <w:rPr>
          <w:rFonts w:ascii="Georgia" w:cs="Georgia" w:eastAsia="Georgia" w:hAnsi="Georgia"/>
          <w:color w:val="1A1A1A"/>
          <w:sz w:val="19"/>
          <w:szCs w:val="19"/>
        </w:rPr>
        <w:t xml:space="preserve">USDA FSIS. Food Safety and Inspection Service, Washington, DC</w:t>
      </w:r>
    </w:p>
    <w:p>
      <w:pPr>
        <w:spacing w:after="60" w:line="252"/>
        <w:ind w:left="360"/>
      </w:pPr>
      <w:hyperlink w:history="1" r:id="rIdpnaqkk5aykts7mra4ltwo">
        <w:r>
          <w:rPr>
            <w:rStyle w:val="Hyperlink"/>
            <w:rFonts w:ascii="Consolas" w:cs="Consolas" w:eastAsia="Consolas" w:hAnsi="Consolas"/>
            <w:sz w:val="16"/>
            <w:szCs w:val="16"/>
          </w:rPr>
          <w:t xml:space="preserve">https://www.fsis.usda.gov/food-safety/safe-food-handling-and-preparation/food-safety-basics/leftovers-and-food-safety</w:t>
        </w:r>
      </w:hyperlink>
    </w:p>
    <w:p>
      <w:pPr>
        <w:spacing w:after="110" w:line="264"/>
        <w:ind w:left="360" w:hanging="360"/>
      </w:pPr>
      <w:r>
        <w:rPr>
          <w:rFonts w:ascii="Arial" w:cs="Arial" w:eastAsia="Arial" w:hAnsi="Arial"/>
          <w:b/>
          <w:bCs/>
          <w:color w:val="234A35"/>
          <w:sz w:val="18"/>
          <w:szCs w:val="18"/>
        </w:rPr>
        <w:t xml:space="preserve">[6]  </w:t>
      </w:r>
      <w:r>
        <w:rPr>
          <w:rFonts w:ascii="Georgia" w:cs="Georgia" w:eastAsia="Georgia" w:hAnsi="Georgia"/>
          <w:color w:val="1A1A1A"/>
          <w:sz w:val="19"/>
          <w:szCs w:val="19"/>
        </w:rPr>
        <w:t xml:space="preserve">Offer, G., &amp; Trinick, J. (1983). </w:t>
      </w:r>
      <w:r>
        <w:rPr>
          <w:rFonts w:ascii="Georgia" w:cs="Georgia" w:eastAsia="Georgia" w:hAnsi="Georgia"/>
          <w:i/>
          <w:iCs/>
          <w:color w:val="1A1A1A"/>
          <w:sz w:val="19"/>
          <w:szCs w:val="19"/>
        </w:rPr>
        <w:t xml:space="preserve">On the mechanism of water holding in meat: The swelling and shrinking of myofibrils. </w:t>
      </w:r>
      <w:r>
        <w:rPr>
          <w:rFonts w:ascii="Georgia" w:cs="Georgia" w:eastAsia="Georgia" w:hAnsi="Georgia"/>
          <w:color w:val="1A1A1A"/>
          <w:sz w:val="19"/>
          <w:szCs w:val="19"/>
        </w:rPr>
        <w:t xml:space="preserve">Meat Science. 8(4), 245-281. https://doi.org/10.1016/0309-1740(83)90013-X</w:t>
      </w:r>
    </w:p>
    <w:p>
      <w:pPr>
        <w:spacing w:after="60" w:line="252"/>
        <w:ind w:left="360"/>
      </w:pPr>
      <w:hyperlink w:history="1" r:id="rIdy3ntx8cicy_5nwfvqm-wm">
        <w:r>
          <w:rPr>
            <w:rStyle w:val="Hyperlink"/>
            <w:rFonts w:ascii="Consolas" w:cs="Consolas" w:eastAsia="Consolas" w:hAnsi="Consolas"/>
            <w:sz w:val="16"/>
            <w:szCs w:val="16"/>
          </w:rPr>
          <w:t xml:space="preserve">https://doi.org/10.1016/0309-1740(83)90013-X</w:t>
        </w:r>
      </w:hyperlink>
    </w:p>
    <w:p>
      <w:pPr>
        <w:spacing w:after="110" w:line="264"/>
        <w:ind w:left="360" w:hanging="360"/>
      </w:pPr>
      <w:r>
        <w:rPr>
          <w:rFonts w:ascii="Arial" w:cs="Arial" w:eastAsia="Arial" w:hAnsi="Arial"/>
          <w:b/>
          <w:bCs/>
          <w:color w:val="234A35"/>
          <w:sz w:val="18"/>
          <w:szCs w:val="18"/>
        </w:rPr>
        <w:t xml:space="preserve">[7]  </w:t>
      </w:r>
      <w:r>
        <w:rPr>
          <w:rFonts w:ascii="Georgia" w:cs="Georgia" w:eastAsia="Georgia" w:hAnsi="Georgia"/>
          <w:color w:val="1A1A1A"/>
          <w:sz w:val="19"/>
          <w:szCs w:val="19"/>
        </w:rPr>
        <w:t xml:space="preserve">Puolanne, E., &amp; Halonen, M. (2010). </w:t>
      </w:r>
      <w:r>
        <w:rPr>
          <w:rFonts w:ascii="Georgia" w:cs="Georgia" w:eastAsia="Georgia" w:hAnsi="Georgia"/>
          <w:i/>
          <w:iCs/>
          <w:color w:val="1A1A1A"/>
          <w:sz w:val="19"/>
          <w:szCs w:val="19"/>
        </w:rPr>
        <w:t xml:space="preserve">Theoretical aspects of water-holding in meat. </w:t>
      </w:r>
      <w:r>
        <w:rPr>
          <w:rFonts w:ascii="Georgia" w:cs="Georgia" w:eastAsia="Georgia" w:hAnsi="Georgia"/>
          <w:color w:val="1A1A1A"/>
          <w:sz w:val="19"/>
          <w:szCs w:val="19"/>
        </w:rPr>
        <w:t xml:space="preserve">Meat Science. 86(1), 151-165. https://doi.org/10.1016/j.meatsci.2010.04.038</w:t>
      </w:r>
    </w:p>
    <w:p>
      <w:pPr>
        <w:spacing w:after="60" w:line="252"/>
        <w:ind w:left="360"/>
      </w:pPr>
      <w:hyperlink w:history="1" r:id="rIdxegfqompksxk1hrfpkikz">
        <w:r>
          <w:rPr>
            <w:rStyle w:val="Hyperlink"/>
            <w:rFonts w:ascii="Consolas" w:cs="Consolas" w:eastAsia="Consolas" w:hAnsi="Consolas"/>
            <w:sz w:val="16"/>
            <w:szCs w:val="16"/>
          </w:rPr>
          <w:t xml:space="preserve">https://doi.org/10.1016/j.meatsci.2010.04.038</w:t>
        </w:r>
      </w:hyperlink>
    </w:p>
    <w:p>
      <w:pPr>
        <w:spacing w:after="110" w:line="264"/>
        <w:ind w:left="360" w:hanging="360"/>
      </w:pPr>
      <w:r>
        <w:rPr>
          <w:rFonts w:ascii="Arial" w:cs="Arial" w:eastAsia="Arial" w:hAnsi="Arial"/>
          <w:b/>
          <w:bCs/>
          <w:color w:val="234A35"/>
          <w:sz w:val="18"/>
          <w:szCs w:val="18"/>
        </w:rPr>
        <w:t xml:space="preserve">[8]  </w:t>
      </w:r>
      <w:r>
        <w:rPr>
          <w:rFonts w:ascii="Georgia" w:cs="Georgia" w:eastAsia="Georgia" w:hAnsi="Georgia"/>
          <w:color w:val="1A1A1A"/>
          <w:sz w:val="19"/>
          <w:szCs w:val="19"/>
        </w:rPr>
        <w:t xml:space="preserve">Hamm, R. (1960). </w:t>
      </w:r>
      <w:r>
        <w:rPr>
          <w:rFonts w:ascii="Georgia" w:cs="Georgia" w:eastAsia="Georgia" w:hAnsi="Georgia"/>
          <w:i/>
          <w:iCs/>
          <w:color w:val="1A1A1A"/>
          <w:sz w:val="19"/>
          <w:szCs w:val="19"/>
        </w:rPr>
        <w:t xml:space="preserve">Biochemistry of meat hydration. </w:t>
      </w:r>
      <w:r>
        <w:rPr>
          <w:rFonts w:ascii="Georgia" w:cs="Georgia" w:eastAsia="Georgia" w:hAnsi="Georgia"/>
          <w:color w:val="1A1A1A"/>
          <w:sz w:val="19"/>
          <w:szCs w:val="19"/>
        </w:rPr>
        <w:t xml:space="preserve">Advances in Food Research. 10, 355-463. https://doi.org/10.1016/S0065-2628(08)60141-X</w:t>
      </w:r>
    </w:p>
    <w:p>
      <w:pPr>
        <w:spacing w:after="60" w:line="252"/>
        <w:ind w:left="360"/>
      </w:pPr>
      <w:hyperlink w:history="1" r:id="rIdedzr_pusnpy6jipgje2bq">
        <w:r>
          <w:rPr>
            <w:rStyle w:val="Hyperlink"/>
            <w:rFonts w:ascii="Consolas" w:cs="Consolas" w:eastAsia="Consolas" w:hAnsi="Consolas"/>
            <w:sz w:val="16"/>
            <w:szCs w:val="16"/>
          </w:rPr>
          <w:t xml:space="preserve">https://doi.org/10.1016/S0065-2628(08)60141-X</w:t>
        </w:r>
      </w:hyperlink>
    </w:p>
    <w:p>
      <w:pPr>
        <w:spacing w:after="110" w:line="264"/>
        <w:ind w:left="360" w:hanging="360"/>
      </w:pPr>
      <w:r>
        <w:rPr>
          <w:rFonts w:ascii="Arial" w:cs="Arial" w:eastAsia="Arial" w:hAnsi="Arial"/>
          <w:b/>
          <w:bCs/>
          <w:color w:val="234A35"/>
          <w:sz w:val="18"/>
          <w:szCs w:val="18"/>
        </w:rPr>
        <w:t xml:space="preserve">[9]  </w:t>
      </w:r>
      <w:r>
        <w:rPr>
          <w:rFonts w:ascii="Georgia" w:cs="Georgia" w:eastAsia="Georgia" w:hAnsi="Georgia"/>
          <w:color w:val="1A1A1A"/>
          <w:sz w:val="19"/>
          <w:szCs w:val="19"/>
        </w:rPr>
        <w:t xml:space="preserve">Aktaş, N., &amp; Kaya, M. (2001). </w:t>
      </w:r>
      <w:r>
        <w:rPr>
          <w:rFonts w:ascii="Georgia" w:cs="Georgia" w:eastAsia="Georgia" w:hAnsi="Georgia"/>
          <w:i/>
          <w:iCs/>
          <w:color w:val="1A1A1A"/>
          <w:sz w:val="19"/>
          <w:szCs w:val="19"/>
        </w:rPr>
        <w:t xml:space="preserve">The influence of marinating with weak organic acids and salts on the intramuscular connective tissue and sensory properties of beef. </w:t>
      </w:r>
      <w:r>
        <w:rPr>
          <w:rFonts w:ascii="Georgia" w:cs="Georgia" w:eastAsia="Georgia" w:hAnsi="Georgia"/>
          <w:color w:val="1A1A1A"/>
          <w:sz w:val="19"/>
          <w:szCs w:val="19"/>
        </w:rPr>
        <w:t xml:space="preserve">European Food Research and Technology. 213(2), 88-94. https://doi.org/10.1007/s002170100329</w:t>
      </w:r>
    </w:p>
    <w:p>
      <w:pPr>
        <w:spacing w:after="60" w:line="252"/>
        <w:ind w:left="360"/>
      </w:pPr>
      <w:hyperlink w:history="1" r:id="rId0-nj9cosztrah7n9krws9">
        <w:r>
          <w:rPr>
            <w:rStyle w:val="Hyperlink"/>
            <w:rFonts w:ascii="Consolas" w:cs="Consolas" w:eastAsia="Consolas" w:hAnsi="Consolas"/>
            <w:sz w:val="16"/>
            <w:szCs w:val="16"/>
          </w:rPr>
          <w:t xml:space="preserve">https://doi.org/10.1007/s002170100329</w:t>
        </w:r>
      </w:hyperlink>
    </w:p>
    <w:p>
      <w:pPr>
        <w:spacing w:after="110" w:line="264"/>
        <w:ind w:left="360" w:hanging="360"/>
      </w:pPr>
      <w:r>
        <w:rPr>
          <w:rFonts w:ascii="Arial" w:cs="Arial" w:eastAsia="Arial" w:hAnsi="Arial"/>
          <w:b/>
          <w:bCs/>
          <w:color w:val="234A35"/>
          <w:sz w:val="18"/>
          <w:szCs w:val="18"/>
        </w:rPr>
        <w:t xml:space="preserve">[10]  </w:t>
      </w:r>
      <w:r>
        <w:rPr>
          <w:rFonts w:ascii="Georgia" w:cs="Georgia" w:eastAsia="Georgia" w:hAnsi="Georgia"/>
          <w:color w:val="1A1A1A"/>
          <w:sz w:val="19"/>
          <w:szCs w:val="19"/>
        </w:rPr>
        <w:t xml:space="preserve">Sharedeh, D., Gatellier, P., Astruc, T., &amp; Daudin, J.-D. (2015). </w:t>
      </w:r>
      <w:r>
        <w:rPr>
          <w:rFonts w:ascii="Georgia" w:cs="Georgia" w:eastAsia="Georgia" w:hAnsi="Georgia"/>
          <w:i/>
          <w:iCs/>
          <w:color w:val="1A1A1A"/>
          <w:sz w:val="19"/>
          <w:szCs w:val="19"/>
        </w:rPr>
        <w:t xml:space="preserve">Effects of pH and NaCl levels in a beef marinade on physicochemical states of proteins and water transfers. </w:t>
      </w:r>
      <w:r>
        <w:rPr>
          <w:rFonts w:ascii="Georgia" w:cs="Georgia" w:eastAsia="Georgia" w:hAnsi="Georgia"/>
          <w:color w:val="1A1A1A"/>
          <w:sz w:val="19"/>
          <w:szCs w:val="19"/>
        </w:rPr>
        <w:t xml:space="preserve">Meat Science. 110, 24-31. https://doi.org/10.1016/j.meatsci.2015.06.014</w:t>
      </w:r>
    </w:p>
    <w:p>
      <w:pPr>
        <w:spacing w:after="60" w:line="252"/>
        <w:ind w:left="360"/>
      </w:pPr>
      <w:hyperlink w:history="1" r:id="rId0obo0qg8lm5sujrnccwbq">
        <w:r>
          <w:rPr>
            <w:rStyle w:val="Hyperlink"/>
            <w:rFonts w:ascii="Consolas" w:cs="Consolas" w:eastAsia="Consolas" w:hAnsi="Consolas"/>
            <w:sz w:val="16"/>
            <w:szCs w:val="16"/>
          </w:rPr>
          <w:t xml:space="preserve">https://doi.org/10.1016/j.meatsci.2015.06.014</w:t>
        </w:r>
      </w:hyperlink>
    </w:p>
    <w:p>
      <w:pPr>
        <w:spacing w:after="110" w:line="264"/>
        <w:ind w:left="360" w:hanging="360"/>
      </w:pPr>
      <w:r>
        <w:rPr>
          <w:rFonts w:ascii="Arial" w:cs="Arial" w:eastAsia="Arial" w:hAnsi="Arial"/>
          <w:b/>
          <w:bCs/>
          <w:color w:val="234A35"/>
          <w:sz w:val="18"/>
          <w:szCs w:val="18"/>
        </w:rPr>
        <w:t xml:space="preserve">[11]  </w:t>
      </w:r>
      <w:r>
        <w:rPr>
          <w:rFonts w:ascii="Georgia" w:cs="Georgia" w:eastAsia="Georgia" w:hAnsi="Georgia"/>
          <w:color w:val="1A1A1A"/>
          <w:sz w:val="19"/>
          <w:szCs w:val="19"/>
        </w:rPr>
        <w:t xml:space="preserve">Maillard, L. C. (1912). </w:t>
      </w:r>
      <w:r>
        <w:rPr>
          <w:rFonts w:ascii="Georgia" w:cs="Georgia" w:eastAsia="Georgia" w:hAnsi="Georgia"/>
          <w:i/>
          <w:iCs/>
          <w:color w:val="1A1A1A"/>
          <w:sz w:val="19"/>
          <w:szCs w:val="19"/>
        </w:rPr>
        <w:t xml:space="preserve">Action des acides aminés sur les sucres: Formation des mélanoïdines par voie méthodique. </w:t>
      </w:r>
      <w:r>
        <w:rPr>
          <w:rFonts w:ascii="Georgia" w:cs="Georgia" w:eastAsia="Georgia" w:hAnsi="Georgia"/>
          <w:color w:val="1A1A1A"/>
          <w:sz w:val="19"/>
          <w:szCs w:val="19"/>
        </w:rPr>
        <w:t xml:space="preserve">Comptes Rendus de l'Académie des Sciences. 154, 66-68</w:t>
      </w:r>
    </w:p>
    <w:p>
      <w:pPr>
        <w:spacing w:after="110" w:line="264"/>
        <w:ind w:left="360" w:hanging="360"/>
      </w:pPr>
      <w:r>
        <w:rPr>
          <w:rFonts w:ascii="Arial" w:cs="Arial" w:eastAsia="Arial" w:hAnsi="Arial"/>
          <w:b/>
          <w:bCs/>
          <w:color w:val="234A35"/>
          <w:sz w:val="18"/>
          <w:szCs w:val="18"/>
        </w:rPr>
        <w:t xml:space="preserve">[12]  </w:t>
      </w:r>
      <w:r>
        <w:rPr>
          <w:rFonts w:ascii="Georgia" w:cs="Georgia" w:eastAsia="Georgia" w:hAnsi="Georgia"/>
          <w:color w:val="1A1A1A"/>
          <w:sz w:val="19"/>
          <w:szCs w:val="19"/>
        </w:rPr>
        <w:t xml:space="preserve">Nursten, H. E. (2005). </w:t>
      </w:r>
      <w:r>
        <w:rPr>
          <w:rFonts w:ascii="Georgia" w:cs="Georgia" w:eastAsia="Georgia" w:hAnsi="Georgia"/>
          <w:i/>
          <w:iCs/>
          <w:color w:val="1A1A1A"/>
          <w:sz w:val="19"/>
          <w:szCs w:val="19"/>
        </w:rPr>
        <w:t xml:space="preserve">The Maillard reaction: Chemistry, biochemistry and implications. </w:t>
      </w:r>
      <w:r>
        <w:rPr>
          <w:rFonts w:ascii="Georgia" w:cs="Georgia" w:eastAsia="Georgia" w:hAnsi="Georgia"/>
          <w:color w:val="1A1A1A"/>
          <w:sz w:val="19"/>
          <w:szCs w:val="19"/>
        </w:rPr>
        <w:t xml:space="preserve">Royal Society of Chemistry. Cambridge, UK</w:t>
      </w:r>
    </w:p>
    <w:p>
      <w:pPr>
        <w:spacing w:after="110" w:line="264"/>
        <w:ind w:left="360" w:hanging="360"/>
      </w:pPr>
      <w:r>
        <w:rPr>
          <w:rFonts w:ascii="Arial" w:cs="Arial" w:eastAsia="Arial" w:hAnsi="Arial"/>
          <w:b/>
          <w:bCs/>
          <w:color w:val="234A35"/>
          <w:sz w:val="18"/>
          <w:szCs w:val="18"/>
        </w:rPr>
        <w:t xml:space="preserve">[13]  </w:t>
      </w:r>
      <w:r>
        <w:rPr>
          <w:rFonts w:ascii="Georgia" w:cs="Georgia" w:eastAsia="Georgia" w:hAnsi="Georgia"/>
          <w:color w:val="1A1A1A"/>
          <w:sz w:val="19"/>
          <w:szCs w:val="19"/>
        </w:rPr>
        <w:t xml:space="preserve">Aalaei, K., Rayner, M., &amp; Sjöholm, I. (2025). </w:t>
      </w:r>
      <w:r>
        <w:rPr>
          <w:rFonts w:ascii="Georgia" w:cs="Georgia" w:eastAsia="Georgia" w:hAnsi="Georgia"/>
          <w:i/>
          <w:iCs/>
          <w:color w:val="1A1A1A"/>
          <w:sz w:val="19"/>
          <w:szCs w:val="19"/>
        </w:rPr>
        <w:t xml:space="preserve">Maillard reaction: Mechanism, influencing parameters, advantages, disadvantages, and food industrial applications — A review. </w:t>
      </w:r>
      <w:r>
        <w:rPr>
          <w:rFonts w:ascii="Georgia" w:cs="Georgia" w:eastAsia="Georgia" w:hAnsi="Georgia"/>
          <w:color w:val="1A1A1A"/>
          <w:sz w:val="19"/>
          <w:szCs w:val="19"/>
        </w:rPr>
        <w:t xml:space="preserve">Foods. 14(11), 1881. https://doi.org/10.3390/foods14111881</w:t>
      </w:r>
    </w:p>
    <w:p>
      <w:pPr>
        <w:spacing w:after="60" w:line="252"/>
        <w:ind w:left="360"/>
      </w:pPr>
      <w:hyperlink w:history="1" r:id="rIdylyw1x-rmhr1d-oilc2c5">
        <w:r>
          <w:rPr>
            <w:rStyle w:val="Hyperlink"/>
            <w:rFonts w:ascii="Consolas" w:cs="Consolas" w:eastAsia="Consolas" w:hAnsi="Consolas"/>
            <w:sz w:val="16"/>
            <w:szCs w:val="16"/>
          </w:rPr>
          <w:t xml:space="preserve">https://www.mdpi.com/2304-8158/14/11/1881</w:t>
        </w:r>
      </w:hyperlink>
    </w:p>
    <w:p>
      <w:pPr>
        <w:spacing w:after="110" w:line="264"/>
        <w:ind w:left="360" w:hanging="360"/>
      </w:pPr>
      <w:r>
        <w:rPr>
          <w:rFonts w:ascii="Arial" w:cs="Arial" w:eastAsia="Arial" w:hAnsi="Arial"/>
          <w:b/>
          <w:bCs/>
          <w:color w:val="234A35"/>
          <w:sz w:val="18"/>
          <w:szCs w:val="18"/>
        </w:rPr>
        <w:t xml:space="preserve">[14]  </w:t>
      </w:r>
      <w:r>
        <w:rPr>
          <w:rFonts w:ascii="Georgia" w:cs="Georgia" w:eastAsia="Georgia" w:hAnsi="Georgia"/>
          <w:color w:val="1A1A1A"/>
          <w:sz w:val="19"/>
          <w:szCs w:val="19"/>
        </w:rPr>
        <w:t xml:space="preserve">Mottram, D. S. (1998). </w:t>
      </w:r>
      <w:r>
        <w:rPr>
          <w:rFonts w:ascii="Georgia" w:cs="Georgia" w:eastAsia="Georgia" w:hAnsi="Georgia"/>
          <w:i/>
          <w:iCs/>
          <w:color w:val="1A1A1A"/>
          <w:sz w:val="19"/>
          <w:szCs w:val="19"/>
        </w:rPr>
        <w:t xml:space="preserve">Flavour formation in meat and meat products: A review. </w:t>
      </w:r>
      <w:r>
        <w:rPr>
          <w:rFonts w:ascii="Georgia" w:cs="Georgia" w:eastAsia="Georgia" w:hAnsi="Georgia"/>
          <w:color w:val="1A1A1A"/>
          <w:sz w:val="19"/>
          <w:szCs w:val="19"/>
        </w:rPr>
        <w:t xml:space="preserve">Food Chemistry. 62(4), 415-424. https://doi.org/10.1016/S0308-8146(98)00076-4</w:t>
      </w:r>
    </w:p>
    <w:p>
      <w:pPr>
        <w:spacing w:after="60" w:line="252"/>
        <w:ind w:left="360"/>
      </w:pPr>
      <w:hyperlink w:history="1" r:id="rIdq5c0snc3j4qv0nwdd6uro">
        <w:r>
          <w:rPr>
            <w:rStyle w:val="Hyperlink"/>
            <w:rFonts w:ascii="Consolas" w:cs="Consolas" w:eastAsia="Consolas" w:hAnsi="Consolas"/>
            <w:sz w:val="16"/>
            <w:szCs w:val="16"/>
          </w:rPr>
          <w:t xml:space="preserve">https://doi.org/10.1016/S0308-8146(98)00076-4</w:t>
        </w:r>
      </w:hyperlink>
    </w:p>
    <w:p>
      <w:pPr>
        <w:spacing w:after="110" w:line="264"/>
        <w:ind w:left="360" w:hanging="360"/>
      </w:pPr>
      <w:r>
        <w:rPr>
          <w:rFonts w:ascii="Arial" w:cs="Arial" w:eastAsia="Arial" w:hAnsi="Arial"/>
          <w:b/>
          <w:bCs/>
          <w:color w:val="234A35"/>
          <w:sz w:val="18"/>
          <w:szCs w:val="18"/>
        </w:rPr>
        <w:t xml:space="preserve">[15]  </w:t>
      </w:r>
      <w:r>
        <w:rPr>
          <w:rFonts w:ascii="Georgia" w:cs="Georgia" w:eastAsia="Georgia" w:hAnsi="Georgia"/>
          <w:color w:val="1A1A1A"/>
          <w:sz w:val="19"/>
          <w:szCs w:val="19"/>
        </w:rPr>
        <w:t xml:space="preserve">McGee, H. (2004). </w:t>
      </w:r>
      <w:r>
        <w:rPr>
          <w:rFonts w:ascii="Georgia" w:cs="Georgia" w:eastAsia="Georgia" w:hAnsi="Georgia"/>
          <w:i/>
          <w:iCs/>
          <w:color w:val="1A1A1A"/>
          <w:sz w:val="19"/>
          <w:szCs w:val="19"/>
        </w:rPr>
        <w:t xml:space="preserve">On food and cooking: The science and lore of the kitchen (2nd ed.). </w:t>
      </w:r>
      <w:r>
        <w:rPr>
          <w:rFonts w:ascii="Georgia" w:cs="Georgia" w:eastAsia="Georgia" w:hAnsi="Georgia"/>
          <w:color w:val="1A1A1A"/>
          <w:sz w:val="19"/>
          <w:szCs w:val="19"/>
        </w:rPr>
        <w:t xml:space="preserve">Scribner. New York, NY</w:t>
      </w:r>
    </w:p>
    <w:p>
      <w:pPr>
        <w:spacing w:after="110" w:line="264"/>
        <w:ind w:left="360" w:hanging="360"/>
      </w:pPr>
      <w:r>
        <w:rPr>
          <w:rFonts w:ascii="Arial" w:cs="Arial" w:eastAsia="Arial" w:hAnsi="Arial"/>
          <w:b/>
          <w:bCs/>
          <w:color w:val="234A35"/>
          <w:sz w:val="18"/>
          <w:szCs w:val="18"/>
        </w:rPr>
        <w:t xml:space="preserve">[16]  </w:t>
      </w:r>
      <w:r>
        <w:rPr>
          <w:rFonts w:ascii="Georgia" w:cs="Georgia" w:eastAsia="Georgia" w:hAnsi="Georgia"/>
          <w:color w:val="1A1A1A"/>
          <w:sz w:val="19"/>
          <w:szCs w:val="19"/>
        </w:rPr>
        <w:t xml:space="preserve">López-Alt, J. K. (2015). </w:t>
      </w:r>
      <w:r>
        <w:rPr>
          <w:rFonts w:ascii="Georgia" w:cs="Georgia" w:eastAsia="Georgia" w:hAnsi="Georgia"/>
          <w:i/>
          <w:iCs/>
          <w:color w:val="1A1A1A"/>
          <w:sz w:val="19"/>
          <w:szCs w:val="19"/>
        </w:rPr>
        <w:t xml:space="preserve">The food lab: Better home cooking through science. </w:t>
      </w:r>
      <w:r>
        <w:rPr>
          <w:rFonts w:ascii="Georgia" w:cs="Georgia" w:eastAsia="Georgia" w:hAnsi="Georgia"/>
          <w:color w:val="1A1A1A"/>
          <w:sz w:val="19"/>
          <w:szCs w:val="19"/>
        </w:rPr>
        <w:t xml:space="preserve">W. W. Norton &amp; Company. New York, NY</w:t>
      </w:r>
    </w:p>
    <w:p>
      <w:pPr>
        <w:spacing w:after="110" w:line="264"/>
        <w:ind w:left="360" w:hanging="360"/>
      </w:pPr>
      <w:r>
        <w:rPr>
          <w:rFonts w:ascii="Arial" w:cs="Arial" w:eastAsia="Arial" w:hAnsi="Arial"/>
          <w:b/>
          <w:bCs/>
          <w:color w:val="234A35"/>
          <w:sz w:val="18"/>
          <w:szCs w:val="18"/>
        </w:rPr>
        <w:t xml:space="preserve">[17]  </w:t>
      </w:r>
      <w:r>
        <w:rPr>
          <w:rFonts w:ascii="Georgia" w:cs="Georgia" w:eastAsia="Georgia" w:hAnsi="Georgia"/>
          <w:color w:val="1A1A1A"/>
          <w:sz w:val="19"/>
          <w:szCs w:val="19"/>
        </w:rPr>
        <w:t xml:space="preserve">Goldwyn, M., &amp; Blonder, G. (2016). </w:t>
      </w:r>
      <w:r>
        <w:rPr>
          <w:rFonts w:ascii="Georgia" w:cs="Georgia" w:eastAsia="Georgia" w:hAnsi="Georgia"/>
          <w:i/>
          <w:iCs/>
          <w:color w:val="1A1A1A"/>
          <w:sz w:val="19"/>
          <w:szCs w:val="19"/>
        </w:rPr>
        <w:t xml:space="preserve">Meathead: The science of great barbecue and grilling. </w:t>
      </w:r>
      <w:r>
        <w:rPr>
          <w:rFonts w:ascii="Georgia" w:cs="Georgia" w:eastAsia="Georgia" w:hAnsi="Georgia"/>
          <w:color w:val="1A1A1A"/>
          <w:sz w:val="19"/>
          <w:szCs w:val="19"/>
        </w:rPr>
        <w:t xml:space="preserve">Houghton Mifflin Harcourt. Boston, MA</w:t>
      </w:r>
    </w:p>
    <w:p>
      <w:pPr>
        <w:spacing w:after="110" w:line="264"/>
        <w:ind w:left="360" w:hanging="360"/>
      </w:pPr>
      <w:r>
        <w:rPr>
          <w:rFonts w:ascii="Arial" w:cs="Arial" w:eastAsia="Arial" w:hAnsi="Arial"/>
          <w:b/>
          <w:bCs/>
          <w:color w:val="234A35"/>
          <w:sz w:val="18"/>
          <w:szCs w:val="18"/>
        </w:rPr>
        <w:t xml:space="preserve">[18]  </w:t>
      </w:r>
      <w:r>
        <w:rPr>
          <w:rFonts w:ascii="Georgia" w:cs="Georgia" w:eastAsia="Georgia" w:hAnsi="Georgia"/>
          <w:color w:val="1A1A1A"/>
          <w:sz w:val="19"/>
          <w:szCs w:val="19"/>
        </w:rPr>
        <w:t xml:space="preserve">Nosrat, S. (2017). </w:t>
      </w:r>
      <w:r>
        <w:rPr>
          <w:rFonts w:ascii="Georgia" w:cs="Georgia" w:eastAsia="Georgia" w:hAnsi="Georgia"/>
          <w:i/>
          <w:iCs/>
          <w:color w:val="1A1A1A"/>
          <w:sz w:val="19"/>
          <w:szCs w:val="19"/>
        </w:rPr>
        <w:t xml:space="preserve">Salt, fat, acid, heat: Mastering the elements of good cooking. </w:t>
      </w:r>
      <w:r>
        <w:rPr>
          <w:rFonts w:ascii="Georgia" w:cs="Georgia" w:eastAsia="Georgia" w:hAnsi="Georgia"/>
          <w:color w:val="1A1A1A"/>
          <w:sz w:val="19"/>
          <w:szCs w:val="19"/>
        </w:rPr>
        <w:t xml:space="preserve">Simon &amp; Schuster. New York, NY</w:t>
      </w:r>
    </w:p>
    <w:p>
      <w:pPr>
        <w:spacing w:after="110" w:line="264"/>
        <w:ind w:left="360" w:hanging="360"/>
      </w:pPr>
      <w:r>
        <w:rPr>
          <w:rFonts w:ascii="Arial" w:cs="Arial" w:eastAsia="Arial" w:hAnsi="Arial"/>
          <w:b/>
          <w:bCs/>
          <w:color w:val="234A35"/>
          <w:sz w:val="18"/>
          <w:szCs w:val="18"/>
        </w:rPr>
        <w:t xml:space="preserve">[19]  </w:t>
      </w:r>
      <w:r>
        <w:rPr>
          <w:rFonts w:ascii="Georgia" w:cs="Georgia" w:eastAsia="Georgia" w:hAnsi="Georgia"/>
          <w:color w:val="1A1A1A"/>
          <w:sz w:val="19"/>
          <w:szCs w:val="19"/>
        </w:rPr>
        <w:t xml:space="preserve">America's Test Kitchen (2018). </w:t>
      </w:r>
      <w:r>
        <w:rPr>
          <w:rFonts w:ascii="Georgia" w:cs="Georgia" w:eastAsia="Georgia" w:hAnsi="Georgia"/>
          <w:i/>
          <w:iCs/>
          <w:color w:val="1A1A1A"/>
          <w:sz w:val="19"/>
          <w:szCs w:val="19"/>
        </w:rPr>
        <w:t xml:space="preserve">The Cook's Illustrated meat book: The game-changing guide that teaches you how to cook meat and poultry with 425 bulletproof recipes. </w:t>
      </w:r>
      <w:r>
        <w:rPr>
          <w:rFonts w:ascii="Georgia" w:cs="Georgia" w:eastAsia="Georgia" w:hAnsi="Georgia"/>
          <w:color w:val="1A1A1A"/>
          <w:sz w:val="19"/>
          <w:szCs w:val="19"/>
        </w:rPr>
        <w:t xml:space="preserve">America's Test Kitchen. Brookline, MA</w:t>
      </w:r>
    </w:p>
    <w:p>
      <w:pPr>
        <w:spacing w:after="110" w:line="264"/>
        <w:ind w:left="360" w:hanging="360"/>
      </w:pPr>
      <w:r>
        <w:rPr>
          <w:rFonts w:ascii="Arial" w:cs="Arial" w:eastAsia="Arial" w:hAnsi="Arial"/>
          <w:b/>
          <w:bCs/>
          <w:color w:val="234A35"/>
          <w:sz w:val="18"/>
          <w:szCs w:val="18"/>
        </w:rPr>
        <w:t xml:space="preserve">[20]  </w:t>
      </w:r>
      <w:r>
        <w:rPr>
          <w:rFonts w:ascii="Georgia" w:cs="Georgia" w:eastAsia="Georgia" w:hAnsi="Georgia"/>
          <w:color w:val="1A1A1A"/>
          <w:sz w:val="19"/>
          <w:szCs w:val="19"/>
        </w:rPr>
        <w:t xml:space="preserve">Goldwyn, M., &amp; Blonder, G. (2023). </w:t>
      </w:r>
      <w:r>
        <w:rPr>
          <w:rFonts w:ascii="Georgia" w:cs="Georgia" w:eastAsia="Georgia" w:hAnsi="Georgia"/>
          <w:i/>
          <w:iCs/>
          <w:color w:val="1A1A1A"/>
          <w:sz w:val="19"/>
          <w:szCs w:val="19"/>
        </w:rPr>
        <w:t xml:space="preserve">The science of resting meat. </w:t>
      </w:r>
      <w:r>
        <w:rPr>
          <w:rFonts w:ascii="Georgia" w:cs="Georgia" w:eastAsia="Georgia" w:hAnsi="Georgia"/>
          <w:color w:val="1A1A1A"/>
          <w:sz w:val="19"/>
          <w:szCs w:val="19"/>
        </w:rPr>
        <w:t xml:space="preserve">AmazingRibs.com. Retrieved from amazingribs.com</w:t>
      </w:r>
    </w:p>
    <w:p>
      <w:pPr>
        <w:spacing w:after="60" w:line="252"/>
        <w:ind w:left="360"/>
      </w:pPr>
      <w:hyperlink w:history="1" r:id="rId6ptcexurpdhopyhfnnthp">
        <w:r>
          <w:rPr>
            <w:rStyle w:val="Hyperlink"/>
            <w:rFonts w:ascii="Consolas" w:cs="Consolas" w:eastAsia="Consolas" w:hAnsi="Consolas"/>
            <w:sz w:val="16"/>
            <w:szCs w:val="16"/>
          </w:rPr>
          <w:t xml:space="preserve">https://amazingribs.com/more-technique-and-science/more-cooking-science/science-of-resting-meat/</w:t>
        </w:r>
      </w:hyperlink>
    </w:p>
    <w:p>
      <w:pPr>
        <w:spacing w:after="110" w:line="264"/>
        <w:ind w:left="360" w:hanging="360"/>
      </w:pPr>
      <w:r>
        <w:rPr>
          <w:rFonts w:ascii="Arial" w:cs="Arial" w:eastAsia="Arial" w:hAnsi="Arial"/>
          <w:b/>
          <w:bCs/>
          <w:color w:val="234A35"/>
          <w:sz w:val="18"/>
          <w:szCs w:val="18"/>
        </w:rPr>
        <w:t xml:space="preserve">[21]  </w:t>
      </w:r>
      <w:r>
        <w:rPr>
          <w:rFonts w:ascii="Georgia" w:cs="Georgia" w:eastAsia="Georgia" w:hAnsi="Georgia"/>
          <w:color w:val="1A1A1A"/>
          <w:sz w:val="19"/>
          <w:szCs w:val="19"/>
        </w:rPr>
        <w:t xml:space="preserve">Blonder, G. (2023). </w:t>
      </w:r>
      <w:r>
        <w:rPr>
          <w:rFonts w:ascii="Georgia" w:cs="Georgia" w:eastAsia="Georgia" w:hAnsi="Georgia"/>
          <w:i/>
          <w:iCs/>
          <w:color w:val="1A1A1A"/>
          <w:sz w:val="19"/>
          <w:szCs w:val="19"/>
        </w:rPr>
        <w:t xml:space="preserve">What you need to know about wood, smoke, and combustion. </w:t>
      </w:r>
      <w:r>
        <w:rPr>
          <w:rFonts w:ascii="Georgia" w:cs="Georgia" w:eastAsia="Georgia" w:hAnsi="Georgia"/>
          <w:color w:val="1A1A1A"/>
          <w:sz w:val="19"/>
          <w:szCs w:val="19"/>
        </w:rPr>
        <w:t xml:space="preserve">AmazingRibs.com. Retrieved from amazingribs.com</w:t>
      </w:r>
    </w:p>
    <w:p>
      <w:pPr>
        <w:spacing w:after="60" w:line="252"/>
        <w:ind w:left="360"/>
      </w:pPr>
      <w:hyperlink w:history="1" r:id="rIdyxjpush438tj8x-56anqx">
        <w:r>
          <w:rPr>
            <w:rStyle w:val="Hyperlink"/>
            <w:rFonts w:ascii="Consolas" w:cs="Consolas" w:eastAsia="Consolas" w:hAnsi="Consolas"/>
            <w:sz w:val="16"/>
            <w:szCs w:val="16"/>
          </w:rPr>
          <w:t xml:space="preserve">https://amazingribs.com/more-technique-and-science/grill-and-smoker-setup-and-firing/science-of-wood-and-smoke/</w:t>
        </w:r>
      </w:hyperlink>
    </w:p>
    <w:p>
      <w:pPr>
        <w:spacing w:after="110" w:line="264"/>
        <w:ind w:left="360" w:hanging="360"/>
      </w:pPr>
      <w:r>
        <w:rPr>
          <w:rFonts w:ascii="Arial" w:cs="Arial" w:eastAsia="Arial" w:hAnsi="Arial"/>
          <w:b/>
          <w:bCs/>
          <w:color w:val="234A35"/>
          <w:sz w:val="18"/>
          <w:szCs w:val="18"/>
        </w:rPr>
        <w:t xml:space="preserve">[22]  </w:t>
      </w:r>
      <w:r>
        <w:rPr>
          <w:rFonts w:ascii="Georgia" w:cs="Georgia" w:eastAsia="Georgia" w:hAnsi="Georgia"/>
          <w:color w:val="1A1A1A"/>
          <w:sz w:val="19"/>
          <w:szCs w:val="19"/>
        </w:rPr>
        <w:t xml:space="preserve">Blonder, G. (2023). </w:t>
      </w:r>
      <w:r>
        <w:rPr>
          <w:rFonts w:ascii="Georgia" w:cs="Georgia" w:eastAsia="Georgia" w:hAnsi="Georgia"/>
          <w:i/>
          <w:iCs/>
          <w:color w:val="1A1A1A"/>
          <w:sz w:val="19"/>
          <w:szCs w:val="19"/>
        </w:rPr>
        <w:t xml:space="preserve">Mythbusting the smoke ring: No smoke necessary!. </w:t>
      </w:r>
      <w:r>
        <w:rPr>
          <w:rFonts w:ascii="Georgia" w:cs="Georgia" w:eastAsia="Georgia" w:hAnsi="Georgia"/>
          <w:color w:val="1A1A1A"/>
          <w:sz w:val="19"/>
          <w:szCs w:val="19"/>
        </w:rPr>
        <w:t xml:space="preserve">AmazingRibs.com. Retrieved from amazingribs.com</w:t>
      </w:r>
    </w:p>
    <w:p>
      <w:pPr>
        <w:spacing w:after="60" w:line="252"/>
        <w:ind w:left="360"/>
      </w:pPr>
      <w:hyperlink w:history="1" r:id="rIdpl20qqyivblv3hkqie7_r">
        <w:r>
          <w:rPr>
            <w:rStyle w:val="Hyperlink"/>
            <w:rFonts w:ascii="Consolas" w:cs="Consolas" w:eastAsia="Consolas" w:hAnsi="Consolas"/>
            <w:sz w:val="16"/>
            <w:szCs w:val="16"/>
          </w:rPr>
          <w:t xml:space="preserve">https://amazingribs.com/more-technique-and-science/more-cooking-science/smoke-ring-mythbusting/</w:t>
        </w:r>
      </w:hyperlink>
    </w:p>
    <w:p>
      <w:pPr>
        <w:spacing w:after="110" w:line="264"/>
        <w:ind w:left="360" w:hanging="360"/>
      </w:pPr>
      <w:r>
        <w:rPr>
          <w:rFonts w:ascii="Arial" w:cs="Arial" w:eastAsia="Arial" w:hAnsi="Arial"/>
          <w:b/>
          <w:bCs/>
          <w:color w:val="234A35"/>
          <w:sz w:val="18"/>
          <w:szCs w:val="18"/>
        </w:rPr>
        <w:t xml:space="preserve">[23]  </w:t>
      </w:r>
      <w:r>
        <w:rPr>
          <w:rFonts w:ascii="Georgia" w:cs="Georgia" w:eastAsia="Georgia" w:hAnsi="Georgia"/>
          <w:color w:val="1A1A1A"/>
          <w:sz w:val="19"/>
          <w:szCs w:val="19"/>
        </w:rPr>
        <w:t xml:space="preserve">Goldwyn, M. (2023). </w:t>
      </w:r>
      <w:r>
        <w:rPr>
          <w:rFonts w:ascii="Georgia" w:cs="Georgia" w:eastAsia="Georgia" w:hAnsi="Georgia"/>
          <w:i/>
          <w:iCs/>
          <w:color w:val="1A1A1A"/>
          <w:sz w:val="19"/>
          <w:szCs w:val="19"/>
        </w:rPr>
        <w:t xml:space="preserve">Stickburning: Smoking with wood. </w:t>
      </w:r>
      <w:r>
        <w:rPr>
          <w:rFonts w:ascii="Georgia" w:cs="Georgia" w:eastAsia="Georgia" w:hAnsi="Georgia"/>
          <w:color w:val="1A1A1A"/>
          <w:sz w:val="19"/>
          <w:szCs w:val="19"/>
        </w:rPr>
        <w:t xml:space="preserve">AmazingRibs.com. Retrieved from amazingribs.com</w:t>
      </w:r>
    </w:p>
    <w:p>
      <w:pPr>
        <w:spacing w:after="60" w:line="252"/>
        <w:ind w:left="360"/>
      </w:pPr>
      <w:hyperlink w:history="1" r:id="rId3xtvyozfnvz-aio8jvjnq">
        <w:r>
          <w:rPr>
            <w:rStyle w:val="Hyperlink"/>
            <w:rFonts w:ascii="Consolas" w:cs="Consolas" w:eastAsia="Consolas" w:hAnsi="Consolas"/>
            <w:sz w:val="16"/>
            <w:szCs w:val="16"/>
          </w:rPr>
          <w:t xml:space="preserve">https://amazingribs.com/more-technique-and-science/grill-and-smoker-setup-and-firing/smoking-with-wood/</w:t>
        </w:r>
      </w:hyperlink>
    </w:p>
    <w:p>
      <w:pPr>
        <w:spacing w:after="110" w:line="264"/>
        <w:ind w:left="360" w:hanging="360"/>
      </w:pPr>
      <w:r>
        <w:rPr>
          <w:rFonts w:ascii="Arial" w:cs="Arial" w:eastAsia="Arial" w:hAnsi="Arial"/>
          <w:b/>
          <w:bCs/>
          <w:color w:val="234A35"/>
          <w:sz w:val="18"/>
          <w:szCs w:val="18"/>
        </w:rPr>
        <w:t xml:space="preserve">[24]  </w:t>
      </w:r>
      <w:r>
        <w:rPr>
          <w:rFonts w:ascii="Georgia" w:cs="Georgia" w:eastAsia="Georgia" w:hAnsi="Georgia"/>
          <w:color w:val="1A1A1A"/>
          <w:sz w:val="19"/>
          <w:szCs w:val="19"/>
        </w:rPr>
        <w:t xml:space="preserve">López-Alt, J. K. (2012). </w:t>
      </w:r>
      <w:r>
        <w:rPr>
          <w:rFonts w:ascii="Georgia" w:cs="Georgia" w:eastAsia="Georgia" w:hAnsi="Georgia"/>
          <w:i/>
          <w:iCs/>
          <w:color w:val="1A1A1A"/>
          <w:sz w:val="19"/>
          <w:szCs w:val="19"/>
        </w:rPr>
        <w:t xml:space="preserve">The food lab: A geek's guide to grilling. </w:t>
      </w:r>
      <w:r>
        <w:rPr>
          <w:rFonts w:ascii="Georgia" w:cs="Georgia" w:eastAsia="Georgia" w:hAnsi="Georgia"/>
          <w:color w:val="1A1A1A"/>
          <w:sz w:val="19"/>
          <w:szCs w:val="19"/>
        </w:rPr>
        <w:t xml:space="preserve">Serious Eats. Retrieved from seriouseats.com</w:t>
      </w:r>
    </w:p>
    <w:p>
      <w:pPr>
        <w:spacing w:after="60" w:line="252"/>
        <w:ind w:left="360"/>
      </w:pPr>
      <w:hyperlink w:history="1" r:id="rIdcolfmk2eh-hdyekdpknmc">
        <w:r>
          <w:rPr>
            <w:rStyle w:val="Hyperlink"/>
            <w:rFonts w:ascii="Consolas" w:cs="Consolas" w:eastAsia="Consolas" w:hAnsi="Consolas"/>
            <w:sz w:val="16"/>
            <w:szCs w:val="16"/>
          </w:rPr>
          <w:t xml:space="preserve">https://www.seriouseats.com/the-food-lab-the-science-of-grilling</w:t>
        </w:r>
      </w:hyperlink>
    </w:p>
    <w:p>
      <w:pPr>
        <w:spacing w:after="110" w:line="264"/>
        <w:ind w:left="360" w:hanging="360"/>
      </w:pPr>
      <w:r>
        <w:rPr>
          <w:rFonts w:ascii="Arial" w:cs="Arial" w:eastAsia="Arial" w:hAnsi="Arial"/>
          <w:b/>
          <w:bCs/>
          <w:color w:val="234A35"/>
          <w:sz w:val="18"/>
          <w:szCs w:val="18"/>
        </w:rPr>
        <w:t xml:space="preserve">[25]  </w:t>
      </w:r>
      <w:r>
        <w:rPr>
          <w:rFonts w:ascii="Georgia" w:cs="Georgia" w:eastAsia="Georgia" w:hAnsi="Georgia"/>
          <w:color w:val="1A1A1A"/>
          <w:sz w:val="19"/>
          <w:szCs w:val="19"/>
        </w:rPr>
        <w:t xml:space="preserve">Ledesma, E., Rendueles, M., &amp; Díaz, M. (2016). </w:t>
      </w:r>
      <w:r>
        <w:rPr>
          <w:rFonts w:ascii="Georgia" w:cs="Georgia" w:eastAsia="Georgia" w:hAnsi="Georgia"/>
          <w:i/>
          <w:iCs/>
          <w:color w:val="1A1A1A"/>
          <w:sz w:val="19"/>
          <w:szCs w:val="19"/>
        </w:rPr>
        <w:t xml:space="preserve">Contamination of meat products during smoking by polycyclic aromatic hydrocarbons: Processes and prevention. </w:t>
      </w:r>
      <w:r>
        <w:rPr>
          <w:rFonts w:ascii="Georgia" w:cs="Georgia" w:eastAsia="Georgia" w:hAnsi="Georgia"/>
          <w:color w:val="1A1A1A"/>
          <w:sz w:val="19"/>
          <w:szCs w:val="19"/>
        </w:rPr>
        <w:t xml:space="preserve">Food Control. 60, 64-87. https://doi.org/10.1016/j.foodcont.2015.07.016</w:t>
      </w:r>
    </w:p>
    <w:p>
      <w:pPr>
        <w:spacing w:after="60" w:line="252"/>
        <w:ind w:left="360"/>
      </w:pPr>
      <w:hyperlink w:history="1" r:id="rIdpcqswh8uldbsljnduu_bj">
        <w:r>
          <w:rPr>
            <w:rStyle w:val="Hyperlink"/>
            <w:rFonts w:ascii="Consolas" w:cs="Consolas" w:eastAsia="Consolas" w:hAnsi="Consolas"/>
            <w:sz w:val="16"/>
            <w:szCs w:val="16"/>
          </w:rPr>
          <w:t xml:space="preserve">https://doi.org/10.1016/j.foodcont.2015.07.016</w:t>
        </w:r>
      </w:hyperlink>
    </w:p>
    <w:p>
      <w:pPr>
        <w:spacing w:after="110" w:line="264"/>
        <w:ind w:left="360" w:hanging="360"/>
      </w:pPr>
      <w:r>
        <w:rPr>
          <w:rFonts w:ascii="Arial" w:cs="Arial" w:eastAsia="Arial" w:hAnsi="Arial"/>
          <w:b/>
          <w:bCs/>
          <w:color w:val="234A35"/>
          <w:sz w:val="18"/>
          <w:szCs w:val="18"/>
        </w:rPr>
        <w:t xml:space="preserve">[26]  </w:t>
      </w:r>
      <w:r>
        <w:rPr>
          <w:rFonts w:ascii="Georgia" w:cs="Georgia" w:eastAsia="Georgia" w:hAnsi="Georgia"/>
          <w:color w:val="1A1A1A"/>
          <w:sz w:val="19"/>
          <w:szCs w:val="19"/>
        </w:rPr>
        <w:t xml:space="preserve">Lorenzo, J. M., Purriños, L., Bermudez, R., Cobas, N., Figueiredo, M., &amp; García Fontán, M. C. (2012). </w:t>
      </w:r>
      <w:r>
        <w:rPr>
          <w:rFonts w:ascii="Georgia" w:cs="Georgia" w:eastAsia="Georgia" w:hAnsi="Georgia"/>
          <w:i/>
          <w:iCs/>
          <w:color w:val="1A1A1A"/>
          <w:sz w:val="19"/>
          <w:szCs w:val="19"/>
        </w:rPr>
        <w:t xml:space="preserve">Polycyclic aromatic hydrocarbons (PAHs) in two Spanish traditional smoked sausage varieties. </w:t>
      </w:r>
      <w:r>
        <w:rPr>
          <w:rFonts w:ascii="Georgia" w:cs="Georgia" w:eastAsia="Georgia" w:hAnsi="Georgia"/>
          <w:color w:val="1A1A1A"/>
          <w:sz w:val="19"/>
          <w:szCs w:val="19"/>
        </w:rPr>
        <w:t xml:space="preserve">Meat Science. 92(4), 658-664. https://doi.org/10.1016/j.meatsci.2012.06.013</w:t>
      </w:r>
    </w:p>
    <w:p>
      <w:pPr>
        <w:spacing w:after="60" w:line="252"/>
        <w:ind w:left="360"/>
      </w:pPr>
      <w:hyperlink w:history="1" r:id="rIdr6sjirbvy_qcb5e3vklqd">
        <w:r>
          <w:rPr>
            <w:rStyle w:val="Hyperlink"/>
            <w:rFonts w:ascii="Consolas" w:cs="Consolas" w:eastAsia="Consolas" w:hAnsi="Consolas"/>
            <w:sz w:val="16"/>
            <w:szCs w:val="16"/>
          </w:rPr>
          <w:t xml:space="preserve">https://doi.org/10.1016/j.meatsci.2012.06.013</w:t>
        </w:r>
      </w:hyperlink>
    </w:p>
    <w:p>
      <w:pPr>
        <w:spacing w:after="110" w:line="264"/>
        <w:ind w:left="360" w:hanging="360"/>
      </w:pPr>
      <w:r>
        <w:rPr>
          <w:rFonts w:ascii="Arial" w:cs="Arial" w:eastAsia="Arial" w:hAnsi="Arial"/>
          <w:b/>
          <w:bCs/>
          <w:color w:val="234A35"/>
          <w:sz w:val="18"/>
          <w:szCs w:val="18"/>
        </w:rPr>
        <w:t xml:space="preserve">[27]  </w:t>
      </w:r>
      <w:r>
        <w:rPr>
          <w:rFonts w:ascii="Georgia" w:cs="Georgia" w:eastAsia="Georgia" w:hAnsi="Georgia"/>
          <w:color w:val="1A1A1A"/>
          <w:sz w:val="19"/>
          <w:szCs w:val="19"/>
        </w:rPr>
        <w:t xml:space="preserve">Di Noia, J. (2014). </w:t>
      </w:r>
      <w:r>
        <w:rPr>
          <w:rFonts w:ascii="Georgia" w:cs="Georgia" w:eastAsia="Georgia" w:hAnsi="Georgia"/>
          <w:i/>
          <w:iCs/>
          <w:color w:val="1A1A1A"/>
          <w:sz w:val="19"/>
          <w:szCs w:val="19"/>
        </w:rPr>
        <w:t xml:space="preserve">Defining powerhouse fruits and vegetables: A nutrient density approach. </w:t>
      </w:r>
      <w:r>
        <w:rPr>
          <w:rFonts w:ascii="Georgia" w:cs="Georgia" w:eastAsia="Georgia" w:hAnsi="Georgia"/>
          <w:color w:val="1A1A1A"/>
          <w:sz w:val="19"/>
          <w:szCs w:val="19"/>
        </w:rPr>
        <w:t xml:space="preserve">Preventing Chronic Disease. 11, 130390. https://doi.org/10.5888/pcd11.130390</w:t>
      </w:r>
    </w:p>
    <w:p>
      <w:pPr>
        <w:spacing w:after="60" w:line="252"/>
        <w:ind w:left="360"/>
      </w:pPr>
      <w:hyperlink w:history="1" r:id="rIdk8yctyvacdpchiqczo_j7">
        <w:r>
          <w:rPr>
            <w:rStyle w:val="Hyperlink"/>
            <w:rFonts w:ascii="Consolas" w:cs="Consolas" w:eastAsia="Consolas" w:hAnsi="Consolas"/>
            <w:sz w:val="16"/>
            <w:szCs w:val="16"/>
          </w:rPr>
          <w:t xml:space="preserve">https://www.cdc.gov/pcd/issues/2014/13_0390.htm</w:t>
        </w:r>
      </w:hyperlink>
    </w:p>
    <w:p>
      <w:pPr>
        <w:spacing w:after="110" w:line="264"/>
        <w:ind w:left="360" w:hanging="360"/>
      </w:pPr>
      <w:r>
        <w:rPr>
          <w:rFonts w:ascii="Arial" w:cs="Arial" w:eastAsia="Arial" w:hAnsi="Arial"/>
          <w:b/>
          <w:bCs/>
          <w:color w:val="234A35"/>
          <w:sz w:val="18"/>
          <w:szCs w:val="18"/>
        </w:rPr>
        <w:t xml:space="preserve">[28]  </w:t>
      </w:r>
      <w:r>
        <w:rPr>
          <w:rFonts w:ascii="Georgia" w:cs="Georgia" w:eastAsia="Georgia" w:hAnsi="Georgia"/>
          <w:color w:val="1A1A1A"/>
          <w:sz w:val="19"/>
          <w:szCs w:val="19"/>
        </w:rPr>
        <w:t xml:space="preserve">Drewnowski, A. (2005). </w:t>
      </w:r>
      <w:r>
        <w:rPr>
          <w:rFonts w:ascii="Georgia" w:cs="Georgia" w:eastAsia="Georgia" w:hAnsi="Georgia"/>
          <w:i/>
          <w:iCs/>
          <w:color w:val="1A1A1A"/>
          <w:sz w:val="19"/>
          <w:szCs w:val="19"/>
        </w:rPr>
        <w:t xml:space="preserve">Concept of a nutritious food: Toward a nutrient density score. </w:t>
      </w:r>
      <w:r>
        <w:rPr>
          <w:rFonts w:ascii="Georgia" w:cs="Georgia" w:eastAsia="Georgia" w:hAnsi="Georgia"/>
          <w:color w:val="1A1A1A"/>
          <w:sz w:val="19"/>
          <w:szCs w:val="19"/>
        </w:rPr>
        <w:t xml:space="preserve">The American Journal of Clinical Nutrition. 82(4), 721-732. https://doi.org/10.1093/ajcn/82.4.721</w:t>
      </w:r>
    </w:p>
    <w:p>
      <w:pPr>
        <w:spacing w:after="60" w:line="252"/>
        <w:ind w:left="360"/>
      </w:pPr>
      <w:hyperlink w:history="1" r:id="rIdl9kluli6whlukcty1kdf5">
        <w:r>
          <w:rPr>
            <w:rStyle w:val="Hyperlink"/>
            <w:rFonts w:ascii="Consolas" w:cs="Consolas" w:eastAsia="Consolas" w:hAnsi="Consolas"/>
            <w:sz w:val="16"/>
            <w:szCs w:val="16"/>
          </w:rPr>
          <w:t xml:space="preserve">https://doi.org/10.1093/ajcn/82.4.721</w:t>
        </w:r>
      </w:hyperlink>
    </w:p>
    <w:p>
      <w:pPr>
        <w:spacing w:after="110" w:line="264"/>
        <w:ind w:left="360" w:hanging="360"/>
      </w:pPr>
      <w:r>
        <w:rPr>
          <w:rFonts w:ascii="Arial" w:cs="Arial" w:eastAsia="Arial" w:hAnsi="Arial"/>
          <w:b/>
          <w:bCs/>
          <w:color w:val="234A35"/>
          <w:sz w:val="18"/>
          <w:szCs w:val="18"/>
        </w:rPr>
        <w:t xml:space="preserve">[29]  </w:t>
      </w:r>
      <w:r>
        <w:rPr>
          <w:rFonts w:ascii="Georgia" w:cs="Georgia" w:eastAsia="Georgia" w:hAnsi="Georgia"/>
          <w:color w:val="1A1A1A"/>
          <w:sz w:val="19"/>
          <w:szCs w:val="19"/>
        </w:rPr>
        <w:t xml:space="preserve">Fulgoni, V. L., Keast, D. R., Bailey, R. L., &amp; Dwyer, J. (2011). </w:t>
      </w:r>
      <w:r>
        <w:rPr>
          <w:rFonts w:ascii="Georgia" w:cs="Georgia" w:eastAsia="Georgia" w:hAnsi="Georgia"/>
          <w:i/>
          <w:iCs/>
          <w:color w:val="1A1A1A"/>
          <w:sz w:val="19"/>
          <w:szCs w:val="19"/>
        </w:rPr>
        <w:t xml:space="preserve">Foods, fortificants, and supplements: Where do Americans get their nutrients?. </w:t>
      </w:r>
      <w:r>
        <w:rPr>
          <w:rFonts w:ascii="Georgia" w:cs="Georgia" w:eastAsia="Georgia" w:hAnsi="Georgia"/>
          <w:color w:val="1A1A1A"/>
          <w:sz w:val="19"/>
          <w:szCs w:val="19"/>
        </w:rPr>
        <w:t xml:space="preserve">The Journal of Nutrition. 141(10), 1847-1854. https://doi.org/10.3945/jn.111.142257</w:t>
      </w:r>
    </w:p>
    <w:p>
      <w:pPr>
        <w:spacing w:after="60" w:line="252"/>
        <w:ind w:left="360"/>
      </w:pPr>
      <w:hyperlink w:history="1" r:id="rIdphattf8c0x9xrdczkjqcp">
        <w:r>
          <w:rPr>
            <w:rStyle w:val="Hyperlink"/>
            <w:rFonts w:ascii="Consolas" w:cs="Consolas" w:eastAsia="Consolas" w:hAnsi="Consolas"/>
            <w:sz w:val="16"/>
            <w:szCs w:val="16"/>
          </w:rPr>
          <w:t xml:space="preserve">https://doi.org/10.3945/jn.111.142257</w:t>
        </w:r>
      </w:hyperlink>
    </w:p>
    <w:p>
      <w:pPr>
        <w:spacing w:after="110" w:line="264"/>
        <w:ind w:left="360" w:hanging="360"/>
      </w:pPr>
      <w:r>
        <w:rPr>
          <w:rFonts w:ascii="Arial" w:cs="Arial" w:eastAsia="Arial" w:hAnsi="Arial"/>
          <w:b/>
          <w:bCs/>
          <w:color w:val="234A35"/>
          <w:sz w:val="18"/>
          <w:szCs w:val="18"/>
        </w:rPr>
        <w:t xml:space="preserve">[30]  </w:t>
      </w:r>
      <w:r>
        <w:rPr>
          <w:rFonts w:ascii="Georgia" w:cs="Georgia" w:eastAsia="Georgia" w:hAnsi="Georgia"/>
          <w:color w:val="1A1A1A"/>
          <w:sz w:val="19"/>
          <w:szCs w:val="19"/>
        </w:rPr>
        <w:t xml:space="preserve">Hurrell, R., &amp; Egli, I. (2010). </w:t>
      </w:r>
      <w:r>
        <w:rPr>
          <w:rFonts w:ascii="Georgia" w:cs="Georgia" w:eastAsia="Georgia" w:hAnsi="Georgia"/>
          <w:i/>
          <w:iCs/>
          <w:color w:val="1A1A1A"/>
          <w:sz w:val="19"/>
          <w:szCs w:val="19"/>
        </w:rPr>
        <w:t xml:space="preserve">Iron bioavailability and dietary reference values. </w:t>
      </w:r>
      <w:r>
        <w:rPr>
          <w:rFonts w:ascii="Georgia" w:cs="Georgia" w:eastAsia="Georgia" w:hAnsi="Georgia"/>
          <w:color w:val="1A1A1A"/>
          <w:sz w:val="19"/>
          <w:szCs w:val="19"/>
        </w:rPr>
        <w:t xml:space="preserve">The American Journal of Clinical Nutrition. 91(5), 1461S-1467S. https://doi.org/10.3945/ajcn.2010.28674F</w:t>
      </w:r>
    </w:p>
    <w:p>
      <w:pPr>
        <w:spacing w:after="60" w:line="252"/>
        <w:ind w:left="360"/>
      </w:pPr>
      <w:hyperlink w:history="1" r:id="rIdrpjbwozgb9r22kpo5hqzk">
        <w:r>
          <w:rPr>
            <w:rStyle w:val="Hyperlink"/>
            <w:rFonts w:ascii="Consolas" w:cs="Consolas" w:eastAsia="Consolas" w:hAnsi="Consolas"/>
            <w:sz w:val="16"/>
            <w:szCs w:val="16"/>
          </w:rPr>
          <w:t xml:space="preserve">https://doi.org/10.3945/ajcn.2010.28674F</w:t>
        </w:r>
      </w:hyperlink>
    </w:p>
    <w:p>
      <w:pPr>
        <w:spacing w:after="110" w:line="264"/>
        <w:ind w:left="360" w:hanging="360"/>
      </w:pPr>
      <w:r>
        <w:rPr>
          <w:rFonts w:ascii="Arial" w:cs="Arial" w:eastAsia="Arial" w:hAnsi="Arial"/>
          <w:b/>
          <w:bCs/>
          <w:color w:val="234A35"/>
          <w:sz w:val="18"/>
          <w:szCs w:val="18"/>
        </w:rPr>
        <w:t xml:space="preserve">[31]  </w:t>
      </w:r>
      <w:r>
        <w:rPr>
          <w:rFonts w:ascii="Georgia" w:cs="Georgia" w:eastAsia="Georgia" w:hAnsi="Georgia"/>
          <w:color w:val="1A1A1A"/>
          <w:sz w:val="19"/>
          <w:szCs w:val="19"/>
        </w:rPr>
        <w:t xml:space="preserve">Cook, J. D., &amp; Monsen, E. R. (1977). </w:t>
      </w:r>
      <w:r>
        <w:rPr>
          <w:rFonts w:ascii="Georgia" w:cs="Georgia" w:eastAsia="Georgia" w:hAnsi="Georgia"/>
          <w:i/>
          <w:iCs/>
          <w:color w:val="1A1A1A"/>
          <w:sz w:val="19"/>
          <w:szCs w:val="19"/>
        </w:rPr>
        <w:t xml:space="preserve">Vitamin C, the common cold, and iron absorption. </w:t>
      </w:r>
      <w:r>
        <w:rPr>
          <w:rFonts w:ascii="Georgia" w:cs="Georgia" w:eastAsia="Georgia" w:hAnsi="Georgia"/>
          <w:color w:val="1A1A1A"/>
          <w:sz w:val="19"/>
          <w:szCs w:val="19"/>
        </w:rPr>
        <w:t xml:space="preserve">The American Journal of Clinical Nutrition. 30(2), 235-241. https://doi.org/10.1093/ajcn/30.2.235</w:t>
      </w:r>
    </w:p>
    <w:p>
      <w:pPr>
        <w:spacing w:after="60" w:line="252"/>
        <w:ind w:left="360"/>
      </w:pPr>
      <w:hyperlink w:history="1" r:id="rIdglnj2euivys9jrc9zqz2j">
        <w:r>
          <w:rPr>
            <w:rStyle w:val="Hyperlink"/>
            <w:rFonts w:ascii="Consolas" w:cs="Consolas" w:eastAsia="Consolas" w:hAnsi="Consolas"/>
            <w:sz w:val="16"/>
            <w:szCs w:val="16"/>
          </w:rPr>
          <w:t xml:space="preserve">https://doi.org/10.1093/ajcn/30.2.235</w:t>
        </w:r>
      </w:hyperlink>
    </w:p>
    <w:p>
      <w:pPr>
        <w:spacing w:after="110" w:line="264"/>
        <w:ind w:left="360" w:hanging="360"/>
      </w:pPr>
      <w:r>
        <w:rPr>
          <w:rFonts w:ascii="Arial" w:cs="Arial" w:eastAsia="Arial" w:hAnsi="Arial"/>
          <w:b/>
          <w:bCs/>
          <w:color w:val="234A35"/>
          <w:sz w:val="18"/>
          <w:szCs w:val="18"/>
        </w:rPr>
        <w:t xml:space="preserve">[32]  </w:t>
      </w:r>
      <w:r>
        <w:rPr>
          <w:rFonts w:ascii="Georgia" w:cs="Georgia" w:eastAsia="Georgia" w:hAnsi="Georgia"/>
          <w:color w:val="1A1A1A"/>
          <w:sz w:val="19"/>
          <w:szCs w:val="19"/>
        </w:rPr>
        <w:t xml:space="preserve">Hallberg, L., Brune, M., &amp; Rossander, L. (1989). </w:t>
      </w:r>
      <w:r>
        <w:rPr>
          <w:rFonts w:ascii="Georgia" w:cs="Georgia" w:eastAsia="Georgia" w:hAnsi="Georgia"/>
          <w:i/>
          <w:iCs/>
          <w:color w:val="1A1A1A"/>
          <w:sz w:val="19"/>
          <w:szCs w:val="19"/>
        </w:rPr>
        <w:t xml:space="preserve">The role of vitamin C in iron absorption. </w:t>
      </w:r>
      <w:r>
        <w:rPr>
          <w:rFonts w:ascii="Georgia" w:cs="Georgia" w:eastAsia="Georgia" w:hAnsi="Georgia"/>
          <w:color w:val="1A1A1A"/>
          <w:sz w:val="19"/>
          <w:szCs w:val="19"/>
        </w:rPr>
        <w:t xml:space="preserve">International Journal for Vitamin and Nutrition Research. Supplement. 30, 103-108</w:t>
      </w:r>
    </w:p>
    <w:p>
      <w:pPr>
        <w:spacing w:after="110" w:line="264"/>
        <w:ind w:left="360" w:hanging="360"/>
      </w:pPr>
      <w:r>
        <w:rPr>
          <w:rFonts w:ascii="Arial" w:cs="Arial" w:eastAsia="Arial" w:hAnsi="Arial"/>
          <w:b/>
          <w:bCs/>
          <w:color w:val="234A35"/>
          <w:sz w:val="18"/>
          <w:szCs w:val="18"/>
        </w:rPr>
        <w:t xml:space="preserve">[33]  </w:t>
      </w:r>
      <w:r>
        <w:rPr>
          <w:rFonts w:ascii="Georgia" w:cs="Georgia" w:eastAsia="Georgia" w:hAnsi="Georgia"/>
          <w:color w:val="1A1A1A"/>
          <w:sz w:val="19"/>
          <w:szCs w:val="19"/>
        </w:rPr>
        <w:t xml:space="preserve">Lynch, S. R., &amp; Cook, J. D. (1980). </w:t>
      </w:r>
      <w:r>
        <w:rPr>
          <w:rFonts w:ascii="Georgia" w:cs="Georgia" w:eastAsia="Georgia" w:hAnsi="Georgia"/>
          <w:i/>
          <w:iCs/>
          <w:color w:val="1A1A1A"/>
          <w:sz w:val="19"/>
          <w:szCs w:val="19"/>
        </w:rPr>
        <w:t xml:space="preserve">Interaction of vitamin C and iron. </w:t>
      </w:r>
      <w:r>
        <w:rPr>
          <w:rFonts w:ascii="Georgia" w:cs="Georgia" w:eastAsia="Georgia" w:hAnsi="Georgia"/>
          <w:color w:val="1A1A1A"/>
          <w:sz w:val="19"/>
          <w:szCs w:val="19"/>
        </w:rPr>
        <w:t xml:space="preserve">Annals of the New York Academy of Sciences. 355(1), 32-44. https://doi.org/10.1111/j.1749-6632.1980.tb21325.x</w:t>
      </w:r>
    </w:p>
    <w:p>
      <w:pPr>
        <w:spacing w:after="60" w:line="252"/>
        <w:ind w:left="360"/>
      </w:pPr>
      <w:hyperlink w:history="1" r:id="rIdfoz4o8uoyrlkj53k7z4ad">
        <w:r>
          <w:rPr>
            <w:rStyle w:val="Hyperlink"/>
            <w:rFonts w:ascii="Consolas" w:cs="Consolas" w:eastAsia="Consolas" w:hAnsi="Consolas"/>
            <w:sz w:val="16"/>
            <w:szCs w:val="16"/>
          </w:rPr>
          <w:t xml:space="preserve">https://doi.org/10.1111/j.1749-6632.1980.tb21325.x</w:t>
        </w:r>
      </w:hyperlink>
    </w:p>
    <w:p>
      <w:pPr>
        <w:spacing w:after="110" w:line="264"/>
        <w:ind w:left="360" w:hanging="360"/>
      </w:pPr>
      <w:r>
        <w:rPr>
          <w:rFonts w:ascii="Arial" w:cs="Arial" w:eastAsia="Arial" w:hAnsi="Arial"/>
          <w:b/>
          <w:bCs/>
          <w:color w:val="234A35"/>
          <w:sz w:val="18"/>
          <w:szCs w:val="18"/>
        </w:rPr>
        <w:t xml:space="preserve">[34]  </w:t>
      </w:r>
      <w:r>
        <w:rPr>
          <w:rFonts w:ascii="Georgia" w:cs="Georgia" w:eastAsia="Georgia" w:hAnsi="Georgia"/>
          <w:color w:val="1A1A1A"/>
          <w:sz w:val="19"/>
          <w:szCs w:val="19"/>
        </w:rPr>
        <w:t xml:space="preserve">Brown, M. J., Ferruzzi, M. G., Nguyen, M. L., Cooper, D. A., Eldridge, A. L., Schwartz, S. J., &amp; White, W. S. (2004). </w:t>
      </w:r>
      <w:r>
        <w:rPr>
          <w:rFonts w:ascii="Georgia" w:cs="Georgia" w:eastAsia="Georgia" w:hAnsi="Georgia"/>
          <w:i/>
          <w:iCs/>
          <w:color w:val="1A1A1A"/>
          <w:sz w:val="19"/>
          <w:szCs w:val="19"/>
        </w:rPr>
        <w:t xml:space="preserve">Carotenoid bioavailability is higher from salads ingested with full-fat than with fat-reduced salad dressings as measured with electrochemical detection. </w:t>
      </w:r>
      <w:r>
        <w:rPr>
          <w:rFonts w:ascii="Georgia" w:cs="Georgia" w:eastAsia="Georgia" w:hAnsi="Georgia"/>
          <w:color w:val="1A1A1A"/>
          <w:sz w:val="19"/>
          <w:szCs w:val="19"/>
        </w:rPr>
        <w:t xml:space="preserve">The American Journal of Clinical Nutrition. 80(2), 396-403. https://doi.org/10.1093/ajcn/80.2.396</w:t>
      </w:r>
    </w:p>
    <w:p>
      <w:pPr>
        <w:spacing w:after="60" w:line="252"/>
        <w:ind w:left="360"/>
      </w:pPr>
      <w:hyperlink w:history="1" r:id="rId35hxr8v5kzg_wi3lek2ph">
        <w:r>
          <w:rPr>
            <w:rStyle w:val="Hyperlink"/>
            <w:rFonts w:ascii="Consolas" w:cs="Consolas" w:eastAsia="Consolas" w:hAnsi="Consolas"/>
            <w:sz w:val="16"/>
            <w:szCs w:val="16"/>
          </w:rPr>
          <w:t xml:space="preserve">https://doi.org/10.1093/ajcn/80.2.396</w:t>
        </w:r>
      </w:hyperlink>
    </w:p>
    <w:p>
      <w:pPr>
        <w:spacing w:after="110" w:line="264"/>
        <w:ind w:left="360" w:hanging="360"/>
      </w:pPr>
      <w:r>
        <w:rPr>
          <w:rFonts w:ascii="Arial" w:cs="Arial" w:eastAsia="Arial" w:hAnsi="Arial"/>
          <w:b/>
          <w:bCs/>
          <w:color w:val="234A35"/>
          <w:sz w:val="18"/>
          <w:szCs w:val="18"/>
        </w:rPr>
        <w:t xml:space="preserve">[35]  </w:t>
      </w:r>
      <w:r>
        <w:rPr>
          <w:rFonts w:ascii="Georgia" w:cs="Georgia" w:eastAsia="Georgia" w:hAnsi="Georgia"/>
          <w:color w:val="1A1A1A"/>
          <w:sz w:val="19"/>
          <w:szCs w:val="19"/>
        </w:rPr>
        <w:t xml:space="preserve">Unlu, N. Z., Bohn, T., Clinton, S. K., &amp; Schwartz, S. J. (2005). </w:t>
      </w:r>
      <w:r>
        <w:rPr>
          <w:rFonts w:ascii="Georgia" w:cs="Georgia" w:eastAsia="Georgia" w:hAnsi="Georgia"/>
          <w:i/>
          <w:iCs/>
          <w:color w:val="1A1A1A"/>
          <w:sz w:val="19"/>
          <w:szCs w:val="19"/>
        </w:rPr>
        <w:t xml:space="preserve">Carotenoid absorption from salad and salsa by humans is enhanced by the addition of avocado or avocado oil. </w:t>
      </w:r>
      <w:r>
        <w:rPr>
          <w:rFonts w:ascii="Georgia" w:cs="Georgia" w:eastAsia="Georgia" w:hAnsi="Georgia"/>
          <w:color w:val="1A1A1A"/>
          <w:sz w:val="19"/>
          <w:szCs w:val="19"/>
        </w:rPr>
        <w:t xml:space="preserve">The Journal of Nutrition. 135(3), 431-436. https://doi.org/10.1093/jn/135.3.431</w:t>
      </w:r>
    </w:p>
    <w:p>
      <w:pPr>
        <w:spacing w:after="60" w:line="252"/>
        <w:ind w:left="360"/>
      </w:pPr>
      <w:hyperlink w:history="1" r:id="rIdsujejxbqvy3sag5z_rsa8">
        <w:r>
          <w:rPr>
            <w:rStyle w:val="Hyperlink"/>
            <w:rFonts w:ascii="Consolas" w:cs="Consolas" w:eastAsia="Consolas" w:hAnsi="Consolas"/>
            <w:sz w:val="16"/>
            <w:szCs w:val="16"/>
          </w:rPr>
          <w:t xml:space="preserve">https://doi.org/10.1093/jn/135.3.431</w:t>
        </w:r>
      </w:hyperlink>
    </w:p>
    <w:p>
      <w:pPr>
        <w:spacing w:after="110" w:line="264"/>
        <w:ind w:left="360" w:hanging="360"/>
      </w:pPr>
      <w:r>
        <w:rPr>
          <w:rFonts w:ascii="Arial" w:cs="Arial" w:eastAsia="Arial" w:hAnsi="Arial"/>
          <w:b/>
          <w:bCs/>
          <w:color w:val="234A35"/>
          <w:sz w:val="18"/>
          <w:szCs w:val="18"/>
        </w:rPr>
        <w:t xml:space="preserve">[36]  </w:t>
      </w:r>
      <w:r>
        <w:rPr>
          <w:rFonts w:ascii="Georgia" w:cs="Georgia" w:eastAsia="Georgia" w:hAnsi="Georgia"/>
          <w:color w:val="1A1A1A"/>
          <w:sz w:val="19"/>
          <w:szCs w:val="19"/>
        </w:rPr>
        <w:t xml:space="preserve">Kopec, R. E., &amp; Failla, M. L. (2018). </w:t>
      </w:r>
      <w:r>
        <w:rPr>
          <w:rFonts w:ascii="Georgia" w:cs="Georgia" w:eastAsia="Georgia" w:hAnsi="Georgia"/>
          <w:i/>
          <w:iCs/>
          <w:color w:val="1A1A1A"/>
          <w:sz w:val="19"/>
          <w:szCs w:val="19"/>
        </w:rPr>
        <w:t xml:space="preserve">Recent advances in the bioaccessibility and bioavailability of carotenoids and effects of other dietary lipophiles. </w:t>
      </w:r>
      <w:r>
        <w:rPr>
          <w:rFonts w:ascii="Georgia" w:cs="Georgia" w:eastAsia="Georgia" w:hAnsi="Georgia"/>
          <w:color w:val="1A1A1A"/>
          <w:sz w:val="19"/>
          <w:szCs w:val="19"/>
        </w:rPr>
        <w:t xml:space="preserve">Journal of Food Composition and Analysis. 68, 16-30. https://doi.org/10.1016/j.jfca.2017.06.008</w:t>
      </w:r>
    </w:p>
    <w:p>
      <w:pPr>
        <w:spacing w:after="60" w:line="252"/>
        <w:ind w:left="360"/>
      </w:pPr>
      <w:hyperlink w:history="1" r:id="rIdlal3p3yyuuuizacljodgq">
        <w:r>
          <w:rPr>
            <w:rStyle w:val="Hyperlink"/>
            <w:rFonts w:ascii="Consolas" w:cs="Consolas" w:eastAsia="Consolas" w:hAnsi="Consolas"/>
            <w:sz w:val="16"/>
            <w:szCs w:val="16"/>
          </w:rPr>
          <w:t xml:space="preserve">https://doi.org/10.1016/j.jfca.2017.06.008</w:t>
        </w:r>
      </w:hyperlink>
    </w:p>
    <w:p>
      <w:pPr>
        <w:spacing w:after="110" w:line="264"/>
        <w:ind w:left="360" w:hanging="360"/>
      </w:pPr>
      <w:r>
        <w:rPr>
          <w:rFonts w:ascii="Arial" w:cs="Arial" w:eastAsia="Arial" w:hAnsi="Arial"/>
          <w:b/>
          <w:bCs/>
          <w:color w:val="234A35"/>
          <w:sz w:val="18"/>
          <w:szCs w:val="18"/>
        </w:rPr>
        <w:t xml:space="preserve">[37]  </w:t>
      </w:r>
      <w:r>
        <w:rPr>
          <w:rFonts w:ascii="Georgia" w:cs="Georgia" w:eastAsia="Georgia" w:hAnsi="Georgia"/>
          <w:color w:val="1A1A1A"/>
          <w:sz w:val="19"/>
          <w:szCs w:val="19"/>
        </w:rPr>
        <w:t xml:space="preserve">Zeisel, S. H., &amp; da Costa, K.-A. (2009). </w:t>
      </w:r>
      <w:r>
        <w:rPr>
          <w:rFonts w:ascii="Georgia" w:cs="Georgia" w:eastAsia="Georgia" w:hAnsi="Georgia"/>
          <w:i/>
          <w:iCs/>
          <w:color w:val="1A1A1A"/>
          <w:sz w:val="19"/>
          <w:szCs w:val="19"/>
        </w:rPr>
        <w:t xml:space="preserve">Choline: An essential nutrient for public health. </w:t>
      </w:r>
      <w:r>
        <w:rPr>
          <w:rFonts w:ascii="Georgia" w:cs="Georgia" w:eastAsia="Georgia" w:hAnsi="Georgia"/>
          <w:color w:val="1A1A1A"/>
          <w:sz w:val="19"/>
          <w:szCs w:val="19"/>
        </w:rPr>
        <w:t xml:space="preserve">Nutrition Reviews. 67(11), 615-623. https://doi.org/10.1111/j.1753-4887.2009.00246.x</w:t>
      </w:r>
    </w:p>
    <w:p>
      <w:pPr>
        <w:spacing w:after="60" w:line="252"/>
        <w:ind w:left="360"/>
      </w:pPr>
      <w:hyperlink w:history="1" r:id="rIdsk-yvqmt_mmibhqzfilzy">
        <w:r>
          <w:rPr>
            <w:rStyle w:val="Hyperlink"/>
            <w:rFonts w:ascii="Consolas" w:cs="Consolas" w:eastAsia="Consolas" w:hAnsi="Consolas"/>
            <w:sz w:val="16"/>
            <w:szCs w:val="16"/>
          </w:rPr>
          <w:t xml:space="preserve">https://doi.org/10.1111/j.1753-4887.2009.00246.x</w:t>
        </w:r>
      </w:hyperlink>
    </w:p>
    <w:p>
      <w:pPr>
        <w:spacing w:after="110" w:line="264"/>
        <w:ind w:left="360" w:hanging="360"/>
      </w:pPr>
      <w:r>
        <w:rPr>
          <w:rFonts w:ascii="Arial" w:cs="Arial" w:eastAsia="Arial" w:hAnsi="Arial"/>
          <w:b/>
          <w:bCs/>
          <w:color w:val="234A35"/>
          <w:sz w:val="18"/>
          <w:szCs w:val="18"/>
        </w:rPr>
        <w:t xml:space="preserve">[38]  </w:t>
      </w:r>
      <w:r>
        <w:rPr>
          <w:rFonts w:ascii="Georgia" w:cs="Georgia" w:eastAsia="Georgia" w:hAnsi="Georgia"/>
          <w:color w:val="1A1A1A"/>
          <w:sz w:val="19"/>
          <w:szCs w:val="19"/>
        </w:rPr>
        <w:t xml:space="preserve">Wallace, T. C., &amp; Fulgoni, V. L. (2017). </w:t>
      </w:r>
      <w:r>
        <w:rPr>
          <w:rFonts w:ascii="Georgia" w:cs="Georgia" w:eastAsia="Georgia" w:hAnsi="Georgia"/>
          <w:i/>
          <w:iCs/>
          <w:color w:val="1A1A1A"/>
          <w:sz w:val="19"/>
          <w:szCs w:val="19"/>
        </w:rPr>
        <w:t xml:space="preserve">Usual choline intakes are associated with egg and protein food consumption in the United States. </w:t>
      </w:r>
      <w:r>
        <w:rPr>
          <w:rFonts w:ascii="Georgia" w:cs="Georgia" w:eastAsia="Georgia" w:hAnsi="Georgia"/>
          <w:color w:val="1A1A1A"/>
          <w:sz w:val="19"/>
          <w:szCs w:val="19"/>
        </w:rPr>
        <w:t xml:space="preserve">Nutrients. 9(8), 839. https://doi.org/10.3390/nu9080839</w:t>
      </w:r>
    </w:p>
    <w:p>
      <w:pPr>
        <w:spacing w:after="60" w:line="252"/>
        <w:ind w:left="360"/>
      </w:pPr>
      <w:hyperlink w:history="1" r:id="rIdg_uhuxhzatkuapy5axe-w">
        <w:r>
          <w:rPr>
            <w:rStyle w:val="Hyperlink"/>
            <w:rFonts w:ascii="Consolas" w:cs="Consolas" w:eastAsia="Consolas" w:hAnsi="Consolas"/>
            <w:sz w:val="16"/>
            <w:szCs w:val="16"/>
          </w:rPr>
          <w:t xml:space="preserve">https://doi.org/10.3390/nu9080839</w:t>
        </w:r>
      </w:hyperlink>
    </w:p>
    <w:p>
      <w:pPr>
        <w:spacing w:after="110" w:line="264"/>
        <w:ind w:left="360" w:hanging="360"/>
      </w:pPr>
      <w:r>
        <w:rPr>
          <w:rFonts w:ascii="Arial" w:cs="Arial" w:eastAsia="Arial" w:hAnsi="Arial"/>
          <w:b/>
          <w:bCs/>
          <w:color w:val="234A35"/>
          <w:sz w:val="18"/>
          <w:szCs w:val="18"/>
        </w:rPr>
        <w:t xml:space="preserve">[39]  </w:t>
      </w:r>
      <w:r>
        <w:rPr>
          <w:rFonts w:ascii="Georgia" w:cs="Georgia" w:eastAsia="Georgia" w:hAnsi="Georgia"/>
          <w:color w:val="1A1A1A"/>
          <w:sz w:val="19"/>
          <w:szCs w:val="19"/>
        </w:rPr>
        <w:t xml:space="preserve">Watanabe, F., &amp; Bito, T. (2018). </w:t>
      </w:r>
      <w:r>
        <w:rPr>
          <w:rFonts w:ascii="Georgia" w:cs="Georgia" w:eastAsia="Georgia" w:hAnsi="Georgia"/>
          <w:i/>
          <w:iCs/>
          <w:color w:val="1A1A1A"/>
          <w:sz w:val="19"/>
          <w:szCs w:val="19"/>
        </w:rPr>
        <w:t xml:space="preserve">Vitamin B12 sources and microbial interaction. </w:t>
      </w:r>
      <w:r>
        <w:rPr>
          <w:rFonts w:ascii="Georgia" w:cs="Georgia" w:eastAsia="Georgia" w:hAnsi="Georgia"/>
          <w:color w:val="1A1A1A"/>
          <w:sz w:val="19"/>
          <w:szCs w:val="19"/>
        </w:rPr>
        <w:t xml:space="preserve">Experimental Biology and Medicine. 243(2), 148-158. https://doi.org/10.1177/1535370217746612</w:t>
      </w:r>
    </w:p>
    <w:p>
      <w:pPr>
        <w:spacing w:after="60" w:line="252"/>
        <w:ind w:left="360"/>
      </w:pPr>
      <w:hyperlink w:history="1" r:id="rIds_5numfnbbqbyd8hxxdnr">
        <w:r>
          <w:rPr>
            <w:rStyle w:val="Hyperlink"/>
            <w:rFonts w:ascii="Consolas" w:cs="Consolas" w:eastAsia="Consolas" w:hAnsi="Consolas"/>
            <w:sz w:val="16"/>
            <w:szCs w:val="16"/>
          </w:rPr>
          <w:t xml:space="preserve">https://doi.org/10.1177/1535370217746612</w:t>
        </w:r>
      </w:hyperlink>
    </w:p>
    <w:p>
      <w:pPr>
        <w:spacing w:after="110" w:line="264"/>
        <w:ind w:left="360" w:hanging="360"/>
      </w:pPr>
      <w:r>
        <w:rPr>
          <w:rFonts w:ascii="Arial" w:cs="Arial" w:eastAsia="Arial" w:hAnsi="Arial"/>
          <w:b/>
          <w:bCs/>
          <w:color w:val="234A35"/>
          <w:sz w:val="18"/>
          <w:szCs w:val="18"/>
        </w:rPr>
        <w:t xml:space="preserve">[40]  </w:t>
      </w:r>
      <w:r>
        <w:rPr>
          <w:rFonts w:ascii="Georgia" w:cs="Georgia" w:eastAsia="Georgia" w:hAnsi="Georgia"/>
          <w:color w:val="1A1A1A"/>
          <w:sz w:val="19"/>
          <w:szCs w:val="19"/>
        </w:rPr>
        <w:t xml:space="preserve">Allen, L. H. (2009). </w:t>
      </w:r>
      <w:r>
        <w:rPr>
          <w:rFonts w:ascii="Georgia" w:cs="Georgia" w:eastAsia="Georgia" w:hAnsi="Georgia"/>
          <w:i/>
          <w:iCs/>
          <w:color w:val="1A1A1A"/>
          <w:sz w:val="19"/>
          <w:szCs w:val="19"/>
        </w:rPr>
        <w:t xml:space="preserve">How common is vitamin B-12 deficiency?. </w:t>
      </w:r>
      <w:r>
        <w:rPr>
          <w:rFonts w:ascii="Georgia" w:cs="Georgia" w:eastAsia="Georgia" w:hAnsi="Georgia"/>
          <w:color w:val="1A1A1A"/>
          <w:sz w:val="19"/>
          <w:szCs w:val="19"/>
        </w:rPr>
        <w:t xml:space="preserve">The American Journal of Clinical Nutrition. 89(2), 693S-696S. https://doi.org/10.3945/ajcn.2008.26947A</w:t>
      </w:r>
    </w:p>
    <w:p>
      <w:pPr>
        <w:spacing w:after="60" w:line="252"/>
        <w:ind w:left="360"/>
      </w:pPr>
      <w:hyperlink w:history="1" r:id="rIdapazewatowg-ny1us3dmq">
        <w:r>
          <w:rPr>
            <w:rStyle w:val="Hyperlink"/>
            <w:rFonts w:ascii="Consolas" w:cs="Consolas" w:eastAsia="Consolas" w:hAnsi="Consolas"/>
            <w:sz w:val="16"/>
            <w:szCs w:val="16"/>
          </w:rPr>
          <w:t xml:space="preserve">https://doi.org/10.3945/ajcn.2008.26947A</w:t>
        </w:r>
      </w:hyperlink>
    </w:p>
    <w:p>
      <w:pPr>
        <w:spacing w:after="110" w:line="264"/>
        <w:ind w:left="360" w:hanging="360"/>
      </w:pPr>
      <w:r>
        <w:rPr>
          <w:rFonts w:ascii="Arial" w:cs="Arial" w:eastAsia="Arial" w:hAnsi="Arial"/>
          <w:b/>
          <w:bCs/>
          <w:color w:val="234A35"/>
          <w:sz w:val="18"/>
          <w:szCs w:val="18"/>
        </w:rPr>
        <w:t xml:space="preserve">[41]  </w:t>
      </w:r>
      <w:r>
        <w:rPr>
          <w:rFonts w:ascii="Georgia" w:cs="Georgia" w:eastAsia="Georgia" w:hAnsi="Georgia"/>
          <w:color w:val="1A1A1A"/>
          <w:sz w:val="19"/>
          <w:szCs w:val="19"/>
        </w:rPr>
        <w:t xml:space="preserve">Réhault-Godbert, S., Guyot, N., &amp; Nys, Y. (2019). </w:t>
      </w:r>
      <w:r>
        <w:rPr>
          <w:rFonts w:ascii="Georgia" w:cs="Georgia" w:eastAsia="Georgia" w:hAnsi="Georgia"/>
          <w:i/>
          <w:iCs/>
          <w:color w:val="1A1A1A"/>
          <w:sz w:val="19"/>
          <w:szCs w:val="19"/>
        </w:rPr>
        <w:t xml:space="preserve">The golden egg: Nutritional value, bioactivities, and emerging benefits for human health. </w:t>
      </w:r>
      <w:r>
        <w:rPr>
          <w:rFonts w:ascii="Georgia" w:cs="Georgia" w:eastAsia="Georgia" w:hAnsi="Georgia"/>
          <w:color w:val="1A1A1A"/>
          <w:sz w:val="19"/>
          <w:szCs w:val="19"/>
        </w:rPr>
        <w:t xml:space="preserve">Nutrients. 11(3), 684. https://doi.org/10.3390/nu11030684</w:t>
      </w:r>
    </w:p>
    <w:p>
      <w:pPr>
        <w:spacing w:after="60" w:line="252"/>
        <w:ind w:left="360"/>
      </w:pPr>
      <w:hyperlink w:history="1" r:id="rIdhmw_2_r3ymzbbavnsf5al">
        <w:r>
          <w:rPr>
            <w:rStyle w:val="Hyperlink"/>
            <w:rFonts w:ascii="Consolas" w:cs="Consolas" w:eastAsia="Consolas" w:hAnsi="Consolas"/>
            <w:sz w:val="16"/>
            <w:szCs w:val="16"/>
          </w:rPr>
          <w:t xml:space="preserve">https://doi.org/10.3390/nu11030684</w:t>
        </w:r>
      </w:hyperlink>
    </w:p>
    <w:p>
      <w:pPr>
        <w:spacing w:after="110" w:line="264"/>
        <w:ind w:left="360" w:hanging="360"/>
      </w:pPr>
      <w:r>
        <w:rPr>
          <w:rFonts w:ascii="Arial" w:cs="Arial" w:eastAsia="Arial" w:hAnsi="Arial"/>
          <w:b/>
          <w:bCs/>
          <w:color w:val="234A35"/>
          <w:sz w:val="18"/>
          <w:szCs w:val="18"/>
        </w:rPr>
        <w:t xml:space="preserve">[42]  </w:t>
      </w:r>
      <w:r>
        <w:rPr>
          <w:rFonts w:ascii="Georgia" w:cs="Georgia" w:eastAsia="Georgia" w:hAnsi="Georgia"/>
          <w:color w:val="1A1A1A"/>
          <w:sz w:val="19"/>
          <w:szCs w:val="19"/>
        </w:rPr>
        <w:t xml:space="preserve">Wu, G. (2016). </w:t>
      </w:r>
      <w:r>
        <w:rPr>
          <w:rFonts w:ascii="Georgia" w:cs="Georgia" w:eastAsia="Georgia" w:hAnsi="Georgia"/>
          <w:i/>
          <w:iCs/>
          <w:color w:val="1A1A1A"/>
          <w:sz w:val="19"/>
          <w:szCs w:val="19"/>
        </w:rPr>
        <w:t xml:space="preserve">Dietary protein intake and human health. </w:t>
      </w:r>
      <w:r>
        <w:rPr>
          <w:rFonts w:ascii="Georgia" w:cs="Georgia" w:eastAsia="Georgia" w:hAnsi="Georgia"/>
          <w:color w:val="1A1A1A"/>
          <w:sz w:val="19"/>
          <w:szCs w:val="19"/>
        </w:rPr>
        <w:t xml:space="preserve">Food &amp; Function. 7(3), 1251-1265. https://doi.org/10.1039/C5FO01530H</w:t>
      </w:r>
    </w:p>
    <w:p>
      <w:pPr>
        <w:spacing w:after="60" w:line="252"/>
        <w:ind w:left="360"/>
      </w:pPr>
      <w:hyperlink w:history="1" r:id="rIdnflbip_wwzxgpexs3mzmk">
        <w:r>
          <w:rPr>
            <w:rStyle w:val="Hyperlink"/>
            <w:rFonts w:ascii="Consolas" w:cs="Consolas" w:eastAsia="Consolas" w:hAnsi="Consolas"/>
            <w:sz w:val="16"/>
            <w:szCs w:val="16"/>
          </w:rPr>
          <w:t xml:space="preserve">https://doi.org/10.1039/C5FO01530H</w:t>
        </w:r>
      </w:hyperlink>
    </w:p>
    <w:p>
      <w:pPr>
        <w:spacing w:after="110" w:line="264"/>
        <w:ind w:left="360" w:hanging="360"/>
      </w:pPr>
      <w:r>
        <w:rPr>
          <w:rFonts w:ascii="Arial" w:cs="Arial" w:eastAsia="Arial" w:hAnsi="Arial"/>
          <w:b/>
          <w:bCs/>
          <w:color w:val="234A35"/>
          <w:sz w:val="18"/>
          <w:szCs w:val="18"/>
        </w:rPr>
        <w:t xml:space="preserve">[43]  </w:t>
      </w:r>
      <w:r>
        <w:rPr>
          <w:rFonts w:ascii="Georgia" w:cs="Georgia" w:eastAsia="Georgia" w:hAnsi="Georgia"/>
          <w:color w:val="1A1A1A"/>
          <w:sz w:val="19"/>
          <w:szCs w:val="19"/>
        </w:rPr>
        <w:t xml:space="preserve">Hoffman, J. R., &amp; Falvo, M. J. (2004). </w:t>
      </w:r>
      <w:r>
        <w:rPr>
          <w:rFonts w:ascii="Georgia" w:cs="Georgia" w:eastAsia="Georgia" w:hAnsi="Georgia"/>
          <w:i/>
          <w:iCs/>
          <w:color w:val="1A1A1A"/>
          <w:sz w:val="19"/>
          <w:szCs w:val="19"/>
        </w:rPr>
        <w:t xml:space="preserve">Protein — Which is best?. </w:t>
      </w:r>
      <w:r>
        <w:rPr>
          <w:rFonts w:ascii="Georgia" w:cs="Georgia" w:eastAsia="Georgia" w:hAnsi="Georgia"/>
          <w:color w:val="1A1A1A"/>
          <w:sz w:val="19"/>
          <w:szCs w:val="19"/>
        </w:rPr>
        <w:t xml:space="preserve">Journal of Sports Science &amp; Medicine. 3(3), 118-130</w:t>
      </w:r>
    </w:p>
    <w:p>
      <w:pPr>
        <w:spacing w:after="60" w:line="252"/>
        <w:ind w:left="360"/>
      </w:pPr>
      <w:hyperlink w:history="1" r:id="rIdt-jjadwiu9jrvamavcchn">
        <w:r>
          <w:rPr>
            <w:rStyle w:val="Hyperlink"/>
            <w:rFonts w:ascii="Consolas" w:cs="Consolas" w:eastAsia="Consolas" w:hAnsi="Consolas"/>
            <w:sz w:val="16"/>
            <w:szCs w:val="16"/>
          </w:rPr>
          <w:t xml:space="preserve">https://www.ncbi.nlm.nih.gov/pmc/articles/PMC3905294/</w:t>
        </w:r>
      </w:hyperlink>
    </w:p>
    <w:p>
      <w:pPr>
        <w:spacing w:after="110" w:line="264"/>
        <w:ind w:left="360" w:hanging="360"/>
      </w:pPr>
      <w:r>
        <w:rPr>
          <w:rFonts w:ascii="Arial" w:cs="Arial" w:eastAsia="Arial" w:hAnsi="Arial"/>
          <w:b/>
          <w:bCs/>
          <w:color w:val="234A35"/>
          <w:sz w:val="18"/>
          <w:szCs w:val="18"/>
        </w:rPr>
        <w:t xml:space="preserve">[44]  </w:t>
      </w:r>
      <w:r>
        <w:rPr>
          <w:rFonts w:ascii="Georgia" w:cs="Georgia" w:eastAsia="Georgia" w:hAnsi="Georgia"/>
          <w:color w:val="1A1A1A"/>
          <w:sz w:val="19"/>
          <w:szCs w:val="19"/>
        </w:rPr>
        <w:t xml:space="preserve">Schaafsma, G. (2000). </w:t>
      </w:r>
      <w:r>
        <w:rPr>
          <w:rFonts w:ascii="Georgia" w:cs="Georgia" w:eastAsia="Georgia" w:hAnsi="Georgia"/>
          <w:i/>
          <w:iCs/>
          <w:color w:val="1A1A1A"/>
          <w:sz w:val="19"/>
          <w:szCs w:val="19"/>
        </w:rPr>
        <w:t xml:space="preserve">The protein digestibility-corrected amino acid score. </w:t>
      </w:r>
      <w:r>
        <w:rPr>
          <w:rFonts w:ascii="Georgia" w:cs="Georgia" w:eastAsia="Georgia" w:hAnsi="Georgia"/>
          <w:color w:val="1A1A1A"/>
          <w:sz w:val="19"/>
          <w:szCs w:val="19"/>
        </w:rPr>
        <w:t xml:space="preserve">The Journal of Nutrition. 130(7), 1865S-1867S. https://doi.org/10.1093/jn/130.7.1865S</w:t>
      </w:r>
    </w:p>
    <w:p>
      <w:pPr>
        <w:spacing w:after="60" w:line="252"/>
        <w:ind w:left="360"/>
      </w:pPr>
      <w:hyperlink w:history="1" r:id="rIdufznh1pwyilcquho4abid">
        <w:r>
          <w:rPr>
            <w:rStyle w:val="Hyperlink"/>
            <w:rFonts w:ascii="Consolas" w:cs="Consolas" w:eastAsia="Consolas" w:hAnsi="Consolas"/>
            <w:sz w:val="16"/>
            <w:szCs w:val="16"/>
          </w:rPr>
          <w:t xml:space="preserve">https://doi.org/10.1093/jn/130.7.1865S</w:t>
        </w:r>
      </w:hyperlink>
    </w:p>
    <w:p>
      <w:pPr>
        <w:spacing w:after="110" w:line="264"/>
        <w:ind w:left="360" w:hanging="360"/>
      </w:pPr>
      <w:r>
        <w:rPr>
          <w:rFonts w:ascii="Arial" w:cs="Arial" w:eastAsia="Arial" w:hAnsi="Arial"/>
          <w:b/>
          <w:bCs/>
          <w:color w:val="234A35"/>
          <w:sz w:val="18"/>
          <w:szCs w:val="18"/>
        </w:rPr>
        <w:t xml:space="preserve">[45]  </w:t>
      </w:r>
      <w:r>
        <w:rPr>
          <w:rFonts w:ascii="Georgia" w:cs="Georgia" w:eastAsia="Georgia" w:hAnsi="Georgia"/>
          <w:color w:val="1A1A1A"/>
          <w:sz w:val="19"/>
          <w:szCs w:val="19"/>
        </w:rPr>
        <w:t xml:space="preserve">Daley, C. A., Abbott, A., Doyle, P. S., Nader, G. A., &amp; Larson, S. (2010). </w:t>
      </w:r>
      <w:r>
        <w:rPr>
          <w:rFonts w:ascii="Georgia" w:cs="Georgia" w:eastAsia="Georgia" w:hAnsi="Georgia"/>
          <w:i/>
          <w:iCs/>
          <w:color w:val="1A1A1A"/>
          <w:sz w:val="19"/>
          <w:szCs w:val="19"/>
        </w:rPr>
        <w:t xml:space="preserve">A review of fatty acid profiles and antioxidant content in grass-fed and grain-fed beef. </w:t>
      </w:r>
      <w:r>
        <w:rPr>
          <w:rFonts w:ascii="Georgia" w:cs="Georgia" w:eastAsia="Georgia" w:hAnsi="Georgia"/>
          <w:color w:val="1A1A1A"/>
          <w:sz w:val="19"/>
          <w:szCs w:val="19"/>
        </w:rPr>
        <w:t xml:space="preserve">Nutrition Journal. 9, 10. https://doi.org/10.1186/1475-2891-9-10</w:t>
      </w:r>
    </w:p>
    <w:p>
      <w:pPr>
        <w:spacing w:after="60" w:line="252"/>
        <w:ind w:left="360"/>
      </w:pPr>
      <w:hyperlink w:history="1" r:id="rIdzku7por4sggytdna5le0o">
        <w:r>
          <w:rPr>
            <w:rStyle w:val="Hyperlink"/>
            <w:rFonts w:ascii="Consolas" w:cs="Consolas" w:eastAsia="Consolas" w:hAnsi="Consolas"/>
            <w:sz w:val="16"/>
            <w:szCs w:val="16"/>
          </w:rPr>
          <w:t xml:space="preserve">https://doi.org/10.1186/1475-2891-9-10</w:t>
        </w:r>
      </w:hyperlink>
    </w:p>
    <w:p>
      <w:pPr>
        <w:spacing w:after="110" w:line="264"/>
        <w:ind w:left="360" w:hanging="360"/>
      </w:pPr>
      <w:r>
        <w:rPr>
          <w:rFonts w:ascii="Arial" w:cs="Arial" w:eastAsia="Arial" w:hAnsi="Arial"/>
          <w:b/>
          <w:bCs/>
          <w:color w:val="234A35"/>
          <w:sz w:val="18"/>
          <w:szCs w:val="18"/>
        </w:rPr>
        <w:t xml:space="preserve">[46]  </w:t>
      </w:r>
      <w:r>
        <w:rPr>
          <w:rFonts w:ascii="Georgia" w:cs="Georgia" w:eastAsia="Georgia" w:hAnsi="Georgia"/>
          <w:color w:val="1A1A1A"/>
          <w:sz w:val="19"/>
          <w:szCs w:val="19"/>
        </w:rPr>
        <w:t xml:space="preserve">Krusinski, L., Sergin, S., Jambunathan, V., Rowntree, J. E., Salim, S., Pitchford, J., ... &amp; Fenton, J. I. (2022). </w:t>
      </w:r>
      <w:r>
        <w:rPr>
          <w:rFonts w:ascii="Georgia" w:cs="Georgia" w:eastAsia="Georgia" w:hAnsi="Georgia"/>
          <w:i/>
          <w:iCs/>
          <w:color w:val="1A1A1A"/>
          <w:sz w:val="19"/>
          <w:szCs w:val="19"/>
        </w:rPr>
        <w:t xml:space="preserve">Attable comparison of fatty acid and micronutrient composition between grass- and grain-finished beef. </w:t>
      </w:r>
      <w:r>
        <w:rPr>
          <w:rFonts w:ascii="Georgia" w:cs="Georgia" w:eastAsia="Georgia" w:hAnsi="Georgia"/>
          <w:color w:val="1A1A1A"/>
          <w:sz w:val="19"/>
          <w:szCs w:val="19"/>
        </w:rPr>
        <w:t xml:space="preserve">Foods (and related: Fatty acid composition of grain- and grass-fed beef). PMC8728510. https://pmc.ncbi.nlm.nih.gov/articles/PMC8728510/</w:t>
      </w:r>
    </w:p>
    <w:p>
      <w:pPr>
        <w:spacing w:after="60" w:line="252"/>
        <w:ind w:left="360"/>
      </w:pPr>
      <w:hyperlink w:history="1" r:id="rId4_jd3qn9ylh3hvlct4mf7">
        <w:r>
          <w:rPr>
            <w:rStyle w:val="Hyperlink"/>
            <w:rFonts w:ascii="Consolas" w:cs="Consolas" w:eastAsia="Consolas" w:hAnsi="Consolas"/>
            <w:sz w:val="16"/>
            <w:szCs w:val="16"/>
          </w:rPr>
          <w:t xml:space="preserve">https://pmc.ncbi.nlm.nih.gov/articles/PMC8728510/</w:t>
        </w:r>
      </w:hyperlink>
    </w:p>
    <w:p>
      <w:pPr>
        <w:spacing w:after="110" w:line="264"/>
        <w:ind w:left="360" w:hanging="360"/>
      </w:pPr>
      <w:r>
        <w:rPr>
          <w:rFonts w:ascii="Arial" w:cs="Arial" w:eastAsia="Arial" w:hAnsi="Arial"/>
          <w:b/>
          <w:bCs/>
          <w:color w:val="234A35"/>
          <w:sz w:val="18"/>
          <w:szCs w:val="18"/>
        </w:rPr>
        <w:t xml:space="preserve">[47]  </w:t>
      </w:r>
      <w:r>
        <w:rPr>
          <w:rFonts w:ascii="Georgia" w:cs="Georgia" w:eastAsia="Georgia" w:hAnsi="Georgia"/>
          <w:color w:val="1A1A1A"/>
          <w:sz w:val="19"/>
          <w:szCs w:val="19"/>
        </w:rPr>
        <w:t xml:space="preserve">Ponnampalam, E. N., Mann, N. J., &amp; Sinclair, A. J. (2006). </w:t>
      </w:r>
      <w:r>
        <w:rPr>
          <w:rFonts w:ascii="Georgia" w:cs="Georgia" w:eastAsia="Georgia" w:hAnsi="Georgia"/>
          <w:i/>
          <w:iCs/>
          <w:color w:val="1A1A1A"/>
          <w:sz w:val="19"/>
          <w:szCs w:val="19"/>
        </w:rPr>
        <w:t xml:space="preserve">Effect of feeding systems on omega-3 fatty acids, conjugated linoleic acid and trans fatty acids in Australian beef cuts. </w:t>
      </w:r>
      <w:r>
        <w:rPr>
          <w:rFonts w:ascii="Georgia" w:cs="Georgia" w:eastAsia="Georgia" w:hAnsi="Georgia"/>
          <w:color w:val="1A1A1A"/>
          <w:sz w:val="19"/>
          <w:szCs w:val="19"/>
        </w:rPr>
        <w:t xml:space="preserve">Asia Pacific Journal of Clinical Nutrition. 15(1), 21-29</w:t>
      </w:r>
    </w:p>
    <w:p>
      <w:pPr>
        <w:spacing w:after="110" w:line="264"/>
        <w:ind w:left="360" w:hanging="360"/>
      </w:pPr>
      <w:r>
        <w:rPr>
          <w:rFonts w:ascii="Arial" w:cs="Arial" w:eastAsia="Arial" w:hAnsi="Arial"/>
          <w:b/>
          <w:bCs/>
          <w:color w:val="234A35"/>
          <w:sz w:val="18"/>
          <w:szCs w:val="18"/>
        </w:rPr>
        <w:t xml:space="preserve">[48]  </w:t>
      </w:r>
      <w:r>
        <w:rPr>
          <w:rFonts w:ascii="Georgia" w:cs="Georgia" w:eastAsia="Georgia" w:hAnsi="Georgia"/>
          <w:color w:val="1A1A1A"/>
          <w:sz w:val="19"/>
          <w:szCs w:val="19"/>
        </w:rPr>
        <w:t xml:space="preserve">Van Elswyk, M. E., &amp; McNeill, S. H. (2014). </w:t>
      </w:r>
      <w:r>
        <w:rPr>
          <w:rFonts w:ascii="Georgia" w:cs="Georgia" w:eastAsia="Georgia" w:hAnsi="Georgia"/>
          <w:i/>
          <w:iCs/>
          <w:color w:val="1A1A1A"/>
          <w:sz w:val="19"/>
          <w:szCs w:val="19"/>
        </w:rPr>
        <w:t xml:space="preserve">Impact of grass/forage feeding versus grain finishing on beef nutrients and sensory quality: The U.S. experience. </w:t>
      </w:r>
      <w:r>
        <w:rPr>
          <w:rFonts w:ascii="Georgia" w:cs="Georgia" w:eastAsia="Georgia" w:hAnsi="Georgia"/>
          <w:color w:val="1A1A1A"/>
          <w:sz w:val="19"/>
          <w:szCs w:val="19"/>
        </w:rPr>
        <w:t xml:space="preserve">Meat Science. 96(1), 535-540. https://doi.org/10.1016/j.meatsci.2013.08.010</w:t>
      </w:r>
    </w:p>
    <w:p>
      <w:pPr>
        <w:spacing w:after="60" w:line="252"/>
        <w:ind w:left="360"/>
      </w:pPr>
      <w:hyperlink w:history="1" r:id="rIdjyweigsfappj5mme23m_u">
        <w:r>
          <w:rPr>
            <w:rStyle w:val="Hyperlink"/>
            <w:rFonts w:ascii="Consolas" w:cs="Consolas" w:eastAsia="Consolas" w:hAnsi="Consolas"/>
            <w:sz w:val="16"/>
            <w:szCs w:val="16"/>
          </w:rPr>
          <w:t xml:space="preserve">https://doi.org/10.1016/j.meatsci.2013.08.010</w:t>
        </w:r>
      </w:hyperlink>
    </w:p>
    <w:p>
      <w:pPr>
        <w:spacing w:after="110" w:line="264"/>
        <w:ind w:left="360" w:hanging="360"/>
      </w:pPr>
      <w:r>
        <w:rPr>
          <w:rFonts w:ascii="Arial" w:cs="Arial" w:eastAsia="Arial" w:hAnsi="Arial"/>
          <w:b/>
          <w:bCs/>
          <w:color w:val="234A35"/>
          <w:sz w:val="18"/>
          <w:szCs w:val="18"/>
        </w:rPr>
        <w:t xml:space="preserve">[49]  </w:t>
      </w:r>
      <w:r>
        <w:rPr>
          <w:rFonts w:ascii="Georgia" w:cs="Georgia" w:eastAsia="Georgia" w:hAnsi="Georgia"/>
          <w:color w:val="1A1A1A"/>
          <w:sz w:val="19"/>
          <w:szCs w:val="19"/>
        </w:rPr>
        <w:t xml:space="preserve">Haenlein, G. F. W. (2004). </w:t>
      </w:r>
      <w:r>
        <w:rPr>
          <w:rFonts w:ascii="Georgia" w:cs="Georgia" w:eastAsia="Georgia" w:hAnsi="Georgia"/>
          <w:i/>
          <w:iCs/>
          <w:color w:val="1A1A1A"/>
          <w:sz w:val="19"/>
          <w:szCs w:val="19"/>
        </w:rPr>
        <w:t xml:space="preserve">Goat milk in human nutrition. </w:t>
      </w:r>
      <w:r>
        <w:rPr>
          <w:rFonts w:ascii="Georgia" w:cs="Georgia" w:eastAsia="Georgia" w:hAnsi="Georgia"/>
          <w:color w:val="1A1A1A"/>
          <w:sz w:val="19"/>
          <w:szCs w:val="19"/>
        </w:rPr>
        <w:t xml:space="preserve">Small Ruminant Research. 51(2), 155-163. https://doi.org/10.1016/j.smallrumres.2003.08.010</w:t>
      </w:r>
    </w:p>
    <w:p>
      <w:pPr>
        <w:spacing w:after="60" w:line="252"/>
        <w:ind w:left="360"/>
      </w:pPr>
      <w:hyperlink w:history="1" r:id="rIdeathbc6rjinawz2fyh4ze">
        <w:r>
          <w:rPr>
            <w:rStyle w:val="Hyperlink"/>
            <w:rFonts w:ascii="Consolas" w:cs="Consolas" w:eastAsia="Consolas" w:hAnsi="Consolas"/>
            <w:sz w:val="16"/>
            <w:szCs w:val="16"/>
          </w:rPr>
          <w:t xml:space="preserve">https://doi.org/10.1016/j.smallrumres.2003.08.010</w:t>
        </w:r>
      </w:hyperlink>
    </w:p>
    <w:p>
      <w:pPr>
        <w:spacing w:after="110" w:line="264"/>
        <w:ind w:left="360" w:hanging="360"/>
      </w:pPr>
      <w:r>
        <w:rPr>
          <w:rFonts w:ascii="Arial" w:cs="Arial" w:eastAsia="Arial" w:hAnsi="Arial"/>
          <w:b/>
          <w:bCs/>
          <w:color w:val="234A35"/>
          <w:sz w:val="18"/>
          <w:szCs w:val="18"/>
        </w:rPr>
        <w:t xml:space="preserve">[50]  </w:t>
      </w:r>
      <w:r>
        <w:rPr>
          <w:rFonts w:ascii="Georgia" w:cs="Georgia" w:eastAsia="Georgia" w:hAnsi="Georgia"/>
          <w:color w:val="1A1A1A"/>
          <w:sz w:val="19"/>
          <w:szCs w:val="19"/>
        </w:rPr>
        <w:t xml:space="preserve">Clark, S., &amp; Mora García, M. B. (2017). </w:t>
      </w:r>
      <w:r>
        <w:rPr>
          <w:rFonts w:ascii="Georgia" w:cs="Georgia" w:eastAsia="Georgia" w:hAnsi="Georgia"/>
          <w:i/>
          <w:iCs/>
          <w:color w:val="1A1A1A"/>
          <w:sz w:val="19"/>
          <w:szCs w:val="19"/>
        </w:rPr>
        <w:t xml:space="preserve">A 100-year review: Advances in goat milk research. </w:t>
      </w:r>
      <w:r>
        <w:rPr>
          <w:rFonts w:ascii="Georgia" w:cs="Georgia" w:eastAsia="Georgia" w:hAnsi="Georgia"/>
          <w:color w:val="1A1A1A"/>
          <w:sz w:val="19"/>
          <w:szCs w:val="19"/>
        </w:rPr>
        <w:t xml:space="preserve">Journal of Dairy Science. 100(12), 10026-10044. https://doi.org/10.3168/jds.2017-13287</w:t>
      </w:r>
    </w:p>
    <w:p>
      <w:pPr>
        <w:spacing w:after="60" w:line="252"/>
        <w:ind w:left="360"/>
      </w:pPr>
      <w:hyperlink w:history="1" r:id="rIdk0x82tjussunhzpp4kgff">
        <w:r>
          <w:rPr>
            <w:rStyle w:val="Hyperlink"/>
            <w:rFonts w:ascii="Consolas" w:cs="Consolas" w:eastAsia="Consolas" w:hAnsi="Consolas"/>
            <w:sz w:val="16"/>
            <w:szCs w:val="16"/>
          </w:rPr>
          <w:t xml:space="preserve">https://doi.org/10.3168/jds.2017-13287</w:t>
        </w:r>
      </w:hyperlink>
    </w:p>
    <w:p>
      <w:pPr>
        <w:spacing w:after="110" w:line="264"/>
        <w:ind w:left="360" w:hanging="360"/>
      </w:pPr>
      <w:r>
        <w:rPr>
          <w:rFonts w:ascii="Arial" w:cs="Arial" w:eastAsia="Arial" w:hAnsi="Arial"/>
          <w:b/>
          <w:bCs/>
          <w:color w:val="234A35"/>
          <w:sz w:val="18"/>
          <w:szCs w:val="18"/>
        </w:rPr>
        <w:t xml:space="preserve">[51]  </w:t>
      </w:r>
      <w:r>
        <w:rPr>
          <w:rFonts w:ascii="Georgia" w:cs="Georgia" w:eastAsia="Georgia" w:hAnsi="Georgia"/>
          <w:color w:val="1A1A1A"/>
          <w:sz w:val="19"/>
          <w:szCs w:val="19"/>
        </w:rPr>
        <w:t xml:space="preserve">Park, Y. W., Juárez, M., Ramos, M., &amp; Haenlein, G. F. W. (2007). </w:t>
      </w:r>
      <w:r>
        <w:rPr>
          <w:rFonts w:ascii="Georgia" w:cs="Georgia" w:eastAsia="Georgia" w:hAnsi="Georgia"/>
          <w:i/>
          <w:iCs/>
          <w:color w:val="1A1A1A"/>
          <w:sz w:val="19"/>
          <w:szCs w:val="19"/>
        </w:rPr>
        <w:t xml:space="preserve">Physico-chemical characteristics of goat and sheep milk. </w:t>
      </w:r>
      <w:r>
        <w:rPr>
          <w:rFonts w:ascii="Georgia" w:cs="Georgia" w:eastAsia="Georgia" w:hAnsi="Georgia"/>
          <w:color w:val="1A1A1A"/>
          <w:sz w:val="19"/>
          <w:szCs w:val="19"/>
        </w:rPr>
        <w:t xml:space="preserve">Small Ruminant Research. 68(1-2), 88-113. https://doi.org/10.1016/j.smallrumres.2006.09.013</w:t>
      </w:r>
    </w:p>
    <w:p>
      <w:pPr>
        <w:spacing w:after="60" w:line="252"/>
        <w:ind w:left="360"/>
      </w:pPr>
      <w:hyperlink w:history="1" r:id="rId9qsapqpxrnhbiemwgbcw_">
        <w:r>
          <w:rPr>
            <w:rStyle w:val="Hyperlink"/>
            <w:rFonts w:ascii="Consolas" w:cs="Consolas" w:eastAsia="Consolas" w:hAnsi="Consolas"/>
            <w:sz w:val="16"/>
            <w:szCs w:val="16"/>
          </w:rPr>
          <w:t xml:space="preserve">https://doi.org/10.1016/j.smallrumres.2006.09.013</w:t>
        </w:r>
      </w:hyperlink>
    </w:p>
    <w:p>
      <w:pPr>
        <w:spacing w:after="110" w:line="264"/>
        <w:ind w:left="360" w:hanging="360"/>
      </w:pPr>
      <w:r>
        <w:rPr>
          <w:rFonts w:ascii="Arial" w:cs="Arial" w:eastAsia="Arial" w:hAnsi="Arial"/>
          <w:b/>
          <w:bCs/>
          <w:color w:val="234A35"/>
          <w:sz w:val="18"/>
          <w:szCs w:val="18"/>
        </w:rPr>
        <w:t xml:space="preserve">[52]  </w:t>
      </w:r>
      <w:r>
        <w:rPr>
          <w:rFonts w:ascii="Georgia" w:cs="Georgia" w:eastAsia="Georgia" w:hAnsi="Georgia"/>
          <w:color w:val="1A1A1A"/>
          <w:sz w:val="19"/>
          <w:szCs w:val="19"/>
        </w:rPr>
        <w:t xml:space="preserve">Selvaggi, M., Laudadio, V., Dario, C., &amp; Tufarelli, V. (2014). </w:t>
      </w:r>
      <w:r>
        <w:rPr>
          <w:rFonts w:ascii="Georgia" w:cs="Georgia" w:eastAsia="Georgia" w:hAnsi="Georgia"/>
          <w:i/>
          <w:iCs/>
          <w:color w:val="1A1A1A"/>
          <w:sz w:val="19"/>
          <w:szCs w:val="19"/>
        </w:rPr>
        <w:t xml:space="preserve">Major proteins in goat milk: An updated overview on genetic variability. </w:t>
      </w:r>
      <w:r>
        <w:rPr>
          <w:rFonts w:ascii="Georgia" w:cs="Georgia" w:eastAsia="Georgia" w:hAnsi="Georgia"/>
          <w:color w:val="1A1A1A"/>
          <w:sz w:val="19"/>
          <w:szCs w:val="19"/>
        </w:rPr>
        <w:t xml:space="preserve">Molecular Biology Reports. 41(2), 1035-1048. https://doi.org/10.1007/s11033-013-2949-9</w:t>
      </w:r>
    </w:p>
    <w:p>
      <w:pPr>
        <w:spacing w:after="60" w:line="252"/>
        <w:ind w:left="360"/>
      </w:pPr>
      <w:hyperlink w:history="1" r:id="rId7klb0wyylmbioq51lnhrh">
        <w:r>
          <w:rPr>
            <w:rStyle w:val="Hyperlink"/>
            <w:rFonts w:ascii="Consolas" w:cs="Consolas" w:eastAsia="Consolas" w:hAnsi="Consolas"/>
            <w:sz w:val="16"/>
            <w:szCs w:val="16"/>
          </w:rPr>
          <w:t xml:space="preserve">https://doi.org/10.1007/s11033-013-2949-9</w:t>
        </w:r>
      </w:hyperlink>
    </w:p>
    <w:p>
      <w:pPr>
        <w:spacing w:after="110" w:line="264"/>
        <w:ind w:left="360" w:hanging="360"/>
      </w:pPr>
      <w:r>
        <w:rPr>
          <w:rFonts w:ascii="Arial" w:cs="Arial" w:eastAsia="Arial" w:hAnsi="Arial"/>
          <w:b/>
          <w:bCs/>
          <w:color w:val="234A35"/>
          <w:sz w:val="18"/>
          <w:szCs w:val="18"/>
        </w:rPr>
        <w:t xml:space="preserve">[53]  </w:t>
      </w:r>
      <w:r>
        <w:rPr>
          <w:rFonts w:ascii="Georgia" w:cs="Georgia" w:eastAsia="Georgia" w:hAnsi="Georgia"/>
          <w:color w:val="1A1A1A"/>
          <w:sz w:val="19"/>
          <w:szCs w:val="19"/>
        </w:rPr>
        <w:t xml:space="preserve">Verduci, E., D'Elios, S., Cerrato, L., Comberiati, P., Calvani, M., Palazzo, S., ... &amp; Peroni, D. G. (2019). </w:t>
      </w:r>
      <w:r>
        <w:rPr>
          <w:rFonts w:ascii="Georgia" w:cs="Georgia" w:eastAsia="Georgia" w:hAnsi="Georgia"/>
          <w:i/>
          <w:iCs/>
          <w:color w:val="1A1A1A"/>
          <w:sz w:val="19"/>
          <w:szCs w:val="19"/>
        </w:rPr>
        <w:t xml:space="preserve">Cow's milk substitutes for children: Nutritional aspects of milk from different mammalian species, special formula and plant-based beverages. </w:t>
      </w:r>
      <w:r>
        <w:rPr>
          <w:rFonts w:ascii="Georgia" w:cs="Georgia" w:eastAsia="Georgia" w:hAnsi="Georgia"/>
          <w:color w:val="1A1A1A"/>
          <w:sz w:val="19"/>
          <w:szCs w:val="19"/>
        </w:rPr>
        <w:t xml:space="preserve">Nutrients. 11(8), 1739. https://doi.org/10.3390/nu11081739</w:t>
      </w:r>
    </w:p>
    <w:p>
      <w:pPr>
        <w:spacing w:after="60" w:line="252"/>
        <w:ind w:left="360"/>
      </w:pPr>
      <w:hyperlink w:history="1" r:id="rIdns2fq1hzodmw4uiboow60">
        <w:r>
          <w:rPr>
            <w:rStyle w:val="Hyperlink"/>
            <w:rFonts w:ascii="Consolas" w:cs="Consolas" w:eastAsia="Consolas" w:hAnsi="Consolas"/>
            <w:sz w:val="16"/>
            <w:szCs w:val="16"/>
          </w:rPr>
          <w:t xml:space="preserve">https://doi.org/10.3390/nu11081739</w:t>
        </w:r>
      </w:hyperlink>
    </w:p>
    <w:p>
      <w:pPr>
        <w:spacing w:after="110" w:line="264"/>
        <w:ind w:left="360" w:hanging="360"/>
      </w:pPr>
      <w:r>
        <w:rPr>
          <w:rFonts w:ascii="Arial" w:cs="Arial" w:eastAsia="Arial" w:hAnsi="Arial"/>
          <w:b/>
          <w:bCs/>
          <w:color w:val="234A35"/>
          <w:sz w:val="18"/>
          <w:szCs w:val="18"/>
        </w:rPr>
        <w:t xml:space="preserve">[54]  </w:t>
      </w:r>
      <w:r>
        <w:rPr>
          <w:rFonts w:ascii="Georgia" w:cs="Georgia" w:eastAsia="Georgia" w:hAnsi="Georgia"/>
          <w:color w:val="1A1A1A"/>
          <w:sz w:val="19"/>
          <w:szCs w:val="19"/>
        </w:rPr>
        <w:t xml:space="preserve">Roncada, P., et al. (2022). </w:t>
      </w:r>
      <w:r>
        <w:rPr>
          <w:rFonts w:ascii="Georgia" w:cs="Georgia" w:eastAsia="Georgia" w:hAnsi="Georgia"/>
          <w:i/>
          <w:iCs/>
          <w:color w:val="1A1A1A"/>
          <w:sz w:val="19"/>
          <w:szCs w:val="19"/>
        </w:rPr>
        <w:t xml:space="preserve">Review: Genetic and protein variants of milk caseins in goats. </w:t>
      </w:r>
      <w:r>
        <w:rPr>
          <w:rFonts w:ascii="Georgia" w:cs="Georgia" w:eastAsia="Georgia" w:hAnsi="Georgia"/>
          <w:color w:val="1A1A1A"/>
          <w:sz w:val="19"/>
          <w:szCs w:val="19"/>
        </w:rPr>
        <w:t xml:space="preserve">Frontiers in Genetics. 13, 995349. https://doi.org/10.3389/fgene.2022.995349</w:t>
      </w:r>
    </w:p>
    <w:p>
      <w:pPr>
        <w:spacing w:after="60" w:line="252"/>
        <w:ind w:left="360"/>
      </w:pPr>
      <w:hyperlink w:history="1" r:id="rId8q89b74d-1yplr4xbmscc">
        <w:r>
          <w:rPr>
            <w:rStyle w:val="Hyperlink"/>
            <w:rFonts w:ascii="Consolas" w:cs="Consolas" w:eastAsia="Consolas" w:hAnsi="Consolas"/>
            <w:sz w:val="16"/>
            <w:szCs w:val="16"/>
          </w:rPr>
          <w:t xml:space="preserve">https://www.frontiersin.org/journals/genetics/articles/10.3389/fgene.2022.995349/full</w:t>
        </w:r>
      </w:hyperlink>
    </w:p>
    <w:p>
      <w:pPr>
        <w:spacing w:after="110" w:line="264"/>
        <w:ind w:left="360" w:hanging="360"/>
      </w:pPr>
      <w:r>
        <w:rPr>
          <w:rFonts w:ascii="Arial" w:cs="Arial" w:eastAsia="Arial" w:hAnsi="Arial"/>
          <w:b/>
          <w:bCs/>
          <w:color w:val="234A35"/>
          <w:sz w:val="18"/>
          <w:szCs w:val="18"/>
        </w:rPr>
        <w:t xml:space="preserve">[55]  </w:t>
      </w:r>
      <w:r>
        <w:rPr>
          <w:rFonts w:ascii="Georgia" w:cs="Georgia" w:eastAsia="Georgia" w:hAnsi="Georgia"/>
          <w:color w:val="1A1A1A"/>
          <w:sz w:val="19"/>
          <w:szCs w:val="19"/>
        </w:rPr>
        <w:t xml:space="preserve">Stanley, P. L., Rowntree, J. E., Beede, D. K., DeLonge, M. S., &amp; Hamm, M. W. (2018). </w:t>
      </w:r>
      <w:r>
        <w:rPr>
          <w:rFonts w:ascii="Georgia" w:cs="Georgia" w:eastAsia="Georgia" w:hAnsi="Georgia"/>
          <w:i/>
          <w:iCs/>
          <w:color w:val="1A1A1A"/>
          <w:sz w:val="19"/>
          <w:szCs w:val="19"/>
        </w:rPr>
        <w:t xml:space="preserve">Impacts of soil carbon sequestration on life cycle greenhouse gas emissions in Midwestern USA beef finishing systems. </w:t>
      </w:r>
      <w:r>
        <w:rPr>
          <w:rFonts w:ascii="Georgia" w:cs="Georgia" w:eastAsia="Georgia" w:hAnsi="Georgia"/>
          <w:color w:val="1A1A1A"/>
          <w:sz w:val="19"/>
          <w:szCs w:val="19"/>
        </w:rPr>
        <w:t xml:space="preserve">Agricultural Systems. 162, 249-258. https://doi.org/10.1016/j.agsy.2018.02.003</w:t>
      </w:r>
    </w:p>
    <w:p>
      <w:pPr>
        <w:spacing w:after="60" w:line="252"/>
        <w:ind w:left="360"/>
      </w:pPr>
      <w:hyperlink w:history="1" r:id="rIdzgpftcg9yh9p7joxr_35t">
        <w:r>
          <w:rPr>
            <w:rStyle w:val="Hyperlink"/>
            <w:rFonts w:ascii="Consolas" w:cs="Consolas" w:eastAsia="Consolas" w:hAnsi="Consolas"/>
            <w:sz w:val="16"/>
            <w:szCs w:val="16"/>
          </w:rPr>
          <w:t xml:space="preserve">https://www.sciencedirect.com/science/article/pii/S0308521X17310338</w:t>
        </w:r>
      </w:hyperlink>
    </w:p>
    <w:p>
      <w:pPr>
        <w:spacing w:after="110" w:line="264"/>
        <w:ind w:left="360" w:hanging="360"/>
      </w:pPr>
      <w:r>
        <w:rPr>
          <w:rFonts w:ascii="Arial" w:cs="Arial" w:eastAsia="Arial" w:hAnsi="Arial"/>
          <w:b/>
          <w:bCs/>
          <w:color w:val="234A35"/>
          <w:sz w:val="18"/>
          <w:szCs w:val="18"/>
        </w:rPr>
        <w:t xml:space="preserve">[56]  </w:t>
      </w:r>
      <w:r>
        <w:rPr>
          <w:rFonts w:ascii="Georgia" w:cs="Georgia" w:eastAsia="Georgia" w:hAnsi="Georgia"/>
          <w:color w:val="1A1A1A"/>
          <w:sz w:val="19"/>
          <w:szCs w:val="19"/>
        </w:rPr>
        <w:t xml:space="preserve">Rowntree, J. E., Stanley, P. L., Maciel, I. C. F., Thorbecke, M., Rosenzweig, S. T., Hancock, D. W., ... &amp; Raven, M. R. (2020). </w:t>
      </w:r>
      <w:r>
        <w:rPr>
          <w:rFonts w:ascii="Georgia" w:cs="Georgia" w:eastAsia="Georgia" w:hAnsi="Georgia"/>
          <w:i/>
          <w:iCs/>
          <w:color w:val="1A1A1A"/>
          <w:sz w:val="19"/>
          <w:szCs w:val="19"/>
        </w:rPr>
        <w:t xml:space="preserve">Ecosystem impacts and productive capacity of a multi-species pastured livestock system. </w:t>
      </w:r>
      <w:r>
        <w:rPr>
          <w:rFonts w:ascii="Georgia" w:cs="Georgia" w:eastAsia="Georgia" w:hAnsi="Georgia"/>
          <w:color w:val="1A1A1A"/>
          <w:sz w:val="19"/>
          <w:szCs w:val="19"/>
        </w:rPr>
        <w:t xml:space="preserve">Frontiers in Sustainable Food Systems. 4, 544984. https://doi.org/10.3389/fsufs.2020.544984</w:t>
      </w:r>
    </w:p>
    <w:p>
      <w:pPr>
        <w:spacing w:after="60" w:line="252"/>
        <w:ind w:left="360"/>
      </w:pPr>
      <w:hyperlink w:history="1" r:id="rIdvvsjutibo7hhiddzfqott">
        <w:r>
          <w:rPr>
            <w:rStyle w:val="Hyperlink"/>
            <w:rFonts w:ascii="Consolas" w:cs="Consolas" w:eastAsia="Consolas" w:hAnsi="Consolas"/>
            <w:sz w:val="16"/>
            <w:szCs w:val="16"/>
          </w:rPr>
          <w:t xml:space="preserve">https://doi.org/10.3389/fsufs.2020.544984</w:t>
        </w:r>
      </w:hyperlink>
    </w:p>
    <w:p>
      <w:pPr>
        <w:spacing w:after="110" w:line="264"/>
        <w:ind w:left="360" w:hanging="360"/>
      </w:pPr>
      <w:r>
        <w:rPr>
          <w:rFonts w:ascii="Arial" w:cs="Arial" w:eastAsia="Arial" w:hAnsi="Arial"/>
          <w:b/>
          <w:bCs/>
          <w:color w:val="234A35"/>
          <w:sz w:val="18"/>
          <w:szCs w:val="18"/>
        </w:rPr>
        <w:t xml:space="preserve">[57]  </w:t>
      </w:r>
      <w:r>
        <w:rPr>
          <w:rFonts w:ascii="Georgia" w:cs="Georgia" w:eastAsia="Georgia" w:hAnsi="Georgia"/>
          <w:color w:val="1A1A1A"/>
          <w:sz w:val="19"/>
          <w:szCs w:val="19"/>
        </w:rPr>
        <w:t xml:space="preserve">Garnett, T., Godde, C., Muller, A., Röös, E., Smith, P., de Boer, I., ... &amp; van Zanten, H. (2017). </w:t>
      </w:r>
      <w:r>
        <w:rPr>
          <w:rFonts w:ascii="Georgia" w:cs="Georgia" w:eastAsia="Georgia" w:hAnsi="Georgia"/>
          <w:i/>
          <w:iCs/>
          <w:color w:val="1A1A1A"/>
          <w:sz w:val="19"/>
          <w:szCs w:val="19"/>
        </w:rPr>
        <w:t xml:space="preserve">Grazed and confused? Ruminating on cattle, grazing systems, methane, nitrous oxide, the soil carbon sequestration question — and what it all means for greenhouse gas emissions. </w:t>
      </w:r>
      <w:r>
        <w:rPr>
          <w:rFonts w:ascii="Georgia" w:cs="Georgia" w:eastAsia="Georgia" w:hAnsi="Georgia"/>
          <w:color w:val="1A1A1A"/>
          <w:sz w:val="19"/>
          <w:szCs w:val="19"/>
        </w:rPr>
        <w:t xml:space="preserve">Food Climate Research Network, University of Oxford. Oxford, UK</w:t>
      </w:r>
    </w:p>
    <w:p>
      <w:pPr>
        <w:spacing w:after="60" w:line="252"/>
        <w:ind w:left="360"/>
      </w:pPr>
      <w:hyperlink w:history="1" r:id="rIdrk4wjxsezb-grafvr_dkz">
        <w:r>
          <w:rPr>
            <w:rStyle w:val="Hyperlink"/>
            <w:rFonts w:ascii="Consolas" w:cs="Consolas" w:eastAsia="Consolas" w:hAnsi="Consolas"/>
            <w:sz w:val="16"/>
            <w:szCs w:val="16"/>
          </w:rPr>
          <w:t xml:space="preserve">https://www.tabledebates.org/publication/grazed-and-confused</w:t>
        </w:r>
      </w:hyperlink>
    </w:p>
    <w:p>
      <w:pPr>
        <w:spacing w:after="110" w:line="264"/>
        <w:ind w:left="360" w:hanging="360"/>
      </w:pPr>
      <w:r>
        <w:rPr>
          <w:rFonts w:ascii="Arial" w:cs="Arial" w:eastAsia="Arial" w:hAnsi="Arial"/>
          <w:b/>
          <w:bCs/>
          <w:color w:val="234A35"/>
          <w:sz w:val="18"/>
          <w:szCs w:val="18"/>
        </w:rPr>
        <w:t xml:space="preserve">[58]  </w:t>
      </w:r>
      <w:r>
        <w:rPr>
          <w:rFonts w:ascii="Georgia" w:cs="Georgia" w:eastAsia="Georgia" w:hAnsi="Georgia"/>
          <w:color w:val="1A1A1A"/>
          <w:sz w:val="19"/>
          <w:szCs w:val="19"/>
        </w:rPr>
        <w:t xml:space="preserve">Teague, W. R., Apfelbaum, S., Lal, R., Kreuter, U. P., Rowntree, J., Davies, C. A., ... &amp; Byck, P. (2016). </w:t>
      </w:r>
      <w:r>
        <w:rPr>
          <w:rFonts w:ascii="Georgia" w:cs="Georgia" w:eastAsia="Georgia" w:hAnsi="Georgia"/>
          <w:i/>
          <w:iCs/>
          <w:color w:val="1A1A1A"/>
          <w:sz w:val="19"/>
          <w:szCs w:val="19"/>
        </w:rPr>
        <w:t xml:space="preserve">The role of ruminants in reducing agriculture's carbon footprint in North America. </w:t>
      </w:r>
      <w:r>
        <w:rPr>
          <w:rFonts w:ascii="Georgia" w:cs="Georgia" w:eastAsia="Georgia" w:hAnsi="Georgia"/>
          <w:color w:val="1A1A1A"/>
          <w:sz w:val="19"/>
          <w:szCs w:val="19"/>
        </w:rPr>
        <w:t xml:space="preserve">Journal of Soil and Water Conservation. 71(2), 156-164. https://doi.org/10.2489/jswc.71.2.156</w:t>
      </w:r>
    </w:p>
    <w:p>
      <w:pPr>
        <w:spacing w:after="60" w:line="252"/>
        <w:ind w:left="360"/>
      </w:pPr>
      <w:hyperlink w:history="1" r:id="rIdtve1yndarsnuxbfjcntcl">
        <w:r>
          <w:rPr>
            <w:rStyle w:val="Hyperlink"/>
            <w:rFonts w:ascii="Consolas" w:cs="Consolas" w:eastAsia="Consolas" w:hAnsi="Consolas"/>
            <w:sz w:val="16"/>
            <w:szCs w:val="16"/>
          </w:rPr>
          <w:t xml:space="preserve">https://doi.org/10.2489/jswc.71.2.156</w:t>
        </w:r>
      </w:hyperlink>
    </w:p>
    <w:p>
      <w:pPr>
        <w:spacing w:after="110" w:line="264"/>
        <w:ind w:left="360" w:hanging="360"/>
      </w:pPr>
      <w:r>
        <w:rPr>
          <w:rFonts w:ascii="Arial" w:cs="Arial" w:eastAsia="Arial" w:hAnsi="Arial"/>
          <w:b/>
          <w:bCs/>
          <w:color w:val="234A35"/>
          <w:sz w:val="18"/>
          <w:szCs w:val="18"/>
        </w:rPr>
        <w:t xml:space="preserve">[59]  </w:t>
      </w:r>
      <w:r>
        <w:rPr>
          <w:rFonts w:ascii="Georgia" w:cs="Georgia" w:eastAsia="Georgia" w:hAnsi="Georgia"/>
          <w:color w:val="1A1A1A"/>
          <w:sz w:val="19"/>
          <w:szCs w:val="19"/>
        </w:rPr>
        <w:t xml:space="preserve">Motoyama, M., Sasaki, K., &amp; Watanabe, A. (2016). </w:t>
      </w:r>
      <w:r>
        <w:rPr>
          <w:rFonts w:ascii="Georgia" w:cs="Georgia" w:eastAsia="Georgia" w:hAnsi="Georgia"/>
          <w:i/>
          <w:iCs/>
          <w:color w:val="1A1A1A"/>
          <w:sz w:val="19"/>
          <w:szCs w:val="19"/>
        </w:rPr>
        <w:t xml:space="preserve">Wagyu and the factors contributing to its beef quality: A Japanese industry overview. </w:t>
      </w:r>
      <w:r>
        <w:rPr>
          <w:rFonts w:ascii="Georgia" w:cs="Georgia" w:eastAsia="Georgia" w:hAnsi="Georgia"/>
          <w:color w:val="1A1A1A"/>
          <w:sz w:val="19"/>
          <w:szCs w:val="19"/>
        </w:rPr>
        <w:t xml:space="preserve">Meat Science. 120, 10-18. https://doi.org/10.1016/j.meatsci.2016.04.026</w:t>
      </w:r>
    </w:p>
    <w:p>
      <w:pPr>
        <w:spacing w:after="60" w:line="252"/>
        <w:ind w:left="360"/>
      </w:pPr>
      <w:hyperlink w:history="1" r:id="rIduig_xbhnlqvfogdufgjjr">
        <w:r>
          <w:rPr>
            <w:rStyle w:val="Hyperlink"/>
            <w:rFonts w:ascii="Consolas" w:cs="Consolas" w:eastAsia="Consolas" w:hAnsi="Consolas"/>
            <w:sz w:val="16"/>
            <w:szCs w:val="16"/>
          </w:rPr>
          <w:t xml:space="preserve">https://doi.org/10.1016/j.meatsci.2016.04.026</w:t>
        </w:r>
      </w:hyperlink>
    </w:p>
    <w:p>
      <w:pPr>
        <w:spacing w:after="110" w:line="264"/>
        <w:ind w:left="360" w:hanging="360"/>
      </w:pPr>
      <w:r>
        <w:rPr>
          <w:rFonts w:ascii="Arial" w:cs="Arial" w:eastAsia="Arial" w:hAnsi="Arial"/>
          <w:b/>
          <w:bCs/>
          <w:color w:val="234A35"/>
          <w:sz w:val="18"/>
          <w:szCs w:val="18"/>
        </w:rPr>
        <w:t xml:space="preserve">[60]  </w:t>
      </w:r>
      <w:r>
        <w:rPr>
          <w:rFonts w:ascii="Georgia" w:cs="Georgia" w:eastAsia="Georgia" w:hAnsi="Georgia"/>
          <w:color w:val="1A1A1A"/>
          <w:sz w:val="19"/>
          <w:szCs w:val="19"/>
        </w:rPr>
        <w:t xml:space="preserve">Smith, G. C., Tatum, J. D., &amp; Belk, K. E. (2008). </w:t>
      </w:r>
      <w:r>
        <w:rPr>
          <w:rFonts w:ascii="Georgia" w:cs="Georgia" w:eastAsia="Georgia" w:hAnsi="Georgia"/>
          <w:i/>
          <w:iCs/>
          <w:color w:val="1A1A1A"/>
          <w:sz w:val="19"/>
          <w:szCs w:val="19"/>
        </w:rPr>
        <w:t xml:space="preserve">International perspective: Characterisation of United States Department of Agriculture and Meat Standards Australia systems for assessing beef quality. </w:t>
      </w:r>
      <w:r>
        <w:rPr>
          <w:rFonts w:ascii="Georgia" w:cs="Georgia" w:eastAsia="Georgia" w:hAnsi="Georgia"/>
          <w:color w:val="1A1A1A"/>
          <w:sz w:val="19"/>
          <w:szCs w:val="19"/>
        </w:rPr>
        <w:t xml:space="preserve">Australian Journal of Experimental Agriculture. 48(11), 1465-1480. https://doi.org/10.1071/EA08198</w:t>
      </w:r>
    </w:p>
    <w:p>
      <w:pPr>
        <w:spacing w:after="60" w:line="252"/>
        <w:ind w:left="360"/>
      </w:pPr>
      <w:hyperlink w:history="1" r:id="rId9fgci-t8o6jjbfzz0jqcl">
        <w:r>
          <w:rPr>
            <w:rStyle w:val="Hyperlink"/>
            <w:rFonts w:ascii="Consolas" w:cs="Consolas" w:eastAsia="Consolas" w:hAnsi="Consolas"/>
            <w:sz w:val="16"/>
            <w:szCs w:val="16"/>
          </w:rPr>
          <w:t xml:space="preserve">https://doi.org/10.1071/EA08198</w:t>
        </w:r>
      </w:hyperlink>
    </w:p>
    <w:p>
      <w:pPr>
        <w:spacing w:after="110" w:line="264"/>
        <w:ind w:left="360" w:hanging="360"/>
      </w:pPr>
      <w:r>
        <w:rPr>
          <w:rFonts w:ascii="Arial" w:cs="Arial" w:eastAsia="Arial" w:hAnsi="Arial"/>
          <w:b/>
          <w:bCs/>
          <w:color w:val="234A35"/>
          <w:sz w:val="18"/>
          <w:szCs w:val="18"/>
        </w:rPr>
        <w:t xml:space="preserve">[61]  </w:t>
      </w:r>
      <w:r>
        <w:rPr>
          <w:rFonts w:ascii="Georgia" w:cs="Georgia" w:eastAsia="Georgia" w:hAnsi="Georgia"/>
          <w:color w:val="1A1A1A"/>
          <w:sz w:val="19"/>
          <w:szCs w:val="19"/>
        </w:rPr>
        <w:t xml:space="preserve">Frank, D., Joo, S.-T., &amp; Warner, R. (2016). </w:t>
      </w:r>
      <w:r>
        <w:rPr>
          <w:rFonts w:ascii="Georgia" w:cs="Georgia" w:eastAsia="Georgia" w:hAnsi="Georgia"/>
          <w:i/>
          <w:iCs/>
          <w:color w:val="1A1A1A"/>
          <w:sz w:val="19"/>
          <w:szCs w:val="19"/>
        </w:rPr>
        <w:t xml:space="preserve">Consumer acceptability of intramuscular fat. </w:t>
      </w:r>
      <w:r>
        <w:rPr>
          <w:rFonts w:ascii="Georgia" w:cs="Georgia" w:eastAsia="Georgia" w:hAnsi="Georgia"/>
          <w:color w:val="1A1A1A"/>
          <w:sz w:val="19"/>
          <w:szCs w:val="19"/>
        </w:rPr>
        <w:t xml:space="preserve">Korean Journal for Food Science of Animal Resources. 36(6), 699-708. https://doi.org/10.5851/kosfa.2016.36.6.699</w:t>
      </w:r>
    </w:p>
    <w:p>
      <w:pPr>
        <w:spacing w:after="60" w:line="252"/>
        <w:ind w:left="360"/>
      </w:pPr>
      <w:hyperlink w:history="1" r:id="rIdl124vnv0b4-_7eqlnwq3h">
        <w:r>
          <w:rPr>
            <w:rStyle w:val="Hyperlink"/>
            <w:rFonts w:ascii="Consolas" w:cs="Consolas" w:eastAsia="Consolas" w:hAnsi="Consolas"/>
            <w:sz w:val="16"/>
            <w:szCs w:val="16"/>
          </w:rPr>
          <w:t xml:space="preserve">https://doi.org/10.5851/kosfa.2016.36.6.699</w:t>
        </w:r>
      </w:hyperlink>
    </w:p>
    <w:p>
      <w:pPr>
        <w:spacing w:after="110" w:line="264"/>
        <w:ind w:left="360" w:hanging="360"/>
      </w:pPr>
      <w:r>
        <w:rPr>
          <w:rFonts w:ascii="Arial" w:cs="Arial" w:eastAsia="Arial" w:hAnsi="Arial"/>
          <w:b/>
          <w:bCs/>
          <w:color w:val="234A35"/>
          <w:sz w:val="18"/>
          <w:szCs w:val="18"/>
        </w:rPr>
        <w:t xml:space="preserve">[62]  </w:t>
      </w:r>
      <w:r>
        <w:rPr>
          <w:rFonts w:ascii="Georgia" w:cs="Georgia" w:eastAsia="Georgia" w:hAnsi="Georgia"/>
          <w:color w:val="1A1A1A"/>
          <w:sz w:val="19"/>
          <w:szCs w:val="19"/>
        </w:rPr>
        <w:t xml:space="preserve">Ventanas, S., Ventanas, J., Estévez, M., &amp; Ruiz, J. (2007). </w:t>
      </w:r>
      <w:r>
        <w:rPr>
          <w:rFonts w:ascii="Georgia" w:cs="Georgia" w:eastAsia="Georgia" w:hAnsi="Georgia"/>
          <w:i/>
          <w:iCs/>
          <w:color w:val="1A1A1A"/>
          <w:sz w:val="19"/>
          <w:szCs w:val="19"/>
        </w:rPr>
        <w:t xml:space="preserve">Analysis of volatile compounds and sensory characteristics of Iberian dry-cured loins. </w:t>
      </w:r>
      <w:r>
        <w:rPr>
          <w:rFonts w:ascii="Georgia" w:cs="Georgia" w:eastAsia="Georgia" w:hAnsi="Georgia"/>
          <w:color w:val="1A1A1A"/>
          <w:sz w:val="19"/>
          <w:szCs w:val="19"/>
        </w:rPr>
        <w:t xml:space="preserve">Meat Science. 76(2), 296-307. https://doi.org/10.1016/j.meatsci.2006.11.014</w:t>
      </w:r>
    </w:p>
    <w:p>
      <w:pPr>
        <w:spacing w:after="60" w:line="252"/>
        <w:ind w:left="360"/>
      </w:pPr>
      <w:hyperlink w:history="1" r:id="rIdtmmahg-f_hichyj7swshp">
        <w:r>
          <w:rPr>
            <w:rStyle w:val="Hyperlink"/>
            <w:rFonts w:ascii="Consolas" w:cs="Consolas" w:eastAsia="Consolas" w:hAnsi="Consolas"/>
            <w:sz w:val="16"/>
            <w:szCs w:val="16"/>
          </w:rPr>
          <w:t xml:space="preserve">https://doi.org/10.1016/j.meatsci.2006.11.014</w:t>
        </w:r>
      </w:hyperlink>
    </w:p>
    <w:p>
      <w:pPr>
        <w:spacing w:after="110" w:line="264"/>
        <w:ind w:left="360" w:hanging="360"/>
      </w:pPr>
      <w:r>
        <w:rPr>
          <w:rFonts w:ascii="Arial" w:cs="Arial" w:eastAsia="Arial" w:hAnsi="Arial"/>
          <w:b/>
          <w:bCs/>
          <w:color w:val="234A35"/>
          <w:sz w:val="18"/>
          <w:szCs w:val="18"/>
        </w:rPr>
        <w:t xml:space="preserve">[63]  </w:t>
      </w:r>
      <w:r>
        <w:rPr>
          <w:rFonts w:ascii="Georgia" w:cs="Georgia" w:eastAsia="Georgia" w:hAnsi="Georgia"/>
          <w:color w:val="1A1A1A"/>
          <w:sz w:val="19"/>
          <w:szCs w:val="19"/>
        </w:rPr>
        <w:t xml:space="preserve">López-Bote, C. J. (1998). </w:t>
      </w:r>
      <w:r>
        <w:rPr>
          <w:rFonts w:ascii="Georgia" w:cs="Georgia" w:eastAsia="Georgia" w:hAnsi="Georgia"/>
          <w:i/>
          <w:iCs/>
          <w:color w:val="1A1A1A"/>
          <w:sz w:val="19"/>
          <w:szCs w:val="19"/>
        </w:rPr>
        <w:t xml:space="preserve">Sustained utilization of the Iberian pig breed. </w:t>
      </w:r>
      <w:r>
        <w:rPr>
          <w:rFonts w:ascii="Georgia" w:cs="Georgia" w:eastAsia="Georgia" w:hAnsi="Georgia"/>
          <w:color w:val="1A1A1A"/>
          <w:sz w:val="19"/>
          <w:szCs w:val="19"/>
        </w:rPr>
        <w:t xml:space="preserve">Meat Science. 49(Suppl. 1), S17-S27. https://doi.org/10.1016/S0309-1740(98)00072-2</w:t>
      </w:r>
    </w:p>
    <w:p>
      <w:pPr>
        <w:spacing w:after="60" w:line="252"/>
        <w:ind w:left="360"/>
      </w:pPr>
      <w:hyperlink w:history="1" r:id="rIdhs8gxqrkj6qjlfduicy0y">
        <w:r>
          <w:rPr>
            <w:rStyle w:val="Hyperlink"/>
            <w:rFonts w:ascii="Consolas" w:cs="Consolas" w:eastAsia="Consolas" w:hAnsi="Consolas"/>
            <w:sz w:val="16"/>
            <w:szCs w:val="16"/>
          </w:rPr>
          <w:t xml:space="preserve">https://doi.org/10.1016/S0309-1740(98)00072-2</w:t>
        </w:r>
      </w:hyperlink>
    </w:p>
    <w:p>
      <w:pPr>
        <w:spacing w:after="110" w:line="264"/>
        <w:ind w:left="360" w:hanging="360"/>
      </w:pPr>
      <w:r>
        <w:rPr>
          <w:rFonts w:ascii="Arial" w:cs="Arial" w:eastAsia="Arial" w:hAnsi="Arial"/>
          <w:b/>
          <w:bCs/>
          <w:color w:val="234A35"/>
          <w:sz w:val="18"/>
          <w:szCs w:val="18"/>
        </w:rPr>
        <w:t xml:space="preserve">[64]  </w:t>
      </w:r>
      <w:r>
        <w:rPr>
          <w:rFonts w:ascii="Georgia" w:cs="Georgia" w:eastAsia="Georgia" w:hAnsi="Georgia"/>
          <w:color w:val="1A1A1A"/>
          <w:sz w:val="19"/>
          <w:szCs w:val="19"/>
        </w:rPr>
        <w:t xml:space="preserve">Touraille, C., Kopp, J., Valin, C., &amp; Ricard, F. H. (1981). </w:t>
      </w:r>
      <w:r>
        <w:rPr>
          <w:rFonts w:ascii="Georgia" w:cs="Georgia" w:eastAsia="Georgia" w:hAnsi="Georgia"/>
          <w:i/>
          <w:iCs/>
          <w:color w:val="1A1A1A"/>
          <w:sz w:val="19"/>
          <w:szCs w:val="19"/>
        </w:rPr>
        <w:t xml:space="preserve">Chicken meat quality: Influence of age and growth rate on physico-chemical and sensory characteristics. </w:t>
      </w:r>
      <w:r>
        <w:rPr>
          <w:rFonts w:ascii="Georgia" w:cs="Georgia" w:eastAsia="Georgia" w:hAnsi="Georgia"/>
          <w:color w:val="1A1A1A"/>
          <w:sz w:val="19"/>
          <w:szCs w:val="19"/>
        </w:rPr>
        <w:t xml:space="preserve">Archiv für Geflügelkunde. 45, 69-76</w:t>
      </w:r>
    </w:p>
    <w:p>
      <w:pPr>
        <w:spacing w:after="110" w:line="264"/>
        <w:ind w:left="360" w:hanging="360"/>
      </w:pPr>
      <w:r>
        <w:rPr>
          <w:rFonts w:ascii="Arial" w:cs="Arial" w:eastAsia="Arial" w:hAnsi="Arial"/>
          <w:b/>
          <w:bCs/>
          <w:color w:val="234A35"/>
          <w:sz w:val="18"/>
          <w:szCs w:val="18"/>
        </w:rPr>
        <w:t xml:space="preserve">[65]  </w:t>
      </w:r>
      <w:r>
        <w:rPr>
          <w:rFonts w:ascii="Georgia" w:cs="Georgia" w:eastAsia="Georgia" w:hAnsi="Georgia"/>
          <w:color w:val="1A1A1A"/>
          <w:sz w:val="19"/>
          <w:szCs w:val="19"/>
        </w:rPr>
        <w:t xml:space="preserve">Ahn, Y.-Y., Ahnert, S. E., Bagrow, J. P., &amp; Barabási, A.-L. (2011). </w:t>
      </w:r>
      <w:r>
        <w:rPr>
          <w:rFonts w:ascii="Georgia" w:cs="Georgia" w:eastAsia="Georgia" w:hAnsi="Georgia"/>
          <w:i/>
          <w:iCs/>
          <w:color w:val="1A1A1A"/>
          <w:sz w:val="19"/>
          <w:szCs w:val="19"/>
        </w:rPr>
        <w:t xml:space="preserve">Flavor network and the principles of food pairing. </w:t>
      </w:r>
      <w:r>
        <w:rPr>
          <w:rFonts w:ascii="Georgia" w:cs="Georgia" w:eastAsia="Georgia" w:hAnsi="Georgia"/>
          <w:color w:val="1A1A1A"/>
          <w:sz w:val="19"/>
          <w:szCs w:val="19"/>
        </w:rPr>
        <w:t xml:space="preserve">Scientific Reports. 1, 196. https://doi.org/10.1038/srep00196</w:t>
      </w:r>
    </w:p>
    <w:p>
      <w:pPr>
        <w:spacing w:after="60" w:line="252"/>
        <w:ind w:left="360"/>
      </w:pPr>
      <w:hyperlink w:history="1" r:id="rIdn79umt87331hhmiu87djy">
        <w:r>
          <w:rPr>
            <w:rStyle w:val="Hyperlink"/>
            <w:rFonts w:ascii="Consolas" w:cs="Consolas" w:eastAsia="Consolas" w:hAnsi="Consolas"/>
            <w:sz w:val="16"/>
            <w:szCs w:val="16"/>
          </w:rPr>
          <w:t xml:space="preserve">https://www.nature.com/articles/srep00196</w:t>
        </w:r>
      </w:hyperlink>
    </w:p>
    <w:p>
      <w:pPr>
        <w:spacing w:after="110" w:line="264"/>
        <w:ind w:left="360" w:hanging="360"/>
      </w:pPr>
      <w:r>
        <w:rPr>
          <w:rFonts w:ascii="Arial" w:cs="Arial" w:eastAsia="Arial" w:hAnsi="Arial"/>
          <w:b/>
          <w:bCs/>
          <w:color w:val="234A35"/>
          <w:sz w:val="18"/>
          <w:szCs w:val="18"/>
        </w:rPr>
        <w:t xml:space="preserve">[66]  </w:t>
      </w:r>
      <w:r>
        <w:rPr>
          <w:rFonts w:ascii="Georgia" w:cs="Georgia" w:eastAsia="Georgia" w:hAnsi="Georgia"/>
          <w:color w:val="1A1A1A"/>
          <w:sz w:val="19"/>
          <w:szCs w:val="19"/>
        </w:rPr>
        <w:t xml:space="preserve">Jain, A., Rakhi, N. K., &amp; Bagler, G. (2015). </w:t>
      </w:r>
      <w:r>
        <w:rPr>
          <w:rFonts w:ascii="Georgia" w:cs="Georgia" w:eastAsia="Georgia" w:hAnsi="Georgia"/>
          <w:i/>
          <w:iCs/>
          <w:color w:val="1A1A1A"/>
          <w:sz w:val="19"/>
          <w:szCs w:val="19"/>
        </w:rPr>
        <w:t xml:space="preserve">Analysis of food pairing in regional cuisines of India. </w:t>
      </w:r>
      <w:r>
        <w:rPr>
          <w:rFonts w:ascii="Georgia" w:cs="Georgia" w:eastAsia="Georgia" w:hAnsi="Georgia"/>
          <w:color w:val="1A1A1A"/>
          <w:sz w:val="19"/>
          <w:szCs w:val="19"/>
        </w:rPr>
        <w:t xml:space="preserve">PLOS ONE. 10(10), e0139539. https://doi.org/10.1371/journal.pone.0139539</w:t>
      </w:r>
    </w:p>
    <w:p>
      <w:pPr>
        <w:spacing w:after="60" w:line="252"/>
        <w:ind w:left="360"/>
      </w:pPr>
      <w:hyperlink w:history="1" r:id="rIdl0uokrpq8fslgvnaxlr_w">
        <w:r>
          <w:rPr>
            <w:rStyle w:val="Hyperlink"/>
            <w:rFonts w:ascii="Consolas" w:cs="Consolas" w:eastAsia="Consolas" w:hAnsi="Consolas"/>
            <w:sz w:val="16"/>
            <w:szCs w:val="16"/>
          </w:rPr>
          <w:t xml:space="preserve">https://doi.org/10.1371/journal.pone.0139539</w:t>
        </w:r>
      </w:hyperlink>
    </w:p>
    <w:p>
      <w:pPr>
        <w:spacing w:after="110" w:line="264"/>
        <w:ind w:left="360" w:hanging="360"/>
      </w:pPr>
      <w:r>
        <w:rPr>
          <w:rFonts w:ascii="Arial" w:cs="Arial" w:eastAsia="Arial" w:hAnsi="Arial"/>
          <w:b/>
          <w:bCs/>
          <w:color w:val="234A35"/>
          <w:sz w:val="18"/>
          <w:szCs w:val="18"/>
        </w:rPr>
        <w:t xml:space="preserve">[67]  </w:t>
      </w:r>
      <w:r>
        <w:rPr>
          <w:rFonts w:ascii="Georgia" w:cs="Georgia" w:eastAsia="Georgia" w:hAnsi="Georgia"/>
          <w:color w:val="1A1A1A"/>
          <w:sz w:val="19"/>
          <w:szCs w:val="19"/>
        </w:rPr>
        <w:t xml:space="preserve">Spence, C. (2020). </w:t>
      </w:r>
      <w:r>
        <w:rPr>
          <w:rFonts w:ascii="Georgia" w:cs="Georgia" w:eastAsia="Georgia" w:hAnsi="Georgia"/>
          <w:i/>
          <w:iCs/>
          <w:color w:val="1A1A1A"/>
          <w:sz w:val="19"/>
          <w:szCs w:val="19"/>
        </w:rPr>
        <w:t xml:space="preserve">Food and beverage flavour pairing: A critical review of the literature. </w:t>
      </w:r>
      <w:r>
        <w:rPr>
          <w:rFonts w:ascii="Georgia" w:cs="Georgia" w:eastAsia="Georgia" w:hAnsi="Georgia"/>
          <w:color w:val="1A1A1A"/>
          <w:sz w:val="19"/>
          <w:szCs w:val="19"/>
        </w:rPr>
        <w:t xml:space="preserve">Food Research International. 133, 109124. https://doi.org/10.1016/j.foodres.2020.109124</w:t>
      </w:r>
    </w:p>
    <w:p>
      <w:pPr>
        <w:spacing w:after="60" w:line="252"/>
        <w:ind w:left="360"/>
      </w:pPr>
      <w:hyperlink w:history="1" r:id="rId4ajvyp9cwklzcsfyt4qzo">
        <w:r>
          <w:rPr>
            <w:rStyle w:val="Hyperlink"/>
            <w:rFonts w:ascii="Consolas" w:cs="Consolas" w:eastAsia="Consolas" w:hAnsi="Consolas"/>
            <w:sz w:val="16"/>
            <w:szCs w:val="16"/>
          </w:rPr>
          <w:t xml:space="preserve">https://doi.org/10.1016/j.foodres.2020.109124</w:t>
        </w:r>
      </w:hyperlink>
    </w:p>
    <w:p>
      <w:pPr>
        <w:spacing w:after="110" w:line="264"/>
        <w:ind w:left="360" w:hanging="360"/>
      </w:pPr>
      <w:r>
        <w:rPr>
          <w:rFonts w:ascii="Arial" w:cs="Arial" w:eastAsia="Arial" w:hAnsi="Arial"/>
          <w:b/>
          <w:bCs/>
          <w:color w:val="234A35"/>
          <w:sz w:val="18"/>
          <w:szCs w:val="18"/>
        </w:rPr>
        <w:t xml:space="preserve">[68]  </w:t>
      </w:r>
      <w:r>
        <w:rPr>
          <w:rFonts w:ascii="Georgia" w:cs="Georgia" w:eastAsia="Georgia" w:hAnsi="Georgia"/>
          <w:color w:val="1A1A1A"/>
          <w:sz w:val="19"/>
          <w:szCs w:val="19"/>
        </w:rPr>
        <w:t xml:space="preserve">Davidson, A. (2014). </w:t>
      </w:r>
      <w:r>
        <w:rPr>
          <w:rFonts w:ascii="Georgia" w:cs="Georgia" w:eastAsia="Georgia" w:hAnsi="Georgia"/>
          <w:i/>
          <w:iCs/>
          <w:color w:val="1A1A1A"/>
          <w:sz w:val="19"/>
          <w:szCs w:val="19"/>
        </w:rPr>
        <w:t xml:space="preserve">The Oxford companion to food (3rd ed.; T. Jaine, Ed.). </w:t>
      </w:r>
      <w:r>
        <w:rPr>
          <w:rFonts w:ascii="Georgia" w:cs="Georgia" w:eastAsia="Georgia" w:hAnsi="Georgia"/>
          <w:color w:val="1A1A1A"/>
          <w:sz w:val="19"/>
          <w:szCs w:val="19"/>
        </w:rPr>
        <w:t xml:space="preserve">Oxford University Press. Oxford, UK</w:t>
      </w:r>
    </w:p>
    <w:p>
      <w:pPr>
        <w:spacing w:after="110" w:line="264"/>
        <w:ind w:left="360" w:hanging="360"/>
      </w:pPr>
      <w:r>
        <w:rPr>
          <w:rFonts w:ascii="Arial" w:cs="Arial" w:eastAsia="Arial" w:hAnsi="Arial"/>
          <w:b/>
          <w:bCs/>
          <w:color w:val="234A35"/>
          <w:sz w:val="18"/>
          <w:szCs w:val="18"/>
        </w:rPr>
        <w:t xml:space="preserve">[69]  </w:t>
      </w:r>
      <w:r>
        <w:rPr>
          <w:rFonts w:ascii="Georgia" w:cs="Georgia" w:eastAsia="Georgia" w:hAnsi="Georgia"/>
          <w:color w:val="1A1A1A"/>
          <w:sz w:val="19"/>
          <w:szCs w:val="19"/>
        </w:rPr>
        <w:t xml:space="preserve">Walsh, R. (2002). </w:t>
      </w:r>
      <w:r>
        <w:rPr>
          <w:rFonts w:ascii="Georgia" w:cs="Georgia" w:eastAsia="Georgia" w:hAnsi="Georgia"/>
          <w:i/>
          <w:iCs/>
          <w:color w:val="1A1A1A"/>
          <w:sz w:val="19"/>
          <w:szCs w:val="19"/>
        </w:rPr>
        <w:t xml:space="preserve">Legends of Texas barbecue cookbook: Recipes and recollections from the pit bosses. </w:t>
      </w:r>
      <w:r>
        <w:rPr>
          <w:rFonts w:ascii="Georgia" w:cs="Georgia" w:eastAsia="Georgia" w:hAnsi="Georgia"/>
          <w:color w:val="1A1A1A"/>
          <w:sz w:val="19"/>
          <w:szCs w:val="19"/>
        </w:rPr>
        <w:t xml:space="preserve">Chronicle Books. San Francisco, CA</w:t>
      </w:r>
    </w:p>
    <w:p>
      <w:pPr>
        <w:spacing w:after="110" w:line="264"/>
        <w:ind w:left="360" w:hanging="360"/>
      </w:pPr>
      <w:r>
        <w:rPr>
          <w:rFonts w:ascii="Arial" w:cs="Arial" w:eastAsia="Arial" w:hAnsi="Arial"/>
          <w:b/>
          <w:bCs/>
          <w:color w:val="234A35"/>
          <w:sz w:val="18"/>
          <w:szCs w:val="18"/>
        </w:rPr>
        <w:t xml:space="preserve">[70]  </w:t>
      </w:r>
      <w:r>
        <w:rPr>
          <w:rFonts w:ascii="Georgia" w:cs="Georgia" w:eastAsia="Georgia" w:hAnsi="Georgia"/>
          <w:color w:val="1A1A1A"/>
          <w:sz w:val="19"/>
          <w:szCs w:val="19"/>
        </w:rPr>
        <w:t xml:space="preserve">Kennedy, D. (1986). </w:t>
      </w:r>
      <w:r>
        <w:rPr>
          <w:rFonts w:ascii="Georgia" w:cs="Georgia" w:eastAsia="Georgia" w:hAnsi="Georgia"/>
          <w:i/>
          <w:iCs/>
          <w:color w:val="1A1A1A"/>
          <w:sz w:val="19"/>
          <w:szCs w:val="19"/>
        </w:rPr>
        <w:t xml:space="preserve">The cuisines of Mexico (Rev. ed.). </w:t>
      </w:r>
      <w:r>
        <w:rPr>
          <w:rFonts w:ascii="Georgia" w:cs="Georgia" w:eastAsia="Georgia" w:hAnsi="Georgia"/>
          <w:color w:val="1A1A1A"/>
          <w:sz w:val="19"/>
          <w:szCs w:val="19"/>
        </w:rPr>
        <w:t xml:space="preserve">Harper &amp; Row. New York, NY</w:t>
      </w:r>
    </w:p>
    <w:p>
      <w:pPr>
        <w:spacing w:after="110" w:line="264"/>
        <w:ind w:left="360" w:hanging="360"/>
      </w:pPr>
      <w:r>
        <w:rPr>
          <w:rFonts w:ascii="Arial" w:cs="Arial" w:eastAsia="Arial" w:hAnsi="Arial"/>
          <w:b/>
          <w:bCs/>
          <w:color w:val="234A35"/>
          <w:sz w:val="18"/>
          <w:szCs w:val="18"/>
        </w:rPr>
        <w:t xml:space="preserve">[71]  </w:t>
      </w:r>
      <w:r>
        <w:rPr>
          <w:rFonts w:ascii="Georgia" w:cs="Georgia" w:eastAsia="Georgia" w:hAnsi="Georgia"/>
          <w:color w:val="1A1A1A"/>
          <w:sz w:val="19"/>
          <w:szCs w:val="19"/>
        </w:rPr>
        <w:t xml:space="preserve">Garner, B. (2017). </w:t>
      </w:r>
      <w:r>
        <w:rPr>
          <w:rFonts w:ascii="Georgia" w:cs="Georgia" w:eastAsia="Georgia" w:hAnsi="Georgia"/>
          <w:i/>
          <w:iCs/>
          <w:color w:val="1A1A1A"/>
          <w:sz w:val="19"/>
          <w:szCs w:val="19"/>
        </w:rPr>
        <w:t xml:space="preserve">On the grill: Argentine asado and the culture of fire. </w:t>
      </w:r>
      <w:r>
        <w:rPr>
          <w:rFonts w:ascii="Georgia" w:cs="Georgia" w:eastAsia="Georgia" w:hAnsi="Georgia"/>
          <w:color w:val="1A1A1A"/>
          <w:sz w:val="19"/>
          <w:szCs w:val="19"/>
        </w:rPr>
        <w:t xml:space="preserve">Gastronomica: The Journal of Critical Food Studies. (Cultural overview; see also Southern Foodways Alliance oral histories)</w:t>
      </w:r>
    </w:p>
    <w:p>
      <w:pPr>
        <w:spacing w:after="110" w:line="264"/>
        <w:ind w:left="360" w:hanging="360"/>
      </w:pPr>
      <w:r>
        <w:rPr>
          <w:rFonts w:ascii="Arial" w:cs="Arial" w:eastAsia="Arial" w:hAnsi="Arial"/>
          <w:b/>
          <w:bCs/>
          <w:color w:val="234A35"/>
          <w:sz w:val="18"/>
          <w:szCs w:val="18"/>
        </w:rPr>
        <w:t xml:space="preserve">[72]  </w:t>
      </w:r>
      <w:r>
        <w:rPr>
          <w:rFonts w:ascii="Georgia" w:cs="Georgia" w:eastAsia="Georgia" w:hAnsi="Georgia"/>
          <w:color w:val="1A1A1A"/>
          <w:sz w:val="19"/>
          <w:szCs w:val="19"/>
        </w:rPr>
        <w:t xml:space="preserve">Southern Foodways Alliance (2023). </w:t>
      </w:r>
      <w:r>
        <w:rPr>
          <w:rFonts w:ascii="Georgia" w:cs="Georgia" w:eastAsia="Georgia" w:hAnsi="Georgia"/>
          <w:i/>
          <w:iCs/>
          <w:color w:val="1A1A1A"/>
          <w:sz w:val="19"/>
          <w:szCs w:val="19"/>
        </w:rPr>
        <w:t xml:space="preserve">Barbecue oral history project. </w:t>
      </w:r>
      <w:r>
        <w:rPr>
          <w:rFonts w:ascii="Georgia" w:cs="Georgia" w:eastAsia="Georgia" w:hAnsi="Georgia"/>
          <w:color w:val="1A1A1A"/>
          <w:sz w:val="19"/>
          <w:szCs w:val="19"/>
        </w:rPr>
        <w:t xml:space="preserve">Southern Foodways Alliance, University of Mississippi. Oxford, MS</w:t>
      </w:r>
    </w:p>
    <w:p>
      <w:pPr>
        <w:spacing w:after="60" w:line="252"/>
        <w:ind w:left="360"/>
      </w:pPr>
      <w:hyperlink w:history="1" r:id="rIdgfav5h5mtgtgyjyb4brmn">
        <w:r>
          <w:rPr>
            <w:rStyle w:val="Hyperlink"/>
            <w:rFonts w:ascii="Consolas" w:cs="Consolas" w:eastAsia="Consolas" w:hAnsi="Consolas"/>
            <w:sz w:val="16"/>
            <w:szCs w:val="16"/>
          </w:rPr>
          <w:t xml:space="preserve">https://www.southernfoodways.org/</w:t>
        </w:r>
      </w:hyperlink>
    </w:p>
    <w:p>
      <w:pPr>
        <w:spacing w:after="110" w:line="264"/>
        <w:ind w:left="360" w:hanging="360"/>
      </w:pPr>
      <w:r>
        <w:rPr>
          <w:rFonts w:ascii="Arial" w:cs="Arial" w:eastAsia="Arial" w:hAnsi="Arial"/>
          <w:b/>
          <w:bCs/>
          <w:color w:val="234A35"/>
          <w:sz w:val="18"/>
          <w:szCs w:val="18"/>
        </w:rPr>
        <w:t xml:space="preserve">[73]  </w:t>
      </w:r>
      <w:r>
        <w:rPr>
          <w:rFonts w:ascii="Georgia" w:cs="Georgia" w:eastAsia="Georgia" w:hAnsi="Georgia"/>
          <w:color w:val="1A1A1A"/>
          <w:sz w:val="19"/>
          <w:szCs w:val="19"/>
        </w:rPr>
        <w:t xml:space="preserve">University of Arkansas Division of Agriculture, Center for Arkansas Farms and Food (CAFF) (2025). </w:t>
      </w:r>
      <w:r>
        <w:rPr>
          <w:rFonts w:ascii="Georgia" w:cs="Georgia" w:eastAsia="Georgia" w:hAnsi="Georgia"/>
          <w:i/>
          <w:iCs/>
          <w:color w:val="1A1A1A"/>
          <w:sz w:val="19"/>
          <w:szCs w:val="19"/>
        </w:rPr>
        <w:t xml:space="preserve">Farms directory. </w:t>
      </w:r>
      <w:r>
        <w:rPr>
          <w:rFonts w:ascii="Georgia" w:cs="Georgia" w:eastAsia="Georgia" w:hAnsi="Georgia"/>
          <w:color w:val="1A1A1A"/>
          <w:sz w:val="19"/>
          <w:szCs w:val="19"/>
        </w:rPr>
        <w:t xml:space="preserve">University of Arkansas System Division of Agriculture. Retrieved from farmandfoodsystem.uada.edu</w:t>
      </w:r>
    </w:p>
    <w:p>
      <w:pPr>
        <w:spacing w:after="60" w:line="252"/>
        <w:ind w:left="360"/>
      </w:pPr>
      <w:hyperlink w:history="1" r:id="rIdti4ybmcfozx69lnpiep5t">
        <w:r>
          <w:rPr>
            <w:rStyle w:val="Hyperlink"/>
            <w:rFonts w:ascii="Consolas" w:cs="Consolas" w:eastAsia="Consolas" w:hAnsi="Consolas"/>
            <w:sz w:val="16"/>
            <w:szCs w:val="16"/>
          </w:rPr>
          <w:t xml:space="preserve">https://farmandfoodsystem.uada.edu/farms/</w:t>
        </w:r>
      </w:hyperlink>
    </w:p>
    <w:p>
      <w:pPr>
        <w:spacing w:after="110" w:line="264"/>
        <w:ind w:left="360" w:hanging="360"/>
      </w:pPr>
      <w:r>
        <w:rPr>
          <w:rFonts w:ascii="Arial" w:cs="Arial" w:eastAsia="Arial" w:hAnsi="Arial"/>
          <w:b/>
          <w:bCs/>
          <w:color w:val="234A35"/>
          <w:sz w:val="18"/>
          <w:szCs w:val="18"/>
        </w:rPr>
        <w:t xml:space="preserve">[74]  </w:t>
      </w:r>
      <w:r>
        <w:rPr>
          <w:rFonts w:ascii="Georgia" w:cs="Georgia" w:eastAsia="Georgia" w:hAnsi="Georgia"/>
          <w:color w:val="1A1A1A"/>
          <w:sz w:val="19"/>
          <w:szCs w:val="19"/>
        </w:rPr>
        <w:t xml:space="preserve">Arkansas Department of Agriculture (2025). </w:t>
      </w:r>
      <w:r>
        <w:rPr>
          <w:rFonts w:ascii="Georgia" w:cs="Georgia" w:eastAsia="Georgia" w:hAnsi="Georgia"/>
          <w:i/>
          <w:iCs/>
          <w:color w:val="1A1A1A"/>
          <w:sz w:val="19"/>
          <w:szCs w:val="19"/>
        </w:rPr>
        <w:t xml:space="preserve">Arkansas Grown producer and farmers market directory. </w:t>
      </w:r>
      <w:r>
        <w:rPr>
          <w:rFonts w:ascii="Georgia" w:cs="Georgia" w:eastAsia="Georgia" w:hAnsi="Georgia"/>
          <w:color w:val="1A1A1A"/>
          <w:sz w:val="19"/>
          <w:szCs w:val="19"/>
        </w:rPr>
        <w:t xml:space="preserve">Arkansas Grown. Retrieved from arkansasgrown.org</w:t>
      </w:r>
    </w:p>
    <w:p>
      <w:pPr>
        <w:spacing w:after="60" w:line="252"/>
        <w:ind w:left="360"/>
      </w:pPr>
      <w:hyperlink w:history="1" r:id="rIdxsdg5jkemjufzjpanbupu">
        <w:r>
          <w:rPr>
            <w:rStyle w:val="Hyperlink"/>
            <w:rFonts w:ascii="Consolas" w:cs="Consolas" w:eastAsia="Consolas" w:hAnsi="Consolas"/>
            <w:sz w:val="16"/>
            <w:szCs w:val="16"/>
          </w:rPr>
          <w:t xml:space="preserve">https://arkansasgrown.org/</w:t>
        </w:r>
      </w:hyperlink>
    </w:p>
    <w:p>
      <w:pPr>
        <w:spacing w:after="110" w:line="264"/>
        <w:ind w:left="360" w:hanging="360"/>
      </w:pPr>
      <w:r>
        <w:rPr>
          <w:rFonts w:ascii="Arial" w:cs="Arial" w:eastAsia="Arial" w:hAnsi="Arial"/>
          <w:b/>
          <w:bCs/>
          <w:color w:val="234A35"/>
          <w:sz w:val="18"/>
          <w:szCs w:val="18"/>
        </w:rPr>
        <w:t xml:space="preserve">[75]  </w:t>
      </w:r>
      <w:r>
        <w:rPr>
          <w:rFonts w:ascii="Georgia" w:cs="Georgia" w:eastAsia="Georgia" w:hAnsi="Georgia"/>
          <w:color w:val="1A1A1A"/>
          <w:sz w:val="19"/>
          <w:szCs w:val="19"/>
        </w:rPr>
        <w:t xml:space="preserve">Downtown Bentonville Inc. (2025). </w:t>
      </w:r>
      <w:r>
        <w:rPr>
          <w:rFonts w:ascii="Georgia" w:cs="Georgia" w:eastAsia="Georgia" w:hAnsi="Georgia"/>
          <w:i/>
          <w:iCs/>
          <w:color w:val="1A1A1A"/>
          <w:sz w:val="19"/>
          <w:szCs w:val="19"/>
        </w:rPr>
        <w:t xml:space="preserve">Bentonville Farmers Market. </w:t>
      </w:r>
      <w:r>
        <w:rPr>
          <w:rFonts w:ascii="Georgia" w:cs="Georgia" w:eastAsia="Georgia" w:hAnsi="Georgia"/>
          <w:color w:val="1A1A1A"/>
          <w:sz w:val="19"/>
          <w:szCs w:val="19"/>
        </w:rPr>
        <w:t xml:space="preserve">Downtown Bentonville Inc.. Retrieved from downtownbentonville.org</w:t>
      </w:r>
    </w:p>
    <w:p>
      <w:pPr>
        <w:spacing w:after="60" w:line="252"/>
        <w:ind w:left="360"/>
      </w:pPr>
      <w:hyperlink w:history="1" r:id="rIdi3ox7nczyrejgldfsrwfk">
        <w:r>
          <w:rPr>
            <w:rStyle w:val="Hyperlink"/>
            <w:rFonts w:ascii="Consolas" w:cs="Consolas" w:eastAsia="Consolas" w:hAnsi="Consolas"/>
            <w:sz w:val="16"/>
            <w:szCs w:val="16"/>
          </w:rPr>
          <w:t xml:space="preserve">https://downtownbentonville.org/events/farmers-market</w:t>
        </w:r>
      </w:hyperlink>
    </w:p>
    <w:p>
      <w:pPr>
        <w:spacing w:after="110" w:line="264"/>
        <w:ind w:left="360" w:hanging="360"/>
      </w:pPr>
      <w:r>
        <w:rPr>
          <w:rFonts w:ascii="Arial" w:cs="Arial" w:eastAsia="Arial" w:hAnsi="Arial"/>
          <w:b/>
          <w:bCs/>
          <w:color w:val="234A35"/>
          <w:sz w:val="18"/>
          <w:szCs w:val="18"/>
        </w:rPr>
        <w:t xml:space="preserve">[76]  </w:t>
      </w:r>
      <w:r>
        <w:rPr>
          <w:rFonts w:ascii="Georgia" w:cs="Georgia" w:eastAsia="Georgia" w:hAnsi="Georgia"/>
          <w:color w:val="1A1A1A"/>
          <w:sz w:val="19"/>
          <w:szCs w:val="19"/>
        </w:rPr>
        <w:t xml:space="preserve">Experience Fayetteville (2025). </w:t>
      </w:r>
      <w:r>
        <w:rPr>
          <w:rFonts w:ascii="Georgia" w:cs="Georgia" w:eastAsia="Georgia" w:hAnsi="Georgia"/>
          <w:i/>
          <w:iCs/>
          <w:color w:val="1A1A1A"/>
          <w:sz w:val="19"/>
          <w:szCs w:val="19"/>
        </w:rPr>
        <w:t xml:space="preserve">Fayetteville Farmers Market: Fifty years and thriving. </w:t>
      </w:r>
      <w:r>
        <w:rPr>
          <w:rFonts w:ascii="Georgia" w:cs="Georgia" w:eastAsia="Georgia" w:hAnsi="Georgia"/>
          <w:color w:val="1A1A1A"/>
          <w:sz w:val="19"/>
          <w:szCs w:val="19"/>
        </w:rPr>
        <w:t xml:space="preserve">Experience Fayetteville / Fayetteville Farmers Market. Retrieved from experiencefayetteville.com</w:t>
      </w:r>
    </w:p>
    <w:p>
      <w:pPr>
        <w:spacing w:after="60" w:line="252"/>
        <w:ind w:left="360"/>
      </w:pPr>
      <w:hyperlink w:history="1" r:id="rIdfrcaiau9twukyimdv-qxb">
        <w:r>
          <w:rPr>
            <w:rStyle w:val="Hyperlink"/>
            <w:rFonts w:ascii="Consolas" w:cs="Consolas" w:eastAsia="Consolas" w:hAnsi="Consolas"/>
            <w:sz w:val="16"/>
            <w:szCs w:val="16"/>
          </w:rPr>
          <w:t xml:space="preserve">https://www.experiencefayetteville.com/experience/shop/50-years-of-the-fayetteville-farmers-market</w:t>
        </w:r>
      </w:hyperlink>
    </w:p>
    <w:p>
      <w:pPr>
        <w:spacing w:after="110" w:line="264"/>
        <w:ind w:left="360" w:hanging="360"/>
      </w:pPr>
      <w:r>
        <w:rPr>
          <w:rFonts w:ascii="Arial" w:cs="Arial" w:eastAsia="Arial" w:hAnsi="Arial"/>
          <w:b/>
          <w:bCs/>
          <w:color w:val="234A35"/>
          <w:sz w:val="18"/>
          <w:szCs w:val="18"/>
        </w:rPr>
        <w:t xml:space="preserve">[77]  </w:t>
      </w:r>
      <w:r>
        <w:rPr>
          <w:rFonts w:ascii="Georgia" w:cs="Georgia" w:eastAsia="Georgia" w:hAnsi="Georgia"/>
          <w:color w:val="1A1A1A"/>
          <w:sz w:val="19"/>
          <w:szCs w:val="19"/>
        </w:rPr>
        <w:t xml:space="preserve">Richard's Country Meat Market (2025). </w:t>
      </w:r>
      <w:r>
        <w:rPr>
          <w:rFonts w:ascii="Georgia" w:cs="Georgia" w:eastAsia="Georgia" w:hAnsi="Georgia"/>
          <w:i/>
          <w:iCs/>
          <w:color w:val="1A1A1A"/>
          <w:sz w:val="19"/>
          <w:szCs w:val="19"/>
        </w:rPr>
        <w:t xml:space="preserve">Richard's Country Meat Market — Fayetteville, Arkansas. </w:t>
      </w:r>
      <w:r>
        <w:rPr>
          <w:rFonts w:ascii="Georgia" w:cs="Georgia" w:eastAsia="Georgia" w:hAnsi="Georgia"/>
          <w:color w:val="1A1A1A"/>
          <w:sz w:val="19"/>
          <w:szCs w:val="19"/>
        </w:rPr>
        <w:t xml:space="preserve">Richard's Country Meat Market. 3042 N Market Ave, Fayetteville, AR 72703</w:t>
      </w:r>
    </w:p>
    <w:p>
      <w:pPr>
        <w:spacing w:after="60" w:line="252"/>
        <w:ind w:left="360"/>
      </w:pPr>
      <w:hyperlink w:history="1" r:id="rIdfgl10-epwbs8fr93acofh">
        <w:r>
          <w:rPr>
            <w:rStyle w:val="Hyperlink"/>
            <w:rFonts w:ascii="Consolas" w:cs="Consolas" w:eastAsia="Consolas" w:hAnsi="Consolas"/>
            <w:sz w:val="16"/>
            <w:szCs w:val="16"/>
          </w:rPr>
          <w:t xml:space="preserve">https://richardscountrymeatmarket.com/</w:t>
        </w:r>
      </w:hyperlink>
    </w:p>
    <w:p>
      <w:pPr>
        <w:spacing w:after="110" w:line="264"/>
        <w:ind w:left="360" w:hanging="360"/>
      </w:pPr>
      <w:r>
        <w:rPr>
          <w:rFonts w:ascii="Arial" w:cs="Arial" w:eastAsia="Arial" w:hAnsi="Arial"/>
          <w:b/>
          <w:bCs/>
          <w:color w:val="234A35"/>
          <w:sz w:val="18"/>
          <w:szCs w:val="18"/>
        </w:rPr>
        <w:t xml:space="preserve">[78]  </w:t>
      </w:r>
      <w:r>
        <w:rPr>
          <w:rFonts w:ascii="Georgia" w:cs="Georgia" w:eastAsia="Georgia" w:hAnsi="Georgia"/>
          <w:color w:val="1A1A1A"/>
          <w:sz w:val="19"/>
          <w:szCs w:val="19"/>
        </w:rPr>
        <w:t xml:space="preserve">Ivan's Old Time Meat Shop (2024). </w:t>
      </w:r>
      <w:r>
        <w:rPr>
          <w:rFonts w:ascii="Georgia" w:cs="Georgia" w:eastAsia="Georgia" w:hAnsi="Georgia"/>
          <w:i/>
          <w:iCs/>
          <w:color w:val="1A1A1A"/>
          <w:sz w:val="19"/>
          <w:szCs w:val="19"/>
        </w:rPr>
        <w:t xml:space="preserve">Faces of Arkansas: Ivan's Old Time Meat Shop. </w:t>
      </w:r>
      <w:r>
        <w:rPr>
          <w:rFonts w:ascii="Georgia" w:cs="Georgia" w:eastAsia="Georgia" w:hAnsi="Georgia"/>
          <w:color w:val="1A1A1A"/>
          <w:sz w:val="19"/>
          <w:szCs w:val="19"/>
        </w:rPr>
        <w:t xml:space="preserve">Only In Arkansas. 2101 N 2nd St, Rogers, AR 72756</w:t>
      </w:r>
    </w:p>
    <w:p>
      <w:pPr>
        <w:spacing w:after="60" w:line="252"/>
        <w:ind w:left="360"/>
      </w:pPr>
      <w:hyperlink w:history="1" r:id="rIdnbq1tvveyhs44gfu44uc3">
        <w:r>
          <w:rPr>
            <w:rStyle w:val="Hyperlink"/>
            <w:rFonts w:ascii="Consolas" w:cs="Consolas" w:eastAsia="Consolas" w:hAnsi="Consolas"/>
            <w:sz w:val="16"/>
            <w:szCs w:val="16"/>
          </w:rPr>
          <w:t xml:space="preserve">https://onlyinark.com/food/faces-of-arkansas-ivans-old-time-meat-shop/</w:t>
        </w:r>
      </w:hyperlink>
    </w:p>
    <w:p>
      <w:pPr>
        <w:spacing w:after="110" w:line="264"/>
        <w:ind w:left="360" w:hanging="360"/>
      </w:pPr>
      <w:r>
        <w:rPr>
          <w:rFonts w:ascii="Arial" w:cs="Arial" w:eastAsia="Arial" w:hAnsi="Arial"/>
          <w:b/>
          <w:bCs/>
          <w:color w:val="234A35"/>
          <w:sz w:val="18"/>
          <w:szCs w:val="18"/>
        </w:rPr>
        <w:t xml:space="preserve">[79]  </w:t>
      </w:r>
      <w:r>
        <w:rPr>
          <w:rFonts w:ascii="Georgia" w:cs="Georgia" w:eastAsia="Georgia" w:hAnsi="Georgia"/>
          <w:color w:val="1A1A1A"/>
          <w:sz w:val="19"/>
          <w:szCs w:val="19"/>
        </w:rPr>
        <w:t xml:space="preserve">Harper, D., &amp; Harper, J. (2024). </w:t>
      </w:r>
      <w:r>
        <w:rPr>
          <w:rFonts w:ascii="Georgia" w:cs="Georgia" w:eastAsia="Georgia" w:hAnsi="Georgia"/>
          <w:i/>
          <w:iCs/>
          <w:color w:val="1A1A1A"/>
          <w:sz w:val="19"/>
          <w:szCs w:val="19"/>
        </w:rPr>
        <w:t xml:space="preserve">Harpo's Das Butcher Haus. </w:t>
      </w:r>
      <w:r>
        <w:rPr>
          <w:rFonts w:ascii="Georgia" w:cs="Georgia" w:eastAsia="Georgia" w:hAnsi="Georgia"/>
          <w:color w:val="1A1A1A"/>
          <w:sz w:val="19"/>
          <w:szCs w:val="19"/>
        </w:rPr>
        <w:t xml:space="preserve">Ozarks Farm &amp; Neighbor. 75 County Rd 710, Green Forest, AR 72638</w:t>
      </w:r>
    </w:p>
    <w:p>
      <w:pPr>
        <w:spacing w:after="60" w:line="252"/>
        <w:ind w:left="360"/>
      </w:pPr>
      <w:hyperlink w:history="1" r:id="rIdhjh6gol_g-trjdl3hm_hv">
        <w:r>
          <w:rPr>
            <w:rStyle w:val="Hyperlink"/>
            <w:rFonts w:ascii="Consolas" w:cs="Consolas" w:eastAsia="Consolas" w:hAnsi="Consolas"/>
            <w:sz w:val="16"/>
            <w:szCs w:val="16"/>
          </w:rPr>
          <w:t xml:space="preserve">https://ozarksfn.com/2024/02/22/harpos-das-butcher-haus/</w:t>
        </w:r>
      </w:hyperlink>
    </w:p>
    <w:p>
      <w:pPr>
        <w:spacing w:after="110" w:line="264"/>
        <w:ind w:left="360" w:hanging="360"/>
      </w:pPr>
      <w:r>
        <w:rPr>
          <w:rFonts w:ascii="Arial" w:cs="Arial" w:eastAsia="Arial" w:hAnsi="Arial"/>
          <w:b/>
          <w:bCs/>
          <w:color w:val="234A35"/>
          <w:sz w:val="18"/>
          <w:szCs w:val="18"/>
        </w:rPr>
        <w:t xml:space="preserve">[80]  </w:t>
      </w:r>
      <w:r>
        <w:rPr>
          <w:rFonts w:ascii="Georgia" w:cs="Georgia" w:eastAsia="Georgia" w:hAnsi="Georgia"/>
          <w:color w:val="1A1A1A"/>
          <w:sz w:val="19"/>
          <w:szCs w:val="19"/>
        </w:rPr>
        <w:t xml:space="preserve">Shamba Ranch (2025). </w:t>
      </w:r>
      <w:r>
        <w:rPr>
          <w:rFonts w:ascii="Georgia" w:cs="Georgia" w:eastAsia="Georgia" w:hAnsi="Georgia"/>
          <w:i/>
          <w:iCs/>
          <w:color w:val="1A1A1A"/>
          <w:sz w:val="19"/>
          <w:szCs w:val="19"/>
        </w:rPr>
        <w:t xml:space="preserve">Certified Angus Beef ranch to table. </w:t>
      </w:r>
      <w:r>
        <w:rPr>
          <w:rFonts w:ascii="Georgia" w:cs="Georgia" w:eastAsia="Georgia" w:hAnsi="Georgia"/>
          <w:color w:val="1A1A1A"/>
          <w:sz w:val="19"/>
          <w:szCs w:val="19"/>
        </w:rPr>
        <w:t xml:space="preserve">Shamba Ranch. Bentonville, AR</w:t>
      </w:r>
    </w:p>
    <w:p>
      <w:pPr>
        <w:spacing w:after="60" w:line="252"/>
        <w:ind w:left="360"/>
      </w:pPr>
      <w:hyperlink w:history="1" r:id="rId50xaram1jqhniu0-pr8sj">
        <w:r>
          <w:rPr>
            <w:rStyle w:val="Hyperlink"/>
            <w:rFonts w:ascii="Consolas" w:cs="Consolas" w:eastAsia="Consolas" w:hAnsi="Consolas"/>
            <w:sz w:val="16"/>
            <w:szCs w:val="16"/>
          </w:rPr>
          <w:t xml:space="preserve">https://www.nwaangus.com/ranchtotable</w:t>
        </w:r>
      </w:hyperlink>
    </w:p>
    <w:p>
      <w:pPr>
        <w:spacing w:after="110" w:line="264"/>
        <w:ind w:left="360" w:hanging="360"/>
      </w:pPr>
      <w:r>
        <w:rPr>
          <w:rFonts w:ascii="Arial" w:cs="Arial" w:eastAsia="Arial" w:hAnsi="Arial"/>
          <w:b/>
          <w:bCs/>
          <w:color w:val="234A35"/>
          <w:sz w:val="18"/>
          <w:szCs w:val="18"/>
        </w:rPr>
        <w:t xml:space="preserve">[81]  </w:t>
      </w:r>
      <w:r>
        <w:rPr>
          <w:rFonts w:ascii="Georgia" w:cs="Georgia" w:eastAsia="Georgia" w:hAnsi="Georgia"/>
          <w:color w:val="1A1A1A"/>
          <w:sz w:val="19"/>
          <w:szCs w:val="19"/>
        </w:rPr>
        <w:t xml:space="preserve">Ozark Natural Foods Cooperative (2025). </w:t>
      </w:r>
      <w:r>
        <w:rPr>
          <w:rFonts w:ascii="Georgia" w:cs="Georgia" w:eastAsia="Georgia" w:hAnsi="Georgia"/>
          <w:i/>
          <w:iCs/>
          <w:color w:val="1A1A1A"/>
          <w:sz w:val="19"/>
          <w:szCs w:val="19"/>
        </w:rPr>
        <w:t xml:space="preserve">About the co-op. </w:t>
      </w:r>
      <w:r>
        <w:rPr>
          <w:rFonts w:ascii="Georgia" w:cs="Georgia" w:eastAsia="Georgia" w:hAnsi="Georgia"/>
          <w:color w:val="1A1A1A"/>
          <w:sz w:val="19"/>
          <w:szCs w:val="19"/>
        </w:rPr>
        <w:t xml:space="preserve">Ozark Natural Foods. 380 N College Ave, Fayetteville, AR 72701</w:t>
      </w:r>
    </w:p>
    <w:p>
      <w:pPr>
        <w:spacing w:after="60" w:line="252"/>
        <w:ind w:left="360"/>
      </w:pPr>
      <w:hyperlink w:history="1" r:id="rIdsbku-ktsasqlnrwemymid">
        <w:r>
          <w:rPr>
            <w:rStyle w:val="Hyperlink"/>
            <w:rFonts w:ascii="Consolas" w:cs="Consolas" w:eastAsia="Consolas" w:hAnsi="Consolas"/>
            <w:sz w:val="16"/>
            <w:szCs w:val="16"/>
          </w:rPr>
          <w:t xml:space="preserve">https://onf.coop/about</w:t>
        </w:r>
      </w:hyperlink>
    </w:p>
    <w:p>
      <w:pPr>
        <w:spacing w:after="110" w:line="264"/>
        <w:ind w:left="360" w:hanging="360"/>
      </w:pPr>
      <w:r>
        <w:rPr>
          <w:rFonts w:ascii="Arial" w:cs="Arial" w:eastAsia="Arial" w:hAnsi="Arial"/>
          <w:b/>
          <w:bCs/>
          <w:color w:val="234A35"/>
          <w:sz w:val="18"/>
          <w:szCs w:val="18"/>
        </w:rPr>
        <w:t xml:space="preserve">[82]  </w:t>
      </w:r>
      <w:r>
        <w:rPr>
          <w:rFonts w:ascii="Georgia" w:cs="Georgia" w:eastAsia="Georgia" w:hAnsi="Georgia"/>
          <w:color w:val="1A1A1A"/>
          <w:sz w:val="19"/>
          <w:szCs w:val="19"/>
        </w:rPr>
        <w:t xml:space="preserve">Across the Creek Farm (2025). </w:t>
      </w:r>
      <w:r>
        <w:rPr>
          <w:rFonts w:ascii="Georgia" w:cs="Georgia" w:eastAsia="Georgia" w:hAnsi="Georgia"/>
          <w:i/>
          <w:iCs/>
          <w:color w:val="1A1A1A"/>
          <w:sz w:val="19"/>
          <w:szCs w:val="19"/>
        </w:rPr>
        <w:t xml:space="preserve">About our farm. </w:t>
      </w:r>
      <w:r>
        <w:rPr>
          <w:rFonts w:ascii="Georgia" w:cs="Georgia" w:eastAsia="Georgia" w:hAnsi="Georgia"/>
          <w:color w:val="1A1A1A"/>
          <w:sz w:val="19"/>
          <w:szCs w:val="19"/>
        </w:rPr>
        <w:t xml:space="preserve">Across the Creek Farm. West Fork / Fayetteville, AR</w:t>
      </w:r>
    </w:p>
    <w:p>
      <w:pPr>
        <w:spacing w:after="60" w:line="252"/>
        <w:ind w:left="360"/>
      </w:pPr>
      <w:hyperlink w:history="1" r:id="rIdj4j09kk3pceiuz1q4uvsv">
        <w:r>
          <w:rPr>
            <w:rStyle w:val="Hyperlink"/>
            <w:rFonts w:ascii="Consolas" w:cs="Consolas" w:eastAsia="Consolas" w:hAnsi="Consolas"/>
            <w:sz w:val="16"/>
            <w:szCs w:val="16"/>
          </w:rPr>
          <w:t xml:space="preserve">https://acrossthecreekfarm.com/about-our-farm</w:t>
        </w:r>
      </w:hyperlink>
    </w:p>
    <w:p>
      <w:pPr>
        <w:spacing w:after="110" w:line="264"/>
        <w:ind w:left="360" w:hanging="360"/>
      </w:pPr>
      <w:r>
        <w:rPr>
          <w:rFonts w:ascii="Arial" w:cs="Arial" w:eastAsia="Arial" w:hAnsi="Arial"/>
          <w:b/>
          <w:bCs/>
          <w:color w:val="234A35"/>
          <w:sz w:val="18"/>
          <w:szCs w:val="18"/>
        </w:rPr>
        <w:t xml:space="preserve">[83]  </w:t>
      </w:r>
      <w:r>
        <w:rPr>
          <w:rFonts w:ascii="Georgia" w:cs="Georgia" w:eastAsia="Georgia" w:hAnsi="Georgia"/>
          <w:color w:val="1A1A1A"/>
          <w:sz w:val="19"/>
          <w:szCs w:val="19"/>
        </w:rPr>
        <w:t xml:space="preserve">Ozark Pasture Beef, LLC (2025). </w:t>
      </w:r>
      <w:r>
        <w:rPr>
          <w:rFonts w:ascii="Georgia" w:cs="Georgia" w:eastAsia="Georgia" w:hAnsi="Georgia"/>
          <w:i/>
          <w:iCs/>
          <w:color w:val="1A1A1A"/>
          <w:sz w:val="19"/>
          <w:szCs w:val="19"/>
        </w:rPr>
        <w:t xml:space="preserve">100% grass-fed and grass-finished meats. </w:t>
      </w:r>
      <w:r>
        <w:rPr>
          <w:rFonts w:ascii="Georgia" w:cs="Georgia" w:eastAsia="Georgia" w:hAnsi="Georgia"/>
          <w:color w:val="1A1A1A"/>
          <w:sz w:val="19"/>
          <w:szCs w:val="19"/>
        </w:rPr>
        <w:t xml:space="preserve">Ozark Pasture Beef. Northwest Arkansas</w:t>
      </w:r>
    </w:p>
    <w:p>
      <w:pPr>
        <w:spacing w:after="60" w:line="252"/>
        <w:ind w:left="360"/>
      </w:pPr>
      <w:hyperlink w:history="1" r:id="rIdbib6cho8gqxem_imzkd0j">
        <w:r>
          <w:rPr>
            <w:rStyle w:val="Hyperlink"/>
            <w:rFonts w:ascii="Consolas" w:cs="Consolas" w:eastAsia="Consolas" w:hAnsi="Consolas"/>
            <w:sz w:val="16"/>
            <w:szCs w:val="16"/>
          </w:rPr>
          <w:t xml:space="preserve">https://ozarkpasturebeef.com/</w:t>
        </w:r>
      </w:hyperlink>
    </w:p>
    <w:p>
      <w:pPr>
        <w:spacing w:after="110" w:line="264"/>
        <w:ind w:left="360" w:hanging="360"/>
      </w:pPr>
      <w:r>
        <w:rPr>
          <w:rFonts w:ascii="Arial" w:cs="Arial" w:eastAsia="Arial" w:hAnsi="Arial"/>
          <w:b/>
          <w:bCs/>
          <w:color w:val="234A35"/>
          <w:sz w:val="18"/>
          <w:szCs w:val="18"/>
        </w:rPr>
        <w:t xml:space="preserve">[84]  </w:t>
      </w:r>
      <w:r>
        <w:rPr>
          <w:rFonts w:ascii="Georgia" w:cs="Georgia" w:eastAsia="Georgia" w:hAnsi="Georgia"/>
          <w:color w:val="1A1A1A"/>
          <w:sz w:val="19"/>
          <w:szCs w:val="19"/>
        </w:rPr>
        <w:t xml:space="preserve">Ranch on the Rock (2025). </w:t>
      </w:r>
      <w:r>
        <w:rPr>
          <w:rFonts w:ascii="Georgia" w:cs="Georgia" w:eastAsia="Georgia" w:hAnsi="Georgia"/>
          <w:i/>
          <w:iCs/>
          <w:color w:val="1A1A1A"/>
          <w:sz w:val="19"/>
          <w:szCs w:val="19"/>
        </w:rPr>
        <w:t xml:space="preserve">Premium grass-fed, grass-finished beef. </w:t>
      </w:r>
      <w:r>
        <w:rPr>
          <w:rFonts w:ascii="Georgia" w:cs="Georgia" w:eastAsia="Georgia" w:hAnsi="Georgia"/>
          <w:color w:val="1A1A1A"/>
          <w:sz w:val="19"/>
          <w:szCs w:val="19"/>
        </w:rPr>
        <w:t xml:space="preserve">Ranch on the Rock. Northwest Arkansas / Northeast Oklahoma</w:t>
      </w:r>
    </w:p>
    <w:p>
      <w:pPr>
        <w:spacing w:after="60" w:line="252"/>
        <w:ind w:left="360"/>
      </w:pPr>
      <w:hyperlink w:history="1" r:id="rIds_q7b_3ykji5tv2nsbzgk">
        <w:r>
          <w:rPr>
            <w:rStyle w:val="Hyperlink"/>
            <w:rFonts w:ascii="Consolas" w:cs="Consolas" w:eastAsia="Consolas" w:hAnsi="Consolas"/>
            <w:sz w:val="16"/>
            <w:szCs w:val="16"/>
          </w:rPr>
          <w:t xml:space="preserve">https://www.ranchontherock.com/</w:t>
        </w:r>
      </w:hyperlink>
    </w:p>
    <w:p>
      <w:pPr>
        <w:spacing w:after="110" w:line="264"/>
        <w:ind w:left="360" w:hanging="360"/>
      </w:pPr>
      <w:r>
        <w:rPr>
          <w:rFonts w:ascii="Arial" w:cs="Arial" w:eastAsia="Arial" w:hAnsi="Arial"/>
          <w:b/>
          <w:bCs/>
          <w:color w:val="234A35"/>
          <w:sz w:val="18"/>
          <w:szCs w:val="18"/>
        </w:rPr>
        <w:t xml:space="preserve">[85]  </w:t>
      </w:r>
      <w:r>
        <w:rPr>
          <w:rFonts w:ascii="Georgia" w:cs="Georgia" w:eastAsia="Georgia" w:hAnsi="Georgia"/>
          <w:color w:val="1A1A1A"/>
          <w:sz w:val="19"/>
          <w:szCs w:val="19"/>
        </w:rPr>
        <w:t xml:space="preserve">Oakcreek Buffalo Ranch (2025). </w:t>
      </w:r>
      <w:r>
        <w:rPr>
          <w:rFonts w:ascii="Georgia" w:cs="Georgia" w:eastAsia="Georgia" w:hAnsi="Georgia"/>
          <w:i/>
          <w:iCs/>
          <w:color w:val="1A1A1A"/>
          <w:sz w:val="19"/>
          <w:szCs w:val="19"/>
        </w:rPr>
        <w:t xml:space="preserve">About Oakcreek Buffalo Ranch. </w:t>
      </w:r>
      <w:r>
        <w:rPr>
          <w:rFonts w:ascii="Georgia" w:cs="Georgia" w:eastAsia="Georgia" w:hAnsi="Georgia"/>
          <w:color w:val="1A1A1A"/>
          <w:sz w:val="19"/>
          <w:szCs w:val="19"/>
        </w:rPr>
        <w:t xml:space="preserve">Oakcreek Buffalo Ranch. 1245 Little Missouri Rd, Jane, MO 64856</w:t>
      </w:r>
    </w:p>
    <w:p>
      <w:pPr>
        <w:spacing w:after="60" w:line="252"/>
        <w:ind w:left="360"/>
      </w:pPr>
      <w:hyperlink w:history="1" r:id="rId_8szvjuqdtapdubl0al16">
        <w:r>
          <w:rPr>
            <w:rStyle w:val="Hyperlink"/>
            <w:rFonts w:ascii="Consolas" w:cs="Consolas" w:eastAsia="Consolas" w:hAnsi="Consolas"/>
            <w:sz w:val="16"/>
            <w:szCs w:val="16"/>
          </w:rPr>
          <w:t xml:space="preserve">http://ourbuffalofarm.com/about.html</w:t>
        </w:r>
      </w:hyperlink>
    </w:p>
    <w:p>
      <w:pPr>
        <w:spacing w:after="110" w:line="264"/>
        <w:ind w:left="360" w:hanging="360"/>
      </w:pPr>
      <w:r>
        <w:rPr>
          <w:rFonts w:ascii="Arial" w:cs="Arial" w:eastAsia="Arial" w:hAnsi="Arial"/>
          <w:b/>
          <w:bCs/>
          <w:color w:val="234A35"/>
          <w:sz w:val="18"/>
          <w:szCs w:val="18"/>
        </w:rPr>
        <w:t xml:space="preserve">[86]  </w:t>
      </w:r>
      <w:r>
        <w:rPr>
          <w:rFonts w:ascii="Georgia" w:cs="Georgia" w:eastAsia="Georgia" w:hAnsi="Georgia"/>
          <w:color w:val="1A1A1A"/>
          <w:sz w:val="19"/>
          <w:szCs w:val="19"/>
        </w:rPr>
        <w:t xml:space="preserve">Tornberg, E. (2005). </w:t>
      </w:r>
      <w:r>
        <w:rPr>
          <w:rFonts w:ascii="Georgia" w:cs="Georgia" w:eastAsia="Georgia" w:hAnsi="Georgia"/>
          <w:i/>
          <w:iCs/>
          <w:color w:val="1A1A1A"/>
          <w:sz w:val="19"/>
          <w:szCs w:val="19"/>
        </w:rPr>
        <w:t xml:space="preserve">Effects of heat on meat proteins — Implications on structure and quality of meat products. </w:t>
      </w:r>
      <w:r>
        <w:rPr>
          <w:rFonts w:ascii="Georgia" w:cs="Georgia" w:eastAsia="Georgia" w:hAnsi="Georgia"/>
          <w:color w:val="1A1A1A"/>
          <w:sz w:val="19"/>
          <w:szCs w:val="19"/>
        </w:rPr>
        <w:t xml:space="preserve">Meat Science. 70(3), 493-508. https://doi.org/10.1016/j.meatsci.2004.11.021</w:t>
      </w:r>
    </w:p>
    <w:p>
      <w:pPr>
        <w:spacing w:after="60" w:line="252"/>
        <w:ind w:left="360"/>
      </w:pPr>
      <w:hyperlink w:history="1" r:id="rIdmqoq7-uhlylb7vlz9h12b">
        <w:r>
          <w:rPr>
            <w:rStyle w:val="Hyperlink"/>
            <w:rFonts w:ascii="Consolas" w:cs="Consolas" w:eastAsia="Consolas" w:hAnsi="Consolas"/>
            <w:sz w:val="16"/>
            <w:szCs w:val="16"/>
          </w:rPr>
          <w:t xml:space="preserve">https://doi.org/10.1016/j.meatsci.2004.11.021</w:t>
        </w:r>
      </w:hyperlink>
    </w:p>
    <w:p>
      <w:pPr>
        <w:spacing w:after="110" w:line="264"/>
        <w:ind w:left="360" w:hanging="360"/>
      </w:pPr>
      <w:r>
        <w:rPr>
          <w:rFonts w:ascii="Arial" w:cs="Arial" w:eastAsia="Arial" w:hAnsi="Arial"/>
          <w:b/>
          <w:bCs/>
          <w:color w:val="234A35"/>
          <w:sz w:val="18"/>
          <w:szCs w:val="18"/>
        </w:rPr>
        <w:t xml:space="preserve">[87]  </w:t>
      </w:r>
      <w:r>
        <w:rPr>
          <w:rFonts w:ascii="Georgia" w:cs="Georgia" w:eastAsia="Georgia" w:hAnsi="Georgia"/>
          <w:color w:val="1A1A1A"/>
          <w:sz w:val="19"/>
          <w:szCs w:val="19"/>
        </w:rPr>
        <w:t xml:space="preserve">Bejerholm, C., &amp; Aaslyng, M. D. (2004). </w:t>
      </w:r>
      <w:r>
        <w:rPr>
          <w:rFonts w:ascii="Georgia" w:cs="Georgia" w:eastAsia="Georgia" w:hAnsi="Georgia"/>
          <w:i/>
          <w:iCs/>
          <w:color w:val="1A1A1A"/>
          <w:sz w:val="19"/>
          <w:szCs w:val="19"/>
        </w:rPr>
        <w:t xml:space="preserve">The influence of cooking technique and core temperature on results of a sensory analysis of pork. </w:t>
      </w:r>
      <w:r>
        <w:rPr>
          <w:rFonts w:ascii="Georgia" w:cs="Georgia" w:eastAsia="Georgia" w:hAnsi="Georgia"/>
          <w:color w:val="1A1A1A"/>
          <w:sz w:val="19"/>
          <w:szCs w:val="19"/>
        </w:rPr>
        <w:t xml:space="preserve">Meat Science. 66(4), 729-737. https://doi.org/10.1016/S0309-1740(03)00035-4</w:t>
      </w:r>
    </w:p>
    <w:p>
      <w:pPr>
        <w:spacing w:after="60" w:line="252"/>
        <w:ind w:left="360"/>
      </w:pPr>
      <w:hyperlink w:history="1" r:id="rId5snbm52nmggpj388xxzav">
        <w:r>
          <w:rPr>
            <w:rStyle w:val="Hyperlink"/>
            <w:rFonts w:ascii="Consolas" w:cs="Consolas" w:eastAsia="Consolas" w:hAnsi="Consolas"/>
            <w:sz w:val="16"/>
            <w:szCs w:val="16"/>
          </w:rPr>
          <w:t xml:space="preserve">https://doi.org/10.1016/S0309-1740(03)00035-4</w:t>
        </w:r>
      </w:hyperlink>
    </w:p>
    <w:p>
      <w:pPr>
        <w:spacing w:after="110" w:line="264"/>
        <w:ind w:left="360" w:hanging="360"/>
      </w:pPr>
      <w:r>
        <w:rPr>
          <w:rFonts w:ascii="Arial" w:cs="Arial" w:eastAsia="Arial" w:hAnsi="Arial"/>
          <w:b/>
          <w:bCs/>
          <w:color w:val="234A35"/>
          <w:sz w:val="18"/>
          <w:szCs w:val="18"/>
        </w:rPr>
        <w:t xml:space="preserve">[88]  </w:t>
      </w:r>
      <w:r>
        <w:rPr>
          <w:rFonts w:ascii="Georgia" w:cs="Georgia" w:eastAsia="Georgia" w:hAnsi="Georgia"/>
          <w:color w:val="1A1A1A"/>
          <w:sz w:val="19"/>
          <w:szCs w:val="19"/>
        </w:rPr>
        <w:t xml:space="preserve">Aaslyng, M. D., Bejerholm, C., Ertbjerg, P., Bertram, H. C., &amp; Andersen, H. J. (2003). </w:t>
      </w:r>
      <w:r>
        <w:rPr>
          <w:rFonts w:ascii="Georgia" w:cs="Georgia" w:eastAsia="Georgia" w:hAnsi="Georgia"/>
          <w:i/>
          <w:iCs/>
          <w:color w:val="1A1A1A"/>
          <w:sz w:val="19"/>
          <w:szCs w:val="19"/>
        </w:rPr>
        <w:t xml:space="preserve">Cooking loss and juiciness of pork in relation to raw meat quality and cooking procedure. </w:t>
      </w:r>
      <w:r>
        <w:rPr>
          <w:rFonts w:ascii="Georgia" w:cs="Georgia" w:eastAsia="Georgia" w:hAnsi="Georgia"/>
          <w:color w:val="1A1A1A"/>
          <w:sz w:val="19"/>
          <w:szCs w:val="19"/>
        </w:rPr>
        <w:t xml:space="preserve">Food Quality and Preference. 14(4), 277-288. https://doi.org/10.1016/S0950-3293(02)00086-1</w:t>
      </w:r>
    </w:p>
    <w:p>
      <w:pPr>
        <w:spacing w:after="60" w:line="252"/>
        <w:ind w:left="360"/>
      </w:pPr>
      <w:hyperlink w:history="1" r:id="rId6_n9vtzbw6phmsx4yosp7">
        <w:r>
          <w:rPr>
            <w:rStyle w:val="Hyperlink"/>
            <w:rFonts w:ascii="Consolas" w:cs="Consolas" w:eastAsia="Consolas" w:hAnsi="Consolas"/>
            <w:sz w:val="16"/>
            <w:szCs w:val="16"/>
          </w:rPr>
          <w:t xml:space="preserve">https://doi.org/10.1016/S0950-3293(02)00086-1</w:t>
        </w:r>
      </w:hyperlink>
    </w:p>
    <w:p>
      <w:pPr>
        <w:spacing w:after="110" w:line="264"/>
        <w:ind w:left="360" w:hanging="360"/>
      </w:pPr>
      <w:r>
        <w:rPr>
          <w:rFonts w:ascii="Arial" w:cs="Arial" w:eastAsia="Arial" w:hAnsi="Arial"/>
          <w:b/>
          <w:bCs/>
          <w:color w:val="234A35"/>
          <w:sz w:val="18"/>
          <w:szCs w:val="18"/>
        </w:rPr>
        <w:t xml:space="preserve">[89]  </w:t>
      </w:r>
      <w:r>
        <w:rPr>
          <w:rFonts w:ascii="Georgia" w:cs="Georgia" w:eastAsia="Georgia" w:hAnsi="Georgia"/>
          <w:color w:val="1A1A1A"/>
          <w:sz w:val="19"/>
          <w:szCs w:val="19"/>
        </w:rPr>
        <w:t xml:space="preserve">Pathare, P. B., &amp; Roskilly, A. P. (2016). </w:t>
      </w:r>
      <w:r>
        <w:rPr>
          <w:rFonts w:ascii="Georgia" w:cs="Georgia" w:eastAsia="Georgia" w:hAnsi="Georgia"/>
          <w:i/>
          <w:iCs/>
          <w:color w:val="1A1A1A"/>
          <w:sz w:val="19"/>
          <w:szCs w:val="19"/>
        </w:rPr>
        <w:t xml:space="preserve">Quality and energy evaluation in meat cooking. </w:t>
      </w:r>
      <w:r>
        <w:rPr>
          <w:rFonts w:ascii="Georgia" w:cs="Georgia" w:eastAsia="Georgia" w:hAnsi="Georgia"/>
          <w:color w:val="1A1A1A"/>
          <w:sz w:val="19"/>
          <w:szCs w:val="19"/>
        </w:rPr>
        <w:t xml:space="preserve">Food Engineering Reviews. 8(4), 435-447. https://doi.org/10.1007/s12393-016-9143-5</w:t>
      </w:r>
    </w:p>
    <w:p>
      <w:pPr>
        <w:spacing w:after="60" w:line="252"/>
        <w:ind w:left="360"/>
      </w:pPr>
      <w:hyperlink w:history="1" r:id="rId0nyrvuaof1ll0bk74zfd3">
        <w:r>
          <w:rPr>
            <w:rStyle w:val="Hyperlink"/>
            <w:rFonts w:ascii="Consolas" w:cs="Consolas" w:eastAsia="Consolas" w:hAnsi="Consolas"/>
            <w:sz w:val="16"/>
            <w:szCs w:val="16"/>
          </w:rPr>
          <w:t xml:space="preserve">https://doi.org/10.1007/s12393-016-9143-5</w:t>
        </w:r>
      </w:hyperlink>
    </w:p>
    <w:p>
      <w:pPr>
        <w:spacing w:after="110" w:line="264"/>
        <w:ind w:left="360" w:hanging="360"/>
      </w:pPr>
      <w:r>
        <w:rPr>
          <w:rFonts w:ascii="Arial" w:cs="Arial" w:eastAsia="Arial" w:hAnsi="Arial"/>
          <w:b/>
          <w:bCs/>
          <w:color w:val="234A35"/>
          <w:sz w:val="18"/>
          <w:szCs w:val="18"/>
        </w:rPr>
        <w:t xml:space="preserve">[90]  </w:t>
      </w:r>
      <w:r>
        <w:rPr>
          <w:rFonts w:ascii="Georgia" w:cs="Georgia" w:eastAsia="Georgia" w:hAnsi="Georgia"/>
          <w:color w:val="1A1A1A"/>
          <w:sz w:val="19"/>
          <w:szCs w:val="19"/>
        </w:rPr>
        <w:t xml:space="preserve">Vierck, K. R., Gonzalez, J. M., Houser, T. A., Boyle, E. A. E., &amp; O'Quinn, T. G. (2018). </w:t>
      </w:r>
      <w:r>
        <w:rPr>
          <w:rFonts w:ascii="Georgia" w:cs="Georgia" w:eastAsia="Georgia" w:hAnsi="Georgia"/>
          <w:i/>
          <w:iCs/>
          <w:color w:val="1A1A1A"/>
          <w:sz w:val="19"/>
          <w:szCs w:val="19"/>
        </w:rPr>
        <w:t xml:space="preserve">Marbling texture's effects on beef palatability. </w:t>
      </w:r>
      <w:r>
        <w:rPr>
          <w:rFonts w:ascii="Georgia" w:cs="Georgia" w:eastAsia="Georgia" w:hAnsi="Georgia"/>
          <w:color w:val="1A1A1A"/>
          <w:sz w:val="19"/>
          <w:szCs w:val="19"/>
        </w:rPr>
        <w:t xml:space="preserve">Meat and Muscle Biology. 2(1), 142-153. https://doi.org/10.22175/mmb2017.10.0052</w:t>
      </w:r>
    </w:p>
    <w:p>
      <w:pPr>
        <w:spacing w:after="60" w:line="252"/>
        <w:ind w:left="360"/>
      </w:pPr>
      <w:hyperlink w:history="1" r:id="rIdiemmfum0sp3cbkl-bnuii">
        <w:r>
          <w:rPr>
            <w:rStyle w:val="Hyperlink"/>
            <w:rFonts w:ascii="Consolas" w:cs="Consolas" w:eastAsia="Consolas" w:hAnsi="Consolas"/>
            <w:sz w:val="16"/>
            <w:szCs w:val="16"/>
          </w:rPr>
          <w:t xml:space="preserve">https://doi.org/10.22175/mmb2017.10.0052</w:t>
        </w:r>
      </w:hyperlink>
    </w:p>
    <w:p>
      <w:pPr>
        <w:spacing w:after="110" w:line="264"/>
        <w:ind w:left="360" w:hanging="360"/>
      </w:pPr>
      <w:r>
        <w:rPr>
          <w:rFonts w:ascii="Arial" w:cs="Arial" w:eastAsia="Arial" w:hAnsi="Arial"/>
          <w:b/>
          <w:bCs/>
          <w:color w:val="234A35"/>
          <w:sz w:val="18"/>
          <w:szCs w:val="18"/>
        </w:rPr>
        <w:t xml:space="preserve">[91]  </w:t>
      </w:r>
      <w:r>
        <w:rPr>
          <w:rFonts w:ascii="Georgia" w:cs="Georgia" w:eastAsia="Georgia" w:hAnsi="Georgia"/>
          <w:color w:val="1A1A1A"/>
          <w:sz w:val="19"/>
          <w:szCs w:val="19"/>
        </w:rPr>
        <w:t xml:space="preserve">Mozaffarian, D., &amp; Rimm, E. B. (2006). </w:t>
      </w:r>
      <w:r>
        <w:rPr>
          <w:rFonts w:ascii="Georgia" w:cs="Georgia" w:eastAsia="Georgia" w:hAnsi="Georgia"/>
          <w:i/>
          <w:iCs/>
          <w:color w:val="1A1A1A"/>
          <w:sz w:val="19"/>
          <w:szCs w:val="19"/>
        </w:rPr>
        <w:t xml:space="preserve">Fish intake, contaminants, and human health: Evaluating the risks and the benefits. </w:t>
      </w:r>
      <w:r>
        <w:rPr>
          <w:rFonts w:ascii="Georgia" w:cs="Georgia" w:eastAsia="Georgia" w:hAnsi="Georgia"/>
          <w:color w:val="1A1A1A"/>
          <w:sz w:val="19"/>
          <w:szCs w:val="19"/>
        </w:rPr>
        <w:t xml:space="preserve">JAMA. 296(15), 1885-1899. https://doi.org/10.1001/jama.296.15.1885</w:t>
      </w:r>
    </w:p>
    <w:p>
      <w:pPr>
        <w:spacing w:after="60" w:line="252"/>
        <w:ind w:left="360"/>
      </w:pPr>
      <w:hyperlink w:history="1" r:id="rIdm8z3o7nrdeu1xjagpslea">
        <w:r>
          <w:rPr>
            <w:rStyle w:val="Hyperlink"/>
            <w:rFonts w:ascii="Consolas" w:cs="Consolas" w:eastAsia="Consolas" w:hAnsi="Consolas"/>
            <w:sz w:val="16"/>
            <w:szCs w:val="16"/>
          </w:rPr>
          <w:t xml:space="preserve">https://doi.org/10.1001/jama.296.15.1885</w:t>
        </w:r>
      </w:hyperlink>
    </w:p>
    <w:p>
      <w:pPr>
        <w:spacing w:after="110" w:line="264"/>
        <w:ind w:left="360" w:hanging="360"/>
      </w:pPr>
      <w:r>
        <w:rPr>
          <w:rFonts w:ascii="Arial" w:cs="Arial" w:eastAsia="Arial" w:hAnsi="Arial"/>
          <w:b/>
          <w:bCs/>
          <w:color w:val="234A35"/>
          <w:sz w:val="18"/>
          <w:szCs w:val="18"/>
        </w:rPr>
        <w:t xml:space="preserve">[92]  </w:t>
      </w:r>
      <w:r>
        <w:rPr>
          <w:rFonts w:ascii="Georgia" w:cs="Georgia" w:eastAsia="Georgia" w:hAnsi="Georgia"/>
          <w:color w:val="1A1A1A"/>
          <w:sz w:val="19"/>
          <w:szCs w:val="19"/>
        </w:rPr>
        <w:t xml:space="preserve">Calder, P. C. (2014). </w:t>
      </w:r>
      <w:r>
        <w:rPr>
          <w:rFonts w:ascii="Georgia" w:cs="Georgia" w:eastAsia="Georgia" w:hAnsi="Georgia"/>
          <w:i/>
          <w:iCs/>
          <w:color w:val="1A1A1A"/>
          <w:sz w:val="19"/>
          <w:szCs w:val="19"/>
        </w:rPr>
        <w:t xml:space="preserve">Very long chain omega-3 (n-3) fatty acids and human health. </w:t>
      </w:r>
      <w:r>
        <w:rPr>
          <w:rFonts w:ascii="Georgia" w:cs="Georgia" w:eastAsia="Georgia" w:hAnsi="Georgia"/>
          <w:color w:val="1A1A1A"/>
          <w:sz w:val="19"/>
          <w:szCs w:val="19"/>
        </w:rPr>
        <w:t xml:space="preserve">European Journal of Lipid Science and Technology. 116(10), 1280-1300. https://doi.org/10.1002/ejlt.201400025</w:t>
      </w:r>
    </w:p>
    <w:p>
      <w:pPr>
        <w:spacing w:after="60" w:line="252"/>
        <w:ind w:left="360"/>
      </w:pPr>
      <w:hyperlink w:history="1" r:id="rIduoj3sz03hgvfc66_5dnmi">
        <w:r>
          <w:rPr>
            <w:rStyle w:val="Hyperlink"/>
            <w:rFonts w:ascii="Consolas" w:cs="Consolas" w:eastAsia="Consolas" w:hAnsi="Consolas"/>
            <w:sz w:val="16"/>
            <w:szCs w:val="16"/>
          </w:rPr>
          <w:t xml:space="preserve">https://doi.org/10.1002/ejlt.201400025</w:t>
        </w:r>
      </w:hyperlink>
    </w:p>
    <w:p>
      <w:pPr>
        <w:spacing w:after="110" w:line="264"/>
        <w:ind w:left="360" w:hanging="360"/>
      </w:pPr>
      <w:r>
        <w:rPr>
          <w:rFonts w:ascii="Arial" w:cs="Arial" w:eastAsia="Arial" w:hAnsi="Arial"/>
          <w:b/>
          <w:bCs/>
          <w:color w:val="234A35"/>
          <w:sz w:val="18"/>
          <w:szCs w:val="18"/>
        </w:rPr>
        <w:t xml:space="preserve">[93]  </w:t>
      </w:r>
      <w:r>
        <w:rPr>
          <w:rFonts w:ascii="Georgia" w:cs="Georgia" w:eastAsia="Georgia" w:hAnsi="Georgia"/>
          <w:color w:val="1A1A1A"/>
          <w:sz w:val="19"/>
          <w:szCs w:val="19"/>
        </w:rPr>
        <w:t xml:space="preserve">U.S. Food and Drug Administration &amp; U.S. Environmental Protection Agency (2022). </w:t>
      </w:r>
      <w:r>
        <w:rPr>
          <w:rFonts w:ascii="Georgia" w:cs="Georgia" w:eastAsia="Georgia" w:hAnsi="Georgia"/>
          <w:i/>
          <w:iCs/>
          <w:color w:val="1A1A1A"/>
          <w:sz w:val="19"/>
          <w:szCs w:val="19"/>
        </w:rPr>
        <w:t xml:space="preserve">Advice about eating fish: For those who might become or are pregnant or breastfeeding and children. </w:t>
      </w:r>
      <w:r>
        <w:rPr>
          <w:rFonts w:ascii="Georgia" w:cs="Georgia" w:eastAsia="Georgia" w:hAnsi="Georgia"/>
          <w:color w:val="1A1A1A"/>
          <w:sz w:val="19"/>
          <w:szCs w:val="19"/>
        </w:rPr>
        <w:t xml:space="preserve">FDA/EPA. Retrieved from fda.gov</w:t>
      </w:r>
    </w:p>
    <w:p>
      <w:pPr>
        <w:spacing w:after="60" w:line="252"/>
        <w:ind w:left="360"/>
      </w:pPr>
      <w:hyperlink w:history="1" r:id="rIdyixvat5zrhnjwsfkmor_p">
        <w:r>
          <w:rPr>
            <w:rStyle w:val="Hyperlink"/>
            <w:rFonts w:ascii="Consolas" w:cs="Consolas" w:eastAsia="Consolas" w:hAnsi="Consolas"/>
            <w:sz w:val="16"/>
            <w:szCs w:val="16"/>
          </w:rPr>
          <w:t xml:space="preserve">https://www.fda.gov/food/consumers/advice-about-eating-fish</w:t>
        </w:r>
      </w:hyperlink>
    </w:p>
    <w:p>
      <w:pPr>
        <w:spacing w:after="110" w:line="264"/>
        <w:ind w:left="360" w:hanging="360"/>
      </w:pPr>
      <w:r>
        <w:rPr>
          <w:rFonts w:ascii="Arial" w:cs="Arial" w:eastAsia="Arial" w:hAnsi="Arial"/>
          <w:b/>
          <w:bCs/>
          <w:color w:val="234A35"/>
          <w:sz w:val="18"/>
          <w:szCs w:val="18"/>
        </w:rPr>
        <w:t xml:space="preserve">[94]  </w:t>
      </w:r>
      <w:r>
        <w:rPr>
          <w:rFonts w:ascii="Georgia" w:cs="Georgia" w:eastAsia="Georgia" w:hAnsi="Georgia"/>
          <w:color w:val="1A1A1A"/>
          <w:sz w:val="19"/>
          <w:szCs w:val="19"/>
        </w:rPr>
        <w:t xml:space="preserve">Slavin, J. L., &amp; Lloyd, B. (2012). </w:t>
      </w:r>
      <w:r>
        <w:rPr>
          <w:rFonts w:ascii="Georgia" w:cs="Georgia" w:eastAsia="Georgia" w:hAnsi="Georgia"/>
          <w:i/>
          <w:iCs/>
          <w:color w:val="1A1A1A"/>
          <w:sz w:val="19"/>
          <w:szCs w:val="19"/>
        </w:rPr>
        <w:t xml:space="preserve">Health benefits of fruits and vegetables. </w:t>
      </w:r>
      <w:r>
        <w:rPr>
          <w:rFonts w:ascii="Georgia" w:cs="Georgia" w:eastAsia="Georgia" w:hAnsi="Georgia"/>
          <w:color w:val="1A1A1A"/>
          <w:sz w:val="19"/>
          <w:szCs w:val="19"/>
        </w:rPr>
        <w:t xml:space="preserve">Advances in Nutrition. 3(4), 506-516. https://doi.org/10.3945/an.112.002154</w:t>
      </w:r>
    </w:p>
    <w:p>
      <w:pPr>
        <w:spacing w:after="60" w:line="252"/>
        <w:ind w:left="360"/>
      </w:pPr>
      <w:hyperlink w:history="1" r:id="rIdaxagl8gd5mj4lhmwtjrb7">
        <w:r>
          <w:rPr>
            <w:rStyle w:val="Hyperlink"/>
            <w:rFonts w:ascii="Consolas" w:cs="Consolas" w:eastAsia="Consolas" w:hAnsi="Consolas"/>
            <w:sz w:val="16"/>
            <w:szCs w:val="16"/>
          </w:rPr>
          <w:t xml:space="preserve">https://doi.org/10.3945/an.112.002154</w:t>
        </w:r>
      </w:hyperlink>
    </w:p>
    <w:p>
      <w:pPr>
        <w:spacing w:after="110" w:line="264"/>
        <w:ind w:left="360" w:hanging="360"/>
      </w:pPr>
      <w:r>
        <w:rPr>
          <w:rFonts w:ascii="Arial" w:cs="Arial" w:eastAsia="Arial" w:hAnsi="Arial"/>
          <w:b/>
          <w:bCs/>
          <w:color w:val="234A35"/>
          <w:sz w:val="18"/>
          <w:szCs w:val="18"/>
        </w:rPr>
        <w:t xml:space="preserve">[95]  </w:t>
      </w:r>
      <w:r>
        <w:rPr>
          <w:rFonts w:ascii="Georgia" w:cs="Georgia" w:eastAsia="Georgia" w:hAnsi="Georgia"/>
          <w:color w:val="1A1A1A"/>
          <w:sz w:val="19"/>
          <w:szCs w:val="19"/>
        </w:rPr>
        <w:t xml:space="preserve">Aune, D., Giovannucci, E., Boffetta, P., Fadnes, L. T., Keum, N., Norat, T., ... &amp; Tonstad, S. (2017). </w:t>
      </w:r>
      <w:r>
        <w:rPr>
          <w:rFonts w:ascii="Georgia" w:cs="Georgia" w:eastAsia="Georgia" w:hAnsi="Georgia"/>
          <w:i/>
          <w:iCs/>
          <w:color w:val="1A1A1A"/>
          <w:sz w:val="19"/>
          <w:szCs w:val="19"/>
        </w:rPr>
        <w:t xml:space="preserve">Fruit and vegetable intake and the risk of cardiovascular disease, total cancer and all-cause mortality — A systematic review and dose-response meta-analysis of prospective studies. </w:t>
      </w:r>
      <w:r>
        <w:rPr>
          <w:rFonts w:ascii="Georgia" w:cs="Georgia" w:eastAsia="Georgia" w:hAnsi="Georgia"/>
          <w:color w:val="1A1A1A"/>
          <w:sz w:val="19"/>
          <w:szCs w:val="19"/>
        </w:rPr>
        <w:t xml:space="preserve">International Journal of Epidemiology. 46(3), 1029-1056. https://doi.org/10.1093/ije/dyw319</w:t>
      </w:r>
    </w:p>
    <w:p>
      <w:pPr>
        <w:spacing w:after="60" w:line="252"/>
        <w:ind w:left="360"/>
      </w:pPr>
      <w:hyperlink w:history="1" r:id="rIdmgltsu6martvbsloh2i8q">
        <w:r>
          <w:rPr>
            <w:rStyle w:val="Hyperlink"/>
            <w:rFonts w:ascii="Consolas" w:cs="Consolas" w:eastAsia="Consolas" w:hAnsi="Consolas"/>
            <w:sz w:val="16"/>
            <w:szCs w:val="16"/>
          </w:rPr>
          <w:t xml:space="preserve">https://doi.org/10.1093/ije/dyw319</w:t>
        </w:r>
      </w:hyperlink>
    </w:p>
    <w:p>
      <w:pPr>
        <w:spacing w:after="110" w:line="264"/>
        <w:ind w:left="360" w:hanging="360"/>
      </w:pPr>
      <w:r>
        <w:rPr>
          <w:rFonts w:ascii="Arial" w:cs="Arial" w:eastAsia="Arial" w:hAnsi="Arial"/>
          <w:b/>
          <w:bCs/>
          <w:color w:val="234A35"/>
          <w:sz w:val="18"/>
          <w:szCs w:val="18"/>
        </w:rPr>
        <w:t xml:space="preserve">[96]  </w:t>
      </w:r>
      <w:r>
        <w:rPr>
          <w:rFonts w:ascii="Georgia" w:cs="Georgia" w:eastAsia="Georgia" w:hAnsi="Georgia"/>
          <w:color w:val="1A1A1A"/>
          <w:sz w:val="19"/>
          <w:szCs w:val="19"/>
        </w:rPr>
        <w:t xml:space="preserve">Liu, R. H. (2013). </w:t>
      </w:r>
      <w:r>
        <w:rPr>
          <w:rFonts w:ascii="Georgia" w:cs="Georgia" w:eastAsia="Georgia" w:hAnsi="Georgia"/>
          <w:i/>
          <w:iCs/>
          <w:color w:val="1A1A1A"/>
          <w:sz w:val="19"/>
          <w:szCs w:val="19"/>
        </w:rPr>
        <w:t xml:space="preserve">Health-promoting components of fruits and vegetables in the diet. </w:t>
      </w:r>
      <w:r>
        <w:rPr>
          <w:rFonts w:ascii="Georgia" w:cs="Georgia" w:eastAsia="Georgia" w:hAnsi="Georgia"/>
          <w:color w:val="1A1A1A"/>
          <w:sz w:val="19"/>
          <w:szCs w:val="19"/>
        </w:rPr>
        <w:t xml:space="preserve">Advances in Nutrition. 4(3), 384S-392S. https://doi.org/10.3945/an.112.003517</w:t>
      </w:r>
    </w:p>
    <w:p>
      <w:pPr>
        <w:spacing w:after="60" w:line="252"/>
        <w:ind w:left="360"/>
      </w:pPr>
      <w:hyperlink w:history="1" r:id="rIdeidn93hdkiumbyqvszv5s">
        <w:r>
          <w:rPr>
            <w:rStyle w:val="Hyperlink"/>
            <w:rFonts w:ascii="Consolas" w:cs="Consolas" w:eastAsia="Consolas" w:hAnsi="Consolas"/>
            <w:sz w:val="16"/>
            <w:szCs w:val="16"/>
          </w:rPr>
          <w:t xml:space="preserve">https://doi.org/10.3945/an.112.003517</w:t>
        </w:r>
      </w:hyperlink>
    </w:p>
    <w:p>
      <w:pPr>
        <w:spacing w:after="110" w:line="264"/>
        <w:ind w:left="360" w:hanging="360"/>
      </w:pPr>
      <w:r>
        <w:rPr>
          <w:rFonts w:ascii="Arial" w:cs="Arial" w:eastAsia="Arial" w:hAnsi="Arial"/>
          <w:b/>
          <w:bCs/>
          <w:color w:val="234A35"/>
          <w:sz w:val="18"/>
          <w:szCs w:val="18"/>
        </w:rPr>
        <w:t xml:space="preserve">[97]  </w:t>
      </w:r>
      <w:r>
        <w:rPr>
          <w:rFonts w:ascii="Georgia" w:cs="Georgia" w:eastAsia="Georgia" w:hAnsi="Georgia"/>
          <w:color w:val="1A1A1A"/>
          <w:sz w:val="19"/>
          <w:szCs w:val="19"/>
        </w:rPr>
        <w:t xml:space="preserve">Jiang, Y., Wu, S.-H., Shu, X.-O., Xiang, Y.-B., Ji, B.-T., Milne, G. L., ... &amp; Zheng, W. (2014). </w:t>
      </w:r>
      <w:r>
        <w:rPr>
          <w:rFonts w:ascii="Georgia" w:cs="Georgia" w:eastAsia="Georgia" w:hAnsi="Georgia"/>
          <w:i/>
          <w:iCs/>
          <w:color w:val="1A1A1A"/>
          <w:sz w:val="19"/>
          <w:szCs w:val="19"/>
        </w:rPr>
        <w:t xml:space="preserve">Cruciferous vegetable intake is inversely correlated with circulating levels of proinflammatory markers in women. </w:t>
      </w:r>
      <w:r>
        <w:rPr>
          <w:rFonts w:ascii="Georgia" w:cs="Georgia" w:eastAsia="Georgia" w:hAnsi="Georgia"/>
          <w:color w:val="1A1A1A"/>
          <w:sz w:val="19"/>
          <w:szCs w:val="19"/>
        </w:rPr>
        <w:t xml:space="preserve">Journal of the Academy of Nutrition and Dietetics. 114(5), 700-708. https://doi.org/10.1016/j.jand.2013.12.019</w:t>
      </w:r>
    </w:p>
    <w:p>
      <w:pPr>
        <w:spacing w:after="60" w:line="252"/>
        <w:ind w:left="360"/>
      </w:pPr>
      <w:hyperlink w:history="1" r:id="rIdc9ih5pr6mc77knsxtt8on">
        <w:r>
          <w:rPr>
            <w:rStyle w:val="Hyperlink"/>
            <w:rFonts w:ascii="Consolas" w:cs="Consolas" w:eastAsia="Consolas" w:hAnsi="Consolas"/>
            <w:sz w:val="16"/>
            <w:szCs w:val="16"/>
          </w:rPr>
          <w:t xml:space="preserve">https://doi.org/10.1016/j.jand.2013.12.019</w:t>
        </w:r>
      </w:hyperlink>
    </w:p>
    <w:p>
      <w:pPr>
        <w:spacing w:after="110" w:line="264"/>
        <w:ind w:left="360" w:hanging="360"/>
      </w:pPr>
      <w:r>
        <w:rPr>
          <w:rFonts w:ascii="Arial" w:cs="Arial" w:eastAsia="Arial" w:hAnsi="Arial"/>
          <w:b/>
          <w:bCs/>
          <w:color w:val="234A35"/>
          <w:sz w:val="18"/>
          <w:szCs w:val="18"/>
        </w:rPr>
        <w:t xml:space="preserve">[98]  </w:t>
      </w:r>
      <w:r>
        <w:rPr>
          <w:rFonts w:ascii="Georgia" w:cs="Georgia" w:eastAsia="Georgia" w:hAnsi="Georgia"/>
          <w:color w:val="1A1A1A"/>
          <w:sz w:val="19"/>
          <w:szCs w:val="19"/>
        </w:rPr>
        <w:t xml:space="preserve">Bahadoran, Z., Mirmiran, P., &amp; Azizi, F. (2013). </w:t>
      </w:r>
      <w:r>
        <w:rPr>
          <w:rFonts w:ascii="Georgia" w:cs="Georgia" w:eastAsia="Georgia" w:hAnsi="Georgia"/>
          <w:i/>
          <w:iCs/>
          <w:color w:val="1A1A1A"/>
          <w:sz w:val="19"/>
          <w:szCs w:val="19"/>
        </w:rPr>
        <w:t xml:space="preserve">Dietary polyphenols as potential nutraceuticals in management of diabetes: A review. </w:t>
      </w:r>
      <w:r>
        <w:rPr>
          <w:rFonts w:ascii="Georgia" w:cs="Georgia" w:eastAsia="Georgia" w:hAnsi="Georgia"/>
          <w:color w:val="1A1A1A"/>
          <w:sz w:val="19"/>
          <w:szCs w:val="19"/>
        </w:rPr>
        <w:t xml:space="preserve">Journal of Diabetes &amp; Metabolic Disorders. 12, 43. https://doi.org/10.1186/2251-6581-12-43</w:t>
      </w:r>
    </w:p>
    <w:p>
      <w:pPr>
        <w:spacing w:after="60" w:line="252"/>
        <w:ind w:left="360"/>
      </w:pPr>
      <w:hyperlink w:history="1" r:id="rIdeqnqgw4j6az3oytl-m9ls">
        <w:r>
          <w:rPr>
            <w:rStyle w:val="Hyperlink"/>
            <w:rFonts w:ascii="Consolas" w:cs="Consolas" w:eastAsia="Consolas" w:hAnsi="Consolas"/>
            <w:sz w:val="16"/>
            <w:szCs w:val="16"/>
          </w:rPr>
          <w:t xml:space="preserve">https://doi.org/10.1186/2251-6581-12-43</w:t>
        </w:r>
      </w:hyperlink>
    </w:p>
    <w:p>
      <w:pPr>
        <w:spacing w:after="110" w:line="264"/>
        <w:ind w:left="360" w:hanging="360"/>
      </w:pPr>
      <w:r>
        <w:rPr>
          <w:rFonts w:ascii="Arial" w:cs="Arial" w:eastAsia="Arial" w:hAnsi="Arial"/>
          <w:b/>
          <w:bCs/>
          <w:color w:val="234A35"/>
          <w:sz w:val="18"/>
          <w:szCs w:val="18"/>
        </w:rPr>
        <w:t xml:space="preserve">[99]  </w:t>
      </w:r>
      <w:r>
        <w:rPr>
          <w:rFonts w:ascii="Georgia" w:cs="Georgia" w:eastAsia="Georgia" w:hAnsi="Georgia"/>
          <w:color w:val="1A1A1A"/>
          <w:sz w:val="19"/>
          <w:szCs w:val="19"/>
        </w:rPr>
        <w:t xml:space="preserve">Bayan, L., Koulivand, P. H., &amp; Gorji, A. (2014). </w:t>
      </w:r>
      <w:r>
        <w:rPr>
          <w:rFonts w:ascii="Georgia" w:cs="Georgia" w:eastAsia="Georgia" w:hAnsi="Georgia"/>
          <w:i/>
          <w:iCs/>
          <w:color w:val="1A1A1A"/>
          <w:sz w:val="19"/>
          <w:szCs w:val="19"/>
        </w:rPr>
        <w:t xml:space="preserve">Garlic: A review of potential therapeutic effects. </w:t>
      </w:r>
      <w:r>
        <w:rPr>
          <w:rFonts w:ascii="Georgia" w:cs="Georgia" w:eastAsia="Georgia" w:hAnsi="Georgia"/>
          <w:color w:val="1A1A1A"/>
          <w:sz w:val="19"/>
          <w:szCs w:val="19"/>
        </w:rPr>
        <w:t xml:space="preserve">Avicenna Journal of Phytomedicine. 4(1), 1-14</w:t>
      </w:r>
    </w:p>
    <w:p>
      <w:pPr>
        <w:spacing w:after="60" w:line="252"/>
        <w:ind w:left="360"/>
      </w:pPr>
      <w:hyperlink w:history="1" r:id="rIdctu9fzzjs5zvqfsxvaqs6">
        <w:r>
          <w:rPr>
            <w:rStyle w:val="Hyperlink"/>
            <w:rFonts w:ascii="Consolas" w:cs="Consolas" w:eastAsia="Consolas" w:hAnsi="Consolas"/>
            <w:sz w:val="16"/>
            <w:szCs w:val="16"/>
          </w:rPr>
          <w:t xml:space="preserve">https://www.ncbi.nlm.nih.gov/pmc/articles/PMC4103721/</w:t>
        </w:r>
      </w:hyperlink>
    </w:p>
    <w:p>
      <w:pPr>
        <w:spacing w:after="110" w:line="264"/>
        <w:ind w:left="360" w:hanging="360"/>
      </w:pPr>
      <w:r>
        <w:rPr>
          <w:rFonts w:ascii="Arial" w:cs="Arial" w:eastAsia="Arial" w:hAnsi="Arial"/>
          <w:b/>
          <w:bCs/>
          <w:color w:val="234A35"/>
          <w:sz w:val="18"/>
          <w:szCs w:val="18"/>
        </w:rPr>
        <w:t xml:space="preserve">[100]  </w:t>
      </w:r>
      <w:r>
        <w:rPr>
          <w:rFonts w:ascii="Georgia" w:cs="Georgia" w:eastAsia="Georgia" w:hAnsi="Georgia"/>
          <w:color w:val="1A1A1A"/>
          <w:sz w:val="19"/>
          <w:szCs w:val="19"/>
        </w:rPr>
        <w:t xml:space="preserve">Tapsell, L. C., Hemphill, I., Cobiac, L., Patch, C. S., Sullivan, D. R., Fenech, M., ... &amp; Inge, K. E. (2006). </w:t>
      </w:r>
      <w:r>
        <w:rPr>
          <w:rFonts w:ascii="Georgia" w:cs="Georgia" w:eastAsia="Georgia" w:hAnsi="Georgia"/>
          <w:i/>
          <w:iCs/>
          <w:color w:val="1A1A1A"/>
          <w:sz w:val="19"/>
          <w:szCs w:val="19"/>
        </w:rPr>
        <w:t xml:space="preserve">Health benefits of herbs and spices: The past, the present, the future. </w:t>
      </w:r>
      <w:r>
        <w:rPr>
          <w:rFonts w:ascii="Georgia" w:cs="Georgia" w:eastAsia="Georgia" w:hAnsi="Georgia"/>
          <w:color w:val="1A1A1A"/>
          <w:sz w:val="19"/>
          <w:szCs w:val="19"/>
        </w:rPr>
        <w:t xml:space="preserve">Medical Journal of Australia. 185(S4), S1-S24. https://doi.org/10.5694/j.1326-5377.2006.tb00548.x</w:t>
      </w:r>
    </w:p>
    <w:p>
      <w:pPr>
        <w:spacing w:after="60" w:line="252"/>
        <w:ind w:left="360"/>
      </w:pPr>
      <w:hyperlink w:history="1" r:id="rIdlfgc5ajcpurplswuitekh">
        <w:r>
          <w:rPr>
            <w:rStyle w:val="Hyperlink"/>
            <w:rFonts w:ascii="Consolas" w:cs="Consolas" w:eastAsia="Consolas" w:hAnsi="Consolas"/>
            <w:sz w:val="16"/>
            <w:szCs w:val="16"/>
          </w:rPr>
          <w:t xml:space="preserve">https://doi.org/10.5694/j.1326-5377.2006.tb00548.x</w:t>
        </w:r>
      </w:hyperlink>
    </w:p>
    <w:p>
      <w:pPr>
        <w:spacing w:after="110" w:line="264"/>
        <w:ind w:left="360" w:hanging="360"/>
      </w:pPr>
      <w:r>
        <w:rPr>
          <w:rFonts w:ascii="Arial" w:cs="Arial" w:eastAsia="Arial" w:hAnsi="Arial"/>
          <w:b/>
          <w:bCs/>
          <w:color w:val="234A35"/>
          <w:sz w:val="18"/>
          <w:szCs w:val="18"/>
        </w:rPr>
        <w:t xml:space="preserve">[101]  </w:t>
      </w:r>
      <w:r>
        <w:rPr>
          <w:rFonts w:ascii="Georgia" w:cs="Georgia" w:eastAsia="Georgia" w:hAnsi="Georgia"/>
          <w:color w:val="1A1A1A"/>
          <w:sz w:val="19"/>
          <w:szCs w:val="19"/>
        </w:rPr>
        <w:t xml:space="preserve">Carlsen, M. H., Halvorsen, B. L., Holte, K., Bøhn, S. K., Dragland, S., Sampson, L., ... &amp; Blomhoff, R. (2010). </w:t>
      </w:r>
      <w:r>
        <w:rPr>
          <w:rFonts w:ascii="Georgia" w:cs="Georgia" w:eastAsia="Georgia" w:hAnsi="Georgia"/>
          <w:i/>
          <w:iCs/>
          <w:color w:val="1A1A1A"/>
          <w:sz w:val="19"/>
          <w:szCs w:val="19"/>
        </w:rPr>
        <w:t xml:space="preserve">The total antioxidant content of more than 3100 foods, beverages, spices, herbs and supplements used worldwide. </w:t>
      </w:r>
      <w:r>
        <w:rPr>
          <w:rFonts w:ascii="Georgia" w:cs="Georgia" w:eastAsia="Georgia" w:hAnsi="Georgia"/>
          <w:color w:val="1A1A1A"/>
          <w:sz w:val="19"/>
          <w:szCs w:val="19"/>
        </w:rPr>
        <w:t xml:space="preserve">Nutrition Journal. 9, 3. https://doi.org/10.1186/1475-2891-9-3</w:t>
      </w:r>
    </w:p>
    <w:p>
      <w:pPr>
        <w:spacing w:after="60" w:line="252"/>
        <w:ind w:left="360"/>
      </w:pPr>
      <w:hyperlink w:history="1" r:id="rIdwcpugkz2e6-esbhh4no4t">
        <w:r>
          <w:rPr>
            <w:rStyle w:val="Hyperlink"/>
            <w:rFonts w:ascii="Consolas" w:cs="Consolas" w:eastAsia="Consolas" w:hAnsi="Consolas"/>
            <w:sz w:val="16"/>
            <w:szCs w:val="16"/>
          </w:rPr>
          <w:t xml:space="preserve">https://doi.org/10.1186/1475-2891-9-3</w:t>
        </w:r>
      </w:hyperlink>
    </w:p>
    <w:p>
      <w:pPr>
        <w:spacing w:after="110" w:line="264"/>
        <w:ind w:left="360" w:hanging="360"/>
      </w:pPr>
      <w:r>
        <w:rPr>
          <w:rFonts w:ascii="Arial" w:cs="Arial" w:eastAsia="Arial" w:hAnsi="Arial"/>
          <w:b/>
          <w:bCs/>
          <w:color w:val="234A35"/>
          <w:sz w:val="18"/>
          <w:szCs w:val="18"/>
        </w:rPr>
        <w:t xml:space="preserve">[102]  </w:t>
      </w:r>
      <w:r>
        <w:rPr>
          <w:rFonts w:ascii="Georgia" w:cs="Georgia" w:eastAsia="Georgia" w:hAnsi="Georgia"/>
          <w:color w:val="1A1A1A"/>
          <w:sz w:val="19"/>
          <w:szCs w:val="19"/>
        </w:rPr>
        <w:t xml:space="preserve">Dreher, M. L., &amp; Davenport, A. J. (2013). </w:t>
      </w:r>
      <w:r>
        <w:rPr>
          <w:rFonts w:ascii="Georgia" w:cs="Georgia" w:eastAsia="Georgia" w:hAnsi="Georgia"/>
          <w:i/>
          <w:iCs/>
          <w:color w:val="1A1A1A"/>
          <w:sz w:val="19"/>
          <w:szCs w:val="19"/>
        </w:rPr>
        <w:t xml:space="preserve">Hass avocado composition and potential health effects. </w:t>
      </w:r>
      <w:r>
        <w:rPr>
          <w:rFonts w:ascii="Georgia" w:cs="Georgia" w:eastAsia="Georgia" w:hAnsi="Georgia"/>
          <w:color w:val="1A1A1A"/>
          <w:sz w:val="19"/>
          <w:szCs w:val="19"/>
        </w:rPr>
        <w:t xml:space="preserve">Critical Reviews in Food Science and Nutrition. 53(7), 738-750. https://doi.org/10.1080/10408398.2011.556759</w:t>
      </w:r>
    </w:p>
    <w:p>
      <w:pPr>
        <w:spacing w:after="60" w:line="252"/>
        <w:ind w:left="360"/>
      </w:pPr>
      <w:hyperlink w:history="1" r:id="rId0nhrwzkibcu2kwin5t-_d">
        <w:r>
          <w:rPr>
            <w:rStyle w:val="Hyperlink"/>
            <w:rFonts w:ascii="Consolas" w:cs="Consolas" w:eastAsia="Consolas" w:hAnsi="Consolas"/>
            <w:sz w:val="16"/>
            <w:szCs w:val="16"/>
          </w:rPr>
          <w:t xml:space="preserve">https://doi.org/10.1080/10408398.2011.556759</w:t>
        </w:r>
      </w:hyperlink>
    </w:p>
    <w:p>
      <w:pPr>
        <w:spacing w:after="110" w:line="264"/>
        <w:ind w:left="360" w:hanging="360"/>
      </w:pPr>
      <w:r>
        <w:rPr>
          <w:rFonts w:ascii="Arial" w:cs="Arial" w:eastAsia="Arial" w:hAnsi="Arial"/>
          <w:b/>
          <w:bCs/>
          <w:color w:val="234A35"/>
          <w:sz w:val="18"/>
          <w:szCs w:val="18"/>
        </w:rPr>
        <w:t xml:space="preserve">[103]  </w:t>
      </w:r>
      <w:r>
        <w:rPr>
          <w:rFonts w:ascii="Georgia" w:cs="Georgia" w:eastAsia="Georgia" w:hAnsi="Georgia"/>
          <w:color w:val="1A1A1A"/>
          <w:sz w:val="19"/>
          <w:szCs w:val="19"/>
        </w:rPr>
        <w:t xml:space="preserve">U.S. Department of Agriculture, Agricultural Research Service (2024). </w:t>
      </w:r>
      <w:r>
        <w:rPr>
          <w:rFonts w:ascii="Georgia" w:cs="Georgia" w:eastAsia="Georgia" w:hAnsi="Georgia"/>
          <w:i/>
          <w:iCs/>
          <w:color w:val="1A1A1A"/>
          <w:sz w:val="19"/>
          <w:szCs w:val="19"/>
        </w:rPr>
        <w:t xml:space="preserve">FoodData Central. </w:t>
      </w:r>
      <w:r>
        <w:rPr>
          <w:rFonts w:ascii="Georgia" w:cs="Georgia" w:eastAsia="Georgia" w:hAnsi="Georgia"/>
          <w:color w:val="1A1A1A"/>
          <w:sz w:val="19"/>
          <w:szCs w:val="19"/>
        </w:rPr>
        <w:t xml:space="preserve">USDA ARS. Retrieved from fdc.nal.usda.gov</w:t>
      </w:r>
    </w:p>
    <w:p>
      <w:pPr>
        <w:spacing w:after="60" w:line="252"/>
        <w:ind w:left="360"/>
      </w:pPr>
      <w:hyperlink w:history="1" r:id="rIdcqshljxduithic-torfia">
        <w:r>
          <w:rPr>
            <w:rStyle w:val="Hyperlink"/>
            <w:rFonts w:ascii="Consolas" w:cs="Consolas" w:eastAsia="Consolas" w:hAnsi="Consolas"/>
            <w:sz w:val="16"/>
            <w:szCs w:val="16"/>
          </w:rPr>
          <w:t xml:space="preserve">https://fdc.nal.usda.gov/</w:t>
        </w:r>
      </w:hyperlink>
    </w:p>
    <w:p>
      <w:pPr>
        <w:spacing w:after="110" w:line="264"/>
        <w:ind w:left="360" w:hanging="360"/>
      </w:pPr>
      <w:r>
        <w:rPr>
          <w:rFonts w:ascii="Arial" w:cs="Arial" w:eastAsia="Arial" w:hAnsi="Arial"/>
          <w:b/>
          <w:bCs/>
          <w:color w:val="234A35"/>
          <w:sz w:val="18"/>
          <w:szCs w:val="18"/>
        </w:rPr>
        <w:t xml:space="preserve">[104]  </w:t>
      </w:r>
      <w:r>
        <w:rPr>
          <w:rFonts w:ascii="Georgia" w:cs="Georgia" w:eastAsia="Georgia" w:hAnsi="Georgia"/>
          <w:color w:val="1A1A1A"/>
          <w:sz w:val="19"/>
          <w:szCs w:val="19"/>
        </w:rPr>
        <w:t xml:space="preserve">U.S. Department of Agriculture &amp; U.S. Department of Health and Human Services (2020). </w:t>
      </w:r>
      <w:r>
        <w:rPr>
          <w:rFonts w:ascii="Georgia" w:cs="Georgia" w:eastAsia="Georgia" w:hAnsi="Georgia"/>
          <w:i/>
          <w:iCs/>
          <w:color w:val="1A1A1A"/>
          <w:sz w:val="19"/>
          <w:szCs w:val="19"/>
        </w:rPr>
        <w:t xml:space="preserve">Dietary guidelines for Americans, 2020-2025 (9th ed.). </w:t>
      </w:r>
      <w:r>
        <w:rPr>
          <w:rFonts w:ascii="Georgia" w:cs="Georgia" w:eastAsia="Georgia" w:hAnsi="Georgia"/>
          <w:color w:val="1A1A1A"/>
          <w:sz w:val="19"/>
          <w:szCs w:val="19"/>
        </w:rPr>
        <w:t xml:space="preserve">USDA &amp; HHS. Retrieved from dietaryguidelines.gov</w:t>
      </w:r>
    </w:p>
    <w:p>
      <w:pPr>
        <w:spacing w:after="60" w:line="252"/>
        <w:ind w:left="360"/>
      </w:pPr>
      <w:hyperlink w:history="1" r:id="rIdlliuabhs9yulhvtomqq_z">
        <w:r>
          <w:rPr>
            <w:rStyle w:val="Hyperlink"/>
            <w:rFonts w:ascii="Consolas" w:cs="Consolas" w:eastAsia="Consolas" w:hAnsi="Consolas"/>
            <w:sz w:val="16"/>
            <w:szCs w:val="16"/>
          </w:rPr>
          <w:t xml:space="preserve">https://www.dietaryguidelines.gov/</w:t>
        </w:r>
      </w:hyperlink>
    </w:p>
    <w:p>
      <w:pPr>
        <w:spacing w:after="110" w:line="264"/>
        <w:ind w:left="360" w:hanging="360"/>
      </w:pPr>
      <w:r>
        <w:rPr>
          <w:rFonts w:ascii="Arial" w:cs="Arial" w:eastAsia="Arial" w:hAnsi="Arial"/>
          <w:b/>
          <w:bCs/>
          <w:color w:val="234A35"/>
          <w:sz w:val="18"/>
          <w:szCs w:val="18"/>
        </w:rPr>
        <w:t xml:space="preserve">[105]  </w:t>
      </w:r>
      <w:r>
        <w:rPr>
          <w:rFonts w:ascii="Georgia" w:cs="Georgia" w:eastAsia="Georgia" w:hAnsi="Georgia"/>
          <w:color w:val="1A1A1A"/>
          <w:sz w:val="19"/>
          <w:szCs w:val="19"/>
        </w:rPr>
        <w:t xml:space="preserve">World Health Organization &amp; Food and Agriculture Organization of the United Nations (2003). </w:t>
      </w:r>
      <w:r>
        <w:rPr>
          <w:rFonts w:ascii="Georgia" w:cs="Georgia" w:eastAsia="Georgia" w:hAnsi="Georgia"/>
          <w:i/>
          <w:iCs/>
          <w:color w:val="1A1A1A"/>
          <w:sz w:val="19"/>
          <w:szCs w:val="19"/>
        </w:rPr>
        <w:t xml:space="preserve">Diet, nutrition and the prevention of chronic diseases (WHO Technical Report Series 916). </w:t>
      </w:r>
      <w:r>
        <w:rPr>
          <w:rFonts w:ascii="Georgia" w:cs="Georgia" w:eastAsia="Georgia" w:hAnsi="Georgia"/>
          <w:color w:val="1A1A1A"/>
          <w:sz w:val="19"/>
          <w:szCs w:val="19"/>
        </w:rPr>
        <w:t xml:space="preserve">WHO. Geneva, Switzerland</w:t>
      </w:r>
    </w:p>
    <w:p>
      <w:pPr>
        <w:spacing w:after="60" w:line="252"/>
        <w:ind w:left="360"/>
      </w:pPr>
      <w:hyperlink w:history="1" r:id="rIdclbws-afoa2ybjwkkdqjh">
        <w:r>
          <w:rPr>
            <w:rStyle w:val="Hyperlink"/>
            <w:rFonts w:ascii="Consolas" w:cs="Consolas" w:eastAsia="Consolas" w:hAnsi="Consolas"/>
            <w:sz w:val="16"/>
            <w:szCs w:val="16"/>
          </w:rPr>
          <w:t xml:space="preserve">https://www.who.int/publications/i/item/924120916X</w:t>
        </w:r>
      </w:hyperlink>
    </w:p>
    <w:p>
      <w:pPr>
        <w:spacing w:after="110" w:line="264"/>
        <w:ind w:left="360" w:hanging="360"/>
      </w:pPr>
      <w:r>
        <w:rPr>
          <w:rFonts w:ascii="Arial" w:cs="Arial" w:eastAsia="Arial" w:hAnsi="Arial"/>
          <w:b/>
          <w:bCs/>
          <w:color w:val="234A35"/>
          <w:sz w:val="18"/>
          <w:szCs w:val="18"/>
        </w:rPr>
        <w:t xml:space="preserve">[106]  </w:t>
      </w:r>
      <w:r>
        <w:rPr>
          <w:rFonts w:ascii="Georgia" w:cs="Georgia" w:eastAsia="Georgia" w:hAnsi="Georgia"/>
          <w:color w:val="1A1A1A"/>
          <w:sz w:val="19"/>
          <w:szCs w:val="19"/>
        </w:rPr>
        <w:t xml:space="preserve">Low, S. A., Adalja, A., Beaulieu, E., Key, N., Martinez, S., Melton, A., ... &amp; Jablonski, B. B. R. (2015). </w:t>
      </w:r>
      <w:r>
        <w:rPr>
          <w:rFonts w:ascii="Georgia" w:cs="Georgia" w:eastAsia="Georgia" w:hAnsi="Georgia"/>
          <w:i/>
          <w:iCs/>
          <w:color w:val="1A1A1A"/>
          <w:sz w:val="19"/>
          <w:szCs w:val="19"/>
        </w:rPr>
        <w:t xml:space="preserve">Trends in U.S. local and regional food systems: A report to Congress (AP-068). </w:t>
      </w:r>
      <w:r>
        <w:rPr>
          <w:rFonts w:ascii="Georgia" w:cs="Georgia" w:eastAsia="Georgia" w:hAnsi="Georgia"/>
          <w:color w:val="1A1A1A"/>
          <w:sz w:val="19"/>
          <w:szCs w:val="19"/>
        </w:rPr>
        <w:t xml:space="preserve">U.S. Department of Agriculture, Economic Research Service. Washington, DC</w:t>
      </w:r>
    </w:p>
    <w:p>
      <w:pPr>
        <w:spacing w:after="60" w:line="252"/>
        <w:ind w:left="360"/>
      </w:pPr>
      <w:hyperlink w:history="1" r:id="rIda_9_g_rhxd3_nzz05s37z">
        <w:r>
          <w:rPr>
            <w:rStyle w:val="Hyperlink"/>
            <w:rFonts w:ascii="Consolas" w:cs="Consolas" w:eastAsia="Consolas" w:hAnsi="Consolas"/>
            <w:sz w:val="16"/>
            <w:szCs w:val="16"/>
          </w:rPr>
          <w:t xml:space="preserve">https://www.ers.usda.gov/publications/pub-details/?pubid=42807</w:t>
        </w:r>
      </w:hyperlink>
    </w:p>
    <w:p>
      <w:pPr>
        <w:spacing w:after="110" w:line="264"/>
        <w:ind w:left="360" w:hanging="360"/>
      </w:pPr>
      <w:r>
        <w:rPr>
          <w:rFonts w:ascii="Arial" w:cs="Arial" w:eastAsia="Arial" w:hAnsi="Arial"/>
          <w:b/>
          <w:bCs/>
          <w:color w:val="234A35"/>
          <w:sz w:val="18"/>
          <w:szCs w:val="18"/>
        </w:rPr>
        <w:t xml:space="preserve">[107]  </w:t>
      </w:r>
      <w:r>
        <w:rPr>
          <w:rFonts w:ascii="Georgia" w:cs="Georgia" w:eastAsia="Georgia" w:hAnsi="Georgia"/>
          <w:color w:val="1A1A1A"/>
          <w:sz w:val="19"/>
          <w:szCs w:val="19"/>
        </w:rPr>
        <w:t xml:space="preserve">Martinez, S., Hand, M., Da Pra, M., Pollack, S., Ralston, K., Smith, T., ... &amp; Newman, C. (2010). </w:t>
      </w:r>
      <w:r>
        <w:rPr>
          <w:rFonts w:ascii="Georgia" w:cs="Georgia" w:eastAsia="Georgia" w:hAnsi="Georgia"/>
          <w:i/>
          <w:iCs/>
          <w:color w:val="1A1A1A"/>
          <w:sz w:val="19"/>
          <w:szCs w:val="19"/>
        </w:rPr>
        <w:t xml:space="preserve">Local food systems: Concepts, impacts, and issues (ERR-97). </w:t>
      </w:r>
      <w:r>
        <w:rPr>
          <w:rFonts w:ascii="Georgia" w:cs="Georgia" w:eastAsia="Georgia" w:hAnsi="Georgia"/>
          <w:color w:val="1A1A1A"/>
          <w:sz w:val="19"/>
          <w:szCs w:val="19"/>
        </w:rPr>
        <w:t xml:space="preserve">U.S. Department of Agriculture, Economic Research Service. Washington, DC</w:t>
      </w:r>
    </w:p>
    <w:p>
      <w:pPr>
        <w:spacing w:after="60" w:line="252"/>
        <w:ind w:left="360"/>
      </w:pPr>
      <w:hyperlink w:history="1" r:id="rIdnjgctrxlkmxjimzabnmwr">
        <w:r>
          <w:rPr>
            <w:rStyle w:val="Hyperlink"/>
            <w:rFonts w:ascii="Consolas" w:cs="Consolas" w:eastAsia="Consolas" w:hAnsi="Consolas"/>
            <w:sz w:val="16"/>
            <w:szCs w:val="16"/>
          </w:rPr>
          <w:t xml:space="preserve">https://www.ers.usda.gov/publications/pub-details/?pubid=46395</w:t>
        </w:r>
      </w:hyperlink>
    </w:p>
    <w:p>
      <w:pPr>
        <w:spacing w:after="110" w:line="264"/>
        <w:ind w:left="360" w:hanging="360"/>
      </w:pPr>
      <w:r>
        <w:rPr>
          <w:rFonts w:ascii="Arial" w:cs="Arial" w:eastAsia="Arial" w:hAnsi="Arial"/>
          <w:b/>
          <w:bCs/>
          <w:color w:val="234A35"/>
          <w:sz w:val="18"/>
          <w:szCs w:val="18"/>
        </w:rPr>
        <w:t xml:space="preserve">[108]  </w:t>
      </w:r>
      <w:r>
        <w:rPr>
          <w:rFonts w:ascii="Georgia" w:cs="Georgia" w:eastAsia="Georgia" w:hAnsi="Georgia"/>
          <w:color w:val="1A1A1A"/>
          <w:sz w:val="19"/>
          <w:szCs w:val="19"/>
        </w:rPr>
        <w:t xml:space="preserve">Johnson, R., &amp; Endres, A. B. (2012). </w:t>
      </w:r>
      <w:r>
        <w:rPr>
          <w:rFonts w:ascii="Georgia" w:cs="Georgia" w:eastAsia="Georgia" w:hAnsi="Georgia"/>
          <w:i/>
          <w:iCs/>
          <w:color w:val="1A1A1A"/>
          <w:sz w:val="19"/>
          <w:szCs w:val="19"/>
        </w:rPr>
        <w:t xml:space="preserve">Small producers, big hurdles: Barriers facing producers of local foods. </w:t>
      </w:r>
      <w:r>
        <w:rPr>
          <w:rFonts w:ascii="Georgia" w:cs="Georgia" w:eastAsia="Georgia" w:hAnsi="Georgia"/>
          <w:color w:val="1A1A1A"/>
          <w:sz w:val="19"/>
          <w:szCs w:val="19"/>
        </w:rPr>
        <w:t xml:space="preserve">Hamline Journal of Public Law and Policy. 33(1), 49-122</w:t>
      </w:r>
    </w:p>
    <w:p>
      <w:pPr>
        <w:spacing w:after="110" w:line="264"/>
        <w:ind w:left="360" w:hanging="360"/>
      </w:pPr>
      <w:r>
        <w:rPr>
          <w:rFonts w:ascii="Arial" w:cs="Arial" w:eastAsia="Arial" w:hAnsi="Arial"/>
          <w:b/>
          <w:bCs/>
          <w:color w:val="234A35"/>
          <w:sz w:val="18"/>
          <w:szCs w:val="18"/>
        </w:rPr>
        <w:t xml:space="preserve">[109]  </w:t>
      </w:r>
      <w:r>
        <w:rPr>
          <w:rFonts w:ascii="Georgia" w:cs="Georgia" w:eastAsia="Georgia" w:hAnsi="Georgia"/>
          <w:color w:val="1A1A1A"/>
          <w:sz w:val="19"/>
          <w:szCs w:val="19"/>
        </w:rPr>
        <w:t xml:space="preserve">U.S. Department of Agriculture, Agricultural Marketing Service (2024). </w:t>
      </w:r>
      <w:r>
        <w:rPr>
          <w:rFonts w:ascii="Georgia" w:cs="Georgia" w:eastAsia="Georgia" w:hAnsi="Georgia"/>
          <w:i/>
          <w:iCs/>
          <w:color w:val="1A1A1A"/>
          <w:sz w:val="19"/>
          <w:szCs w:val="19"/>
        </w:rPr>
        <w:t xml:space="preserve">National retail report — Beef, pork, poultry, and specialty crops. </w:t>
      </w:r>
      <w:r>
        <w:rPr>
          <w:rFonts w:ascii="Georgia" w:cs="Georgia" w:eastAsia="Georgia" w:hAnsi="Georgia"/>
          <w:color w:val="1A1A1A"/>
          <w:sz w:val="19"/>
          <w:szCs w:val="19"/>
        </w:rPr>
        <w:t xml:space="preserve">USDA AMS. Retrieved from ams.usda.gov</w:t>
      </w:r>
    </w:p>
    <w:p>
      <w:pPr>
        <w:spacing w:after="60" w:line="252"/>
        <w:ind w:left="360"/>
      </w:pPr>
      <w:hyperlink w:history="1" r:id="rIdqe21qtohdgwvph7qwd0f-">
        <w:r>
          <w:rPr>
            <w:rStyle w:val="Hyperlink"/>
            <w:rFonts w:ascii="Consolas" w:cs="Consolas" w:eastAsia="Consolas" w:hAnsi="Consolas"/>
            <w:sz w:val="16"/>
            <w:szCs w:val="16"/>
          </w:rPr>
          <w:t xml:space="preserve">https://www.ams.usda.gov/market-news/retail</w:t>
        </w:r>
      </w:hyperlink>
    </w:p>
    <w:p>
      <w:pPr>
        <w:spacing w:after="110" w:line="264"/>
        <w:ind w:left="360" w:hanging="360"/>
      </w:pPr>
      <w:r>
        <w:rPr>
          <w:rFonts w:ascii="Arial" w:cs="Arial" w:eastAsia="Arial" w:hAnsi="Arial"/>
          <w:b/>
          <w:bCs/>
          <w:color w:val="234A35"/>
          <w:sz w:val="18"/>
          <w:szCs w:val="18"/>
        </w:rPr>
        <w:t xml:space="preserve">[110]  </w:t>
      </w:r>
      <w:r>
        <w:rPr>
          <w:rFonts w:ascii="Georgia" w:cs="Georgia" w:eastAsia="Georgia" w:hAnsi="Georgia"/>
          <w:color w:val="1A1A1A"/>
          <w:sz w:val="19"/>
          <w:szCs w:val="19"/>
        </w:rPr>
        <w:t xml:space="preserve">Purslow, P. P. (2005). </w:t>
      </w:r>
      <w:r>
        <w:rPr>
          <w:rFonts w:ascii="Georgia" w:cs="Georgia" w:eastAsia="Georgia" w:hAnsi="Georgia"/>
          <w:i/>
          <w:iCs/>
          <w:color w:val="1A1A1A"/>
          <w:sz w:val="19"/>
          <w:szCs w:val="19"/>
        </w:rPr>
        <w:t xml:space="preserve">Intramuscular connective tissue and its role in meat quality. </w:t>
      </w:r>
      <w:r>
        <w:rPr>
          <w:rFonts w:ascii="Georgia" w:cs="Georgia" w:eastAsia="Georgia" w:hAnsi="Georgia"/>
          <w:color w:val="1A1A1A"/>
          <w:sz w:val="19"/>
          <w:szCs w:val="19"/>
        </w:rPr>
        <w:t xml:space="preserve">Meat Science. 70(3), 435-447. https://doi.org/10.1016/j.meatsci.2004.06.028</w:t>
      </w:r>
    </w:p>
    <w:p>
      <w:pPr>
        <w:spacing w:after="60" w:line="252"/>
        <w:ind w:left="360"/>
      </w:pPr>
      <w:hyperlink w:history="1" r:id="rIdagmkagac3cpcdzttlukmb">
        <w:r>
          <w:rPr>
            <w:rStyle w:val="Hyperlink"/>
            <w:rFonts w:ascii="Consolas" w:cs="Consolas" w:eastAsia="Consolas" w:hAnsi="Consolas"/>
            <w:sz w:val="16"/>
            <w:szCs w:val="16"/>
          </w:rPr>
          <w:t xml:space="preserve">https://doi.org/10.1016/j.meatsci.2004.06.028</w:t>
        </w:r>
      </w:hyperlink>
    </w:p>
    <w:p>
      <w:pPr>
        <w:spacing w:after="110" w:line="264"/>
        <w:ind w:left="360" w:hanging="360"/>
      </w:pPr>
      <w:r>
        <w:rPr>
          <w:rFonts w:ascii="Arial" w:cs="Arial" w:eastAsia="Arial" w:hAnsi="Arial"/>
          <w:b/>
          <w:bCs/>
          <w:color w:val="234A35"/>
          <w:sz w:val="18"/>
          <w:szCs w:val="18"/>
        </w:rPr>
        <w:t xml:space="preserve">[111]  </w:t>
      </w:r>
      <w:r>
        <w:rPr>
          <w:rFonts w:ascii="Georgia" w:cs="Georgia" w:eastAsia="Georgia" w:hAnsi="Georgia"/>
          <w:color w:val="1A1A1A"/>
          <w:sz w:val="19"/>
          <w:szCs w:val="19"/>
        </w:rPr>
        <w:t xml:space="preserve">Christensen, M., Purslow, P. P., &amp; Larsen, L. M. (2000). </w:t>
      </w:r>
      <w:r>
        <w:rPr>
          <w:rFonts w:ascii="Georgia" w:cs="Georgia" w:eastAsia="Georgia" w:hAnsi="Georgia"/>
          <w:i/>
          <w:iCs/>
          <w:color w:val="1A1A1A"/>
          <w:sz w:val="19"/>
          <w:szCs w:val="19"/>
        </w:rPr>
        <w:t xml:space="preserve">The effect of cooking temperature on mechanical properties of whole meat, single muscle fibres and perimysial connective tissue. </w:t>
      </w:r>
      <w:r>
        <w:rPr>
          <w:rFonts w:ascii="Georgia" w:cs="Georgia" w:eastAsia="Georgia" w:hAnsi="Georgia"/>
          <w:color w:val="1A1A1A"/>
          <w:sz w:val="19"/>
          <w:szCs w:val="19"/>
        </w:rPr>
        <w:t xml:space="preserve">Meat Science. 55(3), 301-307. https://doi.org/10.1016/S0309-1740(99)00157-6</w:t>
      </w:r>
    </w:p>
    <w:p>
      <w:pPr>
        <w:spacing w:after="60" w:line="252"/>
        <w:ind w:left="360"/>
      </w:pPr>
      <w:hyperlink w:history="1" r:id="rIdhf44bna4ilaalihgbuxqv">
        <w:r>
          <w:rPr>
            <w:rStyle w:val="Hyperlink"/>
            <w:rFonts w:ascii="Consolas" w:cs="Consolas" w:eastAsia="Consolas" w:hAnsi="Consolas"/>
            <w:sz w:val="16"/>
            <w:szCs w:val="16"/>
          </w:rPr>
          <w:t xml:space="preserve">https://doi.org/10.1016/S0309-1740(99)00157-6</w:t>
        </w:r>
      </w:hyperlink>
    </w:p>
    <w:p>
      <w:pPr>
        <w:spacing w:after="110" w:line="264"/>
        <w:ind w:left="360" w:hanging="360"/>
      </w:pPr>
      <w:r>
        <w:rPr>
          <w:rFonts w:ascii="Arial" w:cs="Arial" w:eastAsia="Arial" w:hAnsi="Arial"/>
          <w:b/>
          <w:bCs/>
          <w:color w:val="234A35"/>
          <w:sz w:val="18"/>
          <w:szCs w:val="18"/>
        </w:rPr>
        <w:t xml:space="preserve">[112]  </w:t>
      </w:r>
      <w:r>
        <w:rPr>
          <w:rFonts w:ascii="Georgia" w:cs="Georgia" w:eastAsia="Georgia" w:hAnsi="Georgia"/>
          <w:color w:val="1A1A1A"/>
          <w:sz w:val="19"/>
          <w:szCs w:val="19"/>
        </w:rPr>
        <w:t xml:space="preserve">Baldwin, D. E. (2012). </w:t>
      </w:r>
      <w:r>
        <w:rPr>
          <w:rFonts w:ascii="Georgia" w:cs="Georgia" w:eastAsia="Georgia" w:hAnsi="Georgia"/>
          <w:i/>
          <w:iCs/>
          <w:color w:val="1A1A1A"/>
          <w:sz w:val="19"/>
          <w:szCs w:val="19"/>
        </w:rPr>
        <w:t xml:space="preserve">Sous vide cooking: A review. </w:t>
      </w:r>
      <w:r>
        <w:rPr>
          <w:rFonts w:ascii="Georgia" w:cs="Georgia" w:eastAsia="Georgia" w:hAnsi="Georgia"/>
          <w:color w:val="1A1A1A"/>
          <w:sz w:val="19"/>
          <w:szCs w:val="19"/>
        </w:rPr>
        <w:t xml:space="preserve">International Journal of Gastronomy and Food Science. 1(1), 15-30. https://doi.org/10.1016/j.ijgfs.2011.11.002</w:t>
      </w:r>
    </w:p>
    <w:p>
      <w:pPr>
        <w:spacing w:after="60" w:line="252"/>
        <w:ind w:left="360"/>
      </w:pPr>
      <w:hyperlink w:history="1" r:id="rIdtzk62gdmi6qi03cy_spkp">
        <w:r>
          <w:rPr>
            <w:rStyle w:val="Hyperlink"/>
            <w:rFonts w:ascii="Consolas" w:cs="Consolas" w:eastAsia="Consolas" w:hAnsi="Consolas"/>
            <w:sz w:val="16"/>
            <w:szCs w:val="16"/>
          </w:rPr>
          <w:t xml:space="preserve">https://doi.org/10.1016/j.ijgfs.2011.11.002</w:t>
        </w:r>
      </w:hyperlink>
    </w:p>
    <w:p>
      <w:pPr>
        <w:spacing w:after="110" w:line="264"/>
        <w:ind w:left="360" w:hanging="360"/>
      </w:pPr>
      <w:r>
        <w:rPr>
          <w:rFonts w:ascii="Arial" w:cs="Arial" w:eastAsia="Arial" w:hAnsi="Arial"/>
          <w:b/>
          <w:bCs/>
          <w:color w:val="234A35"/>
          <w:sz w:val="18"/>
          <w:szCs w:val="18"/>
        </w:rPr>
        <w:t xml:space="preserve">[113]  </w:t>
      </w:r>
      <w:r>
        <w:rPr>
          <w:rFonts w:ascii="Georgia" w:cs="Georgia" w:eastAsia="Georgia" w:hAnsi="Georgia"/>
          <w:color w:val="1A1A1A"/>
          <w:sz w:val="19"/>
          <w:szCs w:val="19"/>
        </w:rPr>
        <w:t xml:space="preserve">Desmond, E. (2006). </w:t>
      </w:r>
      <w:r>
        <w:rPr>
          <w:rFonts w:ascii="Georgia" w:cs="Georgia" w:eastAsia="Georgia" w:hAnsi="Georgia"/>
          <w:i/>
          <w:iCs/>
          <w:color w:val="1A1A1A"/>
          <w:sz w:val="19"/>
          <w:szCs w:val="19"/>
        </w:rPr>
        <w:t xml:space="preserve">Reducing salt: A challenge for the meat industry. </w:t>
      </w:r>
      <w:r>
        <w:rPr>
          <w:rFonts w:ascii="Georgia" w:cs="Georgia" w:eastAsia="Georgia" w:hAnsi="Georgia"/>
          <w:color w:val="1A1A1A"/>
          <w:sz w:val="19"/>
          <w:szCs w:val="19"/>
        </w:rPr>
        <w:t xml:space="preserve">Meat Science. 74(1), 188-196. https://doi.org/10.1016/j.meatsci.2006.04.014</w:t>
      </w:r>
    </w:p>
    <w:p>
      <w:pPr>
        <w:spacing w:after="60" w:line="252"/>
        <w:ind w:left="360"/>
      </w:pPr>
      <w:hyperlink w:history="1" r:id="rIdlsdj8v6ac7zeyclj76p3h">
        <w:r>
          <w:rPr>
            <w:rStyle w:val="Hyperlink"/>
            <w:rFonts w:ascii="Consolas" w:cs="Consolas" w:eastAsia="Consolas" w:hAnsi="Consolas"/>
            <w:sz w:val="16"/>
            <w:szCs w:val="16"/>
          </w:rPr>
          <w:t xml:space="preserve">https://doi.org/10.1016/j.meatsci.2006.04.014</w:t>
        </w:r>
      </w:hyperlink>
    </w:p>
    <w:p>
      <w:pPr>
        <w:spacing w:after="110" w:line="264"/>
        <w:ind w:left="360" w:hanging="360"/>
      </w:pPr>
      <w:r>
        <w:rPr>
          <w:rFonts w:ascii="Arial" w:cs="Arial" w:eastAsia="Arial" w:hAnsi="Arial"/>
          <w:b/>
          <w:bCs/>
          <w:color w:val="234A35"/>
          <w:sz w:val="18"/>
          <w:szCs w:val="18"/>
        </w:rPr>
        <w:t xml:space="preserve">[114]  </w:t>
      </w:r>
      <w:r>
        <w:rPr>
          <w:rFonts w:ascii="Georgia" w:cs="Georgia" w:eastAsia="Georgia" w:hAnsi="Georgia"/>
          <w:color w:val="1A1A1A"/>
          <w:sz w:val="19"/>
          <w:szCs w:val="19"/>
        </w:rPr>
        <w:t xml:space="preserve">Aaslyng, M. D., Vestergaard, C., &amp; Koch, A. G. (2014). </w:t>
      </w:r>
      <w:r>
        <w:rPr>
          <w:rFonts w:ascii="Georgia" w:cs="Georgia" w:eastAsia="Georgia" w:hAnsi="Georgia"/>
          <w:i/>
          <w:iCs/>
          <w:color w:val="1A1A1A"/>
          <w:sz w:val="19"/>
          <w:szCs w:val="19"/>
        </w:rPr>
        <w:t xml:space="preserve">The effect of salt reduction on sensory quality and microbial growth in hotdog sausages, bacon, ham and salami. </w:t>
      </w:r>
      <w:r>
        <w:rPr>
          <w:rFonts w:ascii="Georgia" w:cs="Georgia" w:eastAsia="Georgia" w:hAnsi="Georgia"/>
          <w:color w:val="1A1A1A"/>
          <w:sz w:val="19"/>
          <w:szCs w:val="19"/>
        </w:rPr>
        <w:t xml:space="preserve">Meat Science. 96(1), 47-55. https://doi.org/10.1016/j.meatsci.2013.06.004</w:t>
      </w:r>
    </w:p>
    <w:p>
      <w:pPr>
        <w:spacing w:after="60" w:line="252"/>
        <w:ind w:left="360"/>
      </w:pPr>
      <w:hyperlink w:history="1" r:id="rId8gq4vs9k2upq3u-zbvh5n">
        <w:r>
          <w:rPr>
            <w:rStyle w:val="Hyperlink"/>
            <w:rFonts w:ascii="Consolas" w:cs="Consolas" w:eastAsia="Consolas" w:hAnsi="Consolas"/>
            <w:sz w:val="16"/>
            <w:szCs w:val="16"/>
          </w:rPr>
          <w:t xml:space="preserve">https://doi.org/10.1016/j.meatsci.2013.06.004</w:t>
        </w:r>
      </w:hyperlink>
    </w:p>
    <w:p>
      <w:pPr>
        <w:spacing w:after="110" w:line="264"/>
        <w:ind w:left="360" w:hanging="360"/>
      </w:pPr>
      <w:r>
        <w:rPr>
          <w:rFonts w:ascii="Arial" w:cs="Arial" w:eastAsia="Arial" w:hAnsi="Arial"/>
          <w:b/>
          <w:bCs/>
          <w:color w:val="234A35"/>
          <w:sz w:val="18"/>
          <w:szCs w:val="18"/>
        </w:rPr>
        <w:t xml:space="preserve">[115]  </w:t>
      </w:r>
      <w:r>
        <w:rPr>
          <w:rFonts w:ascii="Georgia" w:cs="Georgia" w:eastAsia="Georgia" w:hAnsi="Georgia"/>
          <w:color w:val="1A1A1A"/>
          <w:sz w:val="19"/>
          <w:szCs w:val="19"/>
        </w:rPr>
        <w:t xml:space="preserve">Japan Meat Grading Association (JMGA) (n.d.). </w:t>
      </w:r>
      <w:r>
        <w:rPr>
          <w:rFonts w:ascii="Georgia" w:cs="Georgia" w:eastAsia="Georgia" w:hAnsi="Georgia"/>
          <w:i/>
          <w:iCs/>
          <w:color w:val="1A1A1A"/>
          <w:sz w:val="19"/>
          <w:szCs w:val="19"/>
        </w:rPr>
        <w:t xml:space="preserve">Beef Carcass Grading Standard. </w:t>
      </w:r>
      <w:r>
        <w:rPr>
          <w:rFonts w:ascii="Georgia" w:cs="Georgia" w:eastAsia="Georgia" w:hAnsi="Georgia"/>
          <w:color w:val="1A1A1A"/>
          <w:sz w:val="19"/>
          <w:szCs w:val="19"/>
        </w:rPr>
        <w:t xml:space="preserve">Japan Meat Grading Association. Yield grades A–C and quality grades 1–5; Beef Marbling Standard (BMS) 1–12</w:t>
      </w:r>
    </w:p>
    <w:p>
      <w:pPr>
        <w:spacing w:after="110" w:line="264"/>
        <w:ind w:left="360" w:hanging="360"/>
      </w:pPr>
      <w:r>
        <w:rPr>
          <w:rFonts w:ascii="Arial" w:cs="Arial" w:eastAsia="Arial" w:hAnsi="Arial"/>
          <w:b/>
          <w:bCs/>
          <w:color w:val="234A35"/>
          <w:sz w:val="18"/>
          <w:szCs w:val="18"/>
        </w:rPr>
        <w:t xml:space="preserve">[116]  </w:t>
      </w:r>
      <w:r>
        <w:rPr>
          <w:rFonts w:ascii="Georgia" w:cs="Georgia" w:eastAsia="Georgia" w:hAnsi="Georgia"/>
          <w:color w:val="1A1A1A"/>
          <w:sz w:val="19"/>
          <w:szCs w:val="19"/>
        </w:rPr>
        <w:t xml:space="preserve">USDA Agricultural Marketing Service (2016). </w:t>
      </w:r>
      <w:r>
        <w:rPr>
          <w:rFonts w:ascii="Georgia" w:cs="Georgia" w:eastAsia="Georgia" w:hAnsi="Georgia"/>
          <w:i/>
          <w:iCs/>
          <w:color w:val="1A1A1A"/>
          <w:sz w:val="19"/>
          <w:szCs w:val="19"/>
        </w:rPr>
        <w:t xml:space="preserve">United States Standards for Grades of Carcass Beef. </w:t>
      </w:r>
      <w:r>
        <w:rPr>
          <w:rFonts w:ascii="Georgia" w:cs="Georgia" w:eastAsia="Georgia" w:hAnsi="Georgia"/>
          <w:color w:val="1A1A1A"/>
          <w:sz w:val="19"/>
          <w:szCs w:val="19"/>
        </w:rPr>
        <w:t xml:space="preserve">U.S. Department of Agriculture. Prime, Choice, Select and marbling degrees</w:t>
      </w:r>
    </w:p>
    <w:p>
      <w:pPr>
        <w:spacing w:after="110" w:line="264"/>
        <w:ind w:left="360" w:hanging="360"/>
      </w:pPr>
      <w:r>
        <w:rPr>
          <w:rFonts w:ascii="Arial" w:cs="Arial" w:eastAsia="Arial" w:hAnsi="Arial"/>
          <w:b/>
          <w:bCs/>
          <w:color w:val="234A35"/>
          <w:sz w:val="18"/>
          <w:szCs w:val="18"/>
        </w:rPr>
        <w:t xml:space="preserve">[117]  </w:t>
      </w:r>
      <w:r>
        <w:rPr>
          <w:rFonts w:ascii="Georgia" w:cs="Georgia" w:eastAsia="Georgia" w:hAnsi="Georgia"/>
          <w:color w:val="1A1A1A"/>
          <w:sz w:val="19"/>
          <w:szCs w:val="19"/>
        </w:rPr>
        <w:t xml:space="preserve">Kobe Beef Marketing &amp; Distribution Promotion Association (n.d.). </w:t>
      </w:r>
      <w:r>
        <w:rPr>
          <w:rFonts w:ascii="Georgia" w:cs="Georgia" w:eastAsia="Georgia" w:hAnsi="Georgia"/>
          <w:i/>
          <w:iCs/>
          <w:color w:val="1A1A1A"/>
          <w:sz w:val="19"/>
          <w:szCs w:val="19"/>
        </w:rPr>
        <w:t xml:space="preserve">Definition of Kobe Beef. </w:t>
      </w:r>
      <w:r>
        <w:rPr>
          <w:rFonts w:ascii="Georgia" w:cs="Georgia" w:eastAsia="Georgia" w:hAnsi="Georgia"/>
          <w:color w:val="1A1A1A"/>
          <w:sz w:val="19"/>
          <w:szCs w:val="19"/>
        </w:rPr>
        <w:t xml:space="preserve">Kobe Beef Association. Tajima-gyu criteria, BMS No. 6+, within-brand certification</w:t>
      </w:r>
    </w:p>
    <w:p>
      <w:pPr>
        <w:spacing w:after="110" w:line="264"/>
        <w:ind w:left="360" w:hanging="360"/>
      </w:pPr>
      <w:r>
        <w:rPr>
          <w:rFonts w:ascii="Arial" w:cs="Arial" w:eastAsia="Arial" w:hAnsi="Arial"/>
          <w:b/>
          <w:bCs/>
          <w:color w:val="234A35"/>
          <w:sz w:val="18"/>
          <w:szCs w:val="18"/>
        </w:rPr>
        <w:t xml:space="preserve">[118]  </w:t>
      </w:r>
      <w:r>
        <w:rPr>
          <w:rFonts w:ascii="Georgia" w:cs="Georgia" w:eastAsia="Georgia" w:hAnsi="Georgia"/>
          <w:color w:val="1A1A1A"/>
          <w:sz w:val="19"/>
          <w:szCs w:val="19"/>
        </w:rPr>
        <w:t xml:space="preserve">Meat &amp; Livestock Australia (MLA) (n.d.). </w:t>
      </w:r>
      <w:r>
        <w:rPr>
          <w:rFonts w:ascii="Georgia" w:cs="Georgia" w:eastAsia="Georgia" w:hAnsi="Georgia"/>
          <w:i/>
          <w:iCs/>
          <w:color w:val="1A1A1A"/>
          <w:sz w:val="19"/>
          <w:szCs w:val="19"/>
        </w:rPr>
        <w:t xml:space="preserve">AUS-MEAT Marbling and MSA Grading. </w:t>
      </w:r>
      <w:r>
        <w:rPr>
          <w:rFonts w:ascii="Georgia" w:cs="Georgia" w:eastAsia="Georgia" w:hAnsi="Georgia"/>
          <w:color w:val="1A1A1A"/>
          <w:sz w:val="19"/>
          <w:szCs w:val="19"/>
        </w:rPr>
        <w:t xml:space="preserve">Meat &amp; Livestock Australia. Marbling scores 0–9+; Meat Standards Australia eating-quality system</w:t>
      </w:r>
    </w:p>
    <w:p>
      <w:pPr>
        <w:spacing w:after="110" w:line="264"/>
        <w:ind w:left="360" w:hanging="360"/>
      </w:pPr>
      <w:r>
        <w:rPr>
          <w:rFonts w:ascii="Arial" w:cs="Arial" w:eastAsia="Arial" w:hAnsi="Arial"/>
          <w:b/>
          <w:bCs/>
          <w:color w:val="234A35"/>
          <w:sz w:val="18"/>
          <w:szCs w:val="18"/>
        </w:rPr>
        <w:t xml:space="preserve">[119]  </w:t>
      </w:r>
      <w:r>
        <w:rPr>
          <w:rFonts w:ascii="Georgia" w:cs="Georgia" w:eastAsia="Georgia" w:hAnsi="Georgia"/>
          <w:color w:val="1A1A1A"/>
          <w:sz w:val="19"/>
          <w:szCs w:val="19"/>
        </w:rPr>
        <w:t xml:space="preserve">Gobierno de España (2014). </w:t>
      </w:r>
      <w:r>
        <w:rPr>
          <w:rFonts w:ascii="Georgia" w:cs="Georgia" w:eastAsia="Georgia" w:hAnsi="Georgia"/>
          <w:i/>
          <w:iCs/>
          <w:color w:val="1A1A1A"/>
          <w:sz w:val="19"/>
          <w:szCs w:val="19"/>
        </w:rPr>
        <w:t xml:space="preserve">Real Decreto 4/2014, Norma de Calidad para la carne, el jamón, la paleta y la caña de lomo ibérico. </w:t>
      </w:r>
      <w:r>
        <w:rPr>
          <w:rFonts w:ascii="Georgia" w:cs="Georgia" w:eastAsia="Georgia" w:hAnsi="Georgia"/>
          <w:color w:val="1A1A1A"/>
          <w:sz w:val="19"/>
          <w:szCs w:val="19"/>
        </w:rPr>
        <w:t xml:space="preserve">Boletín Oficial del Estado (BOE). Ibérico labeling: bellota, cebo de campo, cebo; racial purity; the four-color seal system</w:t>
      </w:r>
    </w:p>
    <w:p>
      <w:pPr>
        <w:spacing w:after="110" w:line="264"/>
        <w:ind w:left="360" w:hanging="360"/>
      </w:pPr>
      <w:r>
        <w:rPr>
          <w:rFonts w:ascii="Arial" w:cs="Arial" w:eastAsia="Arial" w:hAnsi="Arial"/>
          <w:b/>
          <w:bCs/>
          <w:color w:val="234A35"/>
          <w:sz w:val="18"/>
          <w:szCs w:val="18"/>
        </w:rPr>
        <w:t xml:space="preserve">[120]  </w:t>
      </w:r>
      <w:r>
        <w:rPr>
          <w:rFonts w:ascii="Georgia" w:cs="Georgia" w:eastAsia="Georgia" w:hAnsi="Georgia"/>
          <w:color w:val="1A1A1A"/>
          <w:sz w:val="19"/>
          <w:szCs w:val="19"/>
        </w:rPr>
        <w:t xml:space="preserve">Institut National de l'Origine et de la Qualité (INAO) (n.d.). </w:t>
      </w:r>
      <w:r>
        <w:rPr>
          <w:rFonts w:ascii="Georgia" w:cs="Georgia" w:eastAsia="Georgia" w:hAnsi="Georgia"/>
          <w:i/>
          <w:iCs/>
          <w:color w:val="1A1A1A"/>
          <w:sz w:val="19"/>
          <w:szCs w:val="19"/>
        </w:rPr>
        <w:t xml:space="preserve">Appellation d'Origine Contrôlée: Volaille de Bresse. </w:t>
      </w:r>
      <w:r>
        <w:rPr>
          <w:rFonts w:ascii="Georgia" w:cs="Georgia" w:eastAsia="Georgia" w:hAnsi="Georgia"/>
          <w:color w:val="1A1A1A"/>
          <w:sz w:val="19"/>
          <w:szCs w:val="19"/>
        </w:rPr>
        <w:t xml:space="preserve">INAO (France). The sole AOC poultry designation; terroir and husbandry requirements</w:t>
      </w:r>
    </w:p>
    <w:p>
      <w:pPr>
        <w:spacing w:after="110" w:line="264"/>
        <w:ind w:left="360" w:hanging="360"/>
      </w:pPr>
      <w:r>
        <w:rPr>
          <w:rFonts w:ascii="Arial" w:cs="Arial" w:eastAsia="Arial" w:hAnsi="Arial"/>
          <w:b/>
          <w:bCs/>
          <w:color w:val="234A35"/>
          <w:sz w:val="18"/>
          <w:szCs w:val="18"/>
        </w:rPr>
        <w:t xml:space="preserve">[121]  </w:t>
      </w:r>
      <w:r>
        <w:rPr>
          <w:rFonts w:ascii="Georgia" w:cs="Georgia" w:eastAsia="Georgia" w:hAnsi="Georgia"/>
          <w:color w:val="1A1A1A"/>
          <w:sz w:val="19"/>
          <w:szCs w:val="19"/>
        </w:rPr>
        <w:t xml:space="preserve">Label Rouge / INAO (n.d.). </w:t>
      </w:r>
      <w:r>
        <w:rPr>
          <w:rFonts w:ascii="Georgia" w:cs="Georgia" w:eastAsia="Georgia" w:hAnsi="Georgia"/>
          <w:i/>
          <w:iCs/>
          <w:color w:val="1A1A1A"/>
          <w:sz w:val="19"/>
          <w:szCs w:val="19"/>
        </w:rPr>
        <w:t xml:space="preserve">Label Rouge poultry specifications. </w:t>
      </w:r>
      <w:r>
        <w:rPr>
          <w:rFonts w:ascii="Georgia" w:cs="Georgia" w:eastAsia="Georgia" w:hAnsi="Georgia"/>
          <w:color w:val="1A1A1A"/>
          <w:sz w:val="19"/>
          <w:szCs w:val="19"/>
        </w:rPr>
        <w:t xml:space="preserve">INAO (France). Free-range, minimum 81-day rearing, superior sensory quality certification</w:t>
      </w:r>
    </w:p>
    <w:p>
      <w:pPr>
        <w:spacing w:after="110" w:line="264"/>
        <w:ind w:left="360" w:hanging="360"/>
      </w:pPr>
      <w:r>
        <w:rPr>
          <w:rFonts w:ascii="Arial" w:cs="Arial" w:eastAsia="Arial" w:hAnsi="Arial"/>
          <w:b/>
          <w:bCs/>
          <w:color w:val="234A35"/>
          <w:sz w:val="18"/>
          <w:szCs w:val="18"/>
        </w:rPr>
        <w:t xml:space="preserve">[122]  </w:t>
      </w:r>
      <w:r>
        <w:rPr>
          <w:rFonts w:ascii="Georgia" w:cs="Georgia" w:eastAsia="Georgia" w:hAnsi="Georgia"/>
          <w:color w:val="1A1A1A"/>
          <w:sz w:val="19"/>
          <w:szCs w:val="19"/>
        </w:rPr>
        <w:t xml:space="preserve">Consorzio del Prosciutto di Parma (n.d.). </w:t>
      </w:r>
      <w:r>
        <w:rPr>
          <w:rFonts w:ascii="Georgia" w:cs="Georgia" w:eastAsia="Georgia" w:hAnsi="Georgia"/>
          <w:i/>
          <w:iCs/>
          <w:color w:val="1A1A1A"/>
          <w:sz w:val="19"/>
          <w:szCs w:val="19"/>
        </w:rPr>
        <w:t xml:space="preserve">Prosciutto di Parma DOP Production Specification. </w:t>
      </w:r>
      <w:r>
        <w:rPr>
          <w:rFonts w:ascii="Georgia" w:cs="Georgia" w:eastAsia="Georgia" w:hAnsi="Georgia"/>
          <w:color w:val="1A1A1A"/>
          <w:sz w:val="19"/>
          <w:szCs w:val="19"/>
        </w:rPr>
        <w:t xml:space="preserve">Consorzio del Prosciutto di Parma. Protected Designation of Origin; minimum aging; permitted inputs</w:t>
      </w:r>
    </w:p>
    <w:p>
      <w:pPr>
        <w:spacing w:after="110" w:line="264"/>
        <w:ind w:left="360" w:hanging="360"/>
      </w:pPr>
      <w:r>
        <w:rPr>
          <w:rFonts w:ascii="Arial" w:cs="Arial" w:eastAsia="Arial" w:hAnsi="Arial"/>
          <w:b/>
          <w:bCs/>
          <w:color w:val="234A35"/>
          <w:sz w:val="18"/>
          <w:szCs w:val="18"/>
        </w:rPr>
        <w:t xml:space="preserve">[123]  </w:t>
      </w:r>
      <w:r>
        <w:rPr>
          <w:rFonts w:ascii="Georgia" w:cs="Georgia" w:eastAsia="Georgia" w:hAnsi="Georgia"/>
          <w:color w:val="1A1A1A"/>
          <w:sz w:val="19"/>
          <w:szCs w:val="19"/>
        </w:rPr>
        <w:t xml:space="preserve">Monterey Bay Aquarium (2024). </w:t>
      </w:r>
      <w:r>
        <w:rPr>
          <w:rFonts w:ascii="Georgia" w:cs="Georgia" w:eastAsia="Georgia" w:hAnsi="Georgia"/>
          <w:i/>
          <w:iCs/>
          <w:color w:val="1A1A1A"/>
          <w:sz w:val="19"/>
          <w:szCs w:val="19"/>
        </w:rPr>
        <w:t xml:space="preserve">Seafood Watch Standards and Recommendations. </w:t>
      </w:r>
      <w:r>
        <w:rPr>
          <w:rFonts w:ascii="Georgia" w:cs="Georgia" w:eastAsia="Georgia" w:hAnsi="Georgia"/>
          <w:color w:val="1A1A1A"/>
          <w:sz w:val="19"/>
          <w:szCs w:val="19"/>
        </w:rPr>
        <w:t xml:space="preserve">Monterey Bay Aquarium Seafood Watch. Best Choice / Good Alternative / Avoid ratings for wild and farmed seafood</w:t>
      </w:r>
    </w:p>
    <w:p>
      <w:pPr>
        <w:spacing w:after="110" w:line="264"/>
        <w:ind w:left="360" w:hanging="360"/>
      </w:pPr>
      <w:r>
        <w:rPr>
          <w:rFonts w:ascii="Arial" w:cs="Arial" w:eastAsia="Arial" w:hAnsi="Arial"/>
          <w:b/>
          <w:bCs/>
          <w:color w:val="234A35"/>
          <w:sz w:val="18"/>
          <w:szCs w:val="18"/>
        </w:rPr>
        <w:t xml:space="preserve">[124]  </w:t>
      </w:r>
      <w:r>
        <w:rPr>
          <w:rFonts w:ascii="Georgia" w:cs="Georgia" w:eastAsia="Georgia" w:hAnsi="Georgia"/>
          <w:color w:val="1A1A1A"/>
          <w:sz w:val="19"/>
          <w:szCs w:val="19"/>
        </w:rPr>
        <w:t xml:space="preserve">Marine Stewardship Council (MSC) (n.d.). </w:t>
      </w:r>
      <w:r>
        <w:rPr>
          <w:rFonts w:ascii="Georgia" w:cs="Georgia" w:eastAsia="Georgia" w:hAnsi="Georgia"/>
          <w:i/>
          <w:iCs/>
          <w:color w:val="1A1A1A"/>
          <w:sz w:val="19"/>
          <w:szCs w:val="19"/>
        </w:rPr>
        <w:t xml:space="preserve">MSC Fisheries Standard. </w:t>
      </w:r>
      <w:r>
        <w:rPr>
          <w:rFonts w:ascii="Georgia" w:cs="Georgia" w:eastAsia="Georgia" w:hAnsi="Georgia"/>
          <w:color w:val="1A1A1A"/>
          <w:sz w:val="19"/>
          <w:szCs w:val="19"/>
        </w:rPr>
        <w:t xml:space="preserve">Marine Stewardship Council. Certification and blue ecolabel for wild-capture fisheries</w:t>
      </w:r>
    </w:p>
    <w:p>
      <w:pPr>
        <w:spacing w:after="110" w:line="264"/>
        <w:ind w:left="360" w:hanging="360"/>
      </w:pPr>
      <w:r>
        <w:rPr>
          <w:rFonts w:ascii="Arial" w:cs="Arial" w:eastAsia="Arial" w:hAnsi="Arial"/>
          <w:b/>
          <w:bCs/>
          <w:color w:val="234A35"/>
          <w:sz w:val="18"/>
          <w:szCs w:val="18"/>
        </w:rPr>
        <w:t xml:space="preserve">[125]  </w:t>
      </w:r>
      <w:r>
        <w:rPr>
          <w:rFonts w:ascii="Georgia" w:cs="Georgia" w:eastAsia="Georgia" w:hAnsi="Georgia"/>
          <w:color w:val="1A1A1A"/>
          <w:sz w:val="19"/>
          <w:szCs w:val="19"/>
        </w:rPr>
        <w:t xml:space="preserve">Aquaculture Stewardship Council (ASC) (n.d.). </w:t>
      </w:r>
      <w:r>
        <w:rPr>
          <w:rFonts w:ascii="Georgia" w:cs="Georgia" w:eastAsia="Georgia" w:hAnsi="Georgia"/>
          <w:i/>
          <w:iCs/>
          <w:color w:val="1A1A1A"/>
          <w:sz w:val="19"/>
          <w:szCs w:val="19"/>
        </w:rPr>
        <w:t xml:space="preserve">ASC Farm Standards. </w:t>
      </w:r>
      <w:r>
        <w:rPr>
          <w:rFonts w:ascii="Georgia" w:cs="Georgia" w:eastAsia="Georgia" w:hAnsi="Georgia"/>
          <w:color w:val="1A1A1A"/>
          <w:sz w:val="19"/>
          <w:szCs w:val="19"/>
        </w:rPr>
        <w:t xml:space="preserve">Aquaculture Stewardship Council. Certification for responsibly farmed seafood, including salmon</w:t>
      </w:r>
    </w:p>
    <w:p>
      <w:pPr>
        <w:spacing w:after="110" w:line="264"/>
        <w:ind w:left="360" w:hanging="360"/>
      </w:pPr>
      <w:r>
        <w:rPr>
          <w:rFonts w:ascii="Arial" w:cs="Arial" w:eastAsia="Arial" w:hAnsi="Arial"/>
          <w:b/>
          <w:bCs/>
          <w:color w:val="234A35"/>
          <w:sz w:val="18"/>
          <w:szCs w:val="18"/>
        </w:rPr>
        <w:t xml:space="preserve">[126]  </w:t>
      </w:r>
      <w:r>
        <w:rPr>
          <w:rFonts w:ascii="Georgia" w:cs="Georgia" w:eastAsia="Georgia" w:hAnsi="Georgia"/>
          <w:color w:val="1A1A1A"/>
          <w:sz w:val="19"/>
          <w:szCs w:val="19"/>
        </w:rPr>
        <w:t xml:space="preserve">Cronin, D. A., &amp; others (reviewed) (2010). </w:t>
      </w:r>
      <w:r>
        <w:rPr>
          <w:rFonts w:ascii="Georgia" w:cs="Georgia" w:eastAsia="Georgia" w:hAnsi="Georgia"/>
          <w:i/>
          <w:iCs/>
          <w:color w:val="1A1A1A"/>
          <w:sz w:val="19"/>
          <w:szCs w:val="19"/>
        </w:rPr>
        <w:t xml:space="preserve">Sodium tripolyphosphate treatment of scallops and water uptake. </w:t>
      </w:r>
      <w:r>
        <w:rPr>
          <w:rFonts w:ascii="Georgia" w:cs="Georgia" w:eastAsia="Georgia" w:hAnsi="Georgia"/>
          <w:color w:val="1A1A1A"/>
          <w:sz w:val="19"/>
          <w:szCs w:val="19"/>
        </w:rPr>
        <w:t xml:space="preserve">Journal of Food Science (review). STP soaking increases moisture and impairs searing; “dry” vs “wet” scallop distinction</w:t>
      </w:r>
    </w:p>
    <w:p>
      <w:pPr>
        <w:spacing w:after="110" w:line="264"/>
        <w:ind w:left="360" w:hanging="360"/>
      </w:pPr>
      <w:r>
        <w:rPr>
          <w:rFonts w:ascii="Arial" w:cs="Arial" w:eastAsia="Arial" w:hAnsi="Arial"/>
          <w:b/>
          <w:bCs/>
          <w:color w:val="234A35"/>
          <w:sz w:val="18"/>
          <w:szCs w:val="18"/>
        </w:rPr>
        <w:t xml:space="preserve">[127]  </w:t>
      </w:r>
      <w:r>
        <w:rPr>
          <w:rFonts w:ascii="Georgia" w:cs="Georgia" w:eastAsia="Georgia" w:hAnsi="Georgia"/>
          <w:color w:val="1A1A1A"/>
          <w:sz w:val="19"/>
          <w:szCs w:val="19"/>
        </w:rPr>
        <w:t xml:space="preserve">U.S. Food and Drug Administration (2022). </w:t>
      </w:r>
      <w:r>
        <w:rPr>
          <w:rFonts w:ascii="Georgia" w:cs="Georgia" w:eastAsia="Georgia" w:hAnsi="Georgia"/>
          <w:i/>
          <w:iCs/>
          <w:color w:val="1A1A1A"/>
          <w:sz w:val="19"/>
          <w:szCs w:val="19"/>
        </w:rPr>
        <w:t xml:space="preserve">Fish and Fishery Products Hazards and Controls Guidance (4th ed.). </w:t>
      </w:r>
      <w:r>
        <w:rPr>
          <w:rFonts w:ascii="Georgia" w:cs="Georgia" w:eastAsia="Georgia" w:hAnsi="Georgia"/>
          <w:color w:val="1A1A1A"/>
          <w:sz w:val="19"/>
          <w:szCs w:val="19"/>
        </w:rPr>
        <w:t xml:space="preserve">U.S. FDA. Parasite-destruction freezing requirements for fish intended for raw consumption</w:t>
      </w:r>
    </w:p>
    <w:p>
      <w:pPr>
        <w:spacing w:after="110" w:line="264"/>
        <w:ind w:left="360" w:hanging="360"/>
      </w:pPr>
      <w:r>
        <w:rPr>
          <w:rFonts w:ascii="Arial" w:cs="Arial" w:eastAsia="Arial" w:hAnsi="Arial"/>
          <w:b/>
          <w:bCs/>
          <w:color w:val="234A35"/>
          <w:sz w:val="18"/>
          <w:szCs w:val="18"/>
        </w:rPr>
        <w:t xml:space="preserve">[128]  </w:t>
      </w:r>
      <w:r>
        <w:rPr>
          <w:rFonts w:ascii="Georgia" w:cs="Georgia" w:eastAsia="Georgia" w:hAnsi="Georgia"/>
          <w:color w:val="1A1A1A"/>
          <w:sz w:val="19"/>
          <w:szCs w:val="19"/>
        </w:rPr>
        <w:t xml:space="preserve">Daley, C. A., Abbott, A., Doyle, P. S., Nader, G. A., &amp; Larson, S. (2010). </w:t>
      </w:r>
      <w:r>
        <w:rPr>
          <w:rFonts w:ascii="Georgia" w:cs="Georgia" w:eastAsia="Georgia" w:hAnsi="Georgia"/>
          <w:i/>
          <w:iCs/>
          <w:color w:val="1A1A1A"/>
          <w:sz w:val="19"/>
          <w:szCs w:val="19"/>
        </w:rPr>
        <w:t xml:space="preserve">A review of fatty acid profiles and antioxidant content in grass-fed and grain-fed beef. </w:t>
      </w:r>
      <w:r>
        <w:rPr>
          <w:rFonts w:ascii="Georgia" w:cs="Georgia" w:eastAsia="Georgia" w:hAnsi="Georgia"/>
          <w:color w:val="1A1A1A"/>
          <w:sz w:val="19"/>
          <w:szCs w:val="19"/>
        </w:rPr>
        <w:t xml:space="preserve">Nutrition Journal, 9(10). Omega-3 and CLA differences by finishing regime</w:t>
      </w:r>
    </w:p>
    <w:p>
      <w:pPr>
        <w:spacing w:after="110" w:line="264"/>
        <w:ind w:left="360" w:hanging="360"/>
      </w:pPr>
      <w:r>
        <w:rPr>
          <w:rFonts w:ascii="Arial" w:cs="Arial" w:eastAsia="Arial" w:hAnsi="Arial"/>
          <w:b/>
          <w:bCs/>
          <w:color w:val="234A35"/>
          <w:sz w:val="18"/>
          <w:szCs w:val="18"/>
        </w:rPr>
        <w:t xml:space="preserve">[129]  </w:t>
      </w:r>
      <w:r>
        <w:rPr>
          <w:rFonts w:ascii="Georgia" w:cs="Georgia" w:eastAsia="Georgia" w:hAnsi="Georgia"/>
          <w:color w:val="1A1A1A"/>
          <w:sz w:val="19"/>
          <w:szCs w:val="19"/>
        </w:rPr>
        <w:t xml:space="preserve">Hallberg, L., &amp; Hulthén, L. (2000). </w:t>
      </w:r>
      <w:r>
        <w:rPr>
          <w:rFonts w:ascii="Georgia" w:cs="Georgia" w:eastAsia="Georgia" w:hAnsi="Georgia"/>
          <w:i/>
          <w:iCs/>
          <w:color w:val="1A1A1A"/>
          <w:sz w:val="19"/>
          <w:szCs w:val="19"/>
        </w:rPr>
        <w:t xml:space="preserve">Prediction of dietary iron absorption. </w:t>
      </w:r>
      <w:r>
        <w:rPr>
          <w:rFonts w:ascii="Georgia" w:cs="Georgia" w:eastAsia="Georgia" w:hAnsi="Georgia"/>
          <w:color w:val="1A1A1A"/>
          <w:sz w:val="19"/>
          <w:szCs w:val="19"/>
        </w:rPr>
        <w:t xml:space="preserve">American Journal of Clinical Nutrition, 71(5). Ascorbic acid enhancement of non-heme iron uptake</w:t>
      </w:r>
    </w:p>
    <w:p>
      <w:pPr>
        <w:spacing w:after="110" w:line="264"/>
        <w:ind w:left="360" w:hanging="360"/>
      </w:pPr>
      <w:r>
        <w:rPr>
          <w:rFonts w:ascii="Arial" w:cs="Arial" w:eastAsia="Arial" w:hAnsi="Arial"/>
          <w:b/>
          <w:bCs/>
          <w:color w:val="234A35"/>
          <w:sz w:val="18"/>
          <w:szCs w:val="18"/>
        </w:rPr>
        <w:t xml:space="preserve">[130]  </w:t>
      </w:r>
      <w:r>
        <w:rPr>
          <w:rFonts w:ascii="Georgia" w:cs="Georgia" w:eastAsia="Georgia" w:hAnsi="Georgia"/>
          <w:color w:val="1A1A1A"/>
          <w:sz w:val="19"/>
          <w:szCs w:val="19"/>
        </w:rPr>
        <w:t xml:space="preserve">Seafood Watch (2024). </w:t>
      </w:r>
      <w:r>
        <w:rPr>
          <w:rFonts w:ascii="Georgia" w:cs="Georgia" w:eastAsia="Georgia" w:hAnsi="Georgia"/>
          <w:i/>
          <w:iCs/>
          <w:color w:val="1A1A1A"/>
          <w:sz w:val="19"/>
          <w:szCs w:val="19"/>
        </w:rPr>
        <w:t xml:space="preserve">Farmed Atlantic Salmon and Wild Alaska Salmon Assessments. </w:t>
      </w:r>
      <w:r>
        <w:rPr>
          <w:rFonts w:ascii="Georgia" w:cs="Georgia" w:eastAsia="Georgia" w:hAnsi="Georgia"/>
          <w:color w:val="1A1A1A"/>
          <w:sz w:val="19"/>
          <w:szCs w:val="19"/>
        </w:rPr>
        <w:t xml:space="preserve">Monterey Bay Aquarium Seafood Watch. Wild Alaska salmon Best Choice; many farmed Atlantic rated Avoid absent ASC/qualification</w:t>
      </w:r>
    </w:p>
    <w:p>
      <w:pPr>
        <w:spacing w:after="110" w:line="264"/>
        <w:ind w:left="360" w:hanging="360"/>
      </w:pPr>
      <w:r>
        <w:rPr>
          <w:rFonts w:ascii="Arial" w:cs="Arial" w:eastAsia="Arial" w:hAnsi="Arial"/>
          <w:b/>
          <w:bCs/>
          <w:color w:val="234A35"/>
          <w:sz w:val="18"/>
          <w:szCs w:val="18"/>
        </w:rPr>
        <w:t xml:space="preserve">[131]  </w:t>
      </w:r>
      <w:r>
        <w:rPr>
          <w:rFonts w:ascii="Georgia" w:cs="Georgia" w:eastAsia="Georgia" w:hAnsi="Georgia"/>
          <w:color w:val="1A1A1A"/>
          <w:sz w:val="19"/>
          <w:szCs w:val="19"/>
        </w:rPr>
        <w:t xml:space="preserve">Cladis, D. P., Kleiner, A. C., Freiser, H. H., &amp; Santerre, C. R. (2014). </w:t>
      </w:r>
      <w:r>
        <w:rPr>
          <w:rFonts w:ascii="Georgia" w:cs="Georgia" w:eastAsia="Georgia" w:hAnsi="Georgia"/>
          <w:i/>
          <w:iCs/>
          <w:color w:val="1A1A1A"/>
          <w:sz w:val="19"/>
          <w:szCs w:val="19"/>
        </w:rPr>
        <w:t xml:space="preserve">Fatty acid profiles of commercially available finfish. </w:t>
      </w:r>
      <w:r>
        <w:rPr>
          <w:rFonts w:ascii="Georgia" w:cs="Georgia" w:eastAsia="Georgia" w:hAnsi="Georgia"/>
          <w:color w:val="1A1A1A"/>
          <w:sz w:val="19"/>
          <w:szCs w:val="19"/>
        </w:rPr>
        <w:t xml:space="preserve">Lipids, 49(10). Omega-3 content across wild and farmed species</w:t>
      </w:r>
    </w:p>
    <w:p>
      <w:pPr>
        <w:spacing w:after="110" w:line="264"/>
        <w:ind w:left="360" w:hanging="360"/>
      </w:pPr>
      <w:r>
        <w:rPr>
          <w:rFonts w:ascii="Arial" w:cs="Arial" w:eastAsia="Arial" w:hAnsi="Arial"/>
          <w:b/>
          <w:bCs/>
          <w:color w:val="234A35"/>
          <w:sz w:val="18"/>
          <w:szCs w:val="18"/>
        </w:rPr>
        <w:t xml:space="preserve">[132]  </w:t>
      </w:r>
      <w:r>
        <w:rPr>
          <w:rFonts w:ascii="Georgia" w:cs="Georgia" w:eastAsia="Georgia" w:hAnsi="Georgia"/>
          <w:color w:val="1A1A1A"/>
          <w:sz w:val="19"/>
          <w:szCs w:val="19"/>
        </w:rPr>
        <w:t xml:space="preserve">National Oceanic and Atmospheric Administration (NOAA Fisheries) (n.d.). </w:t>
      </w:r>
      <w:r>
        <w:rPr>
          <w:rFonts w:ascii="Georgia" w:cs="Georgia" w:eastAsia="Georgia" w:hAnsi="Georgia"/>
          <w:i/>
          <w:iCs/>
          <w:color w:val="1A1A1A"/>
          <w:sz w:val="19"/>
          <w:szCs w:val="19"/>
        </w:rPr>
        <w:t xml:space="preserve">FishWatch / U.S. Seafood Facts. </w:t>
      </w:r>
      <w:r>
        <w:rPr>
          <w:rFonts w:ascii="Georgia" w:cs="Georgia" w:eastAsia="Georgia" w:hAnsi="Georgia"/>
          <w:color w:val="1A1A1A"/>
          <w:sz w:val="19"/>
          <w:szCs w:val="19"/>
        </w:rPr>
        <w:t xml:space="preserve">NOAA Fisheries. U.S. wild-capture management, shrimp import share, and stock 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c4" w:sz="4" w:space="6"/>
      </w:pBdr>
      <w:jc w:val="center"/>
    </w:pPr>
    <w:r>
      <w:rPr>
        <w:rFonts w:ascii="Arial" w:cs="Arial" w:eastAsia="Arial" w:hAnsi="Arial"/>
        <w:i/>
        <w:iCs/>
        <w:color w:val="5B5B52"/>
        <w:sz w:val="15"/>
        <w:szCs w:val="15"/>
      </w:rPr>
      <w:t xml:space="preserve">From Pasture and Parrilla to Plate</w:t>
    </w:r>
    <w:r>
      <w:rPr>
        <w:rFonts w:ascii="Arial" w:cs="Arial" w:eastAsia="Arial" w:hAnsi="Arial"/>
        <w:color w:val="5B5B52"/>
        <w:sz w:val="15"/>
        <w:szCs w:val="15"/>
      </w:rPr>
      <w:t xml:space="preserve">      —      </w:t>
    </w:r>
    <w:r>
      <w:rPr>
        <w:rFonts w:ascii="Arial" w:cs="Arial" w:eastAsia="Arial" w:hAnsi="Arial"/>
        <w:color w:val="5B5B52"/>
        <w:sz w:val="15"/>
        <w:szCs w:val="15"/>
      </w:rPr>
      <w:t xml:space="preserve">Page </w:t>
      <w:fldChar w:fldCharType="begin"/>
      <w:instrText xml:space="preserve">PAGE</w:instrText>
      <w:fldChar w:fldCharType="separate"/>
      <w:fldChar w:fldCharType="end"/>
    </w:r>
    <w:r>
      <w:rPr>
        <w:rFonts w:ascii="Arial" w:cs="Arial" w:eastAsia="Arial" w:hAnsi="Arial"/>
        <w:color w:val="5B5B52"/>
        <w:sz w:val="15"/>
        <w:szCs w:val="15"/>
      </w:rPr>
      <w:t xml:space="preserve"> of </w:t>
    </w:r>
    <w:r>
      <w:rPr>
        <w:rFonts w:ascii="Arial" w:cs="Arial" w:eastAsia="Arial" w:hAnsi="Arial"/>
        <w:color w:val="5B5B5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line="232"/>
      </w:pPr>
      <w:r>
        <w:rPr>
          <w:rStyle w:val="FootnoteReference"/>
        </w:rPr>
        <w:footnoteRef/>
      </w:r>
      <w:r>
        <w:rPr>
          <w:rFonts w:ascii="Arial" w:cs="Arial" w:eastAsia="Arial" w:hAnsi="Arial"/>
          <w:b/>
          <w:bCs/>
          <w:color w:val="234A35"/>
          <w:sz w:val="17"/>
          <w:szCs w:val="17"/>
        </w:rPr>
        <w:t xml:space="preserve">Ref. [56]. </w:t>
      </w:r>
      <w:r>
        <w:rPr>
          <w:rFonts w:ascii="Georgia" w:cs="Georgia" w:eastAsia="Georgia" w:hAnsi="Georgia"/>
          <w:sz w:val="18"/>
          <w:szCs w:val="18"/>
        </w:rPr>
        <w:t xml:space="preserve">Rowntree, J. E., Stanley, P. L., Maciel, I. C. F., Thorbecke, M., Rosenzweig, S. T., Hancock, D. W., ... &amp; Raven, M. R. (2020). </w:t>
      </w:r>
      <w:r>
        <w:rPr>
          <w:rFonts w:ascii="Georgia" w:cs="Georgia" w:eastAsia="Georgia" w:hAnsi="Georgia"/>
          <w:i/>
          <w:iCs/>
          <w:sz w:val="18"/>
          <w:szCs w:val="18"/>
        </w:rPr>
        <w:t xml:space="preserve">Ecosystem impacts and productive capacity of a multi-species pastured livestock system. </w:t>
      </w:r>
      <w:r>
        <w:rPr>
          <w:rFonts w:ascii="Georgia" w:cs="Georgia" w:eastAsia="Georgia" w:hAnsi="Georgia"/>
          <w:sz w:val="18"/>
          <w:szCs w:val="18"/>
        </w:rPr>
        <w:t xml:space="preserve">Frontiers in Sustainable Food Systems.</w:t>
      </w:r>
    </w:p>
  </w:footnote>
  <w:footnote w:id="2">
    <w:p>
      <w:pPr>
        <w:spacing w:after="0" w:line="232"/>
      </w:pPr>
      <w:r>
        <w:rPr>
          <w:rStyle w:val="FootnoteReference"/>
        </w:rPr>
        <w:footnoteRef/>
      </w:r>
      <w:r>
        <w:rPr>
          <w:rFonts w:ascii="Arial" w:cs="Arial" w:eastAsia="Arial" w:hAnsi="Arial"/>
          <w:b/>
          <w:bCs/>
          <w:color w:val="234A35"/>
          <w:sz w:val="17"/>
          <w:szCs w:val="17"/>
        </w:rPr>
        <w:t xml:space="preserve">Ref. [1]. </w:t>
      </w:r>
      <w:r>
        <w:rPr>
          <w:rFonts w:ascii="Georgia" w:cs="Georgia" w:eastAsia="Georgia" w:hAnsi="Georgia"/>
          <w:sz w:val="18"/>
          <w:szCs w:val="18"/>
        </w:rPr>
        <w:t xml:space="preserve">U.S. Department of Agriculture, Food Safety and Inspection Service (USDA FSIS) (2024). </w:t>
      </w:r>
      <w:r>
        <w:rPr>
          <w:rFonts w:ascii="Georgia" w:cs="Georgia" w:eastAsia="Georgia" w:hAnsi="Georgia"/>
          <w:i/>
          <w:iCs/>
          <w:sz w:val="18"/>
          <w:szCs w:val="18"/>
        </w:rPr>
        <w:t xml:space="preserve">Safe minimum internal temperature chart. </w:t>
      </w:r>
      <w:r>
        <w:rPr>
          <w:rFonts w:ascii="Georgia" w:cs="Georgia" w:eastAsia="Georgia" w:hAnsi="Georgia"/>
          <w:sz w:val="18"/>
          <w:szCs w:val="18"/>
        </w:rPr>
        <w:t xml:space="preserve">USDA FSIS.</w:t>
      </w:r>
    </w:p>
  </w:footnote>
  <w:footnote w:id="3">
    <w:p>
      <w:pPr>
        <w:spacing w:after="0" w:line="232"/>
      </w:pPr>
      <w:r>
        <w:rPr>
          <w:rStyle w:val="FootnoteReference"/>
        </w:rPr>
        <w:footnoteRef/>
      </w:r>
      <w:r>
        <w:rPr>
          <w:rFonts w:ascii="Arial" w:cs="Arial" w:eastAsia="Arial" w:hAnsi="Arial"/>
          <w:b/>
          <w:bCs/>
          <w:color w:val="234A35"/>
          <w:sz w:val="17"/>
          <w:szCs w:val="17"/>
        </w:rPr>
        <w:t xml:space="preserve">Ref. [6]. </w:t>
      </w:r>
      <w:r>
        <w:rPr>
          <w:rFonts w:ascii="Georgia" w:cs="Georgia" w:eastAsia="Georgia" w:hAnsi="Georgia"/>
          <w:sz w:val="18"/>
          <w:szCs w:val="18"/>
        </w:rPr>
        <w:t xml:space="preserve">Offer, G., &amp; Trinick, J. (1983). </w:t>
      </w:r>
      <w:r>
        <w:rPr>
          <w:rFonts w:ascii="Georgia" w:cs="Georgia" w:eastAsia="Georgia" w:hAnsi="Georgia"/>
          <w:i/>
          <w:iCs/>
          <w:sz w:val="18"/>
          <w:szCs w:val="18"/>
        </w:rPr>
        <w:t xml:space="preserve">On the mechanism of water holding in meat: The swelling and shrinking of myofibrils. </w:t>
      </w:r>
      <w:r>
        <w:rPr>
          <w:rFonts w:ascii="Georgia" w:cs="Georgia" w:eastAsia="Georgia" w:hAnsi="Georgia"/>
          <w:sz w:val="18"/>
          <w:szCs w:val="18"/>
        </w:rPr>
        <w:t xml:space="preserve">Meat Science.</w:t>
      </w:r>
    </w:p>
  </w:footnote>
  <w:footnote w:id="4">
    <w:p>
      <w:pPr>
        <w:spacing w:after="0" w:line="232"/>
      </w:pPr>
      <w:r>
        <w:rPr>
          <w:rStyle w:val="FootnoteReference"/>
        </w:rPr>
        <w:footnoteRef/>
      </w:r>
      <w:r>
        <w:rPr>
          <w:rFonts w:ascii="Arial" w:cs="Arial" w:eastAsia="Arial" w:hAnsi="Arial"/>
          <w:b/>
          <w:bCs/>
          <w:color w:val="234A35"/>
          <w:sz w:val="17"/>
          <w:szCs w:val="17"/>
        </w:rPr>
        <w:t xml:space="preserve">Ref. [28]. </w:t>
      </w:r>
      <w:r>
        <w:rPr>
          <w:rFonts w:ascii="Georgia" w:cs="Georgia" w:eastAsia="Georgia" w:hAnsi="Georgia"/>
          <w:sz w:val="18"/>
          <w:szCs w:val="18"/>
        </w:rPr>
        <w:t xml:space="preserve">Drewnowski, A. (2005). </w:t>
      </w:r>
      <w:r>
        <w:rPr>
          <w:rFonts w:ascii="Georgia" w:cs="Georgia" w:eastAsia="Georgia" w:hAnsi="Georgia"/>
          <w:i/>
          <w:iCs/>
          <w:sz w:val="18"/>
          <w:szCs w:val="18"/>
        </w:rPr>
        <w:t xml:space="preserve">Concept of a nutritious food: Toward a nutrient density score. </w:t>
      </w:r>
      <w:r>
        <w:rPr>
          <w:rFonts w:ascii="Georgia" w:cs="Georgia" w:eastAsia="Georgia" w:hAnsi="Georgia"/>
          <w:sz w:val="18"/>
          <w:szCs w:val="18"/>
        </w:rPr>
        <w:t xml:space="preserve">The American Journal of Clinical Nutrition.</w:t>
      </w:r>
    </w:p>
  </w:footnote>
  <w:footnote w:id="5">
    <w:p>
      <w:pPr>
        <w:spacing w:after="0" w:line="232"/>
      </w:pPr>
      <w:r>
        <w:rPr>
          <w:rStyle w:val="FootnoteReference"/>
        </w:rPr>
        <w:footnoteRef/>
      </w:r>
      <w:r>
        <w:rPr>
          <w:rFonts w:ascii="Arial" w:cs="Arial" w:eastAsia="Arial" w:hAnsi="Arial"/>
          <w:b/>
          <w:bCs/>
          <w:color w:val="234A35"/>
          <w:sz w:val="17"/>
          <w:szCs w:val="17"/>
        </w:rPr>
        <w:t xml:space="preserve">Ref. [50]. </w:t>
      </w:r>
      <w:r>
        <w:rPr>
          <w:rFonts w:ascii="Georgia" w:cs="Georgia" w:eastAsia="Georgia" w:hAnsi="Georgia"/>
          <w:sz w:val="18"/>
          <w:szCs w:val="18"/>
        </w:rPr>
        <w:t xml:space="preserve">Clark, S., &amp; Mora García, M. B. (2017). </w:t>
      </w:r>
      <w:r>
        <w:rPr>
          <w:rFonts w:ascii="Georgia" w:cs="Georgia" w:eastAsia="Georgia" w:hAnsi="Georgia"/>
          <w:i/>
          <w:iCs/>
          <w:sz w:val="18"/>
          <w:szCs w:val="18"/>
        </w:rPr>
        <w:t xml:space="preserve">A 100-year review: Advances in goat milk research. </w:t>
      </w:r>
      <w:r>
        <w:rPr>
          <w:rFonts w:ascii="Georgia" w:cs="Georgia" w:eastAsia="Georgia" w:hAnsi="Georgia"/>
          <w:sz w:val="18"/>
          <w:szCs w:val="18"/>
        </w:rPr>
        <w:t xml:space="preserve">Journal of Dairy Science.</w:t>
      </w:r>
    </w:p>
  </w:footnote>
  <w:footnote w:id="6">
    <w:p>
      <w:pPr>
        <w:spacing w:after="0" w:line="232"/>
      </w:pPr>
      <w:r>
        <w:rPr>
          <w:rStyle w:val="FootnoteReference"/>
        </w:rPr>
        <w:footnoteRef/>
      </w:r>
      <w:r>
        <w:rPr>
          <w:rFonts w:ascii="Arial" w:cs="Arial" w:eastAsia="Arial" w:hAnsi="Arial"/>
          <w:b/>
          <w:bCs/>
          <w:color w:val="234A35"/>
          <w:sz w:val="17"/>
          <w:szCs w:val="17"/>
        </w:rPr>
        <w:t xml:space="preserve">Ref. [44]. </w:t>
      </w:r>
      <w:r>
        <w:rPr>
          <w:rFonts w:ascii="Georgia" w:cs="Georgia" w:eastAsia="Georgia" w:hAnsi="Georgia"/>
          <w:sz w:val="18"/>
          <w:szCs w:val="18"/>
        </w:rPr>
        <w:t xml:space="preserve">Schaafsma, G. (2000). </w:t>
      </w:r>
      <w:r>
        <w:rPr>
          <w:rFonts w:ascii="Georgia" w:cs="Georgia" w:eastAsia="Georgia" w:hAnsi="Georgia"/>
          <w:i/>
          <w:iCs/>
          <w:sz w:val="18"/>
          <w:szCs w:val="18"/>
        </w:rPr>
        <w:t xml:space="preserve">The protein digestibility-corrected amino acid score. </w:t>
      </w:r>
      <w:r>
        <w:rPr>
          <w:rFonts w:ascii="Georgia" w:cs="Georgia" w:eastAsia="Georgia" w:hAnsi="Georgia"/>
          <w:sz w:val="18"/>
          <w:szCs w:val="18"/>
        </w:rPr>
        <w:t xml:space="preserve">The Journal of Nutrition.</w:t>
      </w:r>
    </w:p>
  </w:footnote>
  <w:footnote w:id="7">
    <w:p>
      <w:pPr>
        <w:spacing w:after="0" w:line="232"/>
      </w:pPr>
      <w:r>
        <w:rPr>
          <w:rStyle w:val="FootnoteReference"/>
        </w:rPr>
        <w:footnoteRef/>
      </w:r>
      <w:r>
        <w:rPr>
          <w:rFonts w:ascii="Arial" w:cs="Arial" w:eastAsia="Arial" w:hAnsi="Arial"/>
          <w:b/>
          <w:bCs/>
          <w:color w:val="234A35"/>
          <w:sz w:val="17"/>
          <w:szCs w:val="17"/>
        </w:rPr>
        <w:t xml:space="preserve">Ref. [19]. </w:t>
      </w:r>
      <w:r>
        <w:rPr>
          <w:rFonts w:ascii="Georgia" w:cs="Georgia" w:eastAsia="Georgia" w:hAnsi="Georgia"/>
          <w:sz w:val="18"/>
          <w:szCs w:val="18"/>
        </w:rPr>
        <w:t xml:space="preserve">America's Test Kitchen (2018). </w:t>
      </w:r>
      <w:r>
        <w:rPr>
          <w:rFonts w:ascii="Georgia" w:cs="Georgia" w:eastAsia="Georgia" w:hAnsi="Georgia"/>
          <w:i/>
          <w:iCs/>
          <w:sz w:val="18"/>
          <w:szCs w:val="18"/>
        </w:rPr>
        <w:t xml:space="preserve">The Cook's Illustrated meat book: The game-changing guide that teaches you how to cook meat and poultry with 425 bulletproof recipes. </w:t>
      </w:r>
      <w:r>
        <w:rPr>
          <w:rFonts w:ascii="Georgia" w:cs="Georgia" w:eastAsia="Georgia" w:hAnsi="Georgia"/>
          <w:sz w:val="18"/>
          <w:szCs w:val="18"/>
        </w:rPr>
        <w:t xml:space="preserve">America's Test Kitchen.</w:t>
      </w:r>
    </w:p>
  </w:footnote>
  <w:footnote w:id="8">
    <w:p>
      <w:pPr>
        <w:spacing w:after="0" w:line="232"/>
      </w:pPr>
      <w:r>
        <w:rPr>
          <w:rStyle w:val="FootnoteReference"/>
        </w:rPr>
        <w:footnoteRef/>
      </w:r>
      <w:r>
        <w:rPr>
          <w:rFonts w:ascii="Arial" w:cs="Arial" w:eastAsia="Arial" w:hAnsi="Arial"/>
          <w:b/>
          <w:bCs/>
          <w:color w:val="234A35"/>
          <w:sz w:val="17"/>
          <w:szCs w:val="17"/>
        </w:rPr>
        <w:t xml:space="preserve">Ref. [16]. </w:t>
      </w:r>
      <w:r>
        <w:rPr>
          <w:rFonts w:ascii="Georgia" w:cs="Georgia" w:eastAsia="Georgia" w:hAnsi="Georgia"/>
          <w:sz w:val="18"/>
          <w:szCs w:val="18"/>
        </w:rPr>
        <w:t xml:space="preserve">López-Alt, J. K. (2015). </w:t>
      </w:r>
      <w:r>
        <w:rPr>
          <w:rFonts w:ascii="Georgia" w:cs="Georgia" w:eastAsia="Georgia" w:hAnsi="Georgia"/>
          <w:i/>
          <w:iCs/>
          <w:sz w:val="18"/>
          <w:szCs w:val="18"/>
        </w:rPr>
        <w:t xml:space="preserve">The food lab: Better home cooking through science. </w:t>
      </w:r>
      <w:r>
        <w:rPr>
          <w:rFonts w:ascii="Georgia" w:cs="Georgia" w:eastAsia="Georgia" w:hAnsi="Georgia"/>
          <w:sz w:val="18"/>
          <w:szCs w:val="18"/>
        </w:rPr>
        <w:t xml:space="preserve">W. W. Norton &amp; Company.</w:t>
      </w:r>
    </w:p>
  </w:footnote>
  <w:footnote w:id="9">
    <w:p>
      <w:pPr>
        <w:spacing w:after="0" w:line="232"/>
      </w:pPr>
      <w:r>
        <w:rPr>
          <w:rStyle w:val="FootnoteReference"/>
        </w:rPr>
        <w:footnoteRef/>
      </w:r>
      <w:r>
        <w:rPr>
          <w:rFonts w:ascii="Arial" w:cs="Arial" w:eastAsia="Arial" w:hAnsi="Arial"/>
          <w:b/>
          <w:bCs/>
          <w:color w:val="234A35"/>
          <w:sz w:val="17"/>
          <w:szCs w:val="17"/>
        </w:rPr>
        <w:t xml:space="preserve">Ref. [18]. </w:t>
      </w:r>
      <w:r>
        <w:rPr>
          <w:rFonts w:ascii="Georgia" w:cs="Georgia" w:eastAsia="Georgia" w:hAnsi="Georgia"/>
          <w:sz w:val="18"/>
          <w:szCs w:val="18"/>
        </w:rPr>
        <w:t xml:space="preserve">Nosrat, S. (2017). </w:t>
      </w:r>
      <w:r>
        <w:rPr>
          <w:rFonts w:ascii="Georgia" w:cs="Georgia" w:eastAsia="Georgia" w:hAnsi="Georgia"/>
          <w:i/>
          <w:iCs/>
          <w:sz w:val="18"/>
          <w:szCs w:val="18"/>
        </w:rPr>
        <w:t xml:space="preserve">Salt, fat, acid, heat: Mastering the elements of good cooking. </w:t>
      </w:r>
      <w:r>
        <w:rPr>
          <w:rFonts w:ascii="Georgia" w:cs="Georgia" w:eastAsia="Georgia" w:hAnsi="Georgia"/>
          <w:sz w:val="18"/>
          <w:szCs w:val="18"/>
        </w:rPr>
        <w:t xml:space="preserve">Simon &amp; Schuster.</w:t>
      </w:r>
    </w:p>
  </w:footnote>
  <w:footnote w:id="10">
    <w:p>
      <w:pPr>
        <w:spacing w:after="0" w:line="232"/>
      </w:pPr>
      <w:r>
        <w:rPr>
          <w:rStyle w:val="FootnoteReference"/>
        </w:rPr>
        <w:footnoteRef/>
      </w:r>
      <w:r>
        <w:rPr>
          <w:rFonts w:ascii="Arial" w:cs="Arial" w:eastAsia="Arial" w:hAnsi="Arial"/>
          <w:b/>
          <w:bCs/>
          <w:color w:val="234A35"/>
          <w:sz w:val="17"/>
          <w:szCs w:val="17"/>
        </w:rPr>
        <w:t xml:space="preserve">Ref. [15]. </w:t>
      </w:r>
      <w:r>
        <w:rPr>
          <w:rFonts w:ascii="Georgia" w:cs="Georgia" w:eastAsia="Georgia" w:hAnsi="Georgia"/>
          <w:sz w:val="18"/>
          <w:szCs w:val="18"/>
        </w:rPr>
        <w:t xml:space="preserve">McGee, H. (2004). </w:t>
      </w:r>
      <w:r>
        <w:rPr>
          <w:rFonts w:ascii="Georgia" w:cs="Georgia" w:eastAsia="Georgia" w:hAnsi="Georgia"/>
          <w:i/>
          <w:iCs/>
          <w:sz w:val="18"/>
          <w:szCs w:val="18"/>
        </w:rPr>
        <w:t xml:space="preserve">On food and cooking: The science and lore of the kitchen (2nd ed.). </w:t>
      </w:r>
      <w:r>
        <w:rPr>
          <w:rFonts w:ascii="Georgia" w:cs="Georgia" w:eastAsia="Georgia" w:hAnsi="Georgia"/>
          <w:sz w:val="18"/>
          <w:szCs w:val="18"/>
        </w:rPr>
        <w:t xml:space="preserve">Scribner.</w:t>
      </w:r>
    </w:p>
  </w:footnote>
  <w:footnote w:id="11">
    <w:p>
      <w:pPr>
        <w:spacing w:after="0" w:line="232"/>
      </w:pPr>
      <w:r>
        <w:rPr>
          <w:rStyle w:val="FootnoteReference"/>
        </w:rPr>
        <w:footnoteRef/>
      </w:r>
      <w:r>
        <w:rPr>
          <w:rFonts w:ascii="Arial" w:cs="Arial" w:eastAsia="Arial" w:hAnsi="Arial"/>
          <w:b/>
          <w:bCs/>
          <w:color w:val="234A35"/>
          <w:sz w:val="17"/>
          <w:szCs w:val="17"/>
        </w:rPr>
        <w:t xml:space="preserve">Ref. [56]. </w:t>
      </w:r>
      <w:r>
        <w:rPr>
          <w:rFonts w:ascii="Georgia" w:cs="Georgia" w:eastAsia="Georgia" w:hAnsi="Georgia"/>
          <w:sz w:val="18"/>
          <w:szCs w:val="18"/>
        </w:rPr>
        <w:t xml:space="preserve">Rowntree, J. E., Stanley, P. L., Maciel, I. C. F., Thorbecke, M., Rosenzweig, S. T., Hancock, D. W., ... &amp; Raven, M. R. (2020). </w:t>
      </w:r>
      <w:r>
        <w:rPr>
          <w:rFonts w:ascii="Georgia" w:cs="Georgia" w:eastAsia="Georgia" w:hAnsi="Georgia"/>
          <w:i/>
          <w:iCs/>
          <w:sz w:val="18"/>
          <w:szCs w:val="18"/>
        </w:rPr>
        <w:t xml:space="preserve">Ecosystem impacts and productive capacity of a multi-species pastured livestock system. </w:t>
      </w:r>
      <w:r>
        <w:rPr>
          <w:rFonts w:ascii="Georgia" w:cs="Georgia" w:eastAsia="Georgia" w:hAnsi="Georgia"/>
          <w:sz w:val="18"/>
          <w:szCs w:val="18"/>
        </w:rPr>
        <w:t xml:space="preserve">Frontiers in Sustainable Food Systems.</w:t>
      </w:r>
    </w:p>
  </w:footnote>
  <w:footnote w:id="12">
    <w:p>
      <w:pPr>
        <w:spacing w:after="0" w:line="232"/>
      </w:pPr>
      <w:r>
        <w:rPr>
          <w:rStyle w:val="FootnoteReference"/>
        </w:rPr>
        <w:footnoteRef/>
      </w:r>
      <w:r>
        <w:rPr>
          <w:rFonts w:ascii="Arial" w:cs="Arial" w:eastAsia="Arial" w:hAnsi="Arial"/>
          <w:b/>
          <w:bCs/>
          <w:color w:val="234A35"/>
          <w:sz w:val="17"/>
          <w:szCs w:val="17"/>
        </w:rPr>
        <w:t xml:space="preserve">Ref. [113]. </w:t>
      </w:r>
      <w:r>
        <w:rPr>
          <w:rFonts w:ascii="Georgia" w:cs="Georgia" w:eastAsia="Georgia" w:hAnsi="Georgia"/>
          <w:sz w:val="18"/>
          <w:szCs w:val="18"/>
        </w:rPr>
        <w:t xml:space="preserve">Desmond, E. (2006). </w:t>
      </w:r>
      <w:r>
        <w:rPr>
          <w:rFonts w:ascii="Georgia" w:cs="Georgia" w:eastAsia="Georgia" w:hAnsi="Georgia"/>
          <w:i/>
          <w:iCs/>
          <w:sz w:val="18"/>
          <w:szCs w:val="18"/>
        </w:rPr>
        <w:t xml:space="preserve">Reducing salt: A challenge for the meat industry. </w:t>
      </w:r>
      <w:r>
        <w:rPr>
          <w:rFonts w:ascii="Georgia" w:cs="Georgia" w:eastAsia="Georgia" w:hAnsi="Georgia"/>
          <w:sz w:val="18"/>
          <w:szCs w:val="18"/>
        </w:rPr>
        <w:t xml:space="preserve">Meat Science.</w:t>
      </w:r>
    </w:p>
  </w:footnote>
  <w:footnote w:id="13">
    <w:p>
      <w:pPr>
        <w:spacing w:after="0" w:line="232"/>
      </w:pPr>
      <w:r>
        <w:rPr>
          <w:rStyle w:val="FootnoteReference"/>
        </w:rPr>
        <w:footnoteRef/>
      </w:r>
      <w:r>
        <w:rPr>
          <w:rFonts w:ascii="Arial" w:cs="Arial" w:eastAsia="Arial" w:hAnsi="Arial"/>
          <w:b/>
          <w:bCs/>
          <w:color w:val="234A35"/>
          <w:sz w:val="17"/>
          <w:szCs w:val="17"/>
        </w:rPr>
        <w:t xml:space="preserve">Ref. [110]. </w:t>
      </w:r>
      <w:r>
        <w:rPr>
          <w:rFonts w:ascii="Georgia" w:cs="Georgia" w:eastAsia="Georgia" w:hAnsi="Georgia"/>
          <w:sz w:val="18"/>
          <w:szCs w:val="18"/>
        </w:rPr>
        <w:t xml:space="preserve">Purslow, P. P. (2005). </w:t>
      </w:r>
      <w:r>
        <w:rPr>
          <w:rFonts w:ascii="Georgia" w:cs="Georgia" w:eastAsia="Georgia" w:hAnsi="Georgia"/>
          <w:i/>
          <w:iCs/>
          <w:sz w:val="18"/>
          <w:szCs w:val="18"/>
        </w:rPr>
        <w:t xml:space="preserve">Intramuscular connective tissue and its role in meat quality. </w:t>
      </w:r>
      <w:r>
        <w:rPr>
          <w:rFonts w:ascii="Georgia" w:cs="Georgia" w:eastAsia="Georgia" w:hAnsi="Georgia"/>
          <w:sz w:val="18"/>
          <w:szCs w:val="18"/>
        </w:rPr>
        <w:t xml:space="preserve">Meat Science.</w:t>
      </w:r>
    </w:p>
  </w:footnote>
  <w:footnote w:id="14">
    <w:p>
      <w:pPr>
        <w:spacing w:after="0" w:line="232"/>
      </w:pPr>
      <w:r>
        <w:rPr>
          <w:rStyle w:val="FootnoteReference"/>
        </w:rPr>
        <w:footnoteRef/>
      </w:r>
      <w:r>
        <w:rPr>
          <w:rFonts w:ascii="Arial" w:cs="Arial" w:eastAsia="Arial" w:hAnsi="Arial"/>
          <w:b/>
          <w:bCs/>
          <w:color w:val="234A35"/>
          <w:sz w:val="17"/>
          <w:szCs w:val="17"/>
        </w:rPr>
        <w:t xml:space="preserve">Ref. [8]. </w:t>
      </w:r>
      <w:r>
        <w:rPr>
          <w:rFonts w:ascii="Georgia" w:cs="Georgia" w:eastAsia="Georgia" w:hAnsi="Georgia"/>
          <w:sz w:val="18"/>
          <w:szCs w:val="18"/>
        </w:rPr>
        <w:t xml:space="preserve">Hamm, R. (1960). </w:t>
      </w:r>
      <w:r>
        <w:rPr>
          <w:rFonts w:ascii="Georgia" w:cs="Georgia" w:eastAsia="Georgia" w:hAnsi="Georgia"/>
          <w:i/>
          <w:iCs/>
          <w:sz w:val="18"/>
          <w:szCs w:val="18"/>
        </w:rPr>
        <w:t xml:space="preserve">Biochemistry of meat hydration. </w:t>
      </w:r>
      <w:r>
        <w:rPr>
          <w:rFonts w:ascii="Georgia" w:cs="Georgia" w:eastAsia="Georgia" w:hAnsi="Georgia"/>
          <w:sz w:val="18"/>
          <w:szCs w:val="18"/>
        </w:rPr>
        <w:t xml:space="preserve">Advances in Food Research.</w:t>
      </w:r>
    </w:p>
  </w:footnote>
  <w:footnote w:id="15">
    <w:p>
      <w:pPr>
        <w:spacing w:after="0" w:line="232"/>
      </w:pPr>
      <w:r>
        <w:rPr>
          <w:rStyle w:val="FootnoteReference"/>
        </w:rPr>
        <w:footnoteRef/>
      </w:r>
      <w:r>
        <w:rPr>
          <w:rFonts w:ascii="Arial" w:cs="Arial" w:eastAsia="Arial" w:hAnsi="Arial"/>
          <w:b/>
          <w:bCs/>
          <w:color w:val="234A35"/>
          <w:sz w:val="17"/>
          <w:szCs w:val="17"/>
        </w:rPr>
        <w:t xml:space="preserve">Ref. [6]. </w:t>
      </w:r>
      <w:r>
        <w:rPr>
          <w:rFonts w:ascii="Georgia" w:cs="Georgia" w:eastAsia="Georgia" w:hAnsi="Georgia"/>
          <w:sz w:val="18"/>
          <w:szCs w:val="18"/>
        </w:rPr>
        <w:t xml:space="preserve">Offer, G., &amp; Trinick, J. (1983). </w:t>
      </w:r>
      <w:r>
        <w:rPr>
          <w:rFonts w:ascii="Georgia" w:cs="Georgia" w:eastAsia="Georgia" w:hAnsi="Georgia"/>
          <w:i/>
          <w:iCs/>
          <w:sz w:val="18"/>
          <w:szCs w:val="18"/>
        </w:rPr>
        <w:t xml:space="preserve">On the mechanism of water holding in meat: The swelling and shrinking of myofibrils. </w:t>
      </w:r>
      <w:r>
        <w:rPr>
          <w:rFonts w:ascii="Georgia" w:cs="Georgia" w:eastAsia="Georgia" w:hAnsi="Georgia"/>
          <w:sz w:val="18"/>
          <w:szCs w:val="18"/>
        </w:rPr>
        <w:t xml:space="preserve">Meat Science.</w:t>
      </w:r>
    </w:p>
  </w:footnote>
  <w:footnote w:id="16">
    <w:p>
      <w:pPr>
        <w:spacing w:after="0" w:line="232"/>
      </w:pPr>
      <w:r>
        <w:rPr>
          <w:rStyle w:val="FootnoteReference"/>
        </w:rPr>
        <w:footnoteRef/>
      </w:r>
      <w:r>
        <w:rPr>
          <w:rFonts w:ascii="Arial" w:cs="Arial" w:eastAsia="Arial" w:hAnsi="Arial"/>
          <w:b/>
          <w:bCs/>
          <w:color w:val="234A35"/>
          <w:sz w:val="17"/>
          <w:szCs w:val="17"/>
        </w:rPr>
        <w:t xml:space="preserve">Ref. [7]. </w:t>
      </w:r>
      <w:r>
        <w:rPr>
          <w:rFonts w:ascii="Georgia" w:cs="Georgia" w:eastAsia="Georgia" w:hAnsi="Georgia"/>
          <w:sz w:val="18"/>
          <w:szCs w:val="18"/>
        </w:rPr>
        <w:t xml:space="preserve">Puolanne, E., &amp; Halonen, M. (2010). </w:t>
      </w:r>
      <w:r>
        <w:rPr>
          <w:rFonts w:ascii="Georgia" w:cs="Georgia" w:eastAsia="Georgia" w:hAnsi="Georgia"/>
          <w:i/>
          <w:iCs/>
          <w:sz w:val="18"/>
          <w:szCs w:val="18"/>
        </w:rPr>
        <w:t xml:space="preserve">Theoretical aspects of water-holding in meat. </w:t>
      </w:r>
      <w:r>
        <w:rPr>
          <w:rFonts w:ascii="Georgia" w:cs="Georgia" w:eastAsia="Georgia" w:hAnsi="Georgia"/>
          <w:sz w:val="18"/>
          <w:szCs w:val="18"/>
        </w:rPr>
        <w:t xml:space="preserve">Meat Science.</w:t>
      </w:r>
    </w:p>
  </w:footnote>
  <w:footnote w:id="17">
    <w:p>
      <w:pPr>
        <w:spacing w:after="0" w:line="232"/>
      </w:pPr>
      <w:r>
        <w:rPr>
          <w:rStyle w:val="FootnoteReference"/>
        </w:rPr>
        <w:footnoteRef/>
      </w:r>
      <w:r>
        <w:rPr>
          <w:rFonts w:ascii="Arial" w:cs="Arial" w:eastAsia="Arial" w:hAnsi="Arial"/>
          <w:b/>
          <w:bCs/>
          <w:color w:val="234A35"/>
          <w:sz w:val="17"/>
          <w:szCs w:val="17"/>
        </w:rPr>
        <w:t xml:space="preserve">Ref. [6]. </w:t>
      </w:r>
      <w:r>
        <w:rPr>
          <w:rFonts w:ascii="Georgia" w:cs="Georgia" w:eastAsia="Georgia" w:hAnsi="Georgia"/>
          <w:sz w:val="18"/>
          <w:szCs w:val="18"/>
        </w:rPr>
        <w:t xml:space="preserve">Offer, G., &amp; Trinick, J. (1983). </w:t>
      </w:r>
      <w:r>
        <w:rPr>
          <w:rFonts w:ascii="Georgia" w:cs="Georgia" w:eastAsia="Georgia" w:hAnsi="Georgia"/>
          <w:i/>
          <w:iCs/>
          <w:sz w:val="18"/>
          <w:szCs w:val="18"/>
        </w:rPr>
        <w:t xml:space="preserve">On the mechanism of water holding in meat: The swelling and shrinking of myofibrils. </w:t>
      </w:r>
      <w:r>
        <w:rPr>
          <w:rFonts w:ascii="Georgia" w:cs="Georgia" w:eastAsia="Georgia" w:hAnsi="Georgia"/>
          <w:sz w:val="18"/>
          <w:szCs w:val="18"/>
        </w:rPr>
        <w:t xml:space="preserve">Meat Science.</w:t>
      </w:r>
    </w:p>
  </w:footnote>
  <w:footnote w:id="18">
    <w:p>
      <w:pPr>
        <w:spacing w:after="0" w:line="232"/>
      </w:pPr>
      <w:r>
        <w:rPr>
          <w:rStyle w:val="FootnoteReference"/>
        </w:rPr>
        <w:footnoteRef/>
      </w:r>
      <w:r>
        <w:rPr>
          <w:rFonts w:ascii="Arial" w:cs="Arial" w:eastAsia="Arial" w:hAnsi="Arial"/>
          <w:b/>
          <w:bCs/>
          <w:color w:val="234A35"/>
          <w:sz w:val="17"/>
          <w:szCs w:val="17"/>
        </w:rPr>
        <w:t xml:space="preserve">Ref. [11]. </w:t>
      </w:r>
      <w:r>
        <w:rPr>
          <w:rFonts w:ascii="Georgia" w:cs="Georgia" w:eastAsia="Georgia" w:hAnsi="Georgia"/>
          <w:sz w:val="18"/>
          <w:szCs w:val="18"/>
        </w:rPr>
        <w:t xml:space="preserve">Maillard, L. C. (1912). </w:t>
      </w:r>
      <w:r>
        <w:rPr>
          <w:rFonts w:ascii="Georgia" w:cs="Georgia" w:eastAsia="Georgia" w:hAnsi="Georgia"/>
          <w:i/>
          <w:iCs/>
          <w:sz w:val="18"/>
          <w:szCs w:val="18"/>
        </w:rPr>
        <w:t xml:space="preserve">Action des acides aminés sur les sucres: Formation des mélanoïdines par voie méthodique. </w:t>
      </w:r>
      <w:r>
        <w:rPr>
          <w:rFonts w:ascii="Georgia" w:cs="Georgia" w:eastAsia="Georgia" w:hAnsi="Georgia"/>
          <w:sz w:val="18"/>
          <w:szCs w:val="18"/>
        </w:rPr>
        <w:t xml:space="preserve">Comptes Rendus de l'Académie des Sciences.</w:t>
      </w:r>
    </w:p>
  </w:footnote>
  <w:footnote w:id="19">
    <w:p>
      <w:pPr>
        <w:spacing w:after="0" w:line="232"/>
      </w:pPr>
      <w:r>
        <w:rPr>
          <w:rStyle w:val="FootnoteReference"/>
        </w:rPr>
        <w:footnoteRef/>
      </w:r>
      <w:r>
        <w:rPr>
          <w:rFonts w:ascii="Arial" w:cs="Arial" w:eastAsia="Arial" w:hAnsi="Arial"/>
          <w:b/>
          <w:bCs/>
          <w:color w:val="234A35"/>
          <w:sz w:val="17"/>
          <w:szCs w:val="17"/>
        </w:rPr>
        <w:t xml:space="preserve">Ref. [16]. </w:t>
      </w:r>
      <w:r>
        <w:rPr>
          <w:rFonts w:ascii="Georgia" w:cs="Georgia" w:eastAsia="Georgia" w:hAnsi="Georgia"/>
          <w:sz w:val="18"/>
          <w:szCs w:val="18"/>
        </w:rPr>
        <w:t xml:space="preserve">López-Alt, J. K. (2015). </w:t>
      </w:r>
      <w:r>
        <w:rPr>
          <w:rFonts w:ascii="Georgia" w:cs="Georgia" w:eastAsia="Georgia" w:hAnsi="Georgia"/>
          <w:i/>
          <w:iCs/>
          <w:sz w:val="18"/>
          <w:szCs w:val="18"/>
        </w:rPr>
        <w:t xml:space="preserve">The food lab: Better home cooking through science. </w:t>
      </w:r>
      <w:r>
        <w:rPr>
          <w:rFonts w:ascii="Georgia" w:cs="Georgia" w:eastAsia="Georgia" w:hAnsi="Georgia"/>
          <w:sz w:val="18"/>
          <w:szCs w:val="18"/>
        </w:rPr>
        <w:t xml:space="preserve">W. W. Norton &amp; Company.</w:t>
      </w:r>
    </w:p>
  </w:footnote>
  <w:footnote w:id="20">
    <w:p>
      <w:pPr>
        <w:spacing w:after="0" w:line="232"/>
      </w:pPr>
      <w:r>
        <w:rPr>
          <w:rStyle w:val="FootnoteReference"/>
        </w:rPr>
        <w:footnoteRef/>
      </w:r>
      <w:r>
        <w:rPr>
          <w:rFonts w:ascii="Arial" w:cs="Arial" w:eastAsia="Arial" w:hAnsi="Arial"/>
          <w:b/>
          <w:bCs/>
          <w:color w:val="234A35"/>
          <w:sz w:val="17"/>
          <w:szCs w:val="17"/>
        </w:rPr>
        <w:t xml:space="preserve">Ref. [18]. </w:t>
      </w:r>
      <w:r>
        <w:rPr>
          <w:rFonts w:ascii="Georgia" w:cs="Georgia" w:eastAsia="Georgia" w:hAnsi="Georgia"/>
          <w:sz w:val="18"/>
          <w:szCs w:val="18"/>
        </w:rPr>
        <w:t xml:space="preserve">Nosrat, S. (2017). </w:t>
      </w:r>
      <w:r>
        <w:rPr>
          <w:rFonts w:ascii="Georgia" w:cs="Georgia" w:eastAsia="Georgia" w:hAnsi="Georgia"/>
          <w:i/>
          <w:iCs/>
          <w:sz w:val="18"/>
          <w:szCs w:val="18"/>
        </w:rPr>
        <w:t xml:space="preserve">Salt, fat, acid, heat: Mastering the elements of good cooking. </w:t>
      </w:r>
      <w:r>
        <w:rPr>
          <w:rFonts w:ascii="Georgia" w:cs="Georgia" w:eastAsia="Georgia" w:hAnsi="Georgia"/>
          <w:sz w:val="18"/>
          <w:szCs w:val="18"/>
        </w:rPr>
        <w:t xml:space="preserve">Simon &amp; Schuster.</w:t>
      </w:r>
    </w:p>
  </w:footnote>
  <w:footnote w:id="21">
    <w:p>
      <w:pPr>
        <w:spacing w:after="0" w:line="232"/>
      </w:pPr>
      <w:r>
        <w:rPr>
          <w:rStyle w:val="FootnoteReference"/>
        </w:rPr>
        <w:footnoteRef/>
      </w:r>
      <w:r>
        <w:rPr>
          <w:rFonts w:ascii="Arial" w:cs="Arial" w:eastAsia="Arial" w:hAnsi="Arial"/>
          <w:b/>
          <w:bCs/>
          <w:color w:val="234A35"/>
          <w:sz w:val="17"/>
          <w:szCs w:val="17"/>
        </w:rPr>
        <w:t xml:space="preserve">Ref. [15]. </w:t>
      </w:r>
      <w:r>
        <w:rPr>
          <w:rFonts w:ascii="Georgia" w:cs="Georgia" w:eastAsia="Georgia" w:hAnsi="Georgia"/>
          <w:sz w:val="18"/>
          <w:szCs w:val="18"/>
        </w:rPr>
        <w:t xml:space="preserve">McGee, H. (2004). </w:t>
      </w:r>
      <w:r>
        <w:rPr>
          <w:rFonts w:ascii="Georgia" w:cs="Georgia" w:eastAsia="Georgia" w:hAnsi="Georgia"/>
          <w:i/>
          <w:iCs/>
          <w:sz w:val="18"/>
          <w:szCs w:val="18"/>
        </w:rPr>
        <w:t xml:space="preserve">On food and cooking: The science and lore of the kitchen (2nd ed.). </w:t>
      </w:r>
      <w:r>
        <w:rPr>
          <w:rFonts w:ascii="Georgia" w:cs="Georgia" w:eastAsia="Georgia" w:hAnsi="Georgia"/>
          <w:sz w:val="18"/>
          <w:szCs w:val="18"/>
        </w:rPr>
        <w:t xml:space="preserve">Scribner.</w:t>
      </w:r>
    </w:p>
  </w:footnote>
  <w:footnote w:id="22">
    <w:p>
      <w:pPr>
        <w:spacing w:after="0" w:line="232"/>
      </w:pPr>
      <w:r>
        <w:rPr>
          <w:rStyle w:val="FootnoteReference"/>
        </w:rPr>
        <w:footnoteRef/>
      </w:r>
      <w:r>
        <w:rPr>
          <w:rFonts w:ascii="Arial" w:cs="Arial" w:eastAsia="Arial" w:hAnsi="Arial"/>
          <w:b/>
          <w:bCs/>
          <w:color w:val="234A35"/>
          <w:sz w:val="17"/>
          <w:szCs w:val="17"/>
        </w:rPr>
        <w:t xml:space="preserve">Ref. [11]. </w:t>
      </w:r>
      <w:r>
        <w:rPr>
          <w:rFonts w:ascii="Georgia" w:cs="Georgia" w:eastAsia="Georgia" w:hAnsi="Georgia"/>
          <w:sz w:val="18"/>
          <w:szCs w:val="18"/>
        </w:rPr>
        <w:t xml:space="preserve">Maillard, L. C. (1912). </w:t>
      </w:r>
      <w:r>
        <w:rPr>
          <w:rFonts w:ascii="Georgia" w:cs="Georgia" w:eastAsia="Georgia" w:hAnsi="Georgia"/>
          <w:i/>
          <w:iCs/>
          <w:sz w:val="18"/>
          <w:szCs w:val="18"/>
        </w:rPr>
        <w:t xml:space="preserve">Action des acides aminés sur les sucres: Formation des mélanoïdines par voie méthodique. </w:t>
      </w:r>
      <w:r>
        <w:rPr>
          <w:rFonts w:ascii="Georgia" w:cs="Georgia" w:eastAsia="Georgia" w:hAnsi="Georgia"/>
          <w:sz w:val="18"/>
          <w:szCs w:val="18"/>
        </w:rPr>
        <w:t xml:space="preserve">Comptes Rendus de l'Académie des Sciences.</w:t>
      </w:r>
    </w:p>
  </w:footnote>
  <w:footnote w:id="23">
    <w:p>
      <w:pPr>
        <w:spacing w:after="0" w:line="232"/>
      </w:pPr>
      <w:r>
        <w:rPr>
          <w:rStyle w:val="FootnoteReference"/>
        </w:rPr>
        <w:footnoteRef/>
      </w:r>
      <w:r>
        <w:rPr>
          <w:rFonts w:ascii="Arial" w:cs="Arial" w:eastAsia="Arial" w:hAnsi="Arial"/>
          <w:b/>
          <w:bCs/>
          <w:color w:val="234A35"/>
          <w:sz w:val="17"/>
          <w:szCs w:val="17"/>
        </w:rPr>
        <w:t xml:space="preserve">Ref. [13]. </w:t>
      </w:r>
      <w:r>
        <w:rPr>
          <w:rFonts w:ascii="Georgia" w:cs="Georgia" w:eastAsia="Georgia" w:hAnsi="Georgia"/>
          <w:sz w:val="18"/>
          <w:szCs w:val="18"/>
        </w:rPr>
        <w:t xml:space="preserve">Aalaei, K., Rayner, M., &amp; Sjöholm, I. (2025). </w:t>
      </w:r>
      <w:r>
        <w:rPr>
          <w:rFonts w:ascii="Georgia" w:cs="Georgia" w:eastAsia="Georgia" w:hAnsi="Georgia"/>
          <w:i/>
          <w:iCs/>
          <w:sz w:val="18"/>
          <w:szCs w:val="18"/>
        </w:rPr>
        <w:t xml:space="preserve">Maillard reaction: Mechanism, influencing parameters, advantages, disadvantages, and food industrial applications — A review. </w:t>
      </w:r>
      <w:r>
        <w:rPr>
          <w:rFonts w:ascii="Georgia" w:cs="Georgia" w:eastAsia="Georgia" w:hAnsi="Georgia"/>
          <w:sz w:val="18"/>
          <w:szCs w:val="18"/>
        </w:rPr>
        <w:t xml:space="preserve">Foods.</w:t>
      </w:r>
    </w:p>
  </w:footnote>
  <w:footnote w:id="24">
    <w:p>
      <w:pPr>
        <w:spacing w:after="0" w:line="232"/>
      </w:pPr>
      <w:r>
        <w:rPr>
          <w:rStyle w:val="FootnoteReference"/>
        </w:rPr>
        <w:footnoteRef/>
      </w:r>
      <w:r>
        <w:rPr>
          <w:rFonts w:ascii="Arial" w:cs="Arial" w:eastAsia="Arial" w:hAnsi="Arial"/>
          <w:b/>
          <w:bCs/>
          <w:color w:val="234A35"/>
          <w:sz w:val="17"/>
          <w:szCs w:val="17"/>
        </w:rPr>
        <w:t xml:space="preserve">Ref. [14]. </w:t>
      </w:r>
      <w:r>
        <w:rPr>
          <w:rFonts w:ascii="Georgia" w:cs="Georgia" w:eastAsia="Georgia" w:hAnsi="Georgia"/>
          <w:sz w:val="18"/>
          <w:szCs w:val="18"/>
        </w:rPr>
        <w:t xml:space="preserve">Mottram, D. S. (1998). </w:t>
      </w:r>
      <w:r>
        <w:rPr>
          <w:rFonts w:ascii="Georgia" w:cs="Georgia" w:eastAsia="Georgia" w:hAnsi="Georgia"/>
          <w:i/>
          <w:iCs/>
          <w:sz w:val="18"/>
          <w:szCs w:val="18"/>
        </w:rPr>
        <w:t xml:space="preserve">Flavour formation in meat and meat products: A review. </w:t>
      </w:r>
      <w:r>
        <w:rPr>
          <w:rFonts w:ascii="Georgia" w:cs="Georgia" w:eastAsia="Georgia" w:hAnsi="Georgia"/>
          <w:sz w:val="18"/>
          <w:szCs w:val="18"/>
        </w:rPr>
        <w:t xml:space="preserve">Food Chemistry.</w:t>
      </w:r>
    </w:p>
  </w:footnote>
  <w:footnote w:id="25">
    <w:p>
      <w:pPr>
        <w:spacing w:after="0" w:line="232"/>
      </w:pPr>
      <w:r>
        <w:rPr>
          <w:rStyle w:val="FootnoteReference"/>
        </w:rPr>
        <w:footnoteRef/>
      </w:r>
      <w:r>
        <w:rPr>
          <w:rFonts w:ascii="Arial" w:cs="Arial" w:eastAsia="Arial" w:hAnsi="Arial"/>
          <w:b/>
          <w:bCs/>
          <w:color w:val="234A35"/>
          <w:sz w:val="17"/>
          <w:szCs w:val="17"/>
        </w:rPr>
        <w:t xml:space="preserve">Ref. [13]. </w:t>
      </w:r>
      <w:r>
        <w:rPr>
          <w:rFonts w:ascii="Georgia" w:cs="Georgia" w:eastAsia="Georgia" w:hAnsi="Georgia"/>
          <w:sz w:val="18"/>
          <w:szCs w:val="18"/>
        </w:rPr>
        <w:t xml:space="preserve">Aalaei, K., Rayner, M., &amp; Sjöholm, I. (2025). </w:t>
      </w:r>
      <w:r>
        <w:rPr>
          <w:rFonts w:ascii="Georgia" w:cs="Georgia" w:eastAsia="Georgia" w:hAnsi="Georgia"/>
          <w:i/>
          <w:iCs/>
          <w:sz w:val="18"/>
          <w:szCs w:val="18"/>
        </w:rPr>
        <w:t xml:space="preserve">Maillard reaction: Mechanism, influencing parameters, advantages, disadvantages, and food industrial applications — A review. </w:t>
      </w:r>
      <w:r>
        <w:rPr>
          <w:rFonts w:ascii="Georgia" w:cs="Georgia" w:eastAsia="Georgia" w:hAnsi="Georgia"/>
          <w:sz w:val="18"/>
          <w:szCs w:val="18"/>
        </w:rPr>
        <w:t xml:space="preserve">Foods.</w:t>
      </w:r>
    </w:p>
  </w:footnote>
  <w:footnote w:id="26">
    <w:p>
      <w:pPr>
        <w:spacing w:after="0" w:line="232"/>
      </w:pPr>
      <w:r>
        <w:rPr>
          <w:rStyle w:val="FootnoteReference"/>
        </w:rPr>
        <w:footnoteRef/>
      </w:r>
      <w:r>
        <w:rPr>
          <w:rFonts w:ascii="Arial" w:cs="Arial" w:eastAsia="Arial" w:hAnsi="Arial"/>
          <w:b/>
          <w:bCs/>
          <w:color w:val="234A35"/>
          <w:sz w:val="17"/>
          <w:szCs w:val="17"/>
        </w:rPr>
        <w:t xml:space="preserve">Ref. [13]. </w:t>
      </w:r>
      <w:r>
        <w:rPr>
          <w:rFonts w:ascii="Georgia" w:cs="Georgia" w:eastAsia="Georgia" w:hAnsi="Georgia"/>
          <w:sz w:val="18"/>
          <w:szCs w:val="18"/>
        </w:rPr>
        <w:t xml:space="preserve">Aalaei, K., Rayner, M., &amp; Sjöholm, I. (2025). </w:t>
      </w:r>
      <w:r>
        <w:rPr>
          <w:rFonts w:ascii="Georgia" w:cs="Georgia" w:eastAsia="Georgia" w:hAnsi="Georgia"/>
          <w:i/>
          <w:iCs/>
          <w:sz w:val="18"/>
          <w:szCs w:val="18"/>
        </w:rPr>
        <w:t xml:space="preserve">Maillard reaction: Mechanism, influencing parameters, advantages, disadvantages, and food industrial applications — A review. </w:t>
      </w:r>
      <w:r>
        <w:rPr>
          <w:rFonts w:ascii="Georgia" w:cs="Georgia" w:eastAsia="Georgia" w:hAnsi="Georgia"/>
          <w:sz w:val="18"/>
          <w:szCs w:val="18"/>
        </w:rPr>
        <w:t xml:space="preserve">Foods.</w:t>
      </w:r>
    </w:p>
  </w:footnote>
  <w:footnote w:id="27">
    <w:p>
      <w:pPr>
        <w:spacing w:after="0" w:line="232"/>
      </w:pPr>
      <w:r>
        <w:rPr>
          <w:rStyle w:val="FootnoteReference"/>
        </w:rPr>
        <w:footnoteRef/>
      </w:r>
      <w:r>
        <w:rPr>
          <w:rFonts w:ascii="Arial" w:cs="Arial" w:eastAsia="Arial" w:hAnsi="Arial"/>
          <w:b/>
          <w:bCs/>
          <w:color w:val="234A35"/>
          <w:sz w:val="17"/>
          <w:szCs w:val="17"/>
        </w:rPr>
        <w:t xml:space="preserve">Ref. [13]. </w:t>
      </w:r>
      <w:r>
        <w:rPr>
          <w:rFonts w:ascii="Georgia" w:cs="Georgia" w:eastAsia="Georgia" w:hAnsi="Georgia"/>
          <w:sz w:val="18"/>
          <w:szCs w:val="18"/>
        </w:rPr>
        <w:t xml:space="preserve">Aalaei, K., Rayner, M., &amp; Sjöholm, I. (2025). </w:t>
      </w:r>
      <w:r>
        <w:rPr>
          <w:rFonts w:ascii="Georgia" w:cs="Georgia" w:eastAsia="Georgia" w:hAnsi="Georgia"/>
          <w:i/>
          <w:iCs/>
          <w:sz w:val="18"/>
          <w:szCs w:val="18"/>
        </w:rPr>
        <w:t xml:space="preserve">Maillard reaction: Mechanism, influencing parameters, advantages, disadvantages, and food industrial applications — A review. </w:t>
      </w:r>
      <w:r>
        <w:rPr>
          <w:rFonts w:ascii="Georgia" w:cs="Georgia" w:eastAsia="Georgia" w:hAnsi="Georgia"/>
          <w:sz w:val="18"/>
          <w:szCs w:val="18"/>
        </w:rPr>
        <w:t xml:space="preserve">Foods.</w:t>
      </w:r>
    </w:p>
  </w:footnote>
  <w:footnote w:id="28">
    <w:p>
      <w:pPr>
        <w:spacing w:after="0" w:line="232"/>
      </w:pPr>
      <w:r>
        <w:rPr>
          <w:rStyle w:val="FootnoteReference"/>
        </w:rPr>
        <w:footnoteRef/>
      </w:r>
      <w:r>
        <w:rPr>
          <w:rFonts w:ascii="Arial" w:cs="Arial" w:eastAsia="Arial" w:hAnsi="Arial"/>
          <w:b/>
          <w:bCs/>
          <w:color w:val="234A35"/>
          <w:sz w:val="17"/>
          <w:szCs w:val="17"/>
        </w:rPr>
        <w:t xml:space="preserve">Ref. [15]. </w:t>
      </w:r>
      <w:r>
        <w:rPr>
          <w:rFonts w:ascii="Georgia" w:cs="Georgia" w:eastAsia="Georgia" w:hAnsi="Georgia"/>
          <w:sz w:val="18"/>
          <w:szCs w:val="18"/>
        </w:rPr>
        <w:t xml:space="preserve">McGee, H. (2004). </w:t>
      </w:r>
      <w:r>
        <w:rPr>
          <w:rFonts w:ascii="Georgia" w:cs="Georgia" w:eastAsia="Georgia" w:hAnsi="Georgia"/>
          <w:i/>
          <w:iCs/>
          <w:sz w:val="18"/>
          <w:szCs w:val="18"/>
        </w:rPr>
        <w:t xml:space="preserve">On food and cooking: The science and lore of the kitchen (2nd ed.). </w:t>
      </w:r>
      <w:r>
        <w:rPr>
          <w:rFonts w:ascii="Georgia" w:cs="Georgia" w:eastAsia="Georgia" w:hAnsi="Georgia"/>
          <w:sz w:val="18"/>
          <w:szCs w:val="18"/>
        </w:rPr>
        <w:t xml:space="preserve">Scribner.</w:t>
      </w:r>
    </w:p>
  </w:footnote>
  <w:footnote w:id="29">
    <w:p>
      <w:pPr>
        <w:spacing w:after="0" w:line="232"/>
      </w:pPr>
      <w:r>
        <w:rPr>
          <w:rStyle w:val="FootnoteReference"/>
        </w:rPr>
        <w:footnoteRef/>
      </w:r>
      <w:r>
        <w:rPr>
          <w:rFonts w:ascii="Arial" w:cs="Arial" w:eastAsia="Arial" w:hAnsi="Arial"/>
          <w:b/>
          <w:bCs/>
          <w:color w:val="234A35"/>
          <w:sz w:val="17"/>
          <w:szCs w:val="17"/>
        </w:rPr>
        <w:t xml:space="preserve">Ref. [24]. </w:t>
      </w:r>
      <w:r>
        <w:rPr>
          <w:rFonts w:ascii="Georgia" w:cs="Georgia" w:eastAsia="Georgia" w:hAnsi="Georgia"/>
          <w:sz w:val="18"/>
          <w:szCs w:val="18"/>
        </w:rPr>
        <w:t xml:space="preserve">López-Alt, J. K. (2012). </w:t>
      </w:r>
      <w:r>
        <w:rPr>
          <w:rFonts w:ascii="Georgia" w:cs="Georgia" w:eastAsia="Georgia" w:hAnsi="Georgia"/>
          <w:i/>
          <w:iCs/>
          <w:sz w:val="18"/>
          <w:szCs w:val="18"/>
        </w:rPr>
        <w:t xml:space="preserve">The food lab: A geek's guide to grilling. </w:t>
      </w:r>
      <w:r>
        <w:rPr>
          <w:rFonts w:ascii="Georgia" w:cs="Georgia" w:eastAsia="Georgia" w:hAnsi="Georgia"/>
          <w:sz w:val="18"/>
          <w:szCs w:val="18"/>
        </w:rPr>
        <w:t xml:space="preserve">Serious Eats.</w:t>
      </w:r>
    </w:p>
  </w:footnote>
  <w:footnote w:id="30">
    <w:p>
      <w:pPr>
        <w:spacing w:after="0" w:line="232"/>
      </w:pPr>
      <w:r>
        <w:rPr>
          <w:rStyle w:val="FootnoteReference"/>
        </w:rPr>
        <w:footnoteRef/>
      </w:r>
      <w:r>
        <w:rPr>
          <w:rFonts w:ascii="Arial" w:cs="Arial" w:eastAsia="Arial" w:hAnsi="Arial"/>
          <w:b/>
          <w:bCs/>
          <w:color w:val="234A35"/>
          <w:sz w:val="17"/>
          <w:szCs w:val="17"/>
        </w:rPr>
        <w:t xml:space="preserve">Ref. [1]. </w:t>
      </w:r>
      <w:r>
        <w:rPr>
          <w:rFonts w:ascii="Georgia" w:cs="Georgia" w:eastAsia="Georgia" w:hAnsi="Georgia"/>
          <w:sz w:val="18"/>
          <w:szCs w:val="18"/>
        </w:rPr>
        <w:t xml:space="preserve">U.S. Department of Agriculture, Food Safety and Inspection Service (USDA FSIS) (2024). </w:t>
      </w:r>
      <w:r>
        <w:rPr>
          <w:rFonts w:ascii="Georgia" w:cs="Georgia" w:eastAsia="Georgia" w:hAnsi="Georgia"/>
          <w:i/>
          <w:iCs/>
          <w:sz w:val="18"/>
          <w:szCs w:val="18"/>
        </w:rPr>
        <w:t xml:space="preserve">Safe minimum internal temperature chart. </w:t>
      </w:r>
      <w:r>
        <w:rPr>
          <w:rFonts w:ascii="Georgia" w:cs="Georgia" w:eastAsia="Georgia" w:hAnsi="Georgia"/>
          <w:sz w:val="18"/>
          <w:szCs w:val="18"/>
        </w:rPr>
        <w:t xml:space="preserve">USDA FSIS.</w:t>
      </w:r>
    </w:p>
  </w:footnote>
  <w:footnote w:id="31">
    <w:p>
      <w:pPr>
        <w:spacing w:after="0" w:line="232"/>
      </w:pPr>
      <w:r>
        <w:rPr>
          <w:rStyle w:val="FootnoteReference"/>
        </w:rPr>
        <w:footnoteRef/>
      </w:r>
      <w:r>
        <w:rPr>
          <w:rFonts w:ascii="Arial" w:cs="Arial" w:eastAsia="Arial" w:hAnsi="Arial"/>
          <w:b/>
          <w:bCs/>
          <w:color w:val="234A35"/>
          <w:sz w:val="17"/>
          <w:szCs w:val="17"/>
        </w:rPr>
        <w:t xml:space="preserve">Ref. [4]. </w:t>
      </w:r>
      <w:r>
        <w:rPr>
          <w:rFonts w:ascii="Georgia" w:cs="Georgia" w:eastAsia="Georgia" w:hAnsi="Georgia"/>
          <w:sz w:val="18"/>
          <w:szCs w:val="18"/>
        </w:rPr>
        <w:t xml:space="preserve">U.S. Department of Agriculture, Food Safety and Inspection Service (USDA FSIS) (2023). </w:t>
      </w:r>
      <w:r>
        <w:rPr>
          <w:rFonts w:ascii="Georgia" w:cs="Georgia" w:eastAsia="Georgia" w:hAnsi="Georgia"/>
          <w:i/>
          <w:iCs/>
          <w:sz w:val="18"/>
          <w:szCs w:val="18"/>
        </w:rPr>
        <w:t xml:space="preserve">Doneness versus safety. </w:t>
      </w:r>
      <w:r>
        <w:rPr>
          <w:rFonts w:ascii="Georgia" w:cs="Georgia" w:eastAsia="Georgia" w:hAnsi="Georgia"/>
          <w:sz w:val="18"/>
          <w:szCs w:val="18"/>
        </w:rPr>
        <w:t xml:space="preserve">USDA FSIS.</w:t>
      </w:r>
    </w:p>
  </w:footnote>
  <w:footnote w:id="32">
    <w:p>
      <w:pPr>
        <w:spacing w:after="0" w:line="232"/>
      </w:pPr>
      <w:r>
        <w:rPr>
          <w:rStyle w:val="FootnoteReference"/>
        </w:rPr>
        <w:footnoteRef/>
      </w:r>
      <w:r>
        <w:rPr>
          <w:rFonts w:ascii="Arial" w:cs="Arial" w:eastAsia="Arial" w:hAnsi="Arial"/>
          <w:b/>
          <w:bCs/>
          <w:color w:val="234A35"/>
          <w:sz w:val="17"/>
          <w:szCs w:val="17"/>
        </w:rPr>
        <w:t xml:space="preserve">Ref. [3]. </w:t>
      </w:r>
      <w:r>
        <w:rPr>
          <w:rFonts w:ascii="Georgia" w:cs="Georgia" w:eastAsia="Georgia" w:hAnsi="Georgia"/>
          <w:sz w:val="18"/>
          <w:szCs w:val="18"/>
        </w:rPr>
        <w:t xml:space="preserve">U.S. Department of Agriculture, Food Safety and Inspection Service (USDA FSIS) (2023). </w:t>
      </w:r>
      <w:r>
        <w:rPr>
          <w:rFonts w:ascii="Georgia" w:cs="Georgia" w:eastAsia="Georgia" w:hAnsi="Georgia"/>
          <w:i/>
          <w:iCs/>
          <w:sz w:val="18"/>
          <w:szCs w:val="18"/>
        </w:rPr>
        <w:t xml:space="preserve">How temperatures affect food. </w:t>
      </w:r>
      <w:r>
        <w:rPr>
          <w:rFonts w:ascii="Georgia" w:cs="Georgia" w:eastAsia="Georgia" w:hAnsi="Georgia"/>
          <w:sz w:val="18"/>
          <w:szCs w:val="18"/>
        </w:rPr>
        <w:t xml:space="preserve">USDA FSIS.</w:t>
      </w:r>
    </w:p>
  </w:footnote>
  <w:footnote w:id="33">
    <w:p>
      <w:pPr>
        <w:spacing w:after="0" w:line="232"/>
      </w:pPr>
      <w:r>
        <w:rPr>
          <w:rStyle w:val="FootnoteReference"/>
        </w:rPr>
        <w:footnoteRef/>
      </w:r>
      <w:r>
        <w:rPr>
          <w:rFonts w:ascii="Arial" w:cs="Arial" w:eastAsia="Arial" w:hAnsi="Arial"/>
          <w:b/>
          <w:bCs/>
          <w:color w:val="234A35"/>
          <w:sz w:val="17"/>
          <w:szCs w:val="17"/>
        </w:rPr>
        <w:t xml:space="preserve">Ref. [99]. </w:t>
      </w:r>
      <w:r>
        <w:rPr>
          <w:rFonts w:ascii="Georgia" w:cs="Georgia" w:eastAsia="Georgia" w:hAnsi="Georgia"/>
          <w:sz w:val="18"/>
          <w:szCs w:val="18"/>
        </w:rPr>
        <w:t xml:space="preserve">Bayan, L., Koulivand, P. H., &amp; Gorji, A. (2014). </w:t>
      </w:r>
      <w:r>
        <w:rPr>
          <w:rFonts w:ascii="Georgia" w:cs="Georgia" w:eastAsia="Georgia" w:hAnsi="Georgia"/>
          <w:i/>
          <w:iCs/>
          <w:sz w:val="18"/>
          <w:szCs w:val="18"/>
        </w:rPr>
        <w:t xml:space="preserve">Garlic: A review of potential therapeutic effects. </w:t>
      </w:r>
      <w:r>
        <w:rPr>
          <w:rFonts w:ascii="Georgia" w:cs="Georgia" w:eastAsia="Georgia" w:hAnsi="Georgia"/>
          <w:sz w:val="18"/>
          <w:szCs w:val="18"/>
        </w:rPr>
        <w:t xml:space="preserve">Avicenna Journal of Phytomedicine.</w:t>
      </w:r>
    </w:p>
  </w:footnote>
  <w:footnote w:id="34">
    <w:p>
      <w:pPr>
        <w:spacing w:after="0" w:line="232"/>
      </w:pPr>
      <w:r>
        <w:rPr>
          <w:rStyle w:val="FootnoteReference"/>
        </w:rPr>
        <w:footnoteRef/>
      </w:r>
      <w:r>
        <w:rPr>
          <w:rFonts w:ascii="Arial" w:cs="Arial" w:eastAsia="Arial" w:hAnsi="Arial"/>
          <w:b/>
          <w:bCs/>
          <w:color w:val="234A35"/>
          <w:sz w:val="17"/>
          <w:szCs w:val="17"/>
        </w:rPr>
        <w:t xml:space="preserve">Ref. [100]. </w:t>
      </w:r>
      <w:r>
        <w:rPr>
          <w:rFonts w:ascii="Georgia" w:cs="Georgia" w:eastAsia="Georgia" w:hAnsi="Georgia"/>
          <w:sz w:val="18"/>
          <w:szCs w:val="18"/>
        </w:rPr>
        <w:t xml:space="preserve">Tapsell, L. C., Hemphill, I., Cobiac, L., Patch, C. S., Sullivan, D. R., Fenech, M., ... &amp; Inge, K. E. (2006). </w:t>
      </w:r>
      <w:r>
        <w:rPr>
          <w:rFonts w:ascii="Georgia" w:cs="Georgia" w:eastAsia="Georgia" w:hAnsi="Georgia"/>
          <w:i/>
          <w:iCs/>
          <w:sz w:val="18"/>
          <w:szCs w:val="18"/>
        </w:rPr>
        <w:t xml:space="preserve">Health benefits of herbs and spices: The past, the present, the future. </w:t>
      </w:r>
      <w:r>
        <w:rPr>
          <w:rFonts w:ascii="Georgia" w:cs="Georgia" w:eastAsia="Georgia" w:hAnsi="Georgia"/>
          <w:sz w:val="18"/>
          <w:szCs w:val="18"/>
        </w:rPr>
        <w:t xml:space="preserve">Medical Journal of Australia.</w:t>
      </w:r>
    </w:p>
  </w:footnote>
  <w:footnote w:id="35">
    <w:p>
      <w:pPr>
        <w:spacing w:after="0" w:line="232"/>
      </w:pPr>
      <w:r>
        <w:rPr>
          <w:rStyle w:val="FootnoteReference"/>
        </w:rPr>
        <w:footnoteRef/>
      </w:r>
      <w:r>
        <w:rPr>
          <w:rFonts w:ascii="Arial" w:cs="Arial" w:eastAsia="Arial" w:hAnsi="Arial"/>
          <w:b/>
          <w:bCs/>
          <w:color w:val="234A35"/>
          <w:sz w:val="17"/>
          <w:szCs w:val="17"/>
        </w:rPr>
        <w:t xml:space="preserve">Ref. [101]. </w:t>
      </w:r>
      <w:r>
        <w:rPr>
          <w:rFonts w:ascii="Georgia" w:cs="Georgia" w:eastAsia="Georgia" w:hAnsi="Georgia"/>
          <w:sz w:val="18"/>
          <w:szCs w:val="18"/>
        </w:rPr>
        <w:t xml:space="preserve">Carlsen, M. H., Halvorsen, B. L., Holte, K., Bøhn, S. K., Dragland, S., Sampson, L., ... &amp; Blomhoff, R. (2010). </w:t>
      </w:r>
      <w:r>
        <w:rPr>
          <w:rFonts w:ascii="Georgia" w:cs="Georgia" w:eastAsia="Georgia" w:hAnsi="Georgia"/>
          <w:i/>
          <w:iCs/>
          <w:sz w:val="18"/>
          <w:szCs w:val="18"/>
        </w:rPr>
        <w:t xml:space="preserve">The total antioxidant content of more than 3100 foods, beverages, spices, herbs and supplements used worldwide. </w:t>
      </w:r>
      <w:r>
        <w:rPr>
          <w:rFonts w:ascii="Georgia" w:cs="Georgia" w:eastAsia="Georgia" w:hAnsi="Georgia"/>
          <w:sz w:val="18"/>
          <w:szCs w:val="18"/>
        </w:rPr>
        <w:t xml:space="preserve">Nutrition Journal.</w:t>
      </w:r>
    </w:p>
  </w:footnote>
  <w:footnote w:id="36">
    <w:p>
      <w:pPr>
        <w:spacing w:after="0" w:line="232"/>
      </w:pPr>
      <w:r>
        <w:rPr>
          <w:rStyle w:val="FootnoteReference"/>
        </w:rPr>
        <w:footnoteRef/>
      </w:r>
      <w:r>
        <w:rPr>
          <w:rFonts w:ascii="Arial" w:cs="Arial" w:eastAsia="Arial" w:hAnsi="Arial"/>
          <w:b/>
          <w:bCs/>
          <w:color w:val="234A35"/>
          <w:sz w:val="17"/>
          <w:szCs w:val="17"/>
        </w:rPr>
        <w:t xml:space="preserve">Ref. [97]. </w:t>
      </w:r>
      <w:r>
        <w:rPr>
          <w:rFonts w:ascii="Georgia" w:cs="Georgia" w:eastAsia="Georgia" w:hAnsi="Georgia"/>
          <w:sz w:val="18"/>
          <w:szCs w:val="18"/>
        </w:rPr>
        <w:t xml:space="preserve">Jiang, Y., Wu, S.-H., Shu, X.-O., Xiang, Y.-B., Ji, B.-T., Milne, G. L., ... &amp; Zheng, W. (2014). </w:t>
      </w:r>
      <w:r>
        <w:rPr>
          <w:rFonts w:ascii="Georgia" w:cs="Georgia" w:eastAsia="Georgia" w:hAnsi="Georgia"/>
          <w:i/>
          <w:iCs/>
          <w:sz w:val="18"/>
          <w:szCs w:val="18"/>
        </w:rPr>
        <w:t xml:space="preserve">Cruciferous vegetable intake is inversely correlated with circulating levels of proinflammatory markers in women. </w:t>
      </w:r>
      <w:r>
        <w:rPr>
          <w:rFonts w:ascii="Georgia" w:cs="Georgia" w:eastAsia="Georgia" w:hAnsi="Georgia"/>
          <w:sz w:val="18"/>
          <w:szCs w:val="18"/>
        </w:rPr>
        <w:t xml:space="preserve">Journal of the Academy of Nutrition and Dietetics.</w:t>
      </w:r>
    </w:p>
  </w:footnote>
  <w:footnote w:id="37">
    <w:p>
      <w:pPr>
        <w:spacing w:after="0" w:line="232"/>
      </w:pPr>
      <w:r>
        <w:rPr>
          <w:rStyle w:val="FootnoteReference"/>
        </w:rPr>
        <w:footnoteRef/>
      </w:r>
      <w:r>
        <w:rPr>
          <w:rFonts w:ascii="Arial" w:cs="Arial" w:eastAsia="Arial" w:hAnsi="Arial"/>
          <w:b/>
          <w:bCs/>
          <w:color w:val="234A35"/>
          <w:sz w:val="17"/>
          <w:szCs w:val="17"/>
        </w:rPr>
        <w:t xml:space="preserve">Ref. [98]. </w:t>
      </w:r>
      <w:r>
        <w:rPr>
          <w:rFonts w:ascii="Georgia" w:cs="Georgia" w:eastAsia="Georgia" w:hAnsi="Georgia"/>
          <w:sz w:val="18"/>
          <w:szCs w:val="18"/>
        </w:rPr>
        <w:t xml:space="preserve">Bahadoran, Z., Mirmiran, P., &amp; Azizi, F. (2013). </w:t>
      </w:r>
      <w:r>
        <w:rPr>
          <w:rFonts w:ascii="Georgia" w:cs="Georgia" w:eastAsia="Georgia" w:hAnsi="Georgia"/>
          <w:i/>
          <w:iCs/>
          <w:sz w:val="18"/>
          <w:szCs w:val="18"/>
        </w:rPr>
        <w:t xml:space="preserve">Dietary polyphenols as potential nutraceuticals in management of diabetes: A review. </w:t>
      </w:r>
      <w:r>
        <w:rPr>
          <w:rFonts w:ascii="Georgia" w:cs="Georgia" w:eastAsia="Georgia" w:hAnsi="Georgia"/>
          <w:sz w:val="18"/>
          <w:szCs w:val="18"/>
        </w:rPr>
        <w:t xml:space="preserve">Journal of Diabetes &amp; Metabolic Disorders.</w:t>
      </w:r>
    </w:p>
  </w:footnote>
  <w:footnote w:id="38">
    <w:p>
      <w:pPr>
        <w:spacing w:after="0" w:line="232"/>
      </w:pPr>
      <w:r>
        <w:rPr>
          <w:rStyle w:val="FootnoteReference"/>
        </w:rPr>
        <w:footnoteRef/>
      </w:r>
      <w:r>
        <w:rPr>
          <w:rFonts w:ascii="Arial" w:cs="Arial" w:eastAsia="Arial" w:hAnsi="Arial"/>
          <w:b/>
          <w:bCs/>
          <w:color w:val="234A35"/>
          <w:sz w:val="17"/>
          <w:szCs w:val="17"/>
        </w:rPr>
        <w:t xml:space="preserve">Ref. [19]. </w:t>
      </w:r>
      <w:r>
        <w:rPr>
          <w:rFonts w:ascii="Georgia" w:cs="Georgia" w:eastAsia="Georgia" w:hAnsi="Georgia"/>
          <w:sz w:val="18"/>
          <w:szCs w:val="18"/>
        </w:rPr>
        <w:t xml:space="preserve">America's Test Kitchen (2018). </w:t>
      </w:r>
      <w:r>
        <w:rPr>
          <w:rFonts w:ascii="Georgia" w:cs="Georgia" w:eastAsia="Georgia" w:hAnsi="Georgia"/>
          <w:i/>
          <w:iCs/>
          <w:sz w:val="18"/>
          <w:szCs w:val="18"/>
        </w:rPr>
        <w:t xml:space="preserve">The Cook's Illustrated meat book: The game-changing guide that teaches you how to cook meat and poultry with 425 bulletproof recipes. </w:t>
      </w:r>
      <w:r>
        <w:rPr>
          <w:rFonts w:ascii="Georgia" w:cs="Georgia" w:eastAsia="Georgia" w:hAnsi="Georgia"/>
          <w:sz w:val="18"/>
          <w:szCs w:val="18"/>
        </w:rPr>
        <w:t xml:space="preserve">America's Test Kitchen.</w:t>
      </w:r>
    </w:p>
  </w:footnote>
  <w:footnote w:id="39">
    <w:p>
      <w:pPr>
        <w:spacing w:after="0" w:line="232"/>
      </w:pPr>
      <w:r>
        <w:rPr>
          <w:rStyle w:val="FootnoteReference"/>
        </w:rPr>
        <w:footnoteRef/>
      </w:r>
      <w:r>
        <w:rPr>
          <w:rFonts w:ascii="Arial" w:cs="Arial" w:eastAsia="Arial" w:hAnsi="Arial"/>
          <w:b/>
          <w:bCs/>
          <w:color w:val="234A35"/>
          <w:sz w:val="17"/>
          <w:szCs w:val="17"/>
        </w:rPr>
        <w:t xml:space="preserve">Ref. [19]. </w:t>
      </w:r>
      <w:r>
        <w:rPr>
          <w:rFonts w:ascii="Georgia" w:cs="Georgia" w:eastAsia="Georgia" w:hAnsi="Georgia"/>
          <w:sz w:val="18"/>
          <w:szCs w:val="18"/>
        </w:rPr>
        <w:t xml:space="preserve">America's Test Kitchen (2018). </w:t>
      </w:r>
      <w:r>
        <w:rPr>
          <w:rFonts w:ascii="Georgia" w:cs="Georgia" w:eastAsia="Georgia" w:hAnsi="Georgia"/>
          <w:i/>
          <w:iCs/>
          <w:sz w:val="18"/>
          <w:szCs w:val="18"/>
        </w:rPr>
        <w:t xml:space="preserve">The Cook's Illustrated meat book: The game-changing guide that teaches you how to cook meat and poultry with 425 bulletproof recipes. </w:t>
      </w:r>
      <w:r>
        <w:rPr>
          <w:rFonts w:ascii="Georgia" w:cs="Georgia" w:eastAsia="Georgia" w:hAnsi="Georgia"/>
          <w:sz w:val="18"/>
          <w:szCs w:val="18"/>
        </w:rPr>
        <w:t xml:space="preserve">America's Test Kitchen.</w:t>
      </w:r>
    </w:p>
  </w:footnote>
  <w:footnote w:id="40">
    <w:p>
      <w:pPr>
        <w:spacing w:after="0" w:line="232"/>
      </w:pPr>
      <w:r>
        <w:rPr>
          <w:rStyle w:val="FootnoteReference"/>
        </w:rPr>
        <w:footnoteRef/>
      </w:r>
      <w:r>
        <w:rPr>
          <w:rFonts w:ascii="Arial" w:cs="Arial" w:eastAsia="Arial" w:hAnsi="Arial"/>
          <w:b/>
          <w:bCs/>
          <w:color w:val="234A35"/>
          <w:sz w:val="17"/>
          <w:szCs w:val="17"/>
        </w:rPr>
        <w:t xml:space="preserve">Ref. [23]. </w:t>
      </w:r>
      <w:r>
        <w:rPr>
          <w:rFonts w:ascii="Georgia" w:cs="Georgia" w:eastAsia="Georgia" w:hAnsi="Georgia"/>
          <w:sz w:val="18"/>
          <w:szCs w:val="18"/>
        </w:rPr>
        <w:t xml:space="preserve">Goldwyn, M. (2023). </w:t>
      </w:r>
      <w:r>
        <w:rPr>
          <w:rFonts w:ascii="Georgia" w:cs="Georgia" w:eastAsia="Georgia" w:hAnsi="Georgia"/>
          <w:i/>
          <w:iCs/>
          <w:sz w:val="18"/>
          <w:szCs w:val="18"/>
        </w:rPr>
        <w:t xml:space="preserve">Stickburning: Smoking with wood. </w:t>
      </w:r>
      <w:r>
        <w:rPr>
          <w:rFonts w:ascii="Georgia" w:cs="Georgia" w:eastAsia="Georgia" w:hAnsi="Georgia"/>
          <w:sz w:val="18"/>
          <w:szCs w:val="18"/>
        </w:rPr>
        <w:t xml:space="preserve">AmazingRibs.com.</w:t>
      </w:r>
    </w:p>
  </w:footnote>
  <w:footnote w:id="41">
    <w:p>
      <w:pPr>
        <w:spacing w:after="0" w:line="232"/>
      </w:pPr>
      <w:r>
        <w:rPr>
          <w:rStyle w:val="FootnoteReference"/>
        </w:rPr>
        <w:footnoteRef/>
      </w:r>
      <w:r>
        <w:rPr>
          <w:rFonts w:ascii="Arial" w:cs="Arial" w:eastAsia="Arial" w:hAnsi="Arial"/>
          <w:b/>
          <w:bCs/>
          <w:color w:val="234A35"/>
          <w:sz w:val="17"/>
          <w:szCs w:val="17"/>
        </w:rPr>
        <w:t xml:space="preserve">Ref. [17]. </w:t>
      </w:r>
      <w:r>
        <w:rPr>
          <w:rFonts w:ascii="Georgia" w:cs="Georgia" w:eastAsia="Georgia" w:hAnsi="Georgia"/>
          <w:sz w:val="18"/>
          <w:szCs w:val="18"/>
        </w:rPr>
        <w:t xml:space="preserve">Goldwyn, M., &amp; Blonder, G. (2016). </w:t>
      </w:r>
      <w:r>
        <w:rPr>
          <w:rFonts w:ascii="Georgia" w:cs="Georgia" w:eastAsia="Georgia" w:hAnsi="Georgia"/>
          <w:i/>
          <w:iCs/>
          <w:sz w:val="18"/>
          <w:szCs w:val="18"/>
        </w:rPr>
        <w:t xml:space="preserve">Meathead: The science of great barbecue and grilling. </w:t>
      </w:r>
      <w:r>
        <w:rPr>
          <w:rFonts w:ascii="Georgia" w:cs="Georgia" w:eastAsia="Georgia" w:hAnsi="Georgia"/>
          <w:sz w:val="18"/>
          <w:szCs w:val="18"/>
        </w:rPr>
        <w:t xml:space="preserve">Houghton Mifflin Harcourt.</w:t>
      </w:r>
    </w:p>
  </w:footnote>
  <w:footnote w:id="42">
    <w:p>
      <w:pPr>
        <w:spacing w:after="0" w:line="232"/>
      </w:pPr>
      <w:r>
        <w:rPr>
          <w:rStyle w:val="FootnoteReference"/>
        </w:rPr>
        <w:footnoteRef/>
      </w:r>
      <w:r>
        <w:rPr>
          <w:rFonts w:ascii="Arial" w:cs="Arial" w:eastAsia="Arial" w:hAnsi="Arial"/>
          <w:b/>
          <w:bCs/>
          <w:color w:val="234A35"/>
          <w:sz w:val="17"/>
          <w:szCs w:val="17"/>
        </w:rPr>
        <w:t xml:space="preserve">Ref. [22]. </w:t>
      </w:r>
      <w:r>
        <w:rPr>
          <w:rFonts w:ascii="Georgia" w:cs="Georgia" w:eastAsia="Georgia" w:hAnsi="Georgia"/>
          <w:sz w:val="18"/>
          <w:szCs w:val="18"/>
        </w:rPr>
        <w:t xml:space="preserve">Blonder, G. (2023). </w:t>
      </w:r>
      <w:r>
        <w:rPr>
          <w:rFonts w:ascii="Georgia" w:cs="Georgia" w:eastAsia="Georgia" w:hAnsi="Georgia"/>
          <w:i/>
          <w:iCs/>
          <w:sz w:val="18"/>
          <w:szCs w:val="18"/>
        </w:rPr>
        <w:t xml:space="preserve">Mythbusting the smoke ring: No smoke necessary!. </w:t>
      </w:r>
      <w:r>
        <w:rPr>
          <w:rFonts w:ascii="Georgia" w:cs="Georgia" w:eastAsia="Georgia" w:hAnsi="Georgia"/>
          <w:sz w:val="18"/>
          <w:szCs w:val="18"/>
        </w:rPr>
        <w:t xml:space="preserve">AmazingRibs.com.</w:t>
      </w:r>
    </w:p>
  </w:footnote>
  <w:footnote w:id="43">
    <w:p>
      <w:pPr>
        <w:spacing w:after="0" w:line="232"/>
      </w:pPr>
      <w:r>
        <w:rPr>
          <w:rStyle w:val="FootnoteReference"/>
        </w:rPr>
        <w:footnoteRef/>
      </w:r>
      <w:r>
        <w:rPr>
          <w:rFonts w:ascii="Arial" w:cs="Arial" w:eastAsia="Arial" w:hAnsi="Arial"/>
          <w:b/>
          <w:bCs/>
          <w:color w:val="234A35"/>
          <w:sz w:val="17"/>
          <w:szCs w:val="17"/>
        </w:rPr>
        <w:t xml:space="preserve">Ref. [97]. </w:t>
      </w:r>
      <w:r>
        <w:rPr>
          <w:rFonts w:ascii="Georgia" w:cs="Georgia" w:eastAsia="Georgia" w:hAnsi="Georgia"/>
          <w:sz w:val="18"/>
          <w:szCs w:val="18"/>
        </w:rPr>
        <w:t xml:space="preserve">Jiang, Y., Wu, S.-H., Shu, X.-O., Xiang, Y.-B., Ji, B.-T., Milne, G. L., ... &amp; Zheng, W. (2014). </w:t>
      </w:r>
      <w:r>
        <w:rPr>
          <w:rFonts w:ascii="Georgia" w:cs="Georgia" w:eastAsia="Georgia" w:hAnsi="Georgia"/>
          <w:i/>
          <w:iCs/>
          <w:sz w:val="18"/>
          <w:szCs w:val="18"/>
        </w:rPr>
        <w:t xml:space="preserve">Cruciferous vegetable intake is inversely correlated with circulating levels of proinflammatory markers in women. </w:t>
      </w:r>
      <w:r>
        <w:rPr>
          <w:rFonts w:ascii="Georgia" w:cs="Georgia" w:eastAsia="Georgia" w:hAnsi="Georgia"/>
          <w:sz w:val="18"/>
          <w:szCs w:val="18"/>
        </w:rPr>
        <w:t xml:space="preserve">Journal of the Academy of Nutrition and Dietetics.</w:t>
      </w:r>
    </w:p>
  </w:footnote>
  <w:footnote w:id="44">
    <w:p>
      <w:pPr>
        <w:spacing w:after="0" w:line="232"/>
      </w:pPr>
      <w:r>
        <w:rPr>
          <w:rStyle w:val="FootnoteReference"/>
        </w:rPr>
        <w:footnoteRef/>
      </w:r>
      <w:r>
        <w:rPr>
          <w:rFonts w:ascii="Arial" w:cs="Arial" w:eastAsia="Arial" w:hAnsi="Arial"/>
          <w:b/>
          <w:bCs/>
          <w:color w:val="234A35"/>
          <w:sz w:val="17"/>
          <w:szCs w:val="17"/>
        </w:rPr>
        <w:t xml:space="preserve">Ref. [98]. </w:t>
      </w:r>
      <w:r>
        <w:rPr>
          <w:rFonts w:ascii="Georgia" w:cs="Georgia" w:eastAsia="Georgia" w:hAnsi="Georgia"/>
          <w:sz w:val="18"/>
          <w:szCs w:val="18"/>
        </w:rPr>
        <w:t xml:space="preserve">Bahadoran, Z., Mirmiran, P., &amp; Azizi, F. (2013). </w:t>
      </w:r>
      <w:r>
        <w:rPr>
          <w:rFonts w:ascii="Georgia" w:cs="Georgia" w:eastAsia="Georgia" w:hAnsi="Georgia"/>
          <w:i/>
          <w:iCs/>
          <w:sz w:val="18"/>
          <w:szCs w:val="18"/>
        </w:rPr>
        <w:t xml:space="preserve">Dietary polyphenols as potential nutraceuticals in management of diabetes: A review. </w:t>
      </w:r>
      <w:r>
        <w:rPr>
          <w:rFonts w:ascii="Georgia" w:cs="Georgia" w:eastAsia="Georgia" w:hAnsi="Georgia"/>
          <w:sz w:val="18"/>
          <w:szCs w:val="18"/>
        </w:rPr>
        <w:t xml:space="preserve">Journal of Diabetes &amp; Metabolic Disorders.</w:t>
      </w:r>
    </w:p>
  </w:footnote>
  <w:footnote w:id="45">
    <w:p>
      <w:pPr>
        <w:spacing w:after="0" w:line="232"/>
      </w:pPr>
      <w:r>
        <w:rPr>
          <w:rStyle w:val="FootnoteReference"/>
        </w:rPr>
        <w:footnoteRef/>
      </w:r>
      <w:r>
        <w:rPr>
          <w:rFonts w:ascii="Arial" w:cs="Arial" w:eastAsia="Arial" w:hAnsi="Arial"/>
          <w:b/>
          <w:bCs/>
          <w:color w:val="234A35"/>
          <w:sz w:val="17"/>
          <w:szCs w:val="17"/>
        </w:rPr>
        <w:t xml:space="preserve">Ref. [97]. </w:t>
      </w:r>
      <w:r>
        <w:rPr>
          <w:rFonts w:ascii="Georgia" w:cs="Georgia" w:eastAsia="Georgia" w:hAnsi="Georgia"/>
          <w:sz w:val="18"/>
          <w:szCs w:val="18"/>
        </w:rPr>
        <w:t xml:space="preserve">Jiang, Y., Wu, S.-H., Shu, X.-O., Xiang, Y.-B., Ji, B.-T., Milne, G. L., ... &amp; Zheng, W. (2014). </w:t>
      </w:r>
      <w:r>
        <w:rPr>
          <w:rFonts w:ascii="Georgia" w:cs="Georgia" w:eastAsia="Georgia" w:hAnsi="Georgia"/>
          <w:i/>
          <w:iCs/>
          <w:sz w:val="18"/>
          <w:szCs w:val="18"/>
        </w:rPr>
        <w:t xml:space="preserve">Cruciferous vegetable intake is inversely correlated with circulating levels of proinflammatory markers in women. </w:t>
      </w:r>
      <w:r>
        <w:rPr>
          <w:rFonts w:ascii="Georgia" w:cs="Georgia" w:eastAsia="Georgia" w:hAnsi="Georgia"/>
          <w:sz w:val="18"/>
          <w:szCs w:val="18"/>
        </w:rPr>
        <w:t xml:space="preserve">Journal of the Academy of Nutrition and Dietetics.</w:t>
      </w:r>
    </w:p>
  </w:footnote>
  <w:footnote w:id="46">
    <w:p>
      <w:pPr>
        <w:spacing w:after="0" w:line="232"/>
      </w:pPr>
      <w:r>
        <w:rPr>
          <w:rStyle w:val="FootnoteReference"/>
        </w:rPr>
        <w:footnoteRef/>
      </w:r>
      <w:r>
        <w:rPr>
          <w:rFonts w:ascii="Arial" w:cs="Arial" w:eastAsia="Arial" w:hAnsi="Arial"/>
          <w:b/>
          <w:bCs/>
          <w:color w:val="234A35"/>
          <w:sz w:val="17"/>
          <w:szCs w:val="17"/>
        </w:rPr>
        <w:t xml:space="preserve">Ref. [22]. </w:t>
      </w:r>
      <w:r>
        <w:rPr>
          <w:rFonts w:ascii="Georgia" w:cs="Georgia" w:eastAsia="Georgia" w:hAnsi="Georgia"/>
          <w:sz w:val="18"/>
          <w:szCs w:val="18"/>
        </w:rPr>
        <w:t xml:space="preserve">Blonder, G. (2023). </w:t>
      </w:r>
      <w:r>
        <w:rPr>
          <w:rFonts w:ascii="Georgia" w:cs="Georgia" w:eastAsia="Georgia" w:hAnsi="Georgia"/>
          <w:i/>
          <w:iCs/>
          <w:sz w:val="18"/>
          <w:szCs w:val="18"/>
        </w:rPr>
        <w:t xml:space="preserve">Mythbusting the smoke ring: No smoke necessary!. </w:t>
      </w:r>
      <w:r>
        <w:rPr>
          <w:rFonts w:ascii="Georgia" w:cs="Georgia" w:eastAsia="Georgia" w:hAnsi="Georgia"/>
          <w:sz w:val="18"/>
          <w:szCs w:val="18"/>
        </w:rPr>
        <w:t xml:space="preserve">AmazingRibs.com.</w:t>
      </w:r>
    </w:p>
  </w:footnote>
  <w:footnote w:id="47">
    <w:p>
      <w:pPr>
        <w:spacing w:after="0" w:line="232"/>
      </w:pPr>
      <w:r>
        <w:rPr>
          <w:rStyle w:val="FootnoteReference"/>
        </w:rPr>
        <w:footnoteRef/>
      </w:r>
      <w:r>
        <w:rPr>
          <w:rFonts w:ascii="Arial" w:cs="Arial" w:eastAsia="Arial" w:hAnsi="Arial"/>
          <w:b/>
          <w:bCs/>
          <w:color w:val="234A35"/>
          <w:sz w:val="17"/>
          <w:szCs w:val="17"/>
        </w:rPr>
        <w:t xml:space="preserve">Ref. [21]. </w:t>
      </w:r>
      <w:r>
        <w:rPr>
          <w:rFonts w:ascii="Georgia" w:cs="Georgia" w:eastAsia="Georgia" w:hAnsi="Georgia"/>
          <w:sz w:val="18"/>
          <w:szCs w:val="18"/>
        </w:rPr>
        <w:t xml:space="preserve">Blonder, G. (2023). </w:t>
      </w:r>
      <w:r>
        <w:rPr>
          <w:rFonts w:ascii="Georgia" w:cs="Georgia" w:eastAsia="Georgia" w:hAnsi="Georgia"/>
          <w:i/>
          <w:iCs/>
          <w:sz w:val="18"/>
          <w:szCs w:val="18"/>
        </w:rPr>
        <w:t xml:space="preserve">What you need to know about wood, smoke, and combustion. </w:t>
      </w:r>
      <w:r>
        <w:rPr>
          <w:rFonts w:ascii="Georgia" w:cs="Georgia" w:eastAsia="Georgia" w:hAnsi="Georgia"/>
          <w:sz w:val="18"/>
          <w:szCs w:val="18"/>
        </w:rPr>
        <w:t xml:space="preserve">AmazingRibs.com.</w:t>
      </w:r>
    </w:p>
  </w:footnote>
  <w:footnote w:id="48">
    <w:p>
      <w:pPr>
        <w:spacing w:after="0" w:line="232"/>
      </w:pPr>
      <w:r>
        <w:rPr>
          <w:rStyle w:val="FootnoteReference"/>
        </w:rPr>
        <w:footnoteRef/>
      </w:r>
      <w:r>
        <w:rPr>
          <w:rFonts w:ascii="Arial" w:cs="Arial" w:eastAsia="Arial" w:hAnsi="Arial"/>
          <w:b/>
          <w:bCs/>
          <w:color w:val="234A35"/>
          <w:sz w:val="17"/>
          <w:szCs w:val="17"/>
        </w:rPr>
        <w:t xml:space="preserve">Ref. [24]. </w:t>
      </w:r>
      <w:r>
        <w:rPr>
          <w:rFonts w:ascii="Georgia" w:cs="Georgia" w:eastAsia="Georgia" w:hAnsi="Georgia"/>
          <w:sz w:val="18"/>
          <w:szCs w:val="18"/>
        </w:rPr>
        <w:t xml:space="preserve">López-Alt, J. K. (2012). </w:t>
      </w:r>
      <w:r>
        <w:rPr>
          <w:rFonts w:ascii="Georgia" w:cs="Georgia" w:eastAsia="Georgia" w:hAnsi="Georgia"/>
          <w:i/>
          <w:iCs/>
          <w:sz w:val="18"/>
          <w:szCs w:val="18"/>
        </w:rPr>
        <w:t xml:space="preserve">The food lab: A geek's guide to grilling. </w:t>
      </w:r>
      <w:r>
        <w:rPr>
          <w:rFonts w:ascii="Georgia" w:cs="Georgia" w:eastAsia="Georgia" w:hAnsi="Georgia"/>
          <w:sz w:val="18"/>
          <w:szCs w:val="18"/>
        </w:rPr>
        <w:t xml:space="preserve">Serious Eats.</w:t>
      </w:r>
    </w:p>
  </w:footnote>
  <w:footnote w:id="49">
    <w:p>
      <w:pPr>
        <w:spacing w:after="0" w:line="232"/>
      </w:pPr>
      <w:r>
        <w:rPr>
          <w:rStyle w:val="FootnoteReference"/>
        </w:rPr>
        <w:footnoteRef/>
      </w:r>
      <w:r>
        <w:rPr>
          <w:rFonts w:ascii="Arial" w:cs="Arial" w:eastAsia="Arial" w:hAnsi="Arial"/>
          <w:b/>
          <w:bCs/>
          <w:color w:val="234A35"/>
          <w:sz w:val="17"/>
          <w:szCs w:val="17"/>
        </w:rPr>
        <w:t xml:space="preserve">Ref. [25]. </w:t>
      </w:r>
      <w:r>
        <w:rPr>
          <w:rFonts w:ascii="Georgia" w:cs="Georgia" w:eastAsia="Georgia" w:hAnsi="Georgia"/>
          <w:sz w:val="18"/>
          <w:szCs w:val="18"/>
        </w:rPr>
        <w:t xml:space="preserve">Ledesma, E., Rendueles, M., &amp; Díaz, M. (2016). </w:t>
      </w:r>
      <w:r>
        <w:rPr>
          <w:rFonts w:ascii="Georgia" w:cs="Georgia" w:eastAsia="Georgia" w:hAnsi="Georgia"/>
          <w:i/>
          <w:iCs/>
          <w:sz w:val="18"/>
          <w:szCs w:val="18"/>
        </w:rPr>
        <w:t xml:space="preserve">Contamination of meat products during smoking by polycyclic aromatic hydrocarbons: Processes and prevention. </w:t>
      </w:r>
      <w:r>
        <w:rPr>
          <w:rFonts w:ascii="Georgia" w:cs="Georgia" w:eastAsia="Georgia" w:hAnsi="Georgia"/>
          <w:sz w:val="18"/>
          <w:szCs w:val="18"/>
        </w:rPr>
        <w:t xml:space="preserve">Food Control.</w:t>
      </w:r>
    </w:p>
  </w:footnote>
  <w:footnote w:id="50">
    <w:p>
      <w:pPr>
        <w:spacing w:after="0" w:line="232"/>
      </w:pPr>
      <w:r>
        <w:rPr>
          <w:rStyle w:val="FootnoteReference"/>
        </w:rPr>
        <w:footnoteRef/>
      </w:r>
      <w:r>
        <w:rPr>
          <w:rFonts w:ascii="Arial" w:cs="Arial" w:eastAsia="Arial" w:hAnsi="Arial"/>
          <w:b/>
          <w:bCs/>
          <w:color w:val="234A35"/>
          <w:sz w:val="17"/>
          <w:szCs w:val="17"/>
        </w:rPr>
        <w:t xml:space="preserve">Ref. [27]. </w:t>
      </w:r>
      <w:r>
        <w:rPr>
          <w:rFonts w:ascii="Georgia" w:cs="Georgia" w:eastAsia="Georgia" w:hAnsi="Georgia"/>
          <w:sz w:val="18"/>
          <w:szCs w:val="18"/>
        </w:rPr>
        <w:t xml:space="preserve">Di Noia, J. (2014). </w:t>
      </w:r>
      <w:r>
        <w:rPr>
          <w:rFonts w:ascii="Georgia" w:cs="Georgia" w:eastAsia="Georgia" w:hAnsi="Georgia"/>
          <w:i/>
          <w:iCs/>
          <w:sz w:val="18"/>
          <w:szCs w:val="18"/>
        </w:rPr>
        <w:t xml:space="preserve">Defining powerhouse fruits and vegetables: A nutrient density approach. </w:t>
      </w:r>
      <w:r>
        <w:rPr>
          <w:rFonts w:ascii="Georgia" w:cs="Georgia" w:eastAsia="Georgia" w:hAnsi="Georgia"/>
          <w:sz w:val="18"/>
          <w:szCs w:val="18"/>
        </w:rPr>
        <w:t xml:space="preserve">Preventing Chronic Disease.</w:t>
      </w:r>
    </w:p>
  </w:footnote>
  <w:footnote w:id="51">
    <w:p>
      <w:pPr>
        <w:spacing w:after="0" w:line="232"/>
      </w:pPr>
      <w:r>
        <w:rPr>
          <w:rStyle w:val="FootnoteReference"/>
        </w:rPr>
        <w:footnoteRef/>
      </w:r>
      <w:r>
        <w:rPr>
          <w:rFonts w:ascii="Arial" w:cs="Arial" w:eastAsia="Arial" w:hAnsi="Arial"/>
          <w:b/>
          <w:bCs/>
          <w:color w:val="234A35"/>
          <w:sz w:val="17"/>
          <w:szCs w:val="17"/>
        </w:rPr>
        <w:t xml:space="preserve">Ref. [26]. </w:t>
      </w:r>
      <w:r>
        <w:rPr>
          <w:rFonts w:ascii="Georgia" w:cs="Georgia" w:eastAsia="Georgia" w:hAnsi="Georgia"/>
          <w:sz w:val="18"/>
          <w:szCs w:val="18"/>
        </w:rPr>
        <w:t xml:space="preserve">Lorenzo, J. M., Purriños, L., Bermudez, R., Cobas, N., Figueiredo, M., &amp; García Fontán, M. C. (2012). </w:t>
      </w:r>
      <w:r>
        <w:rPr>
          <w:rFonts w:ascii="Georgia" w:cs="Georgia" w:eastAsia="Georgia" w:hAnsi="Georgia"/>
          <w:i/>
          <w:iCs/>
          <w:sz w:val="18"/>
          <w:szCs w:val="18"/>
        </w:rPr>
        <w:t xml:space="preserve">Polycyclic aromatic hydrocarbons (PAHs) in two Spanish traditional smoked sausage varieties. </w:t>
      </w:r>
      <w:r>
        <w:rPr>
          <w:rFonts w:ascii="Georgia" w:cs="Georgia" w:eastAsia="Georgia" w:hAnsi="Georgia"/>
          <w:sz w:val="18"/>
          <w:szCs w:val="18"/>
        </w:rPr>
        <w:t xml:space="preserve">Meat Science.</w:t>
      </w:r>
    </w:p>
  </w:footnote>
  <w:footnote w:id="52">
    <w:p>
      <w:pPr>
        <w:spacing w:after="0" w:line="232"/>
      </w:pPr>
      <w:r>
        <w:rPr>
          <w:rStyle w:val="FootnoteReference"/>
        </w:rPr>
        <w:footnoteRef/>
      </w:r>
      <w:r>
        <w:rPr>
          <w:rFonts w:ascii="Arial" w:cs="Arial" w:eastAsia="Arial" w:hAnsi="Arial"/>
          <w:b/>
          <w:bCs/>
          <w:color w:val="234A35"/>
          <w:sz w:val="17"/>
          <w:szCs w:val="17"/>
        </w:rPr>
        <w:t xml:space="preserve">Ref. [28]. </w:t>
      </w:r>
      <w:r>
        <w:rPr>
          <w:rFonts w:ascii="Georgia" w:cs="Georgia" w:eastAsia="Georgia" w:hAnsi="Georgia"/>
          <w:sz w:val="18"/>
          <w:szCs w:val="18"/>
        </w:rPr>
        <w:t xml:space="preserve">Drewnowski, A. (2005). </w:t>
      </w:r>
      <w:r>
        <w:rPr>
          <w:rFonts w:ascii="Georgia" w:cs="Georgia" w:eastAsia="Georgia" w:hAnsi="Georgia"/>
          <w:i/>
          <w:iCs/>
          <w:sz w:val="18"/>
          <w:szCs w:val="18"/>
        </w:rPr>
        <w:t xml:space="preserve">Concept of a nutritious food: Toward a nutrient density score. </w:t>
      </w:r>
      <w:r>
        <w:rPr>
          <w:rFonts w:ascii="Georgia" w:cs="Georgia" w:eastAsia="Georgia" w:hAnsi="Georgia"/>
          <w:sz w:val="18"/>
          <w:szCs w:val="18"/>
        </w:rPr>
        <w:t xml:space="preserve">The American Journal of Clinical Nutrition.</w:t>
      </w:r>
    </w:p>
  </w:footnote>
  <w:footnote w:id="53">
    <w:p>
      <w:pPr>
        <w:spacing w:after="0" w:line="232"/>
      </w:pPr>
      <w:r>
        <w:rPr>
          <w:rStyle w:val="FootnoteReference"/>
        </w:rPr>
        <w:footnoteRef/>
      </w:r>
      <w:r>
        <w:rPr>
          <w:rFonts w:ascii="Arial" w:cs="Arial" w:eastAsia="Arial" w:hAnsi="Arial"/>
          <w:b/>
          <w:bCs/>
          <w:color w:val="234A35"/>
          <w:sz w:val="17"/>
          <w:szCs w:val="17"/>
        </w:rPr>
        <w:t xml:space="preserve">Ref. [28]. </w:t>
      </w:r>
      <w:r>
        <w:rPr>
          <w:rFonts w:ascii="Georgia" w:cs="Georgia" w:eastAsia="Georgia" w:hAnsi="Georgia"/>
          <w:sz w:val="18"/>
          <w:szCs w:val="18"/>
        </w:rPr>
        <w:t xml:space="preserve">Drewnowski, A. (2005). </w:t>
      </w:r>
      <w:r>
        <w:rPr>
          <w:rFonts w:ascii="Georgia" w:cs="Georgia" w:eastAsia="Georgia" w:hAnsi="Georgia"/>
          <w:i/>
          <w:iCs/>
          <w:sz w:val="18"/>
          <w:szCs w:val="18"/>
        </w:rPr>
        <w:t xml:space="preserve">Concept of a nutritious food: Toward a nutrient density score. </w:t>
      </w:r>
      <w:r>
        <w:rPr>
          <w:rFonts w:ascii="Georgia" w:cs="Georgia" w:eastAsia="Georgia" w:hAnsi="Georgia"/>
          <w:sz w:val="18"/>
          <w:szCs w:val="18"/>
        </w:rPr>
        <w:t xml:space="preserve">The American Journal of Clinical Nutrition.</w:t>
      </w:r>
    </w:p>
  </w:footnote>
  <w:footnote w:id="54">
    <w:p>
      <w:pPr>
        <w:spacing w:after="0" w:line="232"/>
      </w:pPr>
      <w:r>
        <w:rPr>
          <w:rStyle w:val="FootnoteReference"/>
        </w:rPr>
        <w:footnoteRef/>
      </w:r>
      <w:r>
        <w:rPr>
          <w:rFonts w:ascii="Arial" w:cs="Arial" w:eastAsia="Arial" w:hAnsi="Arial"/>
          <w:b/>
          <w:bCs/>
          <w:color w:val="234A35"/>
          <w:sz w:val="17"/>
          <w:szCs w:val="17"/>
        </w:rPr>
        <w:t xml:space="preserve">Ref. [29]. </w:t>
      </w:r>
      <w:r>
        <w:rPr>
          <w:rFonts w:ascii="Georgia" w:cs="Georgia" w:eastAsia="Georgia" w:hAnsi="Georgia"/>
          <w:sz w:val="18"/>
          <w:szCs w:val="18"/>
        </w:rPr>
        <w:t xml:space="preserve">Fulgoni, V. L., Keast, D. R., Bailey, R. L., &amp; Dwyer, J. (2011). </w:t>
      </w:r>
      <w:r>
        <w:rPr>
          <w:rFonts w:ascii="Georgia" w:cs="Georgia" w:eastAsia="Georgia" w:hAnsi="Georgia"/>
          <w:i/>
          <w:iCs/>
          <w:sz w:val="18"/>
          <w:szCs w:val="18"/>
        </w:rPr>
        <w:t xml:space="preserve">Foods, fortificants, and supplements: Where do Americans get their nutrients?. </w:t>
      </w:r>
      <w:r>
        <w:rPr>
          <w:rFonts w:ascii="Georgia" w:cs="Georgia" w:eastAsia="Georgia" w:hAnsi="Georgia"/>
          <w:sz w:val="18"/>
          <w:szCs w:val="18"/>
        </w:rPr>
        <w:t xml:space="preserve">The Journal of Nutrition.</w:t>
      </w:r>
    </w:p>
  </w:footnote>
  <w:footnote w:id="55">
    <w:p>
      <w:pPr>
        <w:spacing w:after="0" w:line="232"/>
      </w:pPr>
      <w:r>
        <w:rPr>
          <w:rStyle w:val="FootnoteReference"/>
        </w:rPr>
        <w:footnoteRef/>
      </w:r>
      <w:r>
        <w:rPr>
          <w:rFonts w:ascii="Arial" w:cs="Arial" w:eastAsia="Arial" w:hAnsi="Arial"/>
          <w:b/>
          <w:bCs/>
          <w:color w:val="234A35"/>
          <w:sz w:val="17"/>
          <w:szCs w:val="17"/>
        </w:rPr>
        <w:t xml:space="preserve">Ref. [29]. </w:t>
      </w:r>
      <w:r>
        <w:rPr>
          <w:rFonts w:ascii="Georgia" w:cs="Georgia" w:eastAsia="Georgia" w:hAnsi="Georgia"/>
          <w:sz w:val="18"/>
          <w:szCs w:val="18"/>
        </w:rPr>
        <w:t xml:space="preserve">Fulgoni, V. L., Keast, D. R., Bailey, R. L., &amp; Dwyer, J. (2011). </w:t>
      </w:r>
      <w:r>
        <w:rPr>
          <w:rFonts w:ascii="Georgia" w:cs="Georgia" w:eastAsia="Georgia" w:hAnsi="Georgia"/>
          <w:i/>
          <w:iCs/>
          <w:sz w:val="18"/>
          <w:szCs w:val="18"/>
        </w:rPr>
        <w:t xml:space="preserve">Foods, fortificants, and supplements: Where do Americans get their nutrients?. </w:t>
      </w:r>
      <w:r>
        <w:rPr>
          <w:rFonts w:ascii="Georgia" w:cs="Georgia" w:eastAsia="Georgia" w:hAnsi="Georgia"/>
          <w:sz w:val="18"/>
          <w:szCs w:val="18"/>
        </w:rPr>
        <w:t xml:space="preserve">The Journal of Nutrition.</w:t>
      </w:r>
    </w:p>
  </w:footnote>
  <w:footnote w:id="56">
    <w:p>
      <w:pPr>
        <w:spacing w:after="0" w:line="232"/>
      </w:pPr>
      <w:r>
        <w:rPr>
          <w:rStyle w:val="FootnoteReference"/>
        </w:rPr>
        <w:footnoteRef/>
      </w:r>
      <w:r>
        <w:rPr>
          <w:rFonts w:ascii="Arial" w:cs="Arial" w:eastAsia="Arial" w:hAnsi="Arial"/>
          <w:b/>
          <w:bCs/>
          <w:color w:val="234A35"/>
          <w:sz w:val="17"/>
          <w:szCs w:val="17"/>
        </w:rPr>
        <w:t xml:space="preserve">Ref. [30]. </w:t>
      </w:r>
      <w:r>
        <w:rPr>
          <w:rFonts w:ascii="Georgia" w:cs="Georgia" w:eastAsia="Georgia" w:hAnsi="Georgia"/>
          <w:sz w:val="18"/>
          <w:szCs w:val="18"/>
        </w:rPr>
        <w:t xml:space="preserve">Hurrell, R., &amp; Egli, I. (2010). </w:t>
      </w:r>
      <w:r>
        <w:rPr>
          <w:rFonts w:ascii="Georgia" w:cs="Georgia" w:eastAsia="Georgia" w:hAnsi="Georgia"/>
          <w:i/>
          <w:iCs/>
          <w:sz w:val="18"/>
          <w:szCs w:val="18"/>
        </w:rPr>
        <w:t xml:space="preserve">Iron bioavailability and dietary reference values. </w:t>
      </w:r>
      <w:r>
        <w:rPr>
          <w:rFonts w:ascii="Georgia" w:cs="Georgia" w:eastAsia="Georgia" w:hAnsi="Georgia"/>
          <w:sz w:val="18"/>
          <w:szCs w:val="18"/>
        </w:rPr>
        <w:t xml:space="preserve">The American Journal of Clinical Nutrition.</w:t>
      </w:r>
    </w:p>
  </w:footnote>
  <w:footnote w:id="57">
    <w:p>
      <w:pPr>
        <w:spacing w:after="0" w:line="232"/>
      </w:pPr>
      <w:r>
        <w:rPr>
          <w:rStyle w:val="FootnoteReference"/>
        </w:rPr>
        <w:footnoteRef/>
      </w:r>
      <w:r>
        <w:rPr>
          <w:rFonts w:ascii="Arial" w:cs="Arial" w:eastAsia="Arial" w:hAnsi="Arial"/>
          <w:b/>
          <w:bCs/>
          <w:color w:val="234A35"/>
          <w:sz w:val="17"/>
          <w:szCs w:val="17"/>
        </w:rPr>
        <w:t xml:space="preserve">Ref. [28]. </w:t>
      </w:r>
      <w:r>
        <w:rPr>
          <w:rFonts w:ascii="Georgia" w:cs="Georgia" w:eastAsia="Georgia" w:hAnsi="Georgia"/>
          <w:sz w:val="18"/>
          <w:szCs w:val="18"/>
        </w:rPr>
        <w:t xml:space="preserve">Drewnowski, A. (2005). </w:t>
      </w:r>
      <w:r>
        <w:rPr>
          <w:rFonts w:ascii="Georgia" w:cs="Georgia" w:eastAsia="Georgia" w:hAnsi="Georgia"/>
          <w:i/>
          <w:iCs/>
          <w:sz w:val="18"/>
          <w:szCs w:val="18"/>
        </w:rPr>
        <w:t xml:space="preserve">Concept of a nutritious food: Toward a nutrient density score. </w:t>
      </w:r>
      <w:r>
        <w:rPr>
          <w:rFonts w:ascii="Georgia" w:cs="Georgia" w:eastAsia="Georgia" w:hAnsi="Georgia"/>
          <w:sz w:val="18"/>
          <w:szCs w:val="18"/>
        </w:rPr>
        <w:t xml:space="preserve">The American Journal of Clinical Nutrition.</w:t>
      </w:r>
    </w:p>
  </w:footnote>
  <w:footnote w:id="58">
    <w:p>
      <w:pPr>
        <w:spacing w:after="0" w:line="232"/>
      </w:pPr>
      <w:r>
        <w:rPr>
          <w:rStyle w:val="FootnoteReference"/>
        </w:rPr>
        <w:footnoteRef/>
      </w:r>
      <w:r>
        <w:rPr>
          <w:rFonts w:ascii="Arial" w:cs="Arial" w:eastAsia="Arial" w:hAnsi="Arial"/>
          <w:b/>
          <w:bCs/>
          <w:color w:val="234A35"/>
          <w:sz w:val="17"/>
          <w:szCs w:val="17"/>
        </w:rPr>
        <w:t xml:space="preserve">Ref. [31]. </w:t>
      </w:r>
      <w:r>
        <w:rPr>
          <w:rFonts w:ascii="Georgia" w:cs="Georgia" w:eastAsia="Georgia" w:hAnsi="Georgia"/>
          <w:sz w:val="18"/>
          <w:szCs w:val="18"/>
        </w:rPr>
        <w:t xml:space="preserve">Cook, J. D., &amp; Monsen, E. R. (1977). </w:t>
      </w:r>
      <w:r>
        <w:rPr>
          <w:rFonts w:ascii="Georgia" w:cs="Georgia" w:eastAsia="Georgia" w:hAnsi="Georgia"/>
          <w:i/>
          <w:iCs/>
          <w:sz w:val="18"/>
          <w:szCs w:val="18"/>
        </w:rPr>
        <w:t xml:space="preserve">Vitamin C, the common cold, and iron absorption. </w:t>
      </w:r>
      <w:r>
        <w:rPr>
          <w:rFonts w:ascii="Georgia" w:cs="Georgia" w:eastAsia="Georgia" w:hAnsi="Georgia"/>
          <w:sz w:val="18"/>
          <w:szCs w:val="18"/>
        </w:rPr>
        <w:t xml:space="preserve">The American Journal of Clinical Nutrition.</w:t>
      </w:r>
    </w:p>
  </w:footnote>
  <w:footnote w:id="59">
    <w:p>
      <w:pPr>
        <w:spacing w:after="0" w:line="232"/>
      </w:pPr>
      <w:r>
        <w:rPr>
          <w:rStyle w:val="FootnoteReference"/>
        </w:rPr>
        <w:footnoteRef/>
      </w:r>
      <w:r>
        <w:rPr>
          <w:rFonts w:ascii="Arial" w:cs="Arial" w:eastAsia="Arial" w:hAnsi="Arial"/>
          <w:b/>
          <w:bCs/>
          <w:color w:val="234A35"/>
          <w:sz w:val="17"/>
          <w:szCs w:val="17"/>
        </w:rPr>
        <w:t xml:space="preserve">Ref. [32]. </w:t>
      </w:r>
      <w:r>
        <w:rPr>
          <w:rFonts w:ascii="Georgia" w:cs="Georgia" w:eastAsia="Georgia" w:hAnsi="Georgia"/>
          <w:sz w:val="18"/>
          <w:szCs w:val="18"/>
        </w:rPr>
        <w:t xml:space="preserve">Hallberg, L., Brune, M., &amp; Rossander, L. (1989). </w:t>
      </w:r>
      <w:r>
        <w:rPr>
          <w:rFonts w:ascii="Georgia" w:cs="Georgia" w:eastAsia="Georgia" w:hAnsi="Georgia"/>
          <w:i/>
          <w:iCs/>
          <w:sz w:val="18"/>
          <w:szCs w:val="18"/>
        </w:rPr>
        <w:t xml:space="preserve">The role of vitamin C in iron absorption. </w:t>
      </w:r>
      <w:r>
        <w:rPr>
          <w:rFonts w:ascii="Georgia" w:cs="Georgia" w:eastAsia="Georgia" w:hAnsi="Georgia"/>
          <w:sz w:val="18"/>
          <w:szCs w:val="18"/>
        </w:rPr>
        <w:t xml:space="preserve">International Journal for Vitamin and Nutrition Research. Supplement.</w:t>
      </w:r>
    </w:p>
  </w:footnote>
  <w:footnote w:id="60">
    <w:p>
      <w:pPr>
        <w:spacing w:after="0" w:line="232"/>
      </w:pPr>
      <w:r>
        <w:rPr>
          <w:rStyle w:val="FootnoteReference"/>
        </w:rPr>
        <w:footnoteRef/>
      </w:r>
      <w:r>
        <w:rPr>
          <w:rFonts w:ascii="Arial" w:cs="Arial" w:eastAsia="Arial" w:hAnsi="Arial"/>
          <w:b/>
          <w:bCs/>
          <w:color w:val="234A35"/>
          <w:sz w:val="17"/>
          <w:szCs w:val="17"/>
        </w:rPr>
        <w:t xml:space="preserve">Ref. [33]. </w:t>
      </w:r>
      <w:r>
        <w:rPr>
          <w:rFonts w:ascii="Georgia" w:cs="Georgia" w:eastAsia="Georgia" w:hAnsi="Georgia"/>
          <w:sz w:val="18"/>
          <w:szCs w:val="18"/>
        </w:rPr>
        <w:t xml:space="preserve">Lynch, S. R., &amp; Cook, J. D. (1980). </w:t>
      </w:r>
      <w:r>
        <w:rPr>
          <w:rFonts w:ascii="Georgia" w:cs="Georgia" w:eastAsia="Georgia" w:hAnsi="Georgia"/>
          <w:i/>
          <w:iCs/>
          <w:sz w:val="18"/>
          <w:szCs w:val="18"/>
        </w:rPr>
        <w:t xml:space="preserve">Interaction of vitamin C and iron. </w:t>
      </w:r>
      <w:r>
        <w:rPr>
          <w:rFonts w:ascii="Georgia" w:cs="Georgia" w:eastAsia="Georgia" w:hAnsi="Georgia"/>
          <w:sz w:val="18"/>
          <w:szCs w:val="18"/>
        </w:rPr>
        <w:t xml:space="preserve">Annals of the New York Academy of Sciences.</w:t>
      </w:r>
    </w:p>
  </w:footnote>
  <w:footnote w:id="61">
    <w:p>
      <w:pPr>
        <w:spacing w:after="0" w:line="232"/>
      </w:pPr>
      <w:r>
        <w:rPr>
          <w:rStyle w:val="FootnoteReference"/>
        </w:rPr>
        <w:footnoteRef/>
      </w:r>
      <w:r>
        <w:rPr>
          <w:rFonts w:ascii="Arial" w:cs="Arial" w:eastAsia="Arial" w:hAnsi="Arial"/>
          <w:b/>
          <w:bCs/>
          <w:color w:val="234A35"/>
          <w:sz w:val="17"/>
          <w:szCs w:val="17"/>
        </w:rPr>
        <w:t xml:space="preserve">Ref. [38]. </w:t>
      </w:r>
      <w:r>
        <w:rPr>
          <w:rFonts w:ascii="Georgia" w:cs="Georgia" w:eastAsia="Georgia" w:hAnsi="Georgia"/>
          <w:sz w:val="18"/>
          <w:szCs w:val="18"/>
        </w:rPr>
        <w:t xml:space="preserve">Wallace, T. C., &amp; Fulgoni, V. L. (2017). </w:t>
      </w:r>
      <w:r>
        <w:rPr>
          <w:rFonts w:ascii="Georgia" w:cs="Georgia" w:eastAsia="Georgia" w:hAnsi="Georgia"/>
          <w:i/>
          <w:iCs/>
          <w:sz w:val="18"/>
          <w:szCs w:val="18"/>
        </w:rPr>
        <w:t xml:space="preserve">Usual choline intakes are associated with egg and protein food consumption in the United States. </w:t>
      </w:r>
      <w:r>
        <w:rPr>
          <w:rFonts w:ascii="Georgia" w:cs="Georgia" w:eastAsia="Georgia" w:hAnsi="Georgia"/>
          <w:sz w:val="18"/>
          <w:szCs w:val="18"/>
        </w:rPr>
        <w:t xml:space="preserve">Nutrients.</w:t>
      </w:r>
    </w:p>
  </w:footnote>
  <w:footnote w:id="62">
    <w:p>
      <w:pPr>
        <w:spacing w:after="0" w:line="232"/>
      </w:pPr>
      <w:r>
        <w:rPr>
          <w:rStyle w:val="FootnoteReference"/>
        </w:rPr>
        <w:footnoteRef/>
      </w:r>
      <w:r>
        <w:rPr>
          <w:rFonts w:ascii="Arial" w:cs="Arial" w:eastAsia="Arial" w:hAnsi="Arial"/>
          <w:b/>
          <w:bCs/>
          <w:color w:val="234A35"/>
          <w:sz w:val="17"/>
          <w:szCs w:val="17"/>
        </w:rPr>
        <w:t xml:space="preserve">Ref. [39]. </w:t>
      </w:r>
      <w:r>
        <w:rPr>
          <w:rFonts w:ascii="Georgia" w:cs="Georgia" w:eastAsia="Georgia" w:hAnsi="Georgia"/>
          <w:sz w:val="18"/>
          <w:szCs w:val="18"/>
        </w:rPr>
        <w:t xml:space="preserve">Watanabe, F., &amp; Bito, T. (2018). </w:t>
      </w:r>
      <w:r>
        <w:rPr>
          <w:rFonts w:ascii="Georgia" w:cs="Georgia" w:eastAsia="Georgia" w:hAnsi="Georgia"/>
          <w:i/>
          <w:iCs/>
          <w:sz w:val="18"/>
          <w:szCs w:val="18"/>
        </w:rPr>
        <w:t xml:space="preserve">Vitamin B12 sources and microbial interaction. </w:t>
      </w:r>
      <w:r>
        <w:rPr>
          <w:rFonts w:ascii="Georgia" w:cs="Georgia" w:eastAsia="Georgia" w:hAnsi="Georgia"/>
          <w:sz w:val="18"/>
          <w:szCs w:val="18"/>
        </w:rPr>
        <w:t xml:space="preserve">Experimental Biology and Medicine.</w:t>
      </w:r>
    </w:p>
  </w:footnote>
  <w:footnote w:id="63">
    <w:p>
      <w:pPr>
        <w:spacing w:after="0" w:line="232"/>
      </w:pPr>
      <w:r>
        <w:rPr>
          <w:rStyle w:val="FootnoteReference"/>
        </w:rPr>
        <w:footnoteRef/>
      </w:r>
      <w:r>
        <w:rPr>
          <w:rFonts w:ascii="Arial" w:cs="Arial" w:eastAsia="Arial" w:hAnsi="Arial"/>
          <w:b/>
          <w:bCs/>
          <w:color w:val="234A35"/>
          <w:sz w:val="17"/>
          <w:szCs w:val="17"/>
        </w:rPr>
        <w:t xml:space="preserve">Ref. [40]. </w:t>
      </w:r>
      <w:r>
        <w:rPr>
          <w:rFonts w:ascii="Georgia" w:cs="Georgia" w:eastAsia="Georgia" w:hAnsi="Georgia"/>
          <w:sz w:val="18"/>
          <w:szCs w:val="18"/>
        </w:rPr>
        <w:t xml:space="preserve">Allen, L. H. (2009). </w:t>
      </w:r>
      <w:r>
        <w:rPr>
          <w:rFonts w:ascii="Georgia" w:cs="Georgia" w:eastAsia="Georgia" w:hAnsi="Georgia"/>
          <w:i/>
          <w:iCs/>
          <w:sz w:val="18"/>
          <w:szCs w:val="18"/>
        </w:rPr>
        <w:t xml:space="preserve">How common is vitamin B-12 deficiency?. </w:t>
      </w:r>
      <w:r>
        <w:rPr>
          <w:rFonts w:ascii="Georgia" w:cs="Georgia" w:eastAsia="Georgia" w:hAnsi="Georgia"/>
          <w:sz w:val="18"/>
          <w:szCs w:val="18"/>
        </w:rPr>
        <w:t xml:space="preserve">The American Journal of Clinical Nutrition.</w:t>
      </w:r>
    </w:p>
  </w:footnote>
  <w:footnote w:id="64">
    <w:p>
      <w:pPr>
        <w:spacing w:after="0" w:line="232"/>
      </w:pPr>
      <w:r>
        <w:rPr>
          <w:rStyle w:val="FootnoteReference"/>
        </w:rPr>
        <w:footnoteRef/>
      </w:r>
      <w:r>
        <w:rPr>
          <w:rFonts w:ascii="Arial" w:cs="Arial" w:eastAsia="Arial" w:hAnsi="Arial"/>
          <w:b/>
          <w:bCs/>
          <w:color w:val="234A35"/>
          <w:sz w:val="17"/>
          <w:szCs w:val="17"/>
        </w:rPr>
        <w:t xml:space="preserve">Ref. [41]. </w:t>
      </w:r>
      <w:r>
        <w:rPr>
          <w:rFonts w:ascii="Georgia" w:cs="Georgia" w:eastAsia="Georgia" w:hAnsi="Georgia"/>
          <w:sz w:val="18"/>
          <w:szCs w:val="18"/>
        </w:rPr>
        <w:t xml:space="preserve">Réhault-Godbert, S., Guyot, N., &amp; Nys, Y. (2019). </w:t>
      </w:r>
      <w:r>
        <w:rPr>
          <w:rFonts w:ascii="Georgia" w:cs="Georgia" w:eastAsia="Georgia" w:hAnsi="Georgia"/>
          <w:i/>
          <w:iCs/>
          <w:sz w:val="18"/>
          <w:szCs w:val="18"/>
        </w:rPr>
        <w:t xml:space="preserve">The golden egg: Nutritional value, bioactivities, and emerging benefits for human health. </w:t>
      </w:r>
      <w:r>
        <w:rPr>
          <w:rFonts w:ascii="Georgia" w:cs="Georgia" w:eastAsia="Georgia" w:hAnsi="Georgia"/>
          <w:sz w:val="18"/>
          <w:szCs w:val="18"/>
        </w:rPr>
        <w:t xml:space="preserve">Nutrients.</w:t>
      </w:r>
    </w:p>
  </w:footnote>
  <w:footnote w:id="65">
    <w:p>
      <w:pPr>
        <w:spacing w:after="0" w:line="232"/>
      </w:pPr>
      <w:r>
        <w:rPr>
          <w:rStyle w:val="FootnoteReference"/>
        </w:rPr>
        <w:footnoteRef/>
      </w:r>
      <w:r>
        <w:rPr>
          <w:rFonts w:ascii="Arial" w:cs="Arial" w:eastAsia="Arial" w:hAnsi="Arial"/>
          <w:b/>
          <w:bCs/>
          <w:color w:val="234A35"/>
          <w:sz w:val="17"/>
          <w:szCs w:val="17"/>
        </w:rPr>
        <w:t xml:space="preserve">Ref. [43]. </w:t>
      </w:r>
      <w:r>
        <w:rPr>
          <w:rFonts w:ascii="Georgia" w:cs="Georgia" w:eastAsia="Georgia" w:hAnsi="Georgia"/>
          <w:sz w:val="18"/>
          <w:szCs w:val="18"/>
        </w:rPr>
        <w:t xml:space="preserve">Hoffman, J. R., &amp; Falvo, M. J. (2004). </w:t>
      </w:r>
      <w:r>
        <w:rPr>
          <w:rFonts w:ascii="Georgia" w:cs="Georgia" w:eastAsia="Georgia" w:hAnsi="Georgia"/>
          <w:i/>
          <w:iCs/>
          <w:sz w:val="18"/>
          <w:szCs w:val="18"/>
        </w:rPr>
        <w:t xml:space="preserve">Protein — Which is best?. </w:t>
      </w:r>
      <w:r>
        <w:rPr>
          <w:rFonts w:ascii="Georgia" w:cs="Georgia" w:eastAsia="Georgia" w:hAnsi="Georgia"/>
          <w:sz w:val="18"/>
          <w:szCs w:val="18"/>
        </w:rPr>
        <w:t xml:space="preserve">Journal of Sports Science &amp; Medicine.</w:t>
      </w:r>
    </w:p>
  </w:footnote>
  <w:footnote w:id="66">
    <w:p>
      <w:pPr>
        <w:spacing w:after="0" w:line="232"/>
      </w:pPr>
      <w:r>
        <w:rPr>
          <w:rStyle w:val="FootnoteReference"/>
        </w:rPr>
        <w:footnoteRef/>
      </w:r>
      <w:r>
        <w:rPr>
          <w:rFonts w:ascii="Arial" w:cs="Arial" w:eastAsia="Arial" w:hAnsi="Arial"/>
          <w:b/>
          <w:bCs/>
          <w:color w:val="234A35"/>
          <w:sz w:val="17"/>
          <w:szCs w:val="17"/>
        </w:rPr>
        <w:t xml:space="preserve">Ref. [44]. </w:t>
      </w:r>
      <w:r>
        <w:rPr>
          <w:rFonts w:ascii="Georgia" w:cs="Georgia" w:eastAsia="Georgia" w:hAnsi="Georgia"/>
          <w:sz w:val="18"/>
          <w:szCs w:val="18"/>
        </w:rPr>
        <w:t xml:space="preserve">Schaafsma, G. (2000). </w:t>
      </w:r>
      <w:r>
        <w:rPr>
          <w:rFonts w:ascii="Georgia" w:cs="Georgia" w:eastAsia="Georgia" w:hAnsi="Georgia"/>
          <w:i/>
          <w:iCs/>
          <w:sz w:val="18"/>
          <w:szCs w:val="18"/>
        </w:rPr>
        <w:t xml:space="preserve">The protein digestibility-corrected amino acid score. </w:t>
      </w:r>
      <w:r>
        <w:rPr>
          <w:rFonts w:ascii="Georgia" w:cs="Georgia" w:eastAsia="Georgia" w:hAnsi="Georgia"/>
          <w:sz w:val="18"/>
          <w:szCs w:val="18"/>
        </w:rPr>
        <w:t xml:space="preserve">The Journal of Nutrition.</w:t>
      </w:r>
    </w:p>
  </w:footnote>
  <w:footnote w:id="67">
    <w:p>
      <w:pPr>
        <w:spacing w:after="0" w:line="232"/>
      </w:pPr>
      <w:r>
        <w:rPr>
          <w:rStyle w:val="FootnoteReference"/>
        </w:rPr>
        <w:footnoteRef/>
      </w:r>
      <w:r>
        <w:rPr>
          <w:rFonts w:ascii="Arial" w:cs="Arial" w:eastAsia="Arial" w:hAnsi="Arial"/>
          <w:b/>
          <w:bCs/>
          <w:color w:val="234A35"/>
          <w:sz w:val="17"/>
          <w:szCs w:val="17"/>
        </w:rPr>
        <w:t xml:space="preserve">Ref. [42]. </w:t>
      </w:r>
      <w:r>
        <w:rPr>
          <w:rFonts w:ascii="Georgia" w:cs="Georgia" w:eastAsia="Georgia" w:hAnsi="Georgia"/>
          <w:sz w:val="18"/>
          <w:szCs w:val="18"/>
        </w:rPr>
        <w:t xml:space="preserve">Wu, G. (2016). </w:t>
      </w:r>
      <w:r>
        <w:rPr>
          <w:rFonts w:ascii="Georgia" w:cs="Georgia" w:eastAsia="Georgia" w:hAnsi="Georgia"/>
          <w:i/>
          <w:iCs/>
          <w:sz w:val="18"/>
          <w:szCs w:val="18"/>
        </w:rPr>
        <w:t xml:space="preserve">Dietary protein intake and human health. </w:t>
      </w:r>
      <w:r>
        <w:rPr>
          <w:rFonts w:ascii="Georgia" w:cs="Georgia" w:eastAsia="Georgia" w:hAnsi="Georgia"/>
          <w:sz w:val="18"/>
          <w:szCs w:val="18"/>
        </w:rPr>
        <w:t xml:space="preserve">Food &amp; Function.</w:t>
      </w:r>
    </w:p>
  </w:footnote>
  <w:footnote w:id="68">
    <w:p>
      <w:pPr>
        <w:spacing w:after="0" w:line="232"/>
      </w:pPr>
      <w:r>
        <w:rPr>
          <w:rStyle w:val="FootnoteReference"/>
        </w:rPr>
        <w:footnoteRef/>
      </w:r>
      <w:r>
        <w:rPr>
          <w:rFonts w:ascii="Arial" w:cs="Arial" w:eastAsia="Arial" w:hAnsi="Arial"/>
          <w:b/>
          <w:bCs/>
          <w:color w:val="234A35"/>
          <w:sz w:val="17"/>
          <w:szCs w:val="17"/>
        </w:rPr>
        <w:t xml:space="preserve">Ref. [72]. </w:t>
      </w:r>
      <w:r>
        <w:rPr>
          <w:rFonts w:ascii="Georgia" w:cs="Georgia" w:eastAsia="Georgia" w:hAnsi="Georgia"/>
          <w:sz w:val="18"/>
          <w:szCs w:val="18"/>
        </w:rPr>
        <w:t xml:space="preserve">Southern Foodways Alliance (2023). </w:t>
      </w:r>
      <w:r>
        <w:rPr>
          <w:rFonts w:ascii="Georgia" w:cs="Georgia" w:eastAsia="Georgia" w:hAnsi="Georgia"/>
          <w:i/>
          <w:iCs/>
          <w:sz w:val="18"/>
          <w:szCs w:val="18"/>
        </w:rPr>
        <w:t xml:space="preserve">Barbecue oral history project. </w:t>
      </w:r>
      <w:r>
        <w:rPr>
          <w:rFonts w:ascii="Georgia" w:cs="Georgia" w:eastAsia="Georgia" w:hAnsi="Georgia"/>
          <w:sz w:val="18"/>
          <w:szCs w:val="18"/>
        </w:rPr>
        <w:t xml:space="preserve">Southern Foodways Alliance, University of Mississippi.</w:t>
      </w:r>
    </w:p>
  </w:footnote>
  <w:footnote w:id="69">
    <w:p>
      <w:pPr>
        <w:spacing w:after="0" w:line="232"/>
      </w:pPr>
      <w:r>
        <w:rPr>
          <w:rStyle w:val="FootnoteReference"/>
        </w:rPr>
        <w:footnoteRef/>
      </w:r>
      <w:r>
        <w:rPr>
          <w:rFonts w:ascii="Arial" w:cs="Arial" w:eastAsia="Arial" w:hAnsi="Arial"/>
          <w:b/>
          <w:bCs/>
          <w:color w:val="234A35"/>
          <w:sz w:val="17"/>
          <w:szCs w:val="17"/>
        </w:rPr>
        <w:t xml:space="preserve">Ref. [71]. </w:t>
      </w:r>
      <w:r>
        <w:rPr>
          <w:rFonts w:ascii="Georgia" w:cs="Georgia" w:eastAsia="Georgia" w:hAnsi="Georgia"/>
          <w:sz w:val="18"/>
          <w:szCs w:val="18"/>
        </w:rPr>
        <w:t xml:space="preserve">Garner, B. (2017). </w:t>
      </w:r>
      <w:r>
        <w:rPr>
          <w:rFonts w:ascii="Georgia" w:cs="Georgia" w:eastAsia="Georgia" w:hAnsi="Georgia"/>
          <w:i/>
          <w:iCs/>
          <w:sz w:val="18"/>
          <w:szCs w:val="18"/>
        </w:rPr>
        <w:t xml:space="preserve">On the grill: Argentine asado and the culture of fire. </w:t>
      </w:r>
      <w:r>
        <w:rPr>
          <w:rFonts w:ascii="Georgia" w:cs="Georgia" w:eastAsia="Georgia" w:hAnsi="Georgia"/>
          <w:sz w:val="18"/>
          <w:szCs w:val="18"/>
        </w:rPr>
        <w:t xml:space="preserve">Gastronomica: The Journal of Critical Food Studies.</w:t>
      </w:r>
    </w:p>
  </w:footnote>
  <w:footnote w:id="70">
    <w:p>
      <w:pPr>
        <w:spacing w:after="0" w:line="232"/>
      </w:pPr>
      <w:r>
        <w:rPr>
          <w:rStyle w:val="FootnoteReference"/>
        </w:rPr>
        <w:footnoteRef/>
      </w:r>
      <w:r>
        <w:rPr>
          <w:rFonts w:ascii="Arial" w:cs="Arial" w:eastAsia="Arial" w:hAnsi="Arial"/>
          <w:b/>
          <w:bCs/>
          <w:color w:val="234A35"/>
          <w:sz w:val="17"/>
          <w:szCs w:val="17"/>
        </w:rPr>
        <w:t xml:space="preserve">Ref. [73]. </w:t>
      </w:r>
      <w:r>
        <w:rPr>
          <w:rFonts w:ascii="Georgia" w:cs="Georgia" w:eastAsia="Georgia" w:hAnsi="Georgia"/>
          <w:sz w:val="18"/>
          <w:szCs w:val="18"/>
        </w:rPr>
        <w:t xml:space="preserve">University of Arkansas Division of Agriculture, Center for Arkansas Farms and Food (CAFF) (2025). </w:t>
      </w:r>
      <w:r>
        <w:rPr>
          <w:rFonts w:ascii="Georgia" w:cs="Georgia" w:eastAsia="Georgia" w:hAnsi="Georgia"/>
          <w:i/>
          <w:iCs/>
          <w:sz w:val="18"/>
          <w:szCs w:val="18"/>
        </w:rPr>
        <w:t xml:space="preserve">Farms directory. </w:t>
      </w:r>
      <w:r>
        <w:rPr>
          <w:rFonts w:ascii="Georgia" w:cs="Georgia" w:eastAsia="Georgia" w:hAnsi="Georgia"/>
          <w:sz w:val="18"/>
          <w:szCs w:val="18"/>
        </w:rPr>
        <w:t xml:space="preserve">University of Arkansas System Division of Agriculture.</w:t>
      </w:r>
    </w:p>
  </w:footnote>
  <w:footnote w:id="71">
    <w:p>
      <w:pPr>
        <w:spacing w:after="0" w:line="232"/>
      </w:pPr>
      <w:r>
        <w:rPr>
          <w:rStyle w:val="FootnoteReference"/>
        </w:rPr>
        <w:footnoteRef/>
      </w:r>
      <w:r>
        <w:rPr>
          <w:rFonts w:ascii="Arial" w:cs="Arial" w:eastAsia="Arial" w:hAnsi="Arial"/>
          <w:b/>
          <w:bCs/>
          <w:color w:val="234A35"/>
          <w:sz w:val="17"/>
          <w:szCs w:val="17"/>
        </w:rPr>
        <w:t xml:space="preserve">Ref. [74]. </w:t>
      </w:r>
      <w:r>
        <w:rPr>
          <w:rFonts w:ascii="Georgia" w:cs="Georgia" w:eastAsia="Georgia" w:hAnsi="Georgia"/>
          <w:sz w:val="18"/>
          <w:szCs w:val="18"/>
        </w:rPr>
        <w:t xml:space="preserve">Arkansas Department of Agriculture (2025). </w:t>
      </w:r>
      <w:r>
        <w:rPr>
          <w:rFonts w:ascii="Georgia" w:cs="Georgia" w:eastAsia="Georgia" w:hAnsi="Georgia"/>
          <w:i/>
          <w:iCs/>
          <w:sz w:val="18"/>
          <w:szCs w:val="18"/>
        </w:rPr>
        <w:t xml:space="preserve">Arkansas Grown producer and farmers market directory. </w:t>
      </w:r>
      <w:r>
        <w:rPr>
          <w:rFonts w:ascii="Georgia" w:cs="Georgia" w:eastAsia="Georgia" w:hAnsi="Georgia"/>
          <w:sz w:val="18"/>
          <w:szCs w:val="18"/>
        </w:rPr>
        <w:t xml:space="preserve">Arkansas Grown.</w:t>
      </w:r>
    </w:p>
  </w:footnote>
  <w:footnote w:id="72">
    <w:p>
      <w:pPr>
        <w:spacing w:after="0" w:line="232"/>
      </w:pPr>
      <w:r>
        <w:rPr>
          <w:rStyle w:val="FootnoteReference"/>
        </w:rPr>
        <w:footnoteRef/>
      </w:r>
      <w:r>
        <w:rPr>
          <w:rFonts w:ascii="Arial" w:cs="Arial" w:eastAsia="Arial" w:hAnsi="Arial"/>
          <w:b/>
          <w:bCs/>
          <w:color w:val="234A35"/>
          <w:sz w:val="17"/>
          <w:szCs w:val="17"/>
        </w:rPr>
        <w:t xml:space="preserve">Ref. [75]. </w:t>
      </w:r>
      <w:r>
        <w:rPr>
          <w:rFonts w:ascii="Georgia" w:cs="Georgia" w:eastAsia="Georgia" w:hAnsi="Georgia"/>
          <w:sz w:val="18"/>
          <w:szCs w:val="18"/>
        </w:rPr>
        <w:t xml:space="preserve">Downtown Bentonville Inc. (2025). </w:t>
      </w:r>
      <w:r>
        <w:rPr>
          <w:rFonts w:ascii="Georgia" w:cs="Georgia" w:eastAsia="Georgia" w:hAnsi="Georgia"/>
          <w:i/>
          <w:iCs/>
          <w:sz w:val="18"/>
          <w:szCs w:val="18"/>
        </w:rPr>
        <w:t xml:space="preserve">Bentonville Farmers Market. </w:t>
      </w:r>
      <w:r>
        <w:rPr>
          <w:rFonts w:ascii="Georgia" w:cs="Georgia" w:eastAsia="Georgia" w:hAnsi="Georgia"/>
          <w:sz w:val="18"/>
          <w:szCs w:val="18"/>
        </w:rPr>
        <w:t xml:space="preserve">Downtown Bentonville Inc..</w:t>
      </w:r>
    </w:p>
  </w:footnote>
  <w:footnote w:id="73">
    <w:p>
      <w:pPr>
        <w:spacing w:after="0" w:line="232"/>
      </w:pPr>
      <w:r>
        <w:rPr>
          <w:rStyle w:val="FootnoteReference"/>
        </w:rPr>
        <w:footnoteRef/>
      </w:r>
      <w:r>
        <w:rPr>
          <w:rFonts w:ascii="Arial" w:cs="Arial" w:eastAsia="Arial" w:hAnsi="Arial"/>
          <w:b/>
          <w:bCs/>
          <w:color w:val="234A35"/>
          <w:sz w:val="17"/>
          <w:szCs w:val="17"/>
        </w:rPr>
        <w:t xml:space="preserve">Ref. [76]. </w:t>
      </w:r>
      <w:r>
        <w:rPr>
          <w:rFonts w:ascii="Georgia" w:cs="Georgia" w:eastAsia="Georgia" w:hAnsi="Georgia"/>
          <w:sz w:val="18"/>
          <w:szCs w:val="18"/>
        </w:rPr>
        <w:t xml:space="preserve">Experience Fayetteville (2025). </w:t>
      </w:r>
      <w:r>
        <w:rPr>
          <w:rFonts w:ascii="Georgia" w:cs="Georgia" w:eastAsia="Georgia" w:hAnsi="Georgia"/>
          <w:i/>
          <w:iCs/>
          <w:sz w:val="18"/>
          <w:szCs w:val="18"/>
        </w:rPr>
        <w:t xml:space="preserve">Fayetteville Farmers Market: Fifty years and thriving. </w:t>
      </w:r>
      <w:r>
        <w:rPr>
          <w:rFonts w:ascii="Georgia" w:cs="Georgia" w:eastAsia="Georgia" w:hAnsi="Georgia"/>
          <w:sz w:val="18"/>
          <w:szCs w:val="18"/>
        </w:rPr>
        <w:t xml:space="preserve">Experience Fayetteville / Fayetteville Farmers Market.</w:t>
      </w:r>
    </w:p>
  </w:footnote>
  <w:footnote w:id="74">
    <w:p>
      <w:pPr>
        <w:spacing w:after="0" w:line="232"/>
      </w:pPr>
      <w:r>
        <w:rPr>
          <w:rStyle w:val="FootnoteReference"/>
        </w:rPr>
        <w:footnoteRef/>
      </w:r>
      <w:r>
        <w:rPr>
          <w:rFonts w:ascii="Arial" w:cs="Arial" w:eastAsia="Arial" w:hAnsi="Arial"/>
          <w:b/>
          <w:bCs/>
          <w:color w:val="234A35"/>
          <w:sz w:val="17"/>
          <w:szCs w:val="17"/>
        </w:rPr>
        <w:t xml:space="preserve">Ref. [77]. </w:t>
      </w:r>
      <w:r>
        <w:rPr>
          <w:rFonts w:ascii="Georgia" w:cs="Georgia" w:eastAsia="Georgia" w:hAnsi="Georgia"/>
          <w:sz w:val="18"/>
          <w:szCs w:val="18"/>
        </w:rPr>
        <w:t xml:space="preserve">Richard's Country Meat Market (2025). </w:t>
      </w:r>
      <w:r>
        <w:rPr>
          <w:rFonts w:ascii="Georgia" w:cs="Georgia" w:eastAsia="Georgia" w:hAnsi="Georgia"/>
          <w:i/>
          <w:iCs/>
          <w:sz w:val="18"/>
          <w:szCs w:val="18"/>
        </w:rPr>
        <w:t xml:space="preserve">Richard's Country Meat Market — Fayetteville, Arkansas. </w:t>
      </w:r>
      <w:r>
        <w:rPr>
          <w:rFonts w:ascii="Georgia" w:cs="Georgia" w:eastAsia="Georgia" w:hAnsi="Georgia"/>
          <w:sz w:val="18"/>
          <w:szCs w:val="18"/>
        </w:rPr>
        <w:t xml:space="preserve">Richard's Country Meat Market.</w:t>
      </w:r>
    </w:p>
  </w:footnote>
  <w:footnote w:id="75">
    <w:p>
      <w:pPr>
        <w:spacing w:after="0" w:line="232"/>
      </w:pPr>
      <w:r>
        <w:rPr>
          <w:rStyle w:val="FootnoteReference"/>
        </w:rPr>
        <w:footnoteRef/>
      </w:r>
      <w:r>
        <w:rPr>
          <w:rFonts w:ascii="Arial" w:cs="Arial" w:eastAsia="Arial" w:hAnsi="Arial"/>
          <w:b/>
          <w:bCs/>
          <w:color w:val="234A35"/>
          <w:sz w:val="17"/>
          <w:szCs w:val="17"/>
        </w:rPr>
        <w:t xml:space="preserve">Ref. [78]. </w:t>
      </w:r>
      <w:r>
        <w:rPr>
          <w:rFonts w:ascii="Georgia" w:cs="Georgia" w:eastAsia="Georgia" w:hAnsi="Georgia"/>
          <w:sz w:val="18"/>
          <w:szCs w:val="18"/>
        </w:rPr>
        <w:t xml:space="preserve">Ivan's Old Time Meat Shop (2024). </w:t>
      </w:r>
      <w:r>
        <w:rPr>
          <w:rFonts w:ascii="Georgia" w:cs="Georgia" w:eastAsia="Georgia" w:hAnsi="Georgia"/>
          <w:i/>
          <w:iCs/>
          <w:sz w:val="18"/>
          <w:szCs w:val="18"/>
        </w:rPr>
        <w:t xml:space="preserve">Faces of Arkansas: Ivan's Old Time Meat Shop. </w:t>
      </w:r>
      <w:r>
        <w:rPr>
          <w:rFonts w:ascii="Georgia" w:cs="Georgia" w:eastAsia="Georgia" w:hAnsi="Georgia"/>
          <w:sz w:val="18"/>
          <w:szCs w:val="18"/>
        </w:rPr>
        <w:t xml:space="preserve">Only In Arkansas.</w:t>
      </w:r>
    </w:p>
  </w:footnote>
  <w:footnote w:id="76">
    <w:p>
      <w:pPr>
        <w:spacing w:after="0" w:line="232"/>
      </w:pPr>
      <w:r>
        <w:rPr>
          <w:rStyle w:val="FootnoteReference"/>
        </w:rPr>
        <w:footnoteRef/>
      </w:r>
      <w:r>
        <w:rPr>
          <w:rFonts w:ascii="Arial" w:cs="Arial" w:eastAsia="Arial" w:hAnsi="Arial"/>
          <w:b/>
          <w:bCs/>
          <w:color w:val="234A35"/>
          <w:sz w:val="17"/>
          <w:szCs w:val="17"/>
        </w:rPr>
        <w:t xml:space="preserve">Ref. [42]. </w:t>
      </w:r>
      <w:r>
        <w:rPr>
          <w:rFonts w:ascii="Georgia" w:cs="Georgia" w:eastAsia="Georgia" w:hAnsi="Georgia"/>
          <w:sz w:val="18"/>
          <w:szCs w:val="18"/>
        </w:rPr>
        <w:t xml:space="preserve">Wu, G. (2016). </w:t>
      </w:r>
      <w:r>
        <w:rPr>
          <w:rFonts w:ascii="Georgia" w:cs="Georgia" w:eastAsia="Georgia" w:hAnsi="Georgia"/>
          <w:i/>
          <w:iCs/>
          <w:sz w:val="18"/>
          <w:szCs w:val="18"/>
        </w:rPr>
        <w:t xml:space="preserve">Dietary protein intake and human health. </w:t>
      </w:r>
      <w:r>
        <w:rPr>
          <w:rFonts w:ascii="Georgia" w:cs="Georgia" w:eastAsia="Georgia" w:hAnsi="Georgia"/>
          <w:sz w:val="18"/>
          <w:szCs w:val="18"/>
        </w:rPr>
        <w:t xml:space="preserve">Food &amp; Function.</w:t>
      </w:r>
    </w:p>
  </w:footnote>
  <w:footnote w:id="77">
    <w:p>
      <w:pPr>
        <w:spacing w:after="0" w:line="232"/>
      </w:pPr>
      <w:r>
        <w:rPr>
          <w:rStyle w:val="FootnoteReference"/>
        </w:rPr>
        <w:footnoteRef/>
      </w:r>
      <w:r>
        <w:rPr>
          <w:rFonts w:ascii="Arial" w:cs="Arial" w:eastAsia="Arial" w:hAnsi="Arial"/>
          <w:b/>
          <w:bCs/>
          <w:color w:val="234A35"/>
          <w:sz w:val="17"/>
          <w:szCs w:val="17"/>
        </w:rPr>
        <w:t xml:space="preserve">Ref. [38]. </w:t>
      </w:r>
      <w:r>
        <w:rPr>
          <w:rFonts w:ascii="Georgia" w:cs="Georgia" w:eastAsia="Georgia" w:hAnsi="Georgia"/>
          <w:sz w:val="18"/>
          <w:szCs w:val="18"/>
        </w:rPr>
        <w:t xml:space="preserve">Wallace, T. C., &amp; Fulgoni, V. L. (2017). </w:t>
      </w:r>
      <w:r>
        <w:rPr>
          <w:rFonts w:ascii="Georgia" w:cs="Georgia" w:eastAsia="Georgia" w:hAnsi="Georgia"/>
          <w:i/>
          <w:iCs/>
          <w:sz w:val="18"/>
          <w:szCs w:val="18"/>
        </w:rPr>
        <w:t xml:space="preserve">Usual choline intakes are associated with egg and protein food consumption in the United States. </w:t>
      </w:r>
      <w:r>
        <w:rPr>
          <w:rFonts w:ascii="Georgia" w:cs="Georgia" w:eastAsia="Georgia" w:hAnsi="Georgia"/>
          <w:sz w:val="18"/>
          <w:szCs w:val="18"/>
        </w:rPr>
        <w:t xml:space="preserve">Nutrients.</w:t>
      </w:r>
    </w:p>
  </w:footnote>
  <w:footnote w:id="78">
    <w:p>
      <w:pPr>
        <w:spacing w:after="0" w:line="232"/>
      </w:pPr>
      <w:r>
        <w:rPr>
          <w:rStyle w:val="FootnoteReference"/>
        </w:rPr>
        <w:footnoteRef/>
      </w:r>
      <w:r>
        <w:rPr>
          <w:rFonts w:ascii="Arial" w:cs="Arial" w:eastAsia="Arial" w:hAnsi="Arial"/>
          <w:b/>
          <w:bCs/>
          <w:color w:val="234A35"/>
          <w:sz w:val="17"/>
          <w:szCs w:val="17"/>
        </w:rPr>
        <w:t xml:space="preserve">Ref. [39]. </w:t>
      </w:r>
      <w:r>
        <w:rPr>
          <w:rFonts w:ascii="Georgia" w:cs="Georgia" w:eastAsia="Georgia" w:hAnsi="Georgia"/>
          <w:sz w:val="18"/>
          <w:szCs w:val="18"/>
        </w:rPr>
        <w:t xml:space="preserve">Watanabe, F., &amp; Bito, T. (2018). </w:t>
      </w:r>
      <w:r>
        <w:rPr>
          <w:rFonts w:ascii="Georgia" w:cs="Georgia" w:eastAsia="Georgia" w:hAnsi="Georgia"/>
          <w:i/>
          <w:iCs/>
          <w:sz w:val="18"/>
          <w:szCs w:val="18"/>
        </w:rPr>
        <w:t xml:space="preserve">Vitamin B12 sources and microbial interaction. </w:t>
      </w:r>
      <w:r>
        <w:rPr>
          <w:rFonts w:ascii="Georgia" w:cs="Georgia" w:eastAsia="Georgia" w:hAnsi="Georgia"/>
          <w:sz w:val="18"/>
          <w:szCs w:val="18"/>
        </w:rPr>
        <w:t xml:space="preserve">Experimental Biology and Medicine.</w:t>
      </w:r>
    </w:p>
  </w:footnote>
  <w:footnote w:id="79">
    <w:p>
      <w:pPr>
        <w:spacing w:after="0" w:line="232"/>
      </w:pPr>
      <w:r>
        <w:rPr>
          <w:rStyle w:val="FootnoteReference"/>
        </w:rPr>
        <w:footnoteRef/>
      </w:r>
      <w:r>
        <w:rPr>
          <w:rFonts w:ascii="Arial" w:cs="Arial" w:eastAsia="Arial" w:hAnsi="Arial"/>
          <w:b/>
          <w:bCs/>
          <w:color w:val="234A35"/>
          <w:sz w:val="17"/>
          <w:szCs w:val="17"/>
        </w:rPr>
        <w:t xml:space="preserve">Ref. [45]. </w:t>
      </w:r>
      <w:r>
        <w:rPr>
          <w:rFonts w:ascii="Georgia" w:cs="Georgia" w:eastAsia="Georgia" w:hAnsi="Georgia"/>
          <w:sz w:val="18"/>
          <w:szCs w:val="18"/>
        </w:rPr>
        <w:t xml:space="preserve">Daley, C. A., Abbott, A., Doyle, P. S., Nader, G. A., &amp; Larson, S. (2010). </w:t>
      </w:r>
      <w:r>
        <w:rPr>
          <w:rFonts w:ascii="Georgia" w:cs="Georgia" w:eastAsia="Georgia" w:hAnsi="Georgia"/>
          <w:i/>
          <w:iCs/>
          <w:sz w:val="18"/>
          <w:szCs w:val="18"/>
        </w:rPr>
        <w:t xml:space="preserve">A review of fatty acid profiles and antioxidant content in grass-fed and grain-fed beef. </w:t>
      </w:r>
      <w:r>
        <w:rPr>
          <w:rFonts w:ascii="Georgia" w:cs="Georgia" w:eastAsia="Georgia" w:hAnsi="Georgia"/>
          <w:sz w:val="18"/>
          <w:szCs w:val="18"/>
        </w:rPr>
        <w:t xml:space="preserve">Nutrition Journal.</w:t>
      </w:r>
    </w:p>
  </w:footnote>
  <w:footnote w:id="80">
    <w:p>
      <w:pPr>
        <w:spacing w:after="0" w:line="232"/>
      </w:pPr>
      <w:r>
        <w:rPr>
          <w:rStyle w:val="FootnoteReference"/>
        </w:rPr>
        <w:footnoteRef/>
      </w:r>
      <w:r>
        <w:rPr>
          <w:rFonts w:ascii="Arial" w:cs="Arial" w:eastAsia="Arial" w:hAnsi="Arial"/>
          <w:b/>
          <w:bCs/>
          <w:color w:val="234A35"/>
          <w:sz w:val="17"/>
          <w:szCs w:val="17"/>
        </w:rPr>
        <w:t xml:space="preserve">Ref. [46]. </w:t>
      </w:r>
      <w:r>
        <w:rPr>
          <w:rFonts w:ascii="Georgia" w:cs="Georgia" w:eastAsia="Georgia" w:hAnsi="Georgia"/>
          <w:sz w:val="18"/>
          <w:szCs w:val="18"/>
        </w:rPr>
        <w:t xml:space="preserve">Krusinski, L., Sergin, S., Jambunathan, V., Rowntree, J. E., Salim, S., Pitchford, J., ... &amp; Fenton, J. I. (2022). </w:t>
      </w:r>
      <w:r>
        <w:rPr>
          <w:rFonts w:ascii="Georgia" w:cs="Georgia" w:eastAsia="Georgia" w:hAnsi="Georgia"/>
          <w:i/>
          <w:iCs/>
          <w:sz w:val="18"/>
          <w:szCs w:val="18"/>
        </w:rPr>
        <w:t xml:space="preserve">Attable comparison of fatty acid and micronutrient composition between grass- and grain-finished beef. </w:t>
      </w:r>
      <w:r>
        <w:rPr>
          <w:rFonts w:ascii="Georgia" w:cs="Georgia" w:eastAsia="Georgia" w:hAnsi="Georgia"/>
          <w:sz w:val="18"/>
          <w:szCs w:val="18"/>
        </w:rPr>
        <w:t xml:space="preserve">Foods (and related: Fatty acid composition of grain- and grass-fed beef).</w:t>
      </w:r>
    </w:p>
  </w:footnote>
  <w:footnote w:id="81">
    <w:p>
      <w:pPr>
        <w:spacing w:after="0" w:line="232"/>
      </w:pPr>
      <w:r>
        <w:rPr>
          <w:rStyle w:val="FootnoteReference"/>
        </w:rPr>
        <w:footnoteRef/>
      </w:r>
      <w:r>
        <w:rPr>
          <w:rFonts w:ascii="Arial" w:cs="Arial" w:eastAsia="Arial" w:hAnsi="Arial"/>
          <w:b/>
          <w:bCs/>
          <w:color w:val="234A35"/>
          <w:sz w:val="17"/>
          <w:szCs w:val="17"/>
        </w:rPr>
        <w:t xml:space="preserve">Ref. [47]. </w:t>
      </w:r>
      <w:r>
        <w:rPr>
          <w:rFonts w:ascii="Georgia" w:cs="Georgia" w:eastAsia="Georgia" w:hAnsi="Georgia"/>
          <w:sz w:val="18"/>
          <w:szCs w:val="18"/>
        </w:rPr>
        <w:t xml:space="preserve">Ponnampalam, E. N., Mann, N. J., &amp; Sinclair, A. J. (2006). </w:t>
      </w:r>
      <w:r>
        <w:rPr>
          <w:rFonts w:ascii="Georgia" w:cs="Georgia" w:eastAsia="Georgia" w:hAnsi="Georgia"/>
          <w:i/>
          <w:iCs/>
          <w:sz w:val="18"/>
          <w:szCs w:val="18"/>
        </w:rPr>
        <w:t xml:space="preserve">Effect of feeding systems on omega-3 fatty acids, conjugated linoleic acid and trans fatty acids in Australian beef cuts. </w:t>
      </w:r>
      <w:r>
        <w:rPr>
          <w:rFonts w:ascii="Georgia" w:cs="Georgia" w:eastAsia="Georgia" w:hAnsi="Georgia"/>
          <w:sz w:val="18"/>
          <w:szCs w:val="18"/>
        </w:rPr>
        <w:t xml:space="preserve">Asia Pacific Journal of Clinical Nutrition.</w:t>
      </w:r>
    </w:p>
  </w:footnote>
  <w:footnote w:id="82">
    <w:p>
      <w:pPr>
        <w:spacing w:after="0" w:line="232"/>
      </w:pPr>
      <w:r>
        <w:rPr>
          <w:rStyle w:val="FootnoteReference"/>
        </w:rPr>
        <w:footnoteRef/>
      </w:r>
      <w:r>
        <w:rPr>
          <w:rFonts w:ascii="Arial" w:cs="Arial" w:eastAsia="Arial" w:hAnsi="Arial"/>
          <w:b/>
          <w:bCs/>
          <w:color w:val="234A35"/>
          <w:sz w:val="17"/>
          <w:szCs w:val="17"/>
        </w:rPr>
        <w:t xml:space="preserve">Ref. [48]. </w:t>
      </w:r>
      <w:r>
        <w:rPr>
          <w:rFonts w:ascii="Georgia" w:cs="Georgia" w:eastAsia="Georgia" w:hAnsi="Georgia"/>
          <w:sz w:val="18"/>
          <w:szCs w:val="18"/>
        </w:rPr>
        <w:t xml:space="preserve">Van Elswyk, M. E., &amp; McNeill, S. H. (2014). </w:t>
      </w:r>
      <w:r>
        <w:rPr>
          <w:rFonts w:ascii="Georgia" w:cs="Georgia" w:eastAsia="Georgia" w:hAnsi="Georgia"/>
          <w:i/>
          <w:iCs/>
          <w:sz w:val="18"/>
          <w:szCs w:val="18"/>
        </w:rPr>
        <w:t xml:space="preserve">Impact of grass/forage feeding versus grain finishing on beef nutrients and sensory quality: The U.S. experience. </w:t>
      </w:r>
      <w:r>
        <w:rPr>
          <w:rFonts w:ascii="Georgia" w:cs="Georgia" w:eastAsia="Georgia" w:hAnsi="Georgia"/>
          <w:sz w:val="18"/>
          <w:szCs w:val="18"/>
        </w:rPr>
        <w:t xml:space="preserve">Meat Science.</w:t>
      </w:r>
    </w:p>
  </w:footnote>
  <w:footnote w:id="83">
    <w:p>
      <w:pPr>
        <w:spacing w:after="0" w:line="232"/>
      </w:pPr>
      <w:r>
        <w:rPr>
          <w:rStyle w:val="FootnoteReference"/>
        </w:rPr>
        <w:footnoteRef/>
      </w:r>
      <w:r>
        <w:rPr>
          <w:rFonts w:ascii="Arial" w:cs="Arial" w:eastAsia="Arial" w:hAnsi="Arial"/>
          <w:b/>
          <w:bCs/>
          <w:color w:val="234A35"/>
          <w:sz w:val="17"/>
          <w:szCs w:val="17"/>
        </w:rPr>
        <w:t xml:space="preserve">Ref. [49]. </w:t>
      </w:r>
      <w:r>
        <w:rPr>
          <w:rFonts w:ascii="Georgia" w:cs="Georgia" w:eastAsia="Georgia" w:hAnsi="Georgia"/>
          <w:sz w:val="18"/>
          <w:szCs w:val="18"/>
        </w:rPr>
        <w:t xml:space="preserve">Haenlein, G. F. W. (2004). </w:t>
      </w:r>
      <w:r>
        <w:rPr>
          <w:rFonts w:ascii="Georgia" w:cs="Georgia" w:eastAsia="Georgia" w:hAnsi="Georgia"/>
          <w:i/>
          <w:iCs/>
          <w:sz w:val="18"/>
          <w:szCs w:val="18"/>
        </w:rPr>
        <w:t xml:space="preserve">Goat milk in human nutrition. </w:t>
      </w:r>
      <w:r>
        <w:rPr>
          <w:rFonts w:ascii="Georgia" w:cs="Georgia" w:eastAsia="Georgia" w:hAnsi="Georgia"/>
          <w:sz w:val="18"/>
          <w:szCs w:val="18"/>
        </w:rPr>
        <w:t xml:space="preserve">Small Ruminant Research.</w:t>
      </w:r>
    </w:p>
  </w:footnote>
  <w:footnote w:id="84">
    <w:p>
      <w:pPr>
        <w:spacing w:after="0" w:line="232"/>
      </w:pPr>
      <w:r>
        <w:rPr>
          <w:rStyle w:val="FootnoteReference"/>
        </w:rPr>
        <w:footnoteRef/>
      </w:r>
      <w:r>
        <w:rPr>
          <w:rFonts w:ascii="Arial" w:cs="Arial" w:eastAsia="Arial" w:hAnsi="Arial"/>
          <w:b/>
          <w:bCs/>
          <w:color w:val="234A35"/>
          <w:sz w:val="17"/>
          <w:szCs w:val="17"/>
        </w:rPr>
        <w:t xml:space="preserve">Ref. [52]. </w:t>
      </w:r>
      <w:r>
        <w:rPr>
          <w:rFonts w:ascii="Georgia" w:cs="Georgia" w:eastAsia="Georgia" w:hAnsi="Georgia"/>
          <w:sz w:val="18"/>
          <w:szCs w:val="18"/>
        </w:rPr>
        <w:t xml:space="preserve">Selvaggi, M., Laudadio, V., Dario, C., &amp; Tufarelli, V. (2014). </w:t>
      </w:r>
      <w:r>
        <w:rPr>
          <w:rFonts w:ascii="Georgia" w:cs="Georgia" w:eastAsia="Georgia" w:hAnsi="Georgia"/>
          <w:i/>
          <w:iCs/>
          <w:sz w:val="18"/>
          <w:szCs w:val="18"/>
        </w:rPr>
        <w:t xml:space="preserve">Major proteins in goat milk: An updated overview on genetic variability. </w:t>
      </w:r>
      <w:r>
        <w:rPr>
          <w:rFonts w:ascii="Georgia" w:cs="Georgia" w:eastAsia="Georgia" w:hAnsi="Georgia"/>
          <w:sz w:val="18"/>
          <w:szCs w:val="18"/>
        </w:rPr>
        <w:t xml:space="preserve">Molecular Biology Reports.</w:t>
      </w:r>
    </w:p>
  </w:footnote>
  <w:footnote w:id="85">
    <w:p>
      <w:pPr>
        <w:spacing w:after="0" w:line="232"/>
      </w:pPr>
      <w:r>
        <w:rPr>
          <w:rStyle w:val="FootnoteReference"/>
        </w:rPr>
        <w:footnoteRef/>
      </w:r>
      <w:r>
        <w:rPr>
          <w:rFonts w:ascii="Arial" w:cs="Arial" w:eastAsia="Arial" w:hAnsi="Arial"/>
          <w:b/>
          <w:bCs/>
          <w:color w:val="234A35"/>
          <w:sz w:val="17"/>
          <w:szCs w:val="17"/>
        </w:rPr>
        <w:t xml:space="preserve">Ref. [50]. </w:t>
      </w:r>
      <w:r>
        <w:rPr>
          <w:rFonts w:ascii="Georgia" w:cs="Georgia" w:eastAsia="Georgia" w:hAnsi="Georgia"/>
          <w:sz w:val="18"/>
          <w:szCs w:val="18"/>
        </w:rPr>
        <w:t xml:space="preserve">Clark, S., &amp; Mora García, M. B. (2017). </w:t>
      </w:r>
      <w:r>
        <w:rPr>
          <w:rFonts w:ascii="Georgia" w:cs="Georgia" w:eastAsia="Georgia" w:hAnsi="Georgia"/>
          <w:i/>
          <w:iCs/>
          <w:sz w:val="18"/>
          <w:szCs w:val="18"/>
        </w:rPr>
        <w:t xml:space="preserve">A 100-year review: Advances in goat milk research. </w:t>
      </w:r>
      <w:r>
        <w:rPr>
          <w:rFonts w:ascii="Georgia" w:cs="Georgia" w:eastAsia="Georgia" w:hAnsi="Georgia"/>
          <w:sz w:val="18"/>
          <w:szCs w:val="18"/>
        </w:rPr>
        <w:t xml:space="preserve">Journal of Dairy Science.</w:t>
      </w:r>
    </w:p>
  </w:footnote>
  <w:footnote w:id="86">
    <w:p>
      <w:pPr>
        <w:spacing w:after="0" w:line="232"/>
      </w:pPr>
      <w:r>
        <w:rPr>
          <w:rStyle w:val="FootnoteReference"/>
        </w:rPr>
        <w:footnoteRef/>
      </w:r>
      <w:r>
        <w:rPr>
          <w:rFonts w:ascii="Arial" w:cs="Arial" w:eastAsia="Arial" w:hAnsi="Arial"/>
          <w:b/>
          <w:bCs/>
          <w:color w:val="234A35"/>
          <w:sz w:val="17"/>
          <w:szCs w:val="17"/>
        </w:rPr>
        <w:t xml:space="preserve">Ref. [51]. </w:t>
      </w:r>
      <w:r>
        <w:rPr>
          <w:rFonts w:ascii="Georgia" w:cs="Georgia" w:eastAsia="Georgia" w:hAnsi="Georgia"/>
          <w:sz w:val="18"/>
          <w:szCs w:val="18"/>
        </w:rPr>
        <w:t xml:space="preserve">Park, Y. W., Juárez, M., Ramos, M., &amp; Haenlein, G. F. W. (2007). </w:t>
      </w:r>
      <w:r>
        <w:rPr>
          <w:rFonts w:ascii="Georgia" w:cs="Georgia" w:eastAsia="Georgia" w:hAnsi="Georgia"/>
          <w:i/>
          <w:iCs/>
          <w:sz w:val="18"/>
          <w:szCs w:val="18"/>
        </w:rPr>
        <w:t xml:space="preserve">Physico-chemical characteristics of goat and sheep milk. </w:t>
      </w:r>
      <w:r>
        <w:rPr>
          <w:rFonts w:ascii="Georgia" w:cs="Georgia" w:eastAsia="Georgia" w:hAnsi="Georgia"/>
          <w:sz w:val="18"/>
          <w:szCs w:val="18"/>
        </w:rPr>
        <w:t xml:space="preserve">Small Ruminant Research.</w:t>
      </w:r>
    </w:p>
  </w:footnote>
  <w:footnote w:id="87">
    <w:p>
      <w:pPr>
        <w:spacing w:after="0" w:line="232"/>
      </w:pPr>
      <w:r>
        <w:rPr>
          <w:rStyle w:val="FootnoteReference"/>
        </w:rPr>
        <w:footnoteRef/>
      </w:r>
      <w:r>
        <w:rPr>
          <w:rFonts w:ascii="Arial" w:cs="Arial" w:eastAsia="Arial" w:hAnsi="Arial"/>
          <w:b/>
          <w:bCs/>
          <w:color w:val="234A35"/>
          <w:sz w:val="17"/>
          <w:szCs w:val="17"/>
        </w:rPr>
        <w:t xml:space="preserve">Ref. [52]. </w:t>
      </w:r>
      <w:r>
        <w:rPr>
          <w:rFonts w:ascii="Georgia" w:cs="Georgia" w:eastAsia="Georgia" w:hAnsi="Georgia"/>
          <w:sz w:val="18"/>
          <w:szCs w:val="18"/>
        </w:rPr>
        <w:t xml:space="preserve">Selvaggi, M., Laudadio, V., Dario, C., &amp; Tufarelli, V. (2014). </w:t>
      </w:r>
      <w:r>
        <w:rPr>
          <w:rFonts w:ascii="Georgia" w:cs="Georgia" w:eastAsia="Georgia" w:hAnsi="Georgia"/>
          <w:i/>
          <w:iCs/>
          <w:sz w:val="18"/>
          <w:szCs w:val="18"/>
        </w:rPr>
        <w:t xml:space="preserve">Major proteins in goat milk: An updated overview on genetic variability. </w:t>
      </w:r>
      <w:r>
        <w:rPr>
          <w:rFonts w:ascii="Georgia" w:cs="Georgia" w:eastAsia="Georgia" w:hAnsi="Georgia"/>
          <w:sz w:val="18"/>
          <w:szCs w:val="18"/>
        </w:rPr>
        <w:t xml:space="preserve">Molecular Biology Reports.</w:t>
      </w:r>
    </w:p>
  </w:footnote>
  <w:footnote w:id="88">
    <w:p>
      <w:pPr>
        <w:spacing w:after="0" w:line="232"/>
      </w:pPr>
      <w:r>
        <w:rPr>
          <w:rStyle w:val="FootnoteReference"/>
        </w:rPr>
        <w:footnoteRef/>
      </w:r>
      <w:r>
        <w:rPr>
          <w:rFonts w:ascii="Arial" w:cs="Arial" w:eastAsia="Arial" w:hAnsi="Arial"/>
          <w:b/>
          <w:bCs/>
          <w:color w:val="234A35"/>
          <w:sz w:val="17"/>
          <w:szCs w:val="17"/>
        </w:rPr>
        <w:t xml:space="preserve">Ref. [53]. </w:t>
      </w:r>
      <w:r>
        <w:rPr>
          <w:rFonts w:ascii="Georgia" w:cs="Georgia" w:eastAsia="Georgia" w:hAnsi="Georgia"/>
          <w:sz w:val="18"/>
          <w:szCs w:val="18"/>
        </w:rPr>
        <w:t xml:space="preserve">Verduci, E., D'Elios, S., Cerrato, L., Comberiati, P., Calvani, M., Palazzo, S., ... &amp; Peroni, D. G. (2019). </w:t>
      </w:r>
      <w:r>
        <w:rPr>
          <w:rFonts w:ascii="Georgia" w:cs="Georgia" w:eastAsia="Georgia" w:hAnsi="Georgia"/>
          <w:i/>
          <w:iCs/>
          <w:sz w:val="18"/>
          <w:szCs w:val="18"/>
        </w:rPr>
        <w:t xml:space="preserve">Cow's milk substitutes for children: Nutritional aspects of milk from different mammalian species, special formula and plant-based beverages. </w:t>
      </w:r>
      <w:r>
        <w:rPr>
          <w:rFonts w:ascii="Georgia" w:cs="Georgia" w:eastAsia="Georgia" w:hAnsi="Georgia"/>
          <w:sz w:val="18"/>
          <w:szCs w:val="18"/>
        </w:rPr>
        <w:t xml:space="preserve">Nutrients.</w:t>
      </w:r>
    </w:p>
  </w:footnote>
  <w:footnote w:id="89">
    <w:p>
      <w:pPr>
        <w:spacing w:after="0" w:line="232"/>
      </w:pPr>
      <w:r>
        <w:rPr>
          <w:rStyle w:val="FootnoteReference"/>
        </w:rPr>
        <w:footnoteRef/>
      </w:r>
      <w:r>
        <w:rPr>
          <w:rFonts w:ascii="Arial" w:cs="Arial" w:eastAsia="Arial" w:hAnsi="Arial"/>
          <w:b/>
          <w:bCs/>
          <w:color w:val="234A35"/>
          <w:sz w:val="17"/>
          <w:szCs w:val="17"/>
        </w:rPr>
        <w:t xml:space="preserve">Ref. [53]. </w:t>
      </w:r>
      <w:r>
        <w:rPr>
          <w:rFonts w:ascii="Georgia" w:cs="Georgia" w:eastAsia="Georgia" w:hAnsi="Georgia"/>
          <w:sz w:val="18"/>
          <w:szCs w:val="18"/>
        </w:rPr>
        <w:t xml:space="preserve">Verduci, E., D'Elios, S., Cerrato, L., Comberiati, P., Calvani, M., Palazzo, S., ... &amp; Peroni, D. G. (2019). </w:t>
      </w:r>
      <w:r>
        <w:rPr>
          <w:rFonts w:ascii="Georgia" w:cs="Georgia" w:eastAsia="Georgia" w:hAnsi="Georgia"/>
          <w:i/>
          <w:iCs/>
          <w:sz w:val="18"/>
          <w:szCs w:val="18"/>
        </w:rPr>
        <w:t xml:space="preserve">Cow's milk substitutes for children: Nutritional aspects of milk from different mammalian species, special formula and plant-based beverages. </w:t>
      </w:r>
      <w:r>
        <w:rPr>
          <w:rFonts w:ascii="Georgia" w:cs="Georgia" w:eastAsia="Georgia" w:hAnsi="Georgia"/>
          <w:sz w:val="18"/>
          <w:szCs w:val="18"/>
        </w:rPr>
        <w:t xml:space="preserve">Nutrients.</w:t>
      </w:r>
    </w:p>
  </w:footnote>
  <w:footnote w:id="90">
    <w:p>
      <w:pPr>
        <w:spacing w:after="0" w:line="232"/>
      </w:pPr>
      <w:r>
        <w:rPr>
          <w:rStyle w:val="FootnoteReference"/>
        </w:rPr>
        <w:footnoteRef/>
      </w:r>
      <w:r>
        <w:rPr>
          <w:rFonts w:ascii="Arial" w:cs="Arial" w:eastAsia="Arial" w:hAnsi="Arial"/>
          <w:b/>
          <w:bCs/>
          <w:color w:val="234A35"/>
          <w:sz w:val="17"/>
          <w:szCs w:val="17"/>
        </w:rPr>
        <w:t xml:space="preserve">Ref. [50]. </w:t>
      </w:r>
      <w:r>
        <w:rPr>
          <w:rFonts w:ascii="Georgia" w:cs="Georgia" w:eastAsia="Georgia" w:hAnsi="Georgia"/>
          <w:sz w:val="18"/>
          <w:szCs w:val="18"/>
        </w:rPr>
        <w:t xml:space="preserve">Clark, S., &amp; Mora García, M. B. (2017). </w:t>
      </w:r>
      <w:r>
        <w:rPr>
          <w:rFonts w:ascii="Georgia" w:cs="Georgia" w:eastAsia="Georgia" w:hAnsi="Georgia"/>
          <w:i/>
          <w:iCs/>
          <w:sz w:val="18"/>
          <w:szCs w:val="18"/>
        </w:rPr>
        <w:t xml:space="preserve">A 100-year review: Advances in goat milk research. </w:t>
      </w:r>
      <w:r>
        <w:rPr>
          <w:rFonts w:ascii="Georgia" w:cs="Georgia" w:eastAsia="Georgia" w:hAnsi="Georgia"/>
          <w:sz w:val="18"/>
          <w:szCs w:val="18"/>
        </w:rPr>
        <w:t xml:space="preserve">Journal of Dairy Science.</w:t>
      </w:r>
    </w:p>
  </w:footnote>
  <w:footnote w:id="91">
    <w:p>
      <w:pPr>
        <w:spacing w:after="0" w:line="232"/>
      </w:pPr>
      <w:r>
        <w:rPr>
          <w:rStyle w:val="FootnoteReference"/>
        </w:rPr>
        <w:footnoteRef/>
      </w:r>
      <w:r>
        <w:rPr>
          <w:rFonts w:ascii="Arial" w:cs="Arial" w:eastAsia="Arial" w:hAnsi="Arial"/>
          <w:b/>
          <w:bCs/>
          <w:color w:val="234A35"/>
          <w:sz w:val="17"/>
          <w:szCs w:val="17"/>
        </w:rPr>
        <w:t xml:space="preserve">Ref. [51]. </w:t>
      </w:r>
      <w:r>
        <w:rPr>
          <w:rFonts w:ascii="Georgia" w:cs="Georgia" w:eastAsia="Georgia" w:hAnsi="Georgia"/>
          <w:sz w:val="18"/>
          <w:szCs w:val="18"/>
        </w:rPr>
        <w:t xml:space="preserve">Park, Y. W., Juárez, M., Ramos, M., &amp; Haenlein, G. F. W. (2007). </w:t>
      </w:r>
      <w:r>
        <w:rPr>
          <w:rFonts w:ascii="Georgia" w:cs="Georgia" w:eastAsia="Georgia" w:hAnsi="Georgia"/>
          <w:i/>
          <w:iCs/>
          <w:sz w:val="18"/>
          <w:szCs w:val="18"/>
        </w:rPr>
        <w:t xml:space="preserve">Physico-chemical characteristics of goat and sheep milk. </w:t>
      </w:r>
      <w:r>
        <w:rPr>
          <w:rFonts w:ascii="Georgia" w:cs="Georgia" w:eastAsia="Georgia" w:hAnsi="Georgia"/>
          <w:sz w:val="18"/>
          <w:szCs w:val="18"/>
        </w:rPr>
        <w:t xml:space="preserve">Small Ruminant Research.</w:t>
      </w:r>
    </w:p>
  </w:footnote>
  <w:footnote w:id="92">
    <w:p>
      <w:pPr>
        <w:spacing w:after="0" w:line="232"/>
      </w:pPr>
      <w:r>
        <w:rPr>
          <w:rStyle w:val="FootnoteReference"/>
        </w:rPr>
        <w:footnoteRef/>
      </w:r>
      <w:r>
        <w:rPr>
          <w:rFonts w:ascii="Arial" w:cs="Arial" w:eastAsia="Arial" w:hAnsi="Arial"/>
          <w:b/>
          <w:bCs/>
          <w:color w:val="234A35"/>
          <w:sz w:val="17"/>
          <w:szCs w:val="17"/>
        </w:rPr>
        <w:t xml:space="preserve">Ref. [54]. </w:t>
      </w:r>
      <w:r>
        <w:rPr>
          <w:rFonts w:ascii="Georgia" w:cs="Georgia" w:eastAsia="Georgia" w:hAnsi="Georgia"/>
          <w:sz w:val="18"/>
          <w:szCs w:val="18"/>
        </w:rPr>
        <w:t xml:space="preserve">Roncada, P., et al. (2022). </w:t>
      </w:r>
      <w:r>
        <w:rPr>
          <w:rFonts w:ascii="Georgia" w:cs="Georgia" w:eastAsia="Georgia" w:hAnsi="Georgia"/>
          <w:i/>
          <w:iCs/>
          <w:sz w:val="18"/>
          <w:szCs w:val="18"/>
        </w:rPr>
        <w:t xml:space="preserve">Review: Genetic and protein variants of milk caseins in goats. </w:t>
      </w:r>
      <w:r>
        <w:rPr>
          <w:rFonts w:ascii="Georgia" w:cs="Georgia" w:eastAsia="Georgia" w:hAnsi="Georgia"/>
          <w:sz w:val="18"/>
          <w:szCs w:val="18"/>
        </w:rPr>
        <w:t xml:space="preserve">Frontiers in Genetics.</w:t>
      </w:r>
    </w:p>
  </w:footnote>
  <w:footnote w:id="93">
    <w:p>
      <w:pPr>
        <w:spacing w:after="0" w:line="232"/>
      </w:pPr>
      <w:r>
        <w:rPr>
          <w:rStyle w:val="FootnoteReference"/>
        </w:rPr>
        <w:footnoteRef/>
      </w:r>
      <w:r>
        <w:rPr>
          <w:rFonts w:ascii="Arial" w:cs="Arial" w:eastAsia="Arial" w:hAnsi="Arial"/>
          <w:b/>
          <w:bCs/>
          <w:color w:val="234A35"/>
          <w:sz w:val="17"/>
          <w:szCs w:val="17"/>
        </w:rPr>
        <w:t xml:space="preserve">Ref. [52]. </w:t>
      </w:r>
      <w:r>
        <w:rPr>
          <w:rFonts w:ascii="Georgia" w:cs="Georgia" w:eastAsia="Georgia" w:hAnsi="Georgia"/>
          <w:sz w:val="18"/>
          <w:szCs w:val="18"/>
        </w:rPr>
        <w:t xml:space="preserve">Selvaggi, M., Laudadio, V., Dario, C., &amp; Tufarelli, V. (2014). </w:t>
      </w:r>
      <w:r>
        <w:rPr>
          <w:rFonts w:ascii="Georgia" w:cs="Georgia" w:eastAsia="Georgia" w:hAnsi="Georgia"/>
          <w:i/>
          <w:iCs/>
          <w:sz w:val="18"/>
          <w:szCs w:val="18"/>
        </w:rPr>
        <w:t xml:space="preserve">Major proteins in goat milk: An updated overview on genetic variability. </w:t>
      </w:r>
      <w:r>
        <w:rPr>
          <w:rFonts w:ascii="Georgia" w:cs="Georgia" w:eastAsia="Georgia" w:hAnsi="Georgia"/>
          <w:sz w:val="18"/>
          <w:szCs w:val="18"/>
        </w:rPr>
        <w:t xml:space="preserve">Molecular Biology Reports.</w:t>
      </w:r>
    </w:p>
  </w:footnote>
  <w:footnote w:id="94">
    <w:p>
      <w:pPr>
        <w:spacing w:after="0" w:line="232"/>
      </w:pPr>
      <w:r>
        <w:rPr>
          <w:rStyle w:val="FootnoteReference"/>
        </w:rPr>
        <w:footnoteRef/>
      </w:r>
      <w:r>
        <w:rPr>
          <w:rFonts w:ascii="Arial" w:cs="Arial" w:eastAsia="Arial" w:hAnsi="Arial"/>
          <w:b/>
          <w:bCs/>
          <w:color w:val="234A35"/>
          <w:sz w:val="17"/>
          <w:szCs w:val="17"/>
        </w:rPr>
        <w:t xml:space="preserve">Ref. [60]. </w:t>
      </w:r>
      <w:r>
        <w:rPr>
          <w:rFonts w:ascii="Georgia" w:cs="Georgia" w:eastAsia="Georgia" w:hAnsi="Georgia"/>
          <w:sz w:val="18"/>
          <w:szCs w:val="18"/>
        </w:rPr>
        <w:t xml:space="preserve">Smith, G. C., Tatum, J. D., &amp; Belk, K. E. (2008). </w:t>
      </w:r>
      <w:r>
        <w:rPr>
          <w:rFonts w:ascii="Georgia" w:cs="Georgia" w:eastAsia="Georgia" w:hAnsi="Georgia"/>
          <w:i/>
          <w:iCs/>
          <w:sz w:val="18"/>
          <w:szCs w:val="18"/>
        </w:rPr>
        <w:t xml:space="preserve">International perspective: Characterisation of United States Department of Agriculture and Meat Standards Australia systems for assessing beef quality. </w:t>
      </w:r>
      <w:r>
        <w:rPr>
          <w:rFonts w:ascii="Georgia" w:cs="Georgia" w:eastAsia="Georgia" w:hAnsi="Georgia"/>
          <w:sz w:val="18"/>
          <w:szCs w:val="18"/>
        </w:rPr>
        <w:t xml:space="preserve">Australian Journal of Experimental Agriculture.</w:t>
      </w:r>
    </w:p>
  </w:footnote>
  <w:footnote w:id="95">
    <w:p>
      <w:pPr>
        <w:spacing w:after="0" w:line="232"/>
      </w:pPr>
      <w:r>
        <w:rPr>
          <w:rStyle w:val="FootnoteReference"/>
        </w:rPr>
        <w:footnoteRef/>
      </w:r>
      <w:r>
        <w:rPr>
          <w:rFonts w:ascii="Arial" w:cs="Arial" w:eastAsia="Arial" w:hAnsi="Arial"/>
          <w:b/>
          <w:bCs/>
          <w:color w:val="234A35"/>
          <w:sz w:val="17"/>
          <w:szCs w:val="17"/>
        </w:rPr>
        <w:t xml:space="preserve">Ref. [59]. </w:t>
      </w:r>
      <w:r>
        <w:rPr>
          <w:rFonts w:ascii="Georgia" w:cs="Georgia" w:eastAsia="Georgia" w:hAnsi="Georgia"/>
          <w:sz w:val="18"/>
          <w:szCs w:val="18"/>
        </w:rPr>
        <w:t xml:space="preserve">Motoyama, M., Sasaki, K., &amp; Watanabe, A. (2016). </w:t>
      </w:r>
      <w:r>
        <w:rPr>
          <w:rFonts w:ascii="Georgia" w:cs="Georgia" w:eastAsia="Georgia" w:hAnsi="Georgia"/>
          <w:i/>
          <w:iCs/>
          <w:sz w:val="18"/>
          <w:szCs w:val="18"/>
        </w:rPr>
        <w:t xml:space="preserve">Wagyu and the factors contributing to its beef quality: A Japanese industry overview. </w:t>
      </w:r>
      <w:r>
        <w:rPr>
          <w:rFonts w:ascii="Georgia" w:cs="Georgia" w:eastAsia="Georgia" w:hAnsi="Georgia"/>
          <w:sz w:val="18"/>
          <w:szCs w:val="18"/>
        </w:rPr>
        <w:t xml:space="preserve">Meat Science.</w:t>
      </w:r>
    </w:p>
  </w:footnote>
  <w:footnote w:id="96">
    <w:p>
      <w:pPr>
        <w:spacing w:after="0" w:line="232"/>
      </w:pPr>
      <w:r>
        <w:rPr>
          <w:rStyle w:val="FootnoteReference"/>
        </w:rPr>
        <w:footnoteRef/>
      </w:r>
      <w:r>
        <w:rPr>
          <w:rFonts w:ascii="Arial" w:cs="Arial" w:eastAsia="Arial" w:hAnsi="Arial"/>
          <w:b/>
          <w:bCs/>
          <w:color w:val="234A35"/>
          <w:sz w:val="17"/>
          <w:szCs w:val="17"/>
        </w:rPr>
        <w:t xml:space="preserve">Ref. [61]. </w:t>
      </w:r>
      <w:r>
        <w:rPr>
          <w:rFonts w:ascii="Georgia" w:cs="Georgia" w:eastAsia="Georgia" w:hAnsi="Georgia"/>
          <w:sz w:val="18"/>
          <w:szCs w:val="18"/>
        </w:rPr>
        <w:t xml:space="preserve">Frank, D., Joo, S.-T., &amp; Warner, R. (2016). </w:t>
      </w:r>
      <w:r>
        <w:rPr>
          <w:rFonts w:ascii="Georgia" w:cs="Georgia" w:eastAsia="Georgia" w:hAnsi="Georgia"/>
          <w:i/>
          <w:iCs/>
          <w:sz w:val="18"/>
          <w:szCs w:val="18"/>
        </w:rPr>
        <w:t xml:space="preserve">Consumer acceptability of intramuscular fat. </w:t>
      </w:r>
      <w:r>
        <w:rPr>
          <w:rFonts w:ascii="Georgia" w:cs="Georgia" w:eastAsia="Georgia" w:hAnsi="Georgia"/>
          <w:sz w:val="18"/>
          <w:szCs w:val="18"/>
        </w:rPr>
        <w:t xml:space="preserve">Korean Journal for Food Science of Animal Resources.</w:t>
      </w:r>
    </w:p>
  </w:footnote>
  <w:footnote w:id="97">
    <w:p>
      <w:pPr>
        <w:spacing w:after="0" w:line="232"/>
      </w:pPr>
      <w:r>
        <w:rPr>
          <w:rStyle w:val="FootnoteReference"/>
        </w:rPr>
        <w:footnoteRef/>
      </w:r>
      <w:r>
        <w:rPr>
          <w:rFonts w:ascii="Arial" w:cs="Arial" w:eastAsia="Arial" w:hAnsi="Arial"/>
          <w:b/>
          <w:bCs/>
          <w:color w:val="234A35"/>
          <w:sz w:val="17"/>
          <w:szCs w:val="17"/>
        </w:rPr>
        <w:t xml:space="preserve">Ref. [62]. </w:t>
      </w:r>
      <w:r>
        <w:rPr>
          <w:rFonts w:ascii="Georgia" w:cs="Georgia" w:eastAsia="Georgia" w:hAnsi="Georgia"/>
          <w:sz w:val="18"/>
          <w:szCs w:val="18"/>
        </w:rPr>
        <w:t xml:space="preserve">Ventanas, S., Ventanas, J., Estévez, M., &amp; Ruiz, J. (2007). </w:t>
      </w:r>
      <w:r>
        <w:rPr>
          <w:rFonts w:ascii="Georgia" w:cs="Georgia" w:eastAsia="Georgia" w:hAnsi="Georgia"/>
          <w:i/>
          <w:iCs/>
          <w:sz w:val="18"/>
          <w:szCs w:val="18"/>
        </w:rPr>
        <w:t xml:space="preserve">Analysis of volatile compounds and sensory characteristics of Iberian dry-cured loins. </w:t>
      </w:r>
      <w:r>
        <w:rPr>
          <w:rFonts w:ascii="Georgia" w:cs="Georgia" w:eastAsia="Georgia" w:hAnsi="Georgia"/>
          <w:sz w:val="18"/>
          <w:szCs w:val="18"/>
        </w:rPr>
        <w:t xml:space="preserve">Meat Science.</w:t>
      </w:r>
    </w:p>
  </w:footnote>
  <w:footnote w:id="98">
    <w:p>
      <w:pPr>
        <w:spacing w:after="0" w:line="232"/>
      </w:pPr>
      <w:r>
        <w:rPr>
          <w:rStyle w:val="FootnoteReference"/>
        </w:rPr>
        <w:footnoteRef/>
      </w:r>
      <w:r>
        <w:rPr>
          <w:rFonts w:ascii="Arial" w:cs="Arial" w:eastAsia="Arial" w:hAnsi="Arial"/>
          <w:b/>
          <w:bCs/>
          <w:color w:val="234A35"/>
          <w:sz w:val="17"/>
          <w:szCs w:val="17"/>
        </w:rPr>
        <w:t xml:space="preserve">Ref. [19]. </w:t>
      </w:r>
      <w:r>
        <w:rPr>
          <w:rFonts w:ascii="Georgia" w:cs="Georgia" w:eastAsia="Georgia" w:hAnsi="Georgia"/>
          <w:sz w:val="18"/>
          <w:szCs w:val="18"/>
        </w:rPr>
        <w:t xml:space="preserve">America's Test Kitchen (2018). </w:t>
      </w:r>
      <w:r>
        <w:rPr>
          <w:rFonts w:ascii="Georgia" w:cs="Georgia" w:eastAsia="Georgia" w:hAnsi="Georgia"/>
          <w:i/>
          <w:iCs/>
          <w:sz w:val="18"/>
          <w:szCs w:val="18"/>
        </w:rPr>
        <w:t xml:space="preserve">The Cook's Illustrated meat book: The game-changing guide that teaches you how to cook meat and poultry with 425 bulletproof recipes. </w:t>
      </w:r>
      <w:r>
        <w:rPr>
          <w:rFonts w:ascii="Georgia" w:cs="Georgia" w:eastAsia="Georgia" w:hAnsi="Georgia"/>
          <w:sz w:val="18"/>
          <w:szCs w:val="18"/>
        </w:rPr>
        <w:t xml:space="preserve">America's Test Kitchen.</w:t>
      </w:r>
    </w:p>
  </w:footnote>
  <w:footnote w:id="99">
    <w:p>
      <w:pPr>
        <w:spacing w:after="0" w:line="232"/>
      </w:pPr>
      <w:r>
        <w:rPr>
          <w:rStyle w:val="FootnoteReference"/>
        </w:rPr>
        <w:footnoteRef/>
      </w:r>
      <w:r>
        <w:rPr>
          <w:rFonts w:ascii="Arial" w:cs="Arial" w:eastAsia="Arial" w:hAnsi="Arial"/>
          <w:b/>
          <w:bCs/>
          <w:color w:val="234A35"/>
          <w:sz w:val="17"/>
          <w:szCs w:val="17"/>
        </w:rPr>
        <w:t xml:space="preserve">Ref. [21]. </w:t>
      </w:r>
      <w:r>
        <w:rPr>
          <w:rFonts w:ascii="Georgia" w:cs="Georgia" w:eastAsia="Georgia" w:hAnsi="Georgia"/>
          <w:sz w:val="18"/>
          <w:szCs w:val="18"/>
        </w:rPr>
        <w:t xml:space="preserve">Blonder, G. (2023). </w:t>
      </w:r>
      <w:r>
        <w:rPr>
          <w:rFonts w:ascii="Georgia" w:cs="Georgia" w:eastAsia="Georgia" w:hAnsi="Georgia"/>
          <w:i/>
          <w:iCs/>
          <w:sz w:val="18"/>
          <w:szCs w:val="18"/>
        </w:rPr>
        <w:t xml:space="preserve">What you need to know about wood, smoke, and combustion. </w:t>
      </w:r>
      <w:r>
        <w:rPr>
          <w:rFonts w:ascii="Georgia" w:cs="Georgia" w:eastAsia="Georgia" w:hAnsi="Georgia"/>
          <w:sz w:val="18"/>
          <w:szCs w:val="18"/>
        </w:rPr>
        <w:t xml:space="preserve">AmazingRibs.com.</w:t>
      </w:r>
    </w:p>
  </w:footnote>
  <w:footnote w:id="100">
    <w:p>
      <w:pPr>
        <w:spacing w:after="0" w:line="232"/>
      </w:pPr>
      <w:r>
        <w:rPr>
          <w:rStyle w:val="FootnoteReference"/>
        </w:rPr>
        <w:footnoteRef/>
      </w:r>
      <w:r>
        <w:rPr>
          <w:rFonts w:ascii="Arial" w:cs="Arial" w:eastAsia="Arial" w:hAnsi="Arial"/>
          <w:b/>
          <w:bCs/>
          <w:color w:val="234A35"/>
          <w:sz w:val="17"/>
          <w:szCs w:val="17"/>
        </w:rPr>
        <w:t xml:space="preserve">Ref. [22]. </w:t>
      </w:r>
      <w:r>
        <w:rPr>
          <w:rFonts w:ascii="Georgia" w:cs="Georgia" w:eastAsia="Georgia" w:hAnsi="Georgia"/>
          <w:sz w:val="18"/>
          <w:szCs w:val="18"/>
        </w:rPr>
        <w:t xml:space="preserve">Blonder, G. (2023). </w:t>
      </w:r>
      <w:r>
        <w:rPr>
          <w:rFonts w:ascii="Georgia" w:cs="Georgia" w:eastAsia="Georgia" w:hAnsi="Georgia"/>
          <w:i/>
          <w:iCs/>
          <w:sz w:val="18"/>
          <w:szCs w:val="18"/>
        </w:rPr>
        <w:t xml:space="preserve">Mythbusting the smoke ring: No smoke necessary!. </w:t>
      </w:r>
      <w:r>
        <w:rPr>
          <w:rFonts w:ascii="Georgia" w:cs="Georgia" w:eastAsia="Georgia" w:hAnsi="Georgia"/>
          <w:sz w:val="18"/>
          <w:szCs w:val="18"/>
        </w:rPr>
        <w:t xml:space="preserve">AmazingRibs.com.</w:t>
      </w:r>
    </w:p>
  </w:footnote>
  <w:footnote w:id="101">
    <w:p>
      <w:pPr>
        <w:spacing w:after="0" w:line="232"/>
      </w:pPr>
      <w:r>
        <w:rPr>
          <w:rStyle w:val="FootnoteReference"/>
        </w:rPr>
        <w:footnoteRef/>
      </w:r>
      <w:r>
        <w:rPr>
          <w:rFonts w:ascii="Arial" w:cs="Arial" w:eastAsia="Arial" w:hAnsi="Arial"/>
          <w:b/>
          <w:bCs/>
          <w:color w:val="234A35"/>
          <w:sz w:val="17"/>
          <w:szCs w:val="17"/>
        </w:rPr>
        <w:t xml:space="preserve">Ref. [59]. </w:t>
      </w:r>
      <w:r>
        <w:rPr>
          <w:rFonts w:ascii="Georgia" w:cs="Georgia" w:eastAsia="Georgia" w:hAnsi="Georgia"/>
          <w:sz w:val="18"/>
          <w:szCs w:val="18"/>
        </w:rPr>
        <w:t xml:space="preserve">Motoyama, M., Sasaki, K., &amp; Watanabe, A. (2016). </w:t>
      </w:r>
      <w:r>
        <w:rPr>
          <w:rFonts w:ascii="Georgia" w:cs="Georgia" w:eastAsia="Georgia" w:hAnsi="Georgia"/>
          <w:i/>
          <w:iCs/>
          <w:sz w:val="18"/>
          <w:szCs w:val="18"/>
        </w:rPr>
        <w:t xml:space="preserve">Wagyu and the factors contributing to its beef quality: A Japanese industry overview. </w:t>
      </w:r>
      <w:r>
        <w:rPr>
          <w:rFonts w:ascii="Georgia" w:cs="Georgia" w:eastAsia="Georgia" w:hAnsi="Georgia"/>
          <w:sz w:val="18"/>
          <w:szCs w:val="18"/>
        </w:rPr>
        <w:t xml:space="preserve">Meat Science.</w:t>
      </w:r>
    </w:p>
  </w:footnote>
  <w:footnote w:id="102">
    <w:p>
      <w:pPr>
        <w:spacing w:after="0" w:line="232"/>
      </w:pPr>
      <w:r>
        <w:rPr>
          <w:rStyle w:val="FootnoteReference"/>
        </w:rPr>
        <w:footnoteRef/>
      </w:r>
      <w:r>
        <w:rPr>
          <w:rFonts w:ascii="Arial" w:cs="Arial" w:eastAsia="Arial" w:hAnsi="Arial"/>
          <w:b/>
          <w:bCs/>
          <w:color w:val="234A35"/>
          <w:sz w:val="17"/>
          <w:szCs w:val="17"/>
        </w:rPr>
        <w:t xml:space="preserve">Ref. [11]. </w:t>
      </w:r>
      <w:r>
        <w:rPr>
          <w:rFonts w:ascii="Georgia" w:cs="Georgia" w:eastAsia="Georgia" w:hAnsi="Georgia"/>
          <w:sz w:val="18"/>
          <w:szCs w:val="18"/>
        </w:rPr>
        <w:t xml:space="preserve">Maillard, L. C. (1912). </w:t>
      </w:r>
      <w:r>
        <w:rPr>
          <w:rFonts w:ascii="Georgia" w:cs="Georgia" w:eastAsia="Georgia" w:hAnsi="Georgia"/>
          <w:i/>
          <w:iCs/>
          <w:sz w:val="18"/>
          <w:szCs w:val="18"/>
        </w:rPr>
        <w:t xml:space="preserve">Action des acides aminés sur les sucres: Formation des mélanoïdines par voie méthodique. </w:t>
      </w:r>
      <w:r>
        <w:rPr>
          <w:rFonts w:ascii="Georgia" w:cs="Georgia" w:eastAsia="Georgia" w:hAnsi="Georgia"/>
          <w:sz w:val="18"/>
          <w:szCs w:val="18"/>
        </w:rPr>
        <w:t xml:space="preserve">Comptes Rendus de l'Académie des Sciences.</w:t>
      </w:r>
    </w:p>
  </w:footnote>
  <w:footnote w:id="103">
    <w:p>
      <w:pPr>
        <w:spacing w:after="0" w:line="232"/>
      </w:pPr>
      <w:r>
        <w:rPr>
          <w:rStyle w:val="FootnoteReference"/>
        </w:rPr>
        <w:footnoteRef/>
      </w:r>
      <w:r>
        <w:rPr>
          <w:rFonts w:ascii="Arial" w:cs="Arial" w:eastAsia="Arial" w:hAnsi="Arial"/>
          <w:b/>
          <w:bCs/>
          <w:color w:val="234A35"/>
          <w:sz w:val="17"/>
          <w:szCs w:val="17"/>
        </w:rPr>
        <w:t xml:space="preserve">Ref. [63]. </w:t>
      </w:r>
      <w:r>
        <w:rPr>
          <w:rFonts w:ascii="Georgia" w:cs="Georgia" w:eastAsia="Georgia" w:hAnsi="Georgia"/>
          <w:sz w:val="18"/>
          <w:szCs w:val="18"/>
        </w:rPr>
        <w:t xml:space="preserve">López-Bote, C. J. (1998). </w:t>
      </w:r>
      <w:r>
        <w:rPr>
          <w:rFonts w:ascii="Georgia" w:cs="Georgia" w:eastAsia="Georgia" w:hAnsi="Georgia"/>
          <w:i/>
          <w:iCs/>
          <w:sz w:val="18"/>
          <w:szCs w:val="18"/>
        </w:rPr>
        <w:t xml:space="preserve">Sustained utilization of the Iberian pig breed. </w:t>
      </w:r>
      <w:r>
        <w:rPr>
          <w:rFonts w:ascii="Georgia" w:cs="Georgia" w:eastAsia="Georgia" w:hAnsi="Georgia"/>
          <w:sz w:val="18"/>
          <w:szCs w:val="18"/>
        </w:rPr>
        <w:t xml:space="preserve">Meat Science.</w:t>
      </w:r>
    </w:p>
  </w:footnote>
  <w:footnote w:id="104">
    <w:p>
      <w:pPr>
        <w:spacing w:after="0" w:line="232"/>
      </w:pPr>
      <w:r>
        <w:rPr>
          <w:rStyle w:val="FootnoteReference"/>
        </w:rPr>
        <w:footnoteRef/>
      </w:r>
      <w:r>
        <w:rPr>
          <w:rFonts w:ascii="Arial" w:cs="Arial" w:eastAsia="Arial" w:hAnsi="Arial"/>
          <w:b/>
          <w:bCs/>
          <w:color w:val="234A35"/>
          <w:sz w:val="17"/>
          <w:szCs w:val="17"/>
        </w:rPr>
        <w:t xml:space="preserve">Ref. [59]. </w:t>
      </w:r>
      <w:r>
        <w:rPr>
          <w:rFonts w:ascii="Georgia" w:cs="Georgia" w:eastAsia="Georgia" w:hAnsi="Georgia"/>
          <w:sz w:val="18"/>
          <w:szCs w:val="18"/>
        </w:rPr>
        <w:t xml:space="preserve">Motoyama, M., Sasaki, K., &amp; Watanabe, A. (2016). </w:t>
      </w:r>
      <w:r>
        <w:rPr>
          <w:rFonts w:ascii="Georgia" w:cs="Georgia" w:eastAsia="Georgia" w:hAnsi="Georgia"/>
          <w:i/>
          <w:iCs/>
          <w:sz w:val="18"/>
          <w:szCs w:val="18"/>
        </w:rPr>
        <w:t xml:space="preserve">Wagyu and the factors contributing to its beef quality: A Japanese industry overview. </w:t>
      </w:r>
      <w:r>
        <w:rPr>
          <w:rFonts w:ascii="Georgia" w:cs="Georgia" w:eastAsia="Georgia" w:hAnsi="Georgia"/>
          <w:sz w:val="18"/>
          <w:szCs w:val="18"/>
        </w:rPr>
        <w:t xml:space="preserve">Meat Science.</w:t>
      </w:r>
    </w:p>
  </w:footnote>
  <w:footnote w:id="105">
    <w:p>
      <w:pPr>
        <w:spacing w:after="0" w:line="232"/>
      </w:pPr>
      <w:r>
        <w:rPr>
          <w:rStyle w:val="FootnoteReference"/>
        </w:rPr>
        <w:footnoteRef/>
      </w:r>
      <w:r>
        <w:rPr>
          <w:rFonts w:ascii="Arial" w:cs="Arial" w:eastAsia="Arial" w:hAnsi="Arial"/>
          <w:b/>
          <w:bCs/>
          <w:color w:val="234A35"/>
          <w:sz w:val="17"/>
          <w:szCs w:val="17"/>
        </w:rPr>
        <w:t xml:space="preserve">Ref. [55]. </w:t>
      </w:r>
      <w:r>
        <w:rPr>
          <w:rFonts w:ascii="Georgia" w:cs="Georgia" w:eastAsia="Georgia" w:hAnsi="Georgia"/>
          <w:sz w:val="18"/>
          <w:szCs w:val="18"/>
        </w:rPr>
        <w:t xml:space="preserve">Stanley, P. L., Rowntree, J. E., Beede, D. K., DeLonge, M. S., &amp; Hamm, M. W. (2018). </w:t>
      </w:r>
      <w:r>
        <w:rPr>
          <w:rFonts w:ascii="Georgia" w:cs="Georgia" w:eastAsia="Georgia" w:hAnsi="Georgia"/>
          <w:i/>
          <w:iCs/>
          <w:sz w:val="18"/>
          <w:szCs w:val="18"/>
        </w:rPr>
        <w:t xml:space="preserve">Impacts of soil carbon sequestration on life cycle greenhouse gas emissions in Midwestern USA beef finishing systems. </w:t>
      </w:r>
      <w:r>
        <w:rPr>
          <w:rFonts w:ascii="Georgia" w:cs="Georgia" w:eastAsia="Georgia" w:hAnsi="Georgia"/>
          <w:sz w:val="18"/>
          <w:szCs w:val="18"/>
        </w:rPr>
        <w:t xml:space="preserve">Agricultural Systems.</w:t>
      </w:r>
    </w:p>
  </w:footnote>
  <w:footnote w:id="106">
    <w:p>
      <w:pPr>
        <w:spacing w:after="0" w:line="232"/>
      </w:pPr>
      <w:r>
        <w:rPr>
          <w:rStyle w:val="FootnoteReference"/>
        </w:rPr>
        <w:footnoteRef/>
      </w:r>
      <w:r>
        <w:rPr>
          <w:rFonts w:ascii="Arial" w:cs="Arial" w:eastAsia="Arial" w:hAnsi="Arial"/>
          <w:b/>
          <w:bCs/>
          <w:color w:val="234A35"/>
          <w:sz w:val="17"/>
          <w:szCs w:val="17"/>
        </w:rPr>
        <w:t xml:space="preserve">Ref. [56]. </w:t>
      </w:r>
      <w:r>
        <w:rPr>
          <w:rFonts w:ascii="Georgia" w:cs="Georgia" w:eastAsia="Georgia" w:hAnsi="Georgia"/>
          <w:sz w:val="18"/>
          <w:szCs w:val="18"/>
        </w:rPr>
        <w:t xml:space="preserve">Rowntree, J. E., Stanley, P. L., Maciel, I. C. F., Thorbecke, M., Rosenzweig, S. T., Hancock, D. W., ... &amp; Raven, M. R. (2020). </w:t>
      </w:r>
      <w:r>
        <w:rPr>
          <w:rFonts w:ascii="Georgia" w:cs="Georgia" w:eastAsia="Georgia" w:hAnsi="Georgia"/>
          <w:i/>
          <w:iCs/>
          <w:sz w:val="18"/>
          <w:szCs w:val="18"/>
        </w:rPr>
        <w:t xml:space="preserve">Ecosystem impacts and productive capacity of a multi-species pastured livestock system. </w:t>
      </w:r>
      <w:r>
        <w:rPr>
          <w:rFonts w:ascii="Georgia" w:cs="Georgia" w:eastAsia="Georgia" w:hAnsi="Georgia"/>
          <w:sz w:val="18"/>
          <w:szCs w:val="18"/>
        </w:rPr>
        <w:t xml:space="preserve">Frontiers in Sustainable Food Systems.</w:t>
      </w:r>
    </w:p>
  </w:footnote>
  <w:footnote w:id="107">
    <w:p>
      <w:pPr>
        <w:spacing w:after="0" w:line="232"/>
      </w:pPr>
      <w:r>
        <w:rPr>
          <w:rStyle w:val="FootnoteReference"/>
        </w:rPr>
        <w:footnoteRef/>
      </w:r>
      <w:r>
        <w:rPr>
          <w:rFonts w:ascii="Arial" w:cs="Arial" w:eastAsia="Arial" w:hAnsi="Arial"/>
          <w:b/>
          <w:bCs/>
          <w:color w:val="234A35"/>
          <w:sz w:val="17"/>
          <w:szCs w:val="17"/>
        </w:rPr>
        <w:t xml:space="preserve">Ref. [57]. </w:t>
      </w:r>
      <w:r>
        <w:rPr>
          <w:rFonts w:ascii="Georgia" w:cs="Georgia" w:eastAsia="Georgia" w:hAnsi="Georgia"/>
          <w:sz w:val="18"/>
          <w:szCs w:val="18"/>
        </w:rPr>
        <w:t xml:space="preserve">Garnett, T., Godde, C., Muller, A., Röös, E., Smith, P., de Boer, I., ... &amp; van Zanten, H. (2017). </w:t>
      </w:r>
      <w:r>
        <w:rPr>
          <w:rFonts w:ascii="Georgia" w:cs="Georgia" w:eastAsia="Georgia" w:hAnsi="Georgia"/>
          <w:i/>
          <w:iCs/>
          <w:sz w:val="18"/>
          <w:szCs w:val="18"/>
        </w:rPr>
        <w:t xml:space="preserve">Grazed and confused? Ruminating on cattle, grazing systems, methane, nitrous oxide, the soil carbon sequestration question — and what it all means for greenhouse gas emissions. </w:t>
      </w:r>
      <w:r>
        <w:rPr>
          <w:rFonts w:ascii="Georgia" w:cs="Georgia" w:eastAsia="Georgia" w:hAnsi="Georgia"/>
          <w:sz w:val="18"/>
          <w:szCs w:val="18"/>
        </w:rPr>
        <w:t xml:space="preserve">Food Climate Research Network, University of Oxford.</w:t>
      </w:r>
    </w:p>
  </w:footnote>
  <w:footnote w:id="108">
    <w:p>
      <w:pPr>
        <w:spacing w:after="0" w:line="232"/>
      </w:pPr>
      <w:r>
        <w:rPr>
          <w:rStyle w:val="FootnoteReference"/>
        </w:rPr>
        <w:footnoteRef/>
      </w:r>
      <w:r>
        <w:rPr>
          <w:rFonts w:ascii="Arial" w:cs="Arial" w:eastAsia="Arial" w:hAnsi="Arial"/>
          <w:b/>
          <w:bCs/>
          <w:color w:val="234A35"/>
          <w:sz w:val="17"/>
          <w:szCs w:val="17"/>
        </w:rPr>
        <w:t xml:space="preserve">Ref. [58]. </w:t>
      </w:r>
      <w:r>
        <w:rPr>
          <w:rFonts w:ascii="Georgia" w:cs="Georgia" w:eastAsia="Georgia" w:hAnsi="Georgia"/>
          <w:sz w:val="18"/>
          <w:szCs w:val="18"/>
        </w:rPr>
        <w:t xml:space="preserve">Teague, W. R., Apfelbaum, S., Lal, R., Kreuter, U. P., Rowntree, J., Davies, C. A., ... &amp; Byck, P. (2016). </w:t>
      </w:r>
      <w:r>
        <w:rPr>
          <w:rFonts w:ascii="Georgia" w:cs="Georgia" w:eastAsia="Georgia" w:hAnsi="Georgia"/>
          <w:i/>
          <w:iCs/>
          <w:sz w:val="18"/>
          <w:szCs w:val="18"/>
        </w:rPr>
        <w:t xml:space="preserve">The role of ruminants in reducing agriculture's carbon footprint in North America. </w:t>
      </w:r>
      <w:r>
        <w:rPr>
          <w:rFonts w:ascii="Georgia" w:cs="Georgia" w:eastAsia="Georgia" w:hAnsi="Georgia"/>
          <w:sz w:val="18"/>
          <w:szCs w:val="18"/>
        </w:rPr>
        <w:t xml:space="preserve">Journal of Soil and Water Conservation.</w:t>
      </w:r>
    </w:p>
  </w:footnote>
  <w:footnote w:id="109">
    <w:p>
      <w:pPr>
        <w:spacing w:after="0" w:line="232"/>
      </w:pPr>
      <w:r>
        <w:rPr>
          <w:rStyle w:val="FootnoteReference"/>
        </w:rPr>
        <w:footnoteRef/>
      </w:r>
      <w:r>
        <w:rPr>
          <w:rFonts w:ascii="Arial" w:cs="Arial" w:eastAsia="Arial" w:hAnsi="Arial"/>
          <w:b/>
          <w:bCs/>
          <w:color w:val="234A35"/>
          <w:sz w:val="17"/>
          <w:szCs w:val="17"/>
        </w:rPr>
        <w:t xml:space="preserve">Ref. [65]. </w:t>
      </w:r>
      <w:r>
        <w:rPr>
          <w:rFonts w:ascii="Georgia" w:cs="Georgia" w:eastAsia="Georgia" w:hAnsi="Georgia"/>
          <w:sz w:val="18"/>
          <w:szCs w:val="18"/>
        </w:rPr>
        <w:t xml:space="preserve">Ahn, Y.-Y., Ahnert, S. E., Bagrow, J. P., &amp; Barabási, A.-L. (2011). </w:t>
      </w:r>
      <w:r>
        <w:rPr>
          <w:rFonts w:ascii="Georgia" w:cs="Georgia" w:eastAsia="Georgia" w:hAnsi="Georgia"/>
          <w:i/>
          <w:iCs/>
          <w:sz w:val="18"/>
          <w:szCs w:val="18"/>
        </w:rPr>
        <w:t xml:space="preserve">Flavor network and the principles of food pairing. </w:t>
      </w:r>
      <w:r>
        <w:rPr>
          <w:rFonts w:ascii="Georgia" w:cs="Georgia" w:eastAsia="Georgia" w:hAnsi="Georgia"/>
          <w:sz w:val="18"/>
          <w:szCs w:val="18"/>
        </w:rPr>
        <w:t xml:space="preserve">Scientific Reports.</w:t>
      </w:r>
    </w:p>
  </w:footnote>
  <w:footnote w:id="110">
    <w:p>
      <w:pPr>
        <w:spacing w:after="0" w:line="232"/>
      </w:pPr>
      <w:r>
        <w:rPr>
          <w:rStyle w:val="FootnoteReference"/>
        </w:rPr>
        <w:footnoteRef/>
      </w:r>
      <w:r>
        <w:rPr>
          <w:rFonts w:ascii="Arial" w:cs="Arial" w:eastAsia="Arial" w:hAnsi="Arial"/>
          <w:b/>
          <w:bCs/>
          <w:color w:val="234A35"/>
          <w:sz w:val="17"/>
          <w:szCs w:val="17"/>
        </w:rPr>
        <w:t xml:space="preserve">Ref. [66]. </w:t>
      </w:r>
      <w:r>
        <w:rPr>
          <w:rFonts w:ascii="Georgia" w:cs="Georgia" w:eastAsia="Georgia" w:hAnsi="Georgia"/>
          <w:sz w:val="18"/>
          <w:szCs w:val="18"/>
        </w:rPr>
        <w:t xml:space="preserve">Jain, A., Rakhi, N. K., &amp; Bagler, G. (2015). </w:t>
      </w:r>
      <w:r>
        <w:rPr>
          <w:rFonts w:ascii="Georgia" w:cs="Georgia" w:eastAsia="Georgia" w:hAnsi="Georgia"/>
          <w:i/>
          <w:iCs/>
          <w:sz w:val="18"/>
          <w:szCs w:val="18"/>
        </w:rPr>
        <w:t xml:space="preserve">Analysis of food pairing in regional cuisines of India. </w:t>
      </w:r>
      <w:r>
        <w:rPr>
          <w:rFonts w:ascii="Georgia" w:cs="Georgia" w:eastAsia="Georgia" w:hAnsi="Georgia"/>
          <w:sz w:val="18"/>
          <w:szCs w:val="18"/>
        </w:rPr>
        <w:t xml:space="preserve">PLOS ONE.</w:t>
      </w:r>
    </w:p>
  </w:footnote>
  <w:footnote w:id="111">
    <w:p>
      <w:pPr>
        <w:spacing w:after="0" w:line="232"/>
      </w:pPr>
      <w:r>
        <w:rPr>
          <w:rStyle w:val="FootnoteReference"/>
        </w:rPr>
        <w:footnoteRef/>
      </w:r>
      <w:r>
        <w:rPr>
          <w:rFonts w:ascii="Arial" w:cs="Arial" w:eastAsia="Arial" w:hAnsi="Arial"/>
          <w:b/>
          <w:bCs/>
          <w:color w:val="234A35"/>
          <w:sz w:val="17"/>
          <w:szCs w:val="17"/>
        </w:rPr>
        <w:t xml:space="preserve">Ref. [67]. </w:t>
      </w:r>
      <w:r>
        <w:rPr>
          <w:rFonts w:ascii="Georgia" w:cs="Georgia" w:eastAsia="Georgia" w:hAnsi="Georgia"/>
          <w:sz w:val="18"/>
          <w:szCs w:val="18"/>
        </w:rPr>
        <w:t xml:space="preserve">Spence, C. (2020). </w:t>
      </w:r>
      <w:r>
        <w:rPr>
          <w:rFonts w:ascii="Georgia" w:cs="Georgia" w:eastAsia="Georgia" w:hAnsi="Georgia"/>
          <w:i/>
          <w:iCs/>
          <w:sz w:val="18"/>
          <w:szCs w:val="18"/>
        </w:rPr>
        <w:t xml:space="preserve">Food and beverage flavour pairing: A critical review of the literature. </w:t>
      </w:r>
      <w:r>
        <w:rPr>
          <w:rFonts w:ascii="Georgia" w:cs="Georgia" w:eastAsia="Georgia" w:hAnsi="Georgia"/>
          <w:sz w:val="18"/>
          <w:szCs w:val="18"/>
        </w:rPr>
        <w:t xml:space="preserve">Food Research International.</w:t>
      </w:r>
    </w:p>
  </w:footnote>
  <w:footnote w:id="112">
    <w:p>
      <w:pPr>
        <w:spacing w:after="0" w:line="232"/>
      </w:pPr>
      <w:r>
        <w:rPr>
          <w:rStyle w:val="FootnoteReference"/>
        </w:rPr>
        <w:footnoteRef/>
      </w:r>
      <w:r>
        <w:rPr>
          <w:rFonts w:ascii="Arial" w:cs="Arial" w:eastAsia="Arial" w:hAnsi="Arial"/>
          <w:b/>
          <w:bCs/>
          <w:color w:val="234A35"/>
          <w:sz w:val="17"/>
          <w:szCs w:val="17"/>
        </w:rPr>
        <w:t xml:space="preserve">Ref. [102]. </w:t>
      </w:r>
      <w:r>
        <w:rPr>
          <w:rFonts w:ascii="Georgia" w:cs="Georgia" w:eastAsia="Georgia" w:hAnsi="Georgia"/>
          <w:sz w:val="18"/>
          <w:szCs w:val="18"/>
        </w:rPr>
        <w:t xml:space="preserve">Dreher, M. L., &amp; Davenport, A. J. (2013). </w:t>
      </w:r>
      <w:r>
        <w:rPr>
          <w:rFonts w:ascii="Georgia" w:cs="Georgia" w:eastAsia="Georgia" w:hAnsi="Georgia"/>
          <w:i/>
          <w:iCs/>
          <w:sz w:val="18"/>
          <w:szCs w:val="18"/>
        </w:rPr>
        <w:t xml:space="preserve">Hass avocado composition and potential health effects. </w:t>
      </w:r>
      <w:r>
        <w:rPr>
          <w:rFonts w:ascii="Georgia" w:cs="Georgia" w:eastAsia="Georgia" w:hAnsi="Georgia"/>
          <w:sz w:val="18"/>
          <w:szCs w:val="18"/>
        </w:rPr>
        <w:t xml:space="preserve">Critical Reviews in Food Science and Nutrition.</w:t>
      </w:r>
    </w:p>
  </w:footnote>
  <w:footnote w:id="113">
    <w:p>
      <w:pPr>
        <w:spacing w:after="0" w:line="232"/>
      </w:pPr>
      <w:r>
        <w:rPr>
          <w:rStyle w:val="FootnoteReference"/>
        </w:rPr>
        <w:footnoteRef/>
      </w:r>
      <w:r>
        <w:rPr>
          <w:rFonts w:ascii="Arial" w:cs="Arial" w:eastAsia="Arial" w:hAnsi="Arial"/>
          <w:b/>
          <w:bCs/>
          <w:color w:val="234A35"/>
          <w:sz w:val="17"/>
          <w:szCs w:val="17"/>
        </w:rPr>
        <w:t xml:space="preserve">Ref. [103]. </w:t>
      </w:r>
      <w:r>
        <w:rPr>
          <w:rFonts w:ascii="Georgia" w:cs="Georgia" w:eastAsia="Georgia" w:hAnsi="Georgia"/>
          <w:sz w:val="18"/>
          <w:szCs w:val="18"/>
        </w:rPr>
        <w:t xml:space="preserve">U.S. Department of Agriculture, Agricultural Research Service (2024). </w:t>
      </w:r>
      <w:r>
        <w:rPr>
          <w:rFonts w:ascii="Georgia" w:cs="Georgia" w:eastAsia="Georgia" w:hAnsi="Georgia"/>
          <w:i/>
          <w:iCs/>
          <w:sz w:val="18"/>
          <w:szCs w:val="18"/>
        </w:rPr>
        <w:t xml:space="preserve">FoodData Central. </w:t>
      </w:r>
      <w:r>
        <w:rPr>
          <w:rFonts w:ascii="Georgia" w:cs="Georgia" w:eastAsia="Georgia" w:hAnsi="Georgia"/>
          <w:sz w:val="18"/>
          <w:szCs w:val="18"/>
        </w:rPr>
        <w:t xml:space="preserve">USDA ARS.</w:t>
      </w:r>
    </w:p>
  </w:footnote>
  <w:footnote w:id="114">
    <w:p>
      <w:pPr>
        <w:spacing w:after="0" w:line="232"/>
      </w:pPr>
      <w:r>
        <w:rPr>
          <w:rStyle w:val="FootnoteReference"/>
        </w:rPr>
        <w:footnoteRef/>
      </w:r>
      <w:r>
        <w:rPr>
          <w:rFonts w:ascii="Arial" w:cs="Arial" w:eastAsia="Arial" w:hAnsi="Arial"/>
          <w:b/>
          <w:bCs/>
          <w:color w:val="234A35"/>
          <w:sz w:val="17"/>
          <w:szCs w:val="17"/>
        </w:rPr>
        <w:t xml:space="preserve">Ref. [115]. </w:t>
      </w:r>
      <w:r>
        <w:rPr>
          <w:rFonts w:ascii="Georgia" w:cs="Georgia" w:eastAsia="Georgia" w:hAnsi="Georgia"/>
          <w:sz w:val="18"/>
          <w:szCs w:val="18"/>
        </w:rPr>
        <w:t xml:space="preserve">Japan Meat Grading Association (JMGA) (n.d.). </w:t>
      </w:r>
      <w:r>
        <w:rPr>
          <w:rFonts w:ascii="Georgia" w:cs="Georgia" w:eastAsia="Georgia" w:hAnsi="Georgia"/>
          <w:i/>
          <w:iCs/>
          <w:sz w:val="18"/>
          <w:szCs w:val="18"/>
        </w:rPr>
        <w:t xml:space="preserve">Beef Carcass Grading Standard. </w:t>
      </w:r>
      <w:r>
        <w:rPr>
          <w:rFonts w:ascii="Georgia" w:cs="Georgia" w:eastAsia="Georgia" w:hAnsi="Georgia"/>
          <w:sz w:val="18"/>
          <w:szCs w:val="18"/>
        </w:rPr>
        <w:t xml:space="preserve">Japan Meat Grading Association.</w:t>
      </w:r>
    </w:p>
  </w:footnote>
  <w:footnote w:id="115">
    <w:p>
      <w:pPr>
        <w:spacing w:after="0" w:line="232"/>
      </w:pPr>
      <w:r>
        <w:rPr>
          <w:rStyle w:val="FootnoteReference"/>
        </w:rPr>
        <w:footnoteRef/>
      </w:r>
      <w:r>
        <w:rPr>
          <w:rFonts w:ascii="Arial" w:cs="Arial" w:eastAsia="Arial" w:hAnsi="Arial"/>
          <w:b/>
          <w:bCs/>
          <w:color w:val="234A35"/>
          <w:sz w:val="17"/>
          <w:szCs w:val="17"/>
        </w:rPr>
        <w:t xml:space="preserve">Ref. [116]. </w:t>
      </w:r>
      <w:r>
        <w:rPr>
          <w:rFonts w:ascii="Georgia" w:cs="Georgia" w:eastAsia="Georgia" w:hAnsi="Georgia"/>
          <w:sz w:val="18"/>
          <w:szCs w:val="18"/>
        </w:rPr>
        <w:t xml:space="preserve">USDA Agricultural Marketing Service (2016). </w:t>
      </w:r>
      <w:r>
        <w:rPr>
          <w:rFonts w:ascii="Georgia" w:cs="Georgia" w:eastAsia="Georgia" w:hAnsi="Georgia"/>
          <w:i/>
          <w:iCs/>
          <w:sz w:val="18"/>
          <w:szCs w:val="18"/>
        </w:rPr>
        <w:t xml:space="preserve">United States Standards for Grades of Carcass Beef. </w:t>
      </w:r>
      <w:r>
        <w:rPr>
          <w:rFonts w:ascii="Georgia" w:cs="Georgia" w:eastAsia="Georgia" w:hAnsi="Georgia"/>
          <w:sz w:val="18"/>
          <w:szCs w:val="18"/>
        </w:rPr>
        <w:t xml:space="preserve">U.S. Department of Agriculture.</w:t>
      </w:r>
    </w:p>
  </w:footnote>
  <w:footnote w:id="116">
    <w:p>
      <w:pPr>
        <w:spacing w:after="0" w:line="232"/>
      </w:pPr>
      <w:r>
        <w:rPr>
          <w:rStyle w:val="FootnoteReference"/>
        </w:rPr>
        <w:footnoteRef/>
      </w:r>
      <w:r>
        <w:rPr>
          <w:rFonts w:ascii="Arial" w:cs="Arial" w:eastAsia="Arial" w:hAnsi="Arial"/>
          <w:b/>
          <w:bCs/>
          <w:color w:val="234A35"/>
          <w:sz w:val="17"/>
          <w:szCs w:val="17"/>
        </w:rPr>
        <w:t xml:space="preserve">Ref. [128]. </w:t>
      </w:r>
      <w:r>
        <w:rPr>
          <w:rFonts w:ascii="Georgia" w:cs="Georgia" w:eastAsia="Georgia" w:hAnsi="Georgia"/>
          <w:sz w:val="18"/>
          <w:szCs w:val="18"/>
        </w:rPr>
        <w:t xml:space="preserve">Daley, C. A., Abbott, A., Doyle, P. S., Nader, G. A., &amp; Larson, S. (2010). </w:t>
      </w:r>
      <w:r>
        <w:rPr>
          <w:rFonts w:ascii="Georgia" w:cs="Georgia" w:eastAsia="Georgia" w:hAnsi="Georgia"/>
          <w:i/>
          <w:iCs/>
          <w:sz w:val="18"/>
          <w:szCs w:val="18"/>
        </w:rPr>
        <w:t xml:space="preserve">A review of fatty acid profiles and antioxidant content in grass-fed and grain-fed beef. </w:t>
      </w:r>
      <w:r>
        <w:rPr>
          <w:rFonts w:ascii="Georgia" w:cs="Georgia" w:eastAsia="Georgia" w:hAnsi="Georgia"/>
          <w:sz w:val="18"/>
          <w:szCs w:val="18"/>
        </w:rPr>
        <w:t xml:space="preserve">Nutrition Journal, 9(10).</w:t>
      </w:r>
    </w:p>
  </w:footnote>
  <w:footnote w:id="117">
    <w:p>
      <w:pPr>
        <w:spacing w:after="0" w:line="232"/>
      </w:pPr>
      <w:r>
        <w:rPr>
          <w:rStyle w:val="FootnoteReference"/>
        </w:rPr>
        <w:footnoteRef/>
      </w:r>
      <w:r>
        <w:rPr>
          <w:rFonts w:ascii="Arial" w:cs="Arial" w:eastAsia="Arial" w:hAnsi="Arial"/>
          <w:b/>
          <w:bCs/>
          <w:color w:val="234A35"/>
          <w:sz w:val="17"/>
          <w:szCs w:val="17"/>
        </w:rPr>
        <w:t xml:space="preserve">Ref. [118]. </w:t>
      </w:r>
      <w:r>
        <w:rPr>
          <w:rFonts w:ascii="Georgia" w:cs="Georgia" w:eastAsia="Georgia" w:hAnsi="Georgia"/>
          <w:sz w:val="18"/>
          <w:szCs w:val="18"/>
        </w:rPr>
        <w:t xml:space="preserve">Meat &amp; Livestock Australia (MLA) (n.d.). </w:t>
      </w:r>
      <w:r>
        <w:rPr>
          <w:rFonts w:ascii="Georgia" w:cs="Georgia" w:eastAsia="Georgia" w:hAnsi="Georgia"/>
          <w:i/>
          <w:iCs/>
          <w:sz w:val="18"/>
          <w:szCs w:val="18"/>
        </w:rPr>
        <w:t xml:space="preserve">AUS-MEAT Marbling and MSA Grading. </w:t>
      </w:r>
      <w:r>
        <w:rPr>
          <w:rFonts w:ascii="Georgia" w:cs="Georgia" w:eastAsia="Georgia" w:hAnsi="Georgia"/>
          <w:sz w:val="18"/>
          <w:szCs w:val="18"/>
        </w:rPr>
        <w:t xml:space="preserve">Meat &amp; Livestock Australia.</w:t>
      </w:r>
    </w:p>
  </w:footnote>
  <w:footnote w:id="118">
    <w:p>
      <w:pPr>
        <w:spacing w:after="0" w:line="232"/>
      </w:pPr>
      <w:r>
        <w:rPr>
          <w:rStyle w:val="FootnoteReference"/>
        </w:rPr>
        <w:footnoteRef/>
      </w:r>
      <w:r>
        <w:rPr>
          <w:rFonts w:ascii="Arial" w:cs="Arial" w:eastAsia="Arial" w:hAnsi="Arial"/>
          <w:b/>
          <w:bCs/>
          <w:color w:val="234A35"/>
          <w:sz w:val="17"/>
          <w:szCs w:val="17"/>
        </w:rPr>
        <w:t xml:space="preserve">Ref. [117]. </w:t>
      </w:r>
      <w:r>
        <w:rPr>
          <w:rFonts w:ascii="Georgia" w:cs="Georgia" w:eastAsia="Georgia" w:hAnsi="Georgia"/>
          <w:sz w:val="18"/>
          <w:szCs w:val="18"/>
        </w:rPr>
        <w:t xml:space="preserve">Kobe Beef Marketing &amp; Distribution Promotion Association (n.d.). </w:t>
      </w:r>
      <w:r>
        <w:rPr>
          <w:rFonts w:ascii="Georgia" w:cs="Georgia" w:eastAsia="Georgia" w:hAnsi="Georgia"/>
          <w:i/>
          <w:iCs/>
          <w:sz w:val="18"/>
          <w:szCs w:val="18"/>
        </w:rPr>
        <w:t xml:space="preserve">Definition of Kobe Beef. </w:t>
      </w:r>
      <w:r>
        <w:rPr>
          <w:rFonts w:ascii="Georgia" w:cs="Georgia" w:eastAsia="Georgia" w:hAnsi="Georgia"/>
          <w:sz w:val="18"/>
          <w:szCs w:val="18"/>
        </w:rPr>
        <w:t xml:space="preserve">Kobe Beef Association.</w:t>
      </w:r>
    </w:p>
  </w:footnote>
  <w:footnote w:id="119">
    <w:p>
      <w:pPr>
        <w:spacing w:after="0" w:line="232"/>
      </w:pPr>
      <w:r>
        <w:rPr>
          <w:rStyle w:val="FootnoteReference"/>
        </w:rPr>
        <w:footnoteRef/>
      </w:r>
      <w:r>
        <w:rPr>
          <w:rFonts w:ascii="Arial" w:cs="Arial" w:eastAsia="Arial" w:hAnsi="Arial"/>
          <w:b/>
          <w:bCs/>
          <w:color w:val="234A35"/>
          <w:sz w:val="17"/>
          <w:szCs w:val="17"/>
        </w:rPr>
        <w:t xml:space="preserve">Ref. [119]. </w:t>
      </w:r>
      <w:r>
        <w:rPr>
          <w:rFonts w:ascii="Georgia" w:cs="Georgia" w:eastAsia="Georgia" w:hAnsi="Georgia"/>
          <w:sz w:val="18"/>
          <w:szCs w:val="18"/>
        </w:rPr>
        <w:t xml:space="preserve">Gobierno de España (2014). </w:t>
      </w:r>
      <w:r>
        <w:rPr>
          <w:rFonts w:ascii="Georgia" w:cs="Georgia" w:eastAsia="Georgia" w:hAnsi="Georgia"/>
          <w:i/>
          <w:iCs/>
          <w:sz w:val="18"/>
          <w:szCs w:val="18"/>
        </w:rPr>
        <w:t xml:space="preserve">Real Decreto 4/2014, Norma de Calidad para la carne, el jamón, la paleta y la caña de lomo ibérico. </w:t>
      </w:r>
      <w:r>
        <w:rPr>
          <w:rFonts w:ascii="Georgia" w:cs="Georgia" w:eastAsia="Georgia" w:hAnsi="Georgia"/>
          <w:sz w:val="18"/>
          <w:szCs w:val="18"/>
        </w:rPr>
        <w:t xml:space="preserve">Boletín Oficial del Estado (BOE).</w:t>
      </w:r>
    </w:p>
  </w:footnote>
  <w:footnote w:id="120">
    <w:p>
      <w:pPr>
        <w:spacing w:after="0" w:line="232"/>
      </w:pPr>
      <w:r>
        <w:rPr>
          <w:rStyle w:val="FootnoteReference"/>
        </w:rPr>
        <w:footnoteRef/>
      </w:r>
      <w:r>
        <w:rPr>
          <w:rFonts w:ascii="Arial" w:cs="Arial" w:eastAsia="Arial" w:hAnsi="Arial"/>
          <w:b/>
          <w:bCs/>
          <w:color w:val="234A35"/>
          <w:sz w:val="17"/>
          <w:szCs w:val="17"/>
        </w:rPr>
        <w:t xml:space="preserve">Ref. [122]. </w:t>
      </w:r>
      <w:r>
        <w:rPr>
          <w:rFonts w:ascii="Georgia" w:cs="Georgia" w:eastAsia="Georgia" w:hAnsi="Georgia"/>
          <w:sz w:val="18"/>
          <w:szCs w:val="18"/>
        </w:rPr>
        <w:t xml:space="preserve">Consorzio del Prosciutto di Parma (n.d.). </w:t>
      </w:r>
      <w:r>
        <w:rPr>
          <w:rFonts w:ascii="Georgia" w:cs="Georgia" w:eastAsia="Georgia" w:hAnsi="Georgia"/>
          <w:i/>
          <w:iCs/>
          <w:sz w:val="18"/>
          <w:szCs w:val="18"/>
        </w:rPr>
        <w:t xml:space="preserve">Prosciutto di Parma DOP Production Specification. </w:t>
      </w:r>
      <w:r>
        <w:rPr>
          <w:rFonts w:ascii="Georgia" w:cs="Georgia" w:eastAsia="Georgia" w:hAnsi="Georgia"/>
          <w:sz w:val="18"/>
          <w:szCs w:val="18"/>
        </w:rPr>
        <w:t xml:space="preserve">Consorzio del Prosciutto di Parma.</w:t>
      </w:r>
    </w:p>
  </w:footnote>
  <w:footnote w:id="121">
    <w:p>
      <w:pPr>
        <w:spacing w:after="0" w:line="232"/>
      </w:pPr>
      <w:r>
        <w:rPr>
          <w:rStyle w:val="FootnoteReference"/>
        </w:rPr>
        <w:footnoteRef/>
      </w:r>
      <w:r>
        <w:rPr>
          <w:rFonts w:ascii="Arial" w:cs="Arial" w:eastAsia="Arial" w:hAnsi="Arial"/>
          <w:b/>
          <w:bCs/>
          <w:color w:val="234A35"/>
          <w:sz w:val="17"/>
          <w:szCs w:val="17"/>
        </w:rPr>
        <w:t xml:space="preserve">Ref. [120]. </w:t>
      </w:r>
      <w:r>
        <w:rPr>
          <w:rFonts w:ascii="Georgia" w:cs="Georgia" w:eastAsia="Georgia" w:hAnsi="Georgia"/>
          <w:sz w:val="18"/>
          <w:szCs w:val="18"/>
        </w:rPr>
        <w:t xml:space="preserve">Institut National de l'Origine et de la Qualité (INAO) (n.d.). </w:t>
      </w:r>
      <w:r>
        <w:rPr>
          <w:rFonts w:ascii="Georgia" w:cs="Georgia" w:eastAsia="Georgia" w:hAnsi="Georgia"/>
          <w:i/>
          <w:iCs/>
          <w:sz w:val="18"/>
          <w:szCs w:val="18"/>
        </w:rPr>
        <w:t xml:space="preserve">Appellation d'Origine Contrôlée: Volaille de Bresse. </w:t>
      </w:r>
      <w:r>
        <w:rPr>
          <w:rFonts w:ascii="Georgia" w:cs="Georgia" w:eastAsia="Georgia" w:hAnsi="Georgia"/>
          <w:sz w:val="18"/>
          <w:szCs w:val="18"/>
        </w:rPr>
        <w:t xml:space="preserve">INAO (France).</w:t>
      </w:r>
    </w:p>
  </w:footnote>
  <w:footnote w:id="122">
    <w:p>
      <w:pPr>
        <w:spacing w:after="0" w:line="232"/>
      </w:pPr>
      <w:r>
        <w:rPr>
          <w:rStyle w:val="FootnoteReference"/>
        </w:rPr>
        <w:footnoteRef/>
      </w:r>
      <w:r>
        <w:rPr>
          <w:rFonts w:ascii="Arial" w:cs="Arial" w:eastAsia="Arial" w:hAnsi="Arial"/>
          <w:b/>
          <w:bCs/>
          <w:color w:val="234A35"/>
          <w:sz w:val="17"/>
          <w:szCs w:val="17"/>
        </w:rPr>
        <w:t xml:space="preserve">Ref. [121]. </w:t>
      </w:r>
      <w:r>
        <w:rPr>
          <w:rFonts w:ascii="Georgia" w:cs="Georgia" w:eastAsia="Georgia" w:hAnsi="Georgia"/>
          <w:sz w:val="18"/>
          <w:szCs w:val="18"/>
        </w:rPr>
        <w:t xml:space="preserve">Label Rouge / INAO (n.d.). </w:t>
      </w:r>
      <w:r>
        <w:rPr>
          <w:rFonts w:ascii="Georgia" w:cs="Georgia" w:eastAsia="Georgia" w:hAnsi="Georgia"/>
          <w:i/>
          <w:iCs/>
          <w:sz w:val="18"/>
          <w:szCs w:val="18"/>
        </w:rPr>
        <w:t xml:space="preserve">Label Rouge poultry specifications. </w:t>
      </w:r>
      <w:r>
        <w:rPr>
          <w:rFonts w:ascii="Georgia" w:cs="Georgia" w:eastAsia="Georgia" w:hAnsi="Georgia"/>
          <w:sz w:val="18"/>
          <w:szCs w:val="18"/>
        </w:rPr>
        <w:t xml:space="preserve">INAO (France).</w:t>
      </w:r>
    </w:p>
  </w:footnote>
  <w:footnote w:id="123">
    <w:p>
      <w:pPr>
        <w:spacing w:after="0" w:line="232"/>
      </w:pPr>
      <w:r>
        <w:rPr>
          <w:rStyle w:val="FootnoteReference"/>
        </w:rPr>
        <w:footnoteRef/>
      </w:r>
      <w:r>
        <w:rPr>
          <w:rFonts w:ascii="Arial" w:cs="Arial" w:eastAsia="Arial" w:hAnsi="Arial"/>
          <w:b/>
          <w:bCs/>
          <w:color w:val="234A35"/>
          <w:sz w:val="17"/>
          <w:szCs w:val="17"/>
        </w:rPr>
        <w:t xml:space="preserve">Ref. [115]. </w:t>
      </w:r>
      <w:r>
        <w:rPr>
          <w:rFonts w:ascii="Georgia" w:cs="Georgia" w:eastAsia="Georgia" w:hAnsi="Georgia"/>
          <w:sz w:val="18"/>
          <w:szCs w:val="18"/>
        </w:rPr>
        <w:t xml:space="preserve">Japan Meat Grading Association (JMGA) (n.d.). </w:t>
      </w:r>
      <w:r>
        <w:rPr>
          <w:rFonts w:ascii="Georgia" w:cs="Georgia" w:eastAsia="Georgia" w:hAnsi="Georgia"/>
          <w:i/>
          <w:iCs/>
          <w:sz w:val="18"/>
          <w:szCs w:val="18"/>
        </w:rPr>
        <w:t xml:space="preserve">Beef Carcass Grading Standard. </w:t>
      </w:r>
      <w:r>
        <w:rPr>
          <w:rFonts w:ascii="Georgia" w:cs="Georgia" w:eastAsia="Georgia" w:hAnsi="Georgia"/>
          <w:sz w:val="18"/>
          <w:szCs w:val="18"/>
        </w:rPr>
        <w:t xml:space="preserve">Japan Meat Grading Association.</w:t>
      </w:r>
    </w:p>
  </w:footnote>
  <w:footnote w:id="124">
    <w:p>
      <w:pPr>
        <w:spacing w:after="0" w:line="232"/>
      </w:pPr>
      <w:r>
        <w:rPr>
          <w:rStyle w:val="FootnoteReference"/>
        </w:rPr>
        <w:footnoteRef/>
      </w:r>
      <w:r>
        <w:rPr>
          <w:rFonts w:ascii="Arial" w:cs="Arial" w:eastAsia="Arial" w:hAnsi="Arial"/>
          <w:b/>
          <w:bCs/>
          <w:color w:val="234A35"/>
          <w:sz w:val="17"/>
          <w:szCs w:val="17"/>
        </w:rPr>
        <w:t xml:space="preserve">Ref. [116]. </w:t>
      </w:r>
      <w:r>
        <w:rPr>
          <w:rFonts w:ascii="Georgia" w:cs="Georgia" w:eastAsia="Georgia" w:hAnsi="Georgia"/>
          <w:sz w:val="18"/>
          <w:szCs w:val="18"/>
        </w:rPr>
        <w:t xml:space="preserve">USDA Agricultural Marketing Service (2016). </w:t>
      </w:r>
      <w:r>
        <w:rPr>
          <w:rFonts w:ascii="Georgia" w:cs="Georgia" w:eastAsia="Georgia" w:hAnsi="Georgia"/>
          <w:i/>
          <w:iCs/>
          <w:sz w:val="18"/>
          <w:szCs w:val="18"/>
        </w:rPr>
        <w:t xml:space="preserve">United States Standards for Grades of Carcass Beef. </w:t>
      </w:r>
      <w:r>
        <w:rPr>
          <w:rFonts w:ascii="Georgia" w:cs="Georgia" w:eastAsia="Georgia" w:hAnsi="Georgia"/>
          <w:sz w:val="18"/>
          <w:szCs w:val="18"/>
        </w:rPr>
        <w:t xml:space="preserve">U.S. Department of Agriculture.</w:t>
      </w:r>
    </w:p>
  </w:footnote>
  <w:footnote w:id="125">
    <w:p>
      <w:pPr>
        <w:spacing w:after="0" w:line="232"/>
      </w:pPr>
      <w:r>
        <w:rPr>
          <w:rStyle w:val="FootnoteReference"/>
        </w:rPr>
        <w:footnoteRef/>
      </w:r>
      <w:r>
        <w:rPr>
          <w:rFonts w:ascii="Arial" w:cs="Arial" w:eastAsia="Arial" w:hAnsi="Arial"/>
          <w:b/>
          <w:bCs/>
          <w:color w:val="234A35"/>
          <w:sz w:val="17"/>
          <w:szCs w:val="17"/>
        </w:rPr>
        <w:t xml:space="preserve">Ref. [118]. </w:t>
      </w:r>
      <w:r>
        <w:rPr>
          <w:rFonts w:ascii="Georgia" w:cs="Georgia" w:eastAsia="Georgia" w:hAnsi="Georgia"/>
          <w:sz w:val="18"/>
          <w:szCs w:val="18"/>
        </w:rPr>
        <w:t xml:space="preserve">Meat &amp; Livestock Australia (MLA) (n.d.). </w:t>
      </w:r>
      <w:r>
        <w:rPr>
          <w:rFonts w:ascii="Georgia" w:cs="Georgia" w:eastAsia="Georgia" w:hAnsi="Georgia"/>
          <w:i/>
          <w:iCs/>
          <w:sz w:val="18"/>
          <w:szCs w:val="18"/>
        </w:rPr>
        <w:t xml:space="preserve">AUS-MEAT Marbling and MSA Grading. </w:t>
      </w:r>
      <w:r>
        <w:rPr>
          <w:rFonts w:ascii="Georgia" w:cs="Georgia" w:eastAsia="Georgia" w:hAnsi="Georgia"/>
          <w:sz w:val="18"/>
          <w:szCs w:val="18"/>
        </w:rPr>
        <w:t xml:space="preserve">Meat &amp; Livestock Australia.</w:t>
      </w:r>
    </w:p>
  </w:footnote>
  <w:footnote w:id="126">
    <w:p>
      <w:pPr>
        <w:spacing w:after="0" w:line="232"/>
      </w:pPr>
      <w:r>
        <w:rPr>
          <w:rStyle w:val="FootnoteReference"/>
        </w:rPr>
        <w:footnoteRef/>
      </w:r>
      <w:r>
        <w:rPr>
          <w:rFonts w:ascii="Arial" w:cs="Arial" w:eastAsia="Arial" w:hAnsi="Arial"/>
          <w:b/>
          <w:bCs/>
          <w:color w:val="234A35"/>
          <w:sz w:val="17"/>
          <w:szCs w:val="17"/>
        </w:rPr>
        <w:t xml:space="preserve">Ref. [119]. </w:t>
      </w:r>
      <w:r>
        <w:rPr>
          <w:rFonts w:ascii="Georgia" w:cs="Georgia" w:eastAsia="Georgia" w:hAnsi="Georgia"/>
          <w:sz w:val="18"/>
          <w:szCs w:val="18"/>
        </w:rPr>
        <w:t xml:space="preserve">Gobierno de España (2014). </w:t>
      </w:r>
      <w:r>
        <w:rPr>
          <w:rFonts w:ascii="Georgia" w:cs="Georgia" w:eastAsia="Georgia" w:hAnsi="Georgia"/>
          <w:i/>
          <w:iCs/>
          <w:sz w:val="18"/>
          <w:szCs w:val="18"/>
        </w:rPr>
        <w:t xml:space="preserve">Real Decreto 4/2014, Norma de Calidad para la carne, el jamón, la paleta y la caña de lomo ibérico. </w:t>
      </w:r>
      <w:r>
        <w:rPr>
          <w:rFonts w:ascii="Georgia" w:cs="Georgia" w:eastAsia="Georgia" w:hAnsi="Georgia"/>
          <w:sz w:val="18"/>
          <w:szCs w:val="18"/>
        </w:rPr>
        <w:t xml:space="preserve">Boletín Oficial del Estado (BOE).</w:t>
      </w:r>
    </w:p>
  </w:footnote>
  <w:footnote w:id="127">
    <w:p>
      <w:pPr>
        <w:spacing w:after="0" w:line="232"/>
      </w:pPr>
      <w:r>
        <w:rPr>
          <w:rStyle w:val="FootnoteReference"/>
        </w:rPr>
        <w:footnoteRef/>
      </w:r>
      <w:r>
        <w:rPr>
          <w:rFonts w:ascii="Arial" w:cs="Arial" w:eastAsia="Arial" w:hAnsi="Arial"/>
          <w:b/>
          <w:bCs/>
          <w:color w:val="234A35"/>
          <w:sz w:val="17"/>
          <w:szCs w:val="17"/>
        </w:rPr>
        <w:t xml:space="preserve">Ref. [120]. </w:t>
      </w:r>
      <w:r>
        <w:rPr>
          <w:rFonts w:ascii="Georgia" w:cs="Georgia" w:eastAsia="Georgia" w:hAnsi="Georgia"/>
          <w:sz w:val="18"/>
          <w:szCs w:val="18"/>
        </w:rPr>
        <w:t xml:space="preserve">Institut National de l'Origine et de la Qualité (INAO) (n.d.). </w:t>
      </w:r>
      <w:r>
        <w:rPr>
          <w:rFonts w:ascii="Georgia" w:cs="Georgia" w:eastAsia="Georgia" w:hAnsi="Georgia"/>
          <w:i/>
          <w:iCs/>
          <w:sz w:val="18"/>
          <w:szCs w:val="18"/>
        </w:rPr>
        <w:t xml:space="preserve">Appellation d'Origine Contrôlée: Volaille de Bresse. </w:t>
      </w:r>
      <w:r>
        <w:rPr>
          <w:rFonts w:ascii="Georgia" w:cs="Georgia" w:eastAsia="Georgia" w:hAnsi="Georgia"/>
          <w:sz w:val="18"/>
          <w:szCs w:val="18"/>
        </w:rPr>
        <w:t xml:space="preserve">INAO (France).</w:t>
      </w:r>
    </w:p>
  </w:footnote>
  <w:footnote w:id="128">
    <w:p>
      <w:pPr>
        <w:spacing w:after="0" w:line="232"/>
      </w:pPr>
      <w:r>
        <w:rPr>
          <w:rStyle w:val="FootnoteReference"/>
        </w:rPr>
        <w:footnoteRef/>
      </w:r>
      <w:r>
        <w:rPr>
          <w:rFonts w:ascii="Arial" w:cs="Arial" w:eastAsia="Arial" w:hAnsi="Arial"/>
          <w:b/>
          <w:bCs/>
          <w:color w:val="234A35"/>
          <w:sz w:val="17"/>
          <w:szCs w:val="17"/>
        </w:rPr>
        <w:t xml:space="preserve">Ref. [121]. </w:t>
      </w:r>
      <w:r>
        <w:rPr>
          <w:rFonts w:ascii="Georgia" w:cs="Georgia" w:eastAsia="Georgia" w:hAnsi="Georgia"/>
          <w:sz w:val="18"/>
          <w:szCs w:val="18"/>
        </w:rPr>
        <w:t xml:space="preserve">Label Rouge / INAO (n.d.). </w:t>
      </w:r>
      <w:r>
        <w:rPr>
          <w:rFonts w:ascii="Georgia" w:cs="Georgia" w:eastAsia="Georgia" w:hAnsi="Georgia"/>
          <w:i/>
          <w:iCs/>
          <w:sz w:val="18"/>
          <w:szCs w:val="18"/>
        </w:rPr>
        <w:t xml:space="preserve">Label Rouge poultry specifications. </w:t>
      </w:r>
      <w:r>
        <w:rPr>
          <w:rFonts w:ascii="Georgia" w:cs="Georgia" w:eastAsia="Georgia" w:hAnsi="Georgia"/>
          <w:sz w:val="18"/>
          <w:szCs w:val="18"/>
        </w:rPr>
        <w:t xml:space="preserve">INAO (France).</w:t>
      </w:r>
    </w:p>
  </w:footnote>
  <w:footnote w:id="129">
    <w:p>
      <w:pPr>
        <w:spacing w:after="0" w:line="232"/>
      </w:pPr>
      <w:r>
        <w:rPr>
          <w:rStyle w:val="FootnoteReference"/>
        </w:rPr>
        <w:footnoteRef/>
      </w:r>
      <w:r>
        <w:rPr>
          <w:rFonts w:ascii="Arial" w:cs="Arial" w:eastAsia="Arial" w:hAnsi="Arial"/>
          <w:b/>
          <w:bCs/>
          <w:color w:val="234A35"/>
          <w:sz w:val="17"/>
          <w:szCs w:val="17"/>
        </w:rPr>
        <w:t xml:space="preserve">Ref. [123]. </w:t>
      </w:r>
      <w:r>
        <w:rPr>
          <w:rFonts w:ascii="Georgia" w:cs="Georgia" w:eastAsia="Georgia" w:hAnsi="Georgia"/>
          <w:sz w:val="18"/>
          <w:szCs w:val="18"/>
        </w:rPr>
        <w:t xml:space="preserve">Monterey Bay Aquarium (2024). </w:t>
      </w:r>
      <w:r>
        <w:rPr>
          <w:rFonts w:ascii="Georgia" w:cs="Georgia" w:eastAsia="Georgia" w:hAnsi="Georgia"/>
          <w:i/>
          <w:iCs/>
          <w:sz w:val="18"/>
          <w:szCs w:val="18"/>
        </w:rPr>
        <w:t xml:space="preserve">Seafood Watch Standards and Recommendations. </w:t>
      </w:r>
      <w:r>
        <w:rPr>
          <w:rFonts w:ascii="Georgia" w:cs="Georgia" w:eastAsia="Georgia" w:hAnsi="Georgia"/>
          <w:sz w:val="18"/>
          <w:szCs w:val="18"/>
        </w:rPr>
        <w:t xml:space="preserve">Monterey Bay Aquarium Seafood Watch.</w:t>
      </w:r>
    </w:p>
  </w:footnote>
  <w:footnote w:id="130">
    <w:p>
      <w:pPr>
        <w:spacing w:after="0" w:line="232"/>
      </w:pPr>
      <w:r>
        <w:rPr>
          <w:rStyle w:val="FootnoteReference"/>
        </w:rPr>
        <w:footnoteRef/>
      </w:r>
      <w:r>
        <w:rPr>
          <w:rFonts w:ascii="Arial" w:cs="Arial" w:eastAsia="Arial" w:hAnsi="Arial"/>
          <w:b/>
          <w:bCs/>
          <w:color w:val="234A35"/>
          <w:sz w:val="17"/>
          <w:szCs w:val="17"/>
        </w:rPr>
        <w:t xml:space="preserve">Ref. [124]. </w:t>
      </w:r>
      <w:r>
        <w:rPr>
          <w:rFonts w:ascii="Georgia" w:cs="Georgia" w:eastAsia="Georgia" w:hAnsi="Georgia"/>
          <w:sz w:val="18"/>
          <w:szCs w:val="18"/>
        </w:rPr>
        <w:t xml:space="preserve">Marine Stewardship Council (MSC) (n.d.). </w:t>
      </w:r>
      <w:r>
        <w:rPr>
          <w:rFonts w:ascii="Georgia" w:cs="Georgia" w:eastAsia="Georgia" w:hAnsi="Georgia"/>
          <w:i/>
          <w:iCs/>
          <w:sz w:val="18"/>
          <w:szCs w:val="18"/>
        </w:rPr>
        <w:t xml:space="preserve">MSC Fisheries Standard. </w:t>
      </w:r>
      <w:r>
        <w:rPr>
          <w:rFonts w:ascii="Georgia" w:cs="Georgia" w:eastAsia="Georgia" w:hAnsi="Georgia"/>
          <w:sz w:val="18"/>
          <w:szCs w:val="18"/>
        </w:rPr>
        <w:t xml:space="preserve">Marine Stewardship Council.</w:t>
      </w:r>
    </w:p>
  </w:footnote>
  <w:footnote w:id="131">
    <w:p>
      <w:pPr>
        <w:spacing w:after="0" w:line="232"/>
      </w:pPr>
      <w:r>
        <w:rPr>
          <w:rStyle w:val="FootnoteReference"/>
        </w:rPr>
        <w:footnoteRef/>
      </w:r>
      <w:r>
        <w:rPr>
          <w:rFonts w:ascii="Arial" w:cs="Arial" w:eastAsia="Arial" w:hAnsi="Arial"/>
          <w:b/>
          <w:bCs/>
          <w:color w:val="234A35"/>
          <w:sz w:val="17"/>
          <w:szCs w:val="17"/>
        </w:rPr>
        <w:t xml:space="preserve">Ref. [125]. </w:t>
      </w:r>
      <w:r>
        <w:rPr>
          <w:rFonts w:ascii="Georgia" w:cs="Georgia" w:eastAsia="Georgia" w:hAnsi="Georgia"/>
          <w:sz w:val="18"/>
          <w:szCs w:val="18"/>
        </w:rPr>
        <w:t xml:space="preserve">Aquaculture Stewardship Council (ASC) (n.d.). </w:t>
      </w:r>
      <w:r>
        <w:rPr>
          <w:rFonts w:ascii="Georgia" w:cs="Georgia" w:eastAsia="Georgia" w:hAnsi="Georgia"/>
          <w:i/>
          <w:iCs/>
          <w:sz w:val="18"/>
          <w:szCs w:val="18"/>
        </w:rPr>
        <w:t xml:space="preserve">ASC Farm Standards. </w:t>
      </w:r>
      <w:r>
        <w:rPr>
          <w:rFonts w:ascii="Georgia" w:cs="Georgia" w:eastAsia="Georgia" w:hAnsi="Georgia"/>
          <w:sz w:val="18"/>
          <w:szCs w:val="18"/>
        </w:rPr>
        <w:t xml:space="preserve">Aquaculture Stewardship Council.</w:t>
      </w:r>
    </w:p>
  </w:footnote>
  <w:footnote w:id="132">
    <w:p>
      <w:pPr>
        <w:spacing w:after="0" w:line="232"/>
      </w:pPr>
      <w:r>
        <w:rPr>
          <w:rStyle w:val="FootnoteReference"/>
        </w:rPr>
        <w:footnoteRef/>
      </w:r>
      <w:r>
        <w:rPr>
          <w:rFonts w:ascii="Arial" w:cs="Arial" w:eastAsia="Arial" w:hAnsi="Arial"/>
          <w:b/>
          <w:bCs/>
          <w:color w:val="234A35"/>
          <w:sz w:val="17"/>
          <w:szCs w:val="17"/>
        </w:rPr>
        <w:t xml:space="preserve">Ref. [130]. </w:t>
      </w:r>
      <w:r>
        <w:rPr>
          <w:rFonts w:ascii="Georgia" w:cs="Georgia" w:eastAsia="Georgia" w:hAnsi="Georgia"/>
          <w:sz w:val="18"/>
          <w:szCs w:val="18"/>
        </w:rPr>
        <w:t xml:space="preserve">Seafood Watch (2024). </w:t>
      </w:r>
      <w:r>
        <w:rPr>
          <w:rFonts w:ascii="Georgia" w:cs="Georgia" w:eastAsia="Georgia" w:hAnsi="Georgia"/>
          <w:i/>
          <w:iCs/>
          <w:sz w:val="18"/>
          <w:szCs w:val="18"/>
        </w:rPr>
        <w:t xml:space="preserve">Farmed Atlantic Salmon and Wild Alaska Salmon Assessments. </w:t>
      </w:r>
      <w:r>
        <w:rPr>
          <w:rFonts w:ascii="Georgia" w:cs="Georgia" w:eastAsia="Georgia" w:hAnsi="Georgia"/>
          <w:sz w:val="18"/>
          <w:szCs w:val="18"/>
        </w:rPr>
        <w:t xml:space="preserve">Monterey Bay Aquarium Seafood Watch.</w:t>
      </w:r>
    </w:p>
  </w:footnote>
  <w:footnote w:id="133">
    <w:p>
      <w:pPr>
        <w:spacing w:after="0" w:line="232"/>
      </w:pPr>
      <w:r>
        <w:rPr>
          <w:rStyle w:val="FootnoteReference"/>
        </w:rPr>
        <w:footnoteRef/>
      </w:r>
      <w:r>
        <w:rPr>
          <w:rFonts w:ascii="Arial" w:cs="Arial" w:eastAsia="Arial" w:hAnsi="Arial"/>
          <w:b/>
          <w:bCs/>
          <w:color w:val="234A35"/>
          <w:sz w:val="17"/>
          <w:szCs w:val="17"/>
        </w:rPr>
        <w:t xml:space="preserve">Ref. [131]. </w:t>
      </w:r>
      <w:r>
        <w:rPr>
          <w:rFonts w:ascii="Georgia" w:cs="Georgia" w:eastAsia="Georgia" w:hAnsi="Georgia"/>
          <w:sz w:val="18"/>
          <w:szCs w:val="18"/>
        </w:rPr>
        <w:t xml:space="preserve">Cladis, D. P., Kleiner, A. C., Freiser, H. H., &amp; Santerre, C. R. (2014). </w:t>
      </w:r>
      <w:r>
        <w:rPr>
          <w:rFonts w:ascii="Georgia" w:cs="Georgia" w:eastAsia="Georgia" w:hAnsi="Georgia"/>
          <w:i/>
          <w:iCs/>
          <w:sz w:val="18"/>
          <w:szCs w:val="18"/>
        </w:rPr>
        <w:t xml:space="preserve">Fatty acid profiles of commercially available finfish. </w:t>
      </w:r>
      <w:r>
        <w:rPr>
          <w:rFonts w:ascii="Georgia" w:cs="Georgia" w:eastAsia="Georgia" w:hAnsi="Georgia"/>
          <w:sz w:val="18"/>
          <w:szCs w:val="18"/>
        </w:rPr>
        <w:t xml:space="preserve">Lipids, 49(10).</w:t>
      </w:r>
    </w:p>
  </w:footnote>
  <w:footnote w:id="134">
    <w:p>
      <w:pPr>
        <w:spacing w:after="0" w:line="232"/>
      </w:pPr>
      <w:r>
        <w:rPr>
          <w:rStyle w:val="FootnoteReference"/>
        </w:rPr>
        <w:footnoteRef/>
      </w:r>
      <w:r>
        <w:rPr>
          <w:rFonts w:ascii="Arial" w:cs="Arial" w:eastAsia="Arial" w:hAnsi="Arial"/>
          <w:b/>
          <w:bCs/>
          <w:color w:val="234A35"/>
          <w:sz w:val="17"/>
          <w:szCs w:val="17"/>
        </w:rPr>
        <w:t xml:space="preserve">Ref. [130]. </w:t>
      </w:r>
      <w:r>
        <w:rPr>
          <w:rFonts w:ascii="Georgia" w:cs="Georgia" w:eastAsia="Georgia" w:hAnsi="Georgia"/>
          <w:sz w:val="18"/>
          <w:szCs w:val="18"/>
        </w:rPr>
        <w:t xml:space="preserve">Seafood Watch (2024). </w:t>
      </w:r>
      <w:r>
        <w:rPr>
          <w:rFonts w:ascii="Georgia" w:cs="Georgia" w:eastAsia="Georgia" w:hAnsi="Georgia"/>
          <w:i/>
          <w:iCs/>
          <w:sz w:val="18"/>
          <w:szCs w:val="18"/>
        </w:rPr>
        <w:t xml:space="preserve">Farmed Atlantic Salmon and Wild Alaska Salmon Assessments. </w:t>
      </w:r>
      <w:r>
        <w:rPr>
          <w:rFonts w:ascii="Georgia" w:cs="Georgia" w:eastAsia="Georgia" w:hAnsi="Georgia"/>
          <w:sz w:val="18"/>
          <w:szCs w:val="18"/>
        </w:rPr>
        <w:t xml:space="preserve">Monterey Bay Aquarium Seafood Watch.</w:t>
      </w:r>
    </w:p>
  </w:footnote>
  <w:footnote w:id="135">
    <w:p>
      <w:pPr>
        <w:spacing w:after="0" w:line="232"/>
      </w:pPr>
      <w:r>
        <w:rPr>
          <w:rStyle w:val="FootnoteReference"/>
        </w:rPr>
        <w:footnoteRef/>
      </w:r>
      <w:r>
        <w:rPr>
          <w:rFonts w:ascii="Arial" w:cs="Arial" w:eastAsia="Arial" w:hAnsi="Arial"/>
          <w:b/>
          <w:bCs/>
          <w:color w:val="234A35"/>
          <w:sz w:val="17"/>
          <w:szCs w:val="17"/>
        </w:rPr>
        <w:t xml:space="preserve">Ref. [125]. </w:t>
      </w:r>
      <w:r>
        <w:rPr>
          <w:rFonts w:ascii="Georgia" w:cs="Georgia" w:eastAsia="Georgia" w:hAnsi="Georgia"/>
          <w:sz w:val="18"/>
          <w:szCs w:val="18"/>
        </w:rPr>
        <w:t xml:space="preserve">Aquaculture Stewardship Council (ASC) (n.d.). </w:t>
      </w:r>
      <w:r>
        <w:rPr>
          <w:rFonts w:ascii="Georgia" w:cs="Georgia" w:eastAsia="Georgia" w:hAnsi="Georgia"/>
          <w:i/>
          <w:iCs/>
          <w:sz w:val="18"/>
          <w:szCs w:val="18"/>
        </w:rPr>
        <w:t xml:space="preserve">ASC Farm Standards. </w:t>
      </w:r>
      <w:r>
        <w:rPr>
          <w:rFonts w:ascii="Georgia" w:cs="Georgia" w:eastAsia="Georgia" w:hAnsi="Georgia"/>
          <w:sz w:val="18"/>
          <w:szCs w:val="18"/>
        </w:rPr>
        <w:t xml:space="preserve">Aquaculture Stewardship Council.</w:t>
      </w:r>
    </w:p>
  </w:footnote>
  <w:footnote w:id="136">
    <w:p>
      <w:pPr>
        <w:spacing w:after="0" w:line="232"/>
      </w:pPr>
      <w:r>
        <w:rPr>
          <w:rStyle w:val="FootnoteReference"/>
        </w:rPr>
        <w:footnoteRef/>
      </w:r>
      <w:r>
        <w:rPr>
          <w:rFonts w:ascii="Arial" w:cs="Arial" w:eastAsia="Arial" w:hAnsi="Arial"/>
          <w:b/>
          <w:bCs/>
          <w:color w:val="234A35"/>
          <w:sz w:val="17"/>
          <w:szCs w:val="17"/>
        </w:rPr>
        <w:t xml:space="preserve">Ref. [126]. </w:t>
      </w:r>
      <w:r>
        <w:rPr>
          <w:rFonts w:ascii="Georgia" w:cs="Georgia" w:eastAsia="Georgia" w:hAnsi="Georgia"/>
          <w:sz w:val="18"/>
          <w:szCs w:val="18"/>
        </w:rPr>
        <w:t xml:space="preserve">Cronin, D. A., &amp; others (reviewed) (2010). </w:t>
      </w:r>
      <w:r>
        <w:rPr>
          <w:rFonts w:ascii="Georgia" w:cs="Georgia" w:eastAsia="Georgia" w:hAnsi="Georgia"/>
          <w:i/>
          <w:iCs/>
          <w:sz w:val="18"/>
          <w:szCs w:val="18"/>
        </w:rPr>
        <w:t xml:space="preserve">Sodium tripolyphosphate treatment of scallops and water uptake. </w:t>
      </w:r>
      <w:r>
        <w:rPr>
          <w:rFonts w:ascii="Georgia" w:cs="Georgia" w:eastAsia="Georgia" w:hAnsi="Georgia"/>
          <w:sz w:val="18"/>
          <w:szCs w:val="18"/>
        </w:rPr>
        <w:t xml:space="preserve">Journal of Food Science (review).</w:t>
      </w:r>
    </w:p>
  </w:footnote>
  <w:footnote w:id="137">
    <w:p>
      <w:pPr>
        <w:spacing w:after="0" w:line="232"/>
      </w:pPr>
      <w:r>
        <w:rPr>
          <w:rStyle w:val="FootnoteReference"/>
        </w:rPr>
        <w:footnoteRef/>
      </w:r>
      <w:r>
        <w:rPr>
          <w:rFonts w:ascii="Arial" w:cs="Arial" w:eastAsia="Arial" w:hAnsi="Arial"/>
          <w:b/>
          <w:bCs/>
          <w:color w:val="234A35"/>
          <w:sz w:val="17"/>
          <w:szCs w:val="17"/>
        </w:rPr>
        <w:t xml:space="preserve">Ref. [127]. </w:t>
      </w:r>
      <w:r>
        <w:rPr>
          <w:rFonts w:ascii="Georgia" w:cs="Georgia" w:eastAsia="Georgia" w:hAnsi="Georgia"/>
          <w:sz w:val="18"/>
          <w:szCs w:val="18"/>
        </w:rPr>
        <w:t xml:space="preserve">U.S. Food and Drug Administration (2022). </w:t>
      </w:r>
      <w:r>
        <w:rPr>
          <w:rFonts w:ascii="Georgia" w:cs="Georgia" w:eastAsia="Georgia" w:hAnsi="Georgia"/>
          <w:i/>
          <w:iCs/>
          <w:sz w:val="18"/>
          <w:szCs w:val="18"/>
        </w:rPr>
        <w:t xml:space="preserve">Fish and Fishery Products Hazards and Controls Guidance (4th ed.). </w:t>
      </w:r>
      <w:r>
        <w:rPr>
          <w:rFonts w:ascii="Georgia" w:cs="Georgia" w:eastAsia="Georgia" w:hAnsi="Georgia"/>
          <w:sz w:val="18"/>
          <w:szCs w:val="18"/>
        </w:rPr>
        <w:t xml:space="preserve">U.S. FDA.</w:t>
      </w:r>
    </w:p>
  </w:footnote>
  <w:footnote w:id="138">
    <w:p>
      <w:pPr>
        <w:spacing w:after="0" w:line="232"/>
      </w:pPr>
      <w:r>
        <w:rPr>
          <w:rStyle w:val="FootnoteReference"/>
        </w:rPr>
        <w:footnoteRef/>
      </w:r>
      <w:r>
        <w:rPr>
          <w:rFonts w:ascii="Arial" w:cs="Arial" w:eastAsia="Arial" w:hAnsi="Arial"/>
          <w:b/>
          <w:bCs/>
          <w:color w:val="234A35"/>
          <w:sz w:val="17"/>
          <w:szCs w:val="17"/>
        </w:rPr>
        <w:t xml:space="preserve">Ref. [111]. </w:t>
      </w:r>
      <w:r>
        <w:rPr>
          <w:rFonts w:ascii="Georgia" w:cs="Georgia" w:eastAsia="Georgia" w:hAnsi="Georgia"/>
          <w:sz w:val="18"/>
          <w:szCs w:val="18"/>
        </w:rPr>
        <w:t xml:space="preserve">Christensen, M., Purslow, P. P., &amp; Larsen, L. M. (2000). </w:t>
      </w:r>
      <w:r>
        <w:rPr>
          <w:rFonts w:ascii="Georgia" w:cs="Georgia" w:eastAsia="Georgia" w:hAnsi="Georgia"/>
          <w:i/>
          <w:iCs/>
          <w:sz w:val="18"/>
          <w:szCs w:val="18"/>
        </w:rPr>
        <w:t xml:space="preserve">The effect of cooking temperature on mechanical properties of whole meat, single muscle fibres and perimysial connective tissue. </w:t>
      </w:r>
      <w:r>
        <w:rPr>
          <w:rFonts w:ascii="Georgia" w:cs="Georgia" w:eastAsia="Georgia" w:hAnsi="Georgia"/>
          <w:sz w:val="18"/>
          <w:szCs w:val="18"/>
        </w:rPr>
        <w:t xml:space="preserve">Meat Science.</w:t>
      </w:r>
    </w:p>
  </w:footnote>
  <w:footnote w:id="139">
    <w:p>
      <w:pPr>
        <w:spacing w:after="0" w:line="232"/>
      </w:pPr>
      <w:r>
        <w:rPr>
          <w:rStyle w:val="FootnoteReference"/>
        </w:rPr>
        <w:footnoteRef/>
      </w:r>
      <w:r>
        <w:rPr>
          <w:rFonts w:ascii="Arial" w:cs="Arial" w:eastAsia="Arial" w:hAnsi="Arial"/>
          <w:b/>
          <w:bCs/>
          <w:color w:val="234A35"/>
          <w:sz w:val="17"/>
          <w:szCs w:val="17"/>
        </w:rPr>
        <w:t xml:space="preserve">Ref. [112]. </w:t>
      </w:r>
      <w:r>
        <w:rPr>
          <w:rFonts w:ascii="Georgia" w:cs="Georgia" w:eastAsia="Georgia" w:hAnsi="Georgia"/>
          <w:sz w:val="18"/>
          <w:szCs w:val="18"/>
        </w:rPr>
        <w:t xml:space="preserve">Baldwin, D. E. (2012). </w:t>
      </w:r>
      <w:r>
        <w:rPr>
          <w:rFonts w:ascii="Georgia" w:cs="Georgia" w:eastAsia="Georgia" w:hAnsi="Georgia"/>
          <w:i/>
          <w:iCs/>
          <w:sz w:val="18"/>
          <w:szCs w:val="18"/>
        </w:rPr>
        <w:t xml:space="preserve">Sous vide cooking: A review. </w:t>
      </w:r>
      <w:r>
        <w:rPr>
          <w:rFonts w:ascii="Georgia" w:cs="Georgia" w:eastAsia="Georgia" w:hAnsi="Georgia"/>
          <w:sz w:val="18"/>
          <w:szCs w:val="18"/>
        </w:rPr>
        <w:t xml:space="preserve">International Journal of Gastronomy and Food Science.</w:t>
      </w:r>
    </w:p>
  </w:footnote>
  <w:footnote w:id="140">
    <w:p>
      <w:pPr>
        <w:spacing w:after="0" w:line="232"/>
      </w:pPr>
      <w:r>
        <w:rPr>
          <w:rStyle w:val="FootnoteReference"/>
        </w:rPr>
        <w:footnoteRef/>
      </w:r>
      <w:r>
        <w:rPr>
          <w:rFonts w:ascii="Arial" w:cs="Arial" w:eastAsia="Arial" w:hAnsi="Arial"/>
          <w:b/>
          <w:bCs/>
          <w:color w:val="234A35"/>
          <w:sz w:val="17"/>
          <w:szCs w:val="17"/>
        </w:rPr>
        <w:t xml:space="preserve">Ref. [113]. </w:t>
      </w:r>
      <w:r>
        <w:rPr>
          <w:rFonts w:ascii="Georgia" w:cs="Georgia" w:eastAsia="Georgia" w:hAnsi="Georgia"/>
          <w:sz w:val="18"/>
          <w:szCs w:val="18"/>
        </w:rPr>
        <w:t xml:space="preserve">Desmond, E. (2006). </w:t>
      </w:r>
      <w:r>
        <w:rPr>
          <w:rFonts w:ascii="Georgia" w:cs="Georgia" w:eastAsia="Georgia" w:hAnsi="Georgia"/>
          <w:i/>
          <w:iCs/>
          <w:sz w:val="18"/>
          <w:szCs w:val="18"/>
        </w:rPr>
        <w:t xml:space="preserve">Reducing salt: A challenge for the meat industry. </w:t>
      </w:r>
      <w:r>
        <w:rPr>
          <w:rFonts w:ascii="Georgia" w:cs="Georgia" w:eastAsia="Georgia" w:hAnsi="Georgia"/>
          <w:sz w:val="18"/>
          <w:szCs w:val="18"/>
        </w:rPr>
        <w:t xml:space="preserve">Meat Science.</w:t>
      </w:r>
    </w:p>
  </w:footnote>
  <w:footnote w:id="141">
    <w:p>
      <w:pPr>
        <w:spacing w:after="0" w:line="232"/>
      </w:pPr>
      <w:r>
        <w:rPr>
          <w:rStyle w:val="FootnoteReference"/>
        </w:rPr>
        <w:footnoteRef/>
      </w:r>
      <w:r>
        <w:rPr>
          <w:rFonts w:ascii="Arial" w:cs="Arial" w:eastAsia="Arial" w:hAnsi="Arial"/>
          <w:b/>
          <w:bCs/>
          <w:color w:val="234A35"/>
          <w:sz w:val="17"/>
          <w:szCs w:val="17"/>
        </w:rPr>
        <w:t xml:space="preserve">Ref. [110]. </w:t>
      </w:r>
      <w:r>
        <w:rPr>
          <w:rFonts w:ascii="Georgia" w:cs="Georgia" w:eastAsia="Georgia" w:hAnsi="Georgia"/>
          <w:sz w:val="18"/>
          <w:szCs w:val="18"/>
        </w:rPr>
        <w:t xml:space="preserve">Purslow, P. P. (2005). </w:t>
      </w:r>
      <w:r>
        <w:rPr>
          <w:rFonts w:ascii="Georgia" w:cs="Georgia" w:eastAsia="Georgia" w:hAnsi="Georgia"/>
          <w:i/>
          <w:iCs/>
          <w:sz w:val="18"/>
          <w:szCs w:val="18"/>
        </w:rPr>
        <w:t xml:space="preserve">Intramuscular connective tissue and its role in meat quality. </w:t>
      </w:r>
      <w:r>
        <w:rPr>
          <w:rFonts w:ascii="Georgia" w:cs="Georgia" w:eastAsia="Georgia" w:hAnsi="Georgia"/>
          <w:sz w:val="18"/>
          <w:szCs w:val="18"/>
        </w:rPr>
        <w:t xml:space="preserve">Meat Science.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4" w:sz="4" w:space="6"/>
      </w:pBdr>
      <w:jc w:val="right"/>
    </w:pPr>
    <w:r>
      <w:rPr>
        <w:rFonts w:ascii="Arial" w:cs="Arial" w:eastAsia="Arial" w:hAnsi="Arial"/>
        <w:caps/>
        <w:color w:val="5B5B52"/>
        <w:sz w:val="14"/>
        <w:szCs w:val="14"/>
      </w:rPr>
      <w:t xml:space="preserve">Research Monograph · Northwest Arkansas Foodshed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34A35"/>
      </w:r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600" w:hanging="360"/>
      </w:pPr>
      <w:rPr>
        <w:b/>
        <w:bCs/>
        <w:color w:val="234A35"/>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34A35" w:sz="8" w:space="6"/>
      </w:pBdr>
      <w:spacing w:after="200" w:before="360"/>
      <w:outlineLvl w:val="0"/>
    </w:pPr>
    <w:rPr>
      <w:rFonts w:ascii="Arial" w:cs="Arial" w:eastAsia="Arial" w:hAnsi="Arial"/>
      <w:b/>
      <w:bCs/>
      <w:color w:val="234A35"/>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8C4A2F"/>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1A1A1A"/>
      <w:sz w:val="22"/>
      <w:szCs w:val="22"/>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wkpaesuinoakk1uo_vh0" Type="http://schemas.openxmlformats.org/officeDocument/2006/relationships/hyperlink" Target="https://www.fsis.usda.gov/food-safety/safe-food-handling-and-preparation/food-safety-basics/safe-temperature-chart" TargetMode="External"/><Relationship Id="rId53h5ih6uflpzqx7l6mhm8" Type="http://schemas.openxmlformats.org/officeDocument/2006/relationships/hyperlink" Target="https://www.fsis.usda.gov/food-safety/safe-food-handling-and-preparation/food-safety-basics/steps-keep-food-safe" TargetMode="External"/><Relationship Id="rIdhbnv-gz6jveivzdwn3f7o" Type="http://schemas.openxmlformats.org/officeDocument/2006/relationships/hyperlink" Target="https://www.fsis.usda.gov/food-safety/safe-food-handling-and-preparation/food-safety-basics/how-temperatures-affect-food" TargetMode="External"/><Relationship Id="rId1ius-jd9pjn1ogz1ymzdb" Type="http://schemas.openxmlformats.org/officeDocument/2006/relationships/hyperlink" Target="https://www.fsis.usda.gov/food-safety/safe-food-handling-and-preparation/food-safety-basics/doneness-versus-safety" TargetMode="External"/><Relationship Id="rIdpnaqkk5aykts7mra4ltwo" Type="http://schemas.openxmlformats.org/officeDocument/2006/relationships/hyperlink" Target="https://www.fsis.usda.gov/food-safety/safe-food-handling-and-preparation/food-safety-basics/leftovers-and-food-safety" TargetMode="External"/><Relationship Id="rIdy3ntx8cicy_5nwfvqm-wm" Type="http://schemas.openxmlformats.org/officeDocument/2006/relationships/hyperlink" Target="https://doi.org/10.1016/0309-1740(83)90013-X" TargetMode="External"/><Relationship Id="rIdxegfqompksxk1hrfpkikz" Type="http://schemas.openxmlformats.org/officeDocument/2006/relationships/hyperlink" Target="https://doi.org/10.1016/j.meatsci.2010.04.038" TargetMode="External"/><Relationship Id="rIdedzr_pusnpy6jipgje2bq" Type="http://schemas.openxmlformats.org/officeDocument/2006/relationships/hyperlink" Target="https://doi.org/10.1016/S0065-2628(08)60141-X" TargetMode="External"/><Relationship Id="rId0-nj9cosztrah7n9krws9" Type="http://schemas.openxmlformats.org/officeDocument/2006/relationships/hyperlink" Target="https://doi.org/10.1007/s002170100329" TargetMode="External"/><Relationship Id="rId0obo0qg8lm5sujrnccwbq" Type="http://schemas.openxmlformats.org/officeDocument/2006/relationships/hyperlink" Target="https://doi.org/10.1016/j.meatsci.2015.06.014" TargetMode="External"/><Relationship Id="rIdylyw1x-rmhr1d-oilc2c5" Type="http://schemas.openxmlformats.org/officeDocument/2006/relationships/hyperlink" Target="https://www.mdpi.com/2304-8158/14/11/1881" TargetMode="External"/><Relationship Id="rIdq5c0snc3j4qv0nwdd6uro" Type="http://schemas.openxmlformats.org/officeDocument/2006/relationships/hyperlink" Target="https://doi.org/10.1016/S0308-8146(98)00076-4" TargetMode="External"/><Relationship Id="rId6ptcexurpdhopyhfnnthp" Type="http://schemas.openxmlformats.org/officeDocument/2006/relationships/hyperlink" Target="https://amazingribs.com/more-technique-and-science/more-cooking-science/science-of-resting-meat/" TargetMode="External"/><Relationship Id="rIdyxjpush438tj8x-56anqx" Type="http://schemas.openxmlformats.org/officeDocument/2006/relationships/hyperlink" Target="https://amazingribs.com/more-technique-and-science/grill-and-smoker-setup-and-firing/science-of-wood-and-smoke/" TargetMode="External"/><Relationship Id="rIdpl20qqyivblv3hkqie7_r" Type="http://schemas.openxmlformats.org/officeDocument/2006/relationships/hyperlink" Target="https://amazingribs.com/more-technique-and-science/more-cooking-science/smoke-ring-mythbusting/" TargetMode="External"/><Relationship Id="rId3xtvyozfnvz-aio8jvjnq" Type="http://schemas.openxmlformats.org/officeDocument/2006/relationships/hyperlink" Target="https://amazingribs.com/more-technique-and-science/grill-and-smoker-setup-and-firing/smoking-with-wood/" TargetMode="External"/><Relationship Id="rIdcolfmk2eh-hdyekdpknmc" Type="http://schemas.openxmlformats.org/officeDocument/2006/relationships/hyperlink" Target="https://www.seriouseats.com/the-food-lab-the-science-of-grilling" TargetMode="External"/><Relationship Id="rIdpcqswh8uldbsljnduu_bj" Type="http://schemas.openxmlformats.org/officeDocument/2006/relationships/hyperlink" Target="https://doi.org/10.1016/j.foodcont.2015.07.016" TargetMode="External"/><Relationship Id="rIdr6sjirbvy_qcb5e3vklqd" Type="http://schemas.openxmlformats.org/officeDocument/2006/relationships/hyperlink" Target="https://doi.org/10.1016/j.meatsci.2012.06.013" TargetMode="External"/><Relationship Id="rIdk8yctyvacdpchiqczo_j7" Type="http://schemas.openxmlformats.org/officeDocument/2006/relationships/hyperlink" Target="https://www.cdc.gov/pcd/issues/2014/13_0390.htm" TargetMode="External"/><Relationship Id="rIdl9kluli6whlukcty1kdf5" Type="http://schemas.openxmlformats.org/officeDocument/2006/relationships/hyperlink" Target="https://doi.org/10.1093/ajcn/82.4.721" TargetMode="External"/><Relationship Id="rIdphattf8c0x9xrdczkjqcp" Type="http://schemas.openxmlformats.org/officeDocument/2006/relationships/hyperlink" Target="https://doi.org/10.3945/jn.111.142257" TargetMode="External"/><Relationship Id="rIdrpjbwozgb9r22kpo5hqzk" Type="http://schemas.openxmlformats.org/officeDocument/2006/relationships/hyperlink" Target="https://doi.org/10.3945/ajcn.2010.28674F" TargetMode="External"/><Relationship Id="rIdglnj2euivys9jrc9zqz2j" Type="http://schemas.openxmlformats.org/officeDocument/2006/relationships/hyperlink" Target="https://doi.org/10.1093/ajcn/30.2.235" TargetMode="External"/><Relationship Id="rIdfoz4o8uoyrlkj53k7z4ad" Type="http://schemas.openxmlformats.org/officeDocument/2006/relationships/hyperlink" Target="https://doi.org/10.1111/j.1749-6632.1980.tb21325.x" TargetMode="External"/><Relationship Id="rId35hxr8v5kzg_wi3lek2ph" Type="http://schemas.openxmlformats.org/officeDocument/2006/relationships/hyperlink" Target="https://doi.org/10.1093/ajcn/80.2.396" TargetMode="External"/><Relationship Id="rIdsujejxbqvy3sag5z_rsa8" Type="http://schemas.openxmlformats.org/officeDocument/2006/relationships/hyperlink" Target="https://doi.org/10.1093/jn/135.3.431" TargetMode="External"/><Relationship Id="rIdlal3p3yyuuuizacljodgq" Type="http://schemas.openxmlformats.org/officeDocument/2006/relationships/hyperlink" Target="https://doi.org/10.1016/j.jfca.2017.06.008" TargetMode="External"/><Relationship Id="rIdsk-yvqmt_mmibhqzfilzy" Type="http://schemas.openxmlformats.org/officeDocument/2006/relationships/hyperlink" Target="https://doi.org/10.1111/j.1753-4887.2009.00246.x" TargetMode="External"/><Relationship Id="rIdg_uhuxhzatkuapy5axe-w" Type="http://schemas.openxmlformats.org/officeDocument/2006/relationships/hyperlink" Target="https://doi.org/10.3390/nu9080839" TargetMode="External"/><Relationship Id="rIds_5numfnbbqbyd8hxxdnr" Type="http://schemas.openxmlformats.org/officeDocument/2006/relationships/hyperlink" Target="https://doi.org/10.1177/1535370217746612" TargetMode="External"/><Relationship Id="rIdapazewatowg-ny1us3dmq" Type="http://schemas.openxmlformats.org/officeDocument/2006/relationships/hyperlink" Target="https://doi.org/10.3945/ajcn.2008.26947A" TargetMode="External"/><Relationship Id="rIdhmw_2_r3ymzbbavnsf5al" Type="http://schemas.openxmlformats.org/officeDocument/2006/relationships/hyperlink" Target="https://doi.org/10.3390/nu11030684" TargetMode="External"/><Relationship Id="rIdnflbip_wwzxgpexs3mzmk" Type="http://schemas.openxmlformats.org/officeDocument/2006/relationships/hyperlink" Target="https://doi.org/10.1039/C5FO01530H" TargetMode="External"/><Relationship Id="rIdt-jjadwiu9jrvamavcchn" Type="http://schemas.openxmlformats.org/officeDocument/2006/relationships/hyperlink" Target="https://www.ncbi.nlm.nih.gov/pmc/articles/PMC3905294/" TargetMode="External"/><Relationship Id="rIdufznh1pwyilcquho4abid" Type="http://schemas.openxmlformats.org/officeDocument/2006/relationships/hyperlink" Target="https://doi.org/10.1093/jn/130.7.1865S" TargetMode="External"/><Relationship Id="rIdzku7por4sggytdna5le0o" Type="http://schemas.openxmlformats.org/officeDocument/2006/relationships/hyperlink" Target="https://doi.org/10.1186/1475-2891-9-10" TargetMode="External"/><Relationship Id="rId4_jd3qn9ylh3hvlct4mf7" Type="http://schemas.openxmlformats.org/officeDocument/2006/relationships/hyperlink" Target="https://pmc.ncbi.nlm.nih.gov/articles/PMC8728510/" TargetMode="External"/><Relationship Id="rIdjyweigsfappj5mme23m_u" Type="http://schemas.openxmlformats.org/officeDocument/2006/relationships/hyperlink" Target="https://doi.org/10.1016/j.meatsci.2013.08.010" TargetMode="External"/><Relationship Id="rIdeathbc6rjinawz2fyh4ze" Type="http://schemas.openxmlformats.org/officeDocument/2006/relationships/hyperlink" Target="https://doi.org/10.1016/j.smallrumres.2003.08.010" TargetMode="External"/><Relationship Id="rIdk0x82tjussunhzpp4kgff" Type="http://schemas.openxmlformats.org/officeDocument/2006/relationships/hyperlink" Target="https://doi.org/10.3168/jds.2017-13287" TargetMode="External"/><Relationship Id="rId9qsapqpxrnhbiemwgbcw_" Type="http://schemas.openxmlformats.org/officeDocument/2006/relationships/hyperlink" Target="https://doi.org/10.1016/j.smallrumres.2006.09.013" TargetMode="External"/><Relationship Id="rId7klb0wyylmbioq51lnhrh" Type="http://schemas.openxmlformats.org/officeDocument/2006/relationships/hyperlink" Target="https://doi.org/10.1007/s11033-013-2949-9" TargetMode="External"/><Relationship Id="rIdns2fq1hzodmw4uiboow60" Type="http://schemas.openxmlformats.org/officeDocument/2006/relationships/hyperlink" Target="https://doi.org/10.3390/nu11081739" TargetMode="External"/><Relationship Id="rId8q89b74d-1yplr4xbmscc" Type="http://schemas.openxmlformats.org/officeDocument/2006/relationships/hyperlink" Target="https://www.frontiersin.org/journals/genetics/articles/10.3389/fgene.2022.995349/full" TargetMode="External"/><Relationship Id="rIdzgpftcg9yh9p7joxr_35t" Type="http://schemas.openxmlformats.org/officeDocument/2006/relationships/hyperlink" Target="https://www.sciencedirect.com/science/article/pii/S0308521X17310338" TargetMode="External"/><Relationship Id="rIdvvsjutibo7hhiddzfqott" Type="http://schemas.openxmlformats.org/officeDocument/2006/relationships/hyperlink" Target="https://doi.org/10.3389/fsufs.2020.544984" TargetMode="External"/><Relationship Id="rIdrk4wjxsezb-grafvr_dkz" Type="http://schemas.openxmlformats.org/officeDocument/2006/relationships/hyperlink" Target="https://www.tabledebates.org/publication/grazed-and-confused" TargetMode="External"/><Relationship Id="rIdtve1yndarsnuxbfjcntcl" Type="http://schemas.openxmlformats.org/officeDocument/2006/relationships/hyperlink" Target="https://doi.org/10.2489/jswc.71.2.156" TargetMode="External"/><Relationship Id="rIduig_xbhnlqvfogdufgjjr" Type="http://schemas.openxmlformats.org/officeDocument/2006/relationships/hyperlink" Target="https://doi.org/10.1016/j.meatsci.2016.04.026" TargetMode="External"/><Relationship Id="rId9fgci-t8o6jjbfzz0jqcl" Type="http://schemas.openxmlformats.org/officeDocument/2006/relationships/hyperlink" Target="https://doi.org/10.1071/EA08198" TargetMode="External"/><Relationship Id="rIdl124vnv0b4-_7eqlnwq3h" Type="http://schemas.openxmlformats.org/officeDocument/2006/relationships/hyperlink" Target="https://doi.org/10.5851/kosfa.2016.36.6.699" TargetMode="External"/><Relationship Id="rIdtmmahg-f_hichyj7swshp" Type="http://schemas.openxmlformats.org/officeDocument/2006/relationships/hyperlink" Target="https://doi.org/10.1016/j.meatsci.2006.11.014" TargetMode="External"/><Relationship Id="rIdhs8gxqrkj6qjlfduicy0y" Type="http://schemas.openxmlformats.org/officeDocument/2006/relationships/hyperlink" Target="https://doi.org/10.1016/S0309-1740(98)00072-2" TargetMode="External"/><Relationship Id="rIdn79umt87331hhmiu87djy" Type="http://schemas.openxmlformats.org/officeDocument/2006/relationships/hyperlink" Target="https://www.nature.com/articles/srep00196" TargetMode="External"/><Relationship Id="rIdl0uokrpq8fslgvnaxlr_w" Type="http://schemas.openxmlformats.org/officeDocument/2006/relationships/hyperlink" Target="https://doi.org/10.1371/journal.pone.0139539" TargetMode="External"/><Relationship Id="rId4ajvyp9cwklzcsfyt4qzo" Type="http://schemas.openxmlformats.org/officeDocument/2006/relationships/hyperlink" Target="https://doi.org/10.1016/j.foodres.2020.109124" TargetMode="External"/><Relationship Id="rIdgfav5h5mtgtgyjyb4brmn" Type="http://schemas.openxmlformats.org/officeDocument/2006/relationships/hyperlink" Target="https://www.southernfoodways.org/" TargetMode="External"/><Relationship Id="rIdti4ybmcfozx69lnpiep5t" Type="http://schemas.openxmlformats.org/officeDocument/2006/relationships/hyperlink" Target="https://farmandfoodsystem.uada.edu/farms/" TargetMode="External"/><Relationship Id="rIdxsdg5jkemjufzjpanbupu" Type="http://schemas.openxmlformats.org/officeDocument/2006/relationships/hyperlink" Target="https://arkansasgrown.org/" TargetMode="External"/><Relationship Id="rIdi3ox7nczyrejgldfsrwfk" Type="http://schemas.openxmlformats.org/officeDocument/2006/relationships/hyperlink" Target="https://downtownbentonville.org/events/farmers-market" TargetMode="External"/><Relationship Id="rIdfrcaiau9twukyimdv-qxb" Type="http://schemas.openxmlformats.org/officeDocument/2006/relationships/hyperlink" Target="https://www.experiencefayetteville.com/experience/shop/50-years-of-the-fayetteville-farmers-market" TargetMode="External"/><Relationship Id="rIdfgl10-epwbs8fr93acofh" Type="http://schemas.openxmlformats.org/officeDocument/2006/relationships/hyperlink" Target="https://richardscountrymeatmarket.com/" TargetMode="External"/><Relationship Id="rIdnbq1tvveyhs44gfu44uc3" Type="http://schemas.openxmlformats.org/officeDocument/2006/relationships/hyperlink" Target="https://onlyinark.com/food/faces-of-arkansas-ivans-old-time-meat-shop/" TargetMode="External"/><Relationship Id="rIdhjh6gol_g-trjdl3hm_hv" Type="http://schemas.openxmlformats.org/officeDocument/2006/relationships/hyperlink" Target="https://ozarksfn.com/2024/02/22/harpos-das-butcher-haus/" TargetMode="External"/><Relationship Id="rId50xaram1jqhniu0-pr8sj" Type="http://schemas.openxmlformats.org/officeDocument/2006/relationships/hyperlink" Target="https://www.nwaangus.com/ranchtotable" TargetMode="External"/><Relationship Id="rIdsbku-ktsasqlnrwemymid" Type="http://schemas.openxmlformats.org/officeDocument/2006/relationships/hyperlink" Target="https://onf.coop/about" TargetMode="External"/><Relationship Id="rIdj4j09kk3pceiuz1q4uvsv" Type="http://schemas.openxmlformats.org/officeDocument/2006/relationships/hyperlink" Target="https://acrossthecreekfarm.com/about-our-farm" TargetMode="External"/><Relationship Id="rIdbib6cho8gqxem_imzkd0j" Type="http://schemas.openxmlformats.org/officeDocument/2006/relationships/hyperlink" Target="https://ozarkpasturebeef.com/" TargetMode="External"/><Relationship Id="rIds_q7b_3ykji5tv2nsbzgk" Type="http://schemas.openxmlformats.org/officeDocument/2006/relationships/hyperlink" Target="https://www.ranchontherock.com/" TargetMode="External"/><Relationship Id="rId_8szvjuqdtapdubl0al16" Type="http://schemas.openxmlformats.org/officeDocument/2006/relationships/hyperlink" Target="http://ourbuffalofarm.com/about.html" TargetMode="External"/><Relationship Id="rIdmqoq7-uhlylb7vlz9h12b" Type="http://schemas.openxmlformats.org/officeDocument/2006/relationships/hyperlink" Target="https://doi.org/10.1016/j.meatsci.2004.11.021" TargetMode="External"/><Relationship Id="rId5snbm52nmggpj388xxzav" Type="http://schemas.openxmlformats.org/officeDocument/2006/relationships/hyperlink" Target="https://doi.org/10.1016/S0309-1740(03)00035-4" TargetMode="External"/><Relationship Id="rId6_n9vtzbw6phmsx4yosp7" Type="http://schemas.openxmlformats.org/officeDocument/2006/relationships/hyperlink" Target="https://doi.org/10.1016/S0950-3293(02)00086-1" TargetMode="External"/><Relationship Id="rId0nyrvuaof1ll0bk74zfd3" Type="http://schemas.openxmlformats.org/officeDocument/2006/relationships/hyperlink" Target="https://doi.org/10.1007/s12393-016-9143-5" TargetMode="External"/><Relationship Id="rIdiemmfum0sp3cbkl-bnuii" Type="http://schemas.openxmlformats.org/officeDocument/2006/relationships/hyperlink" Target="https://doi.org/10.22175/mmb2017.10.0052" TargetMode="External"/><Relationship Id="rIdm8z3o7nrdeu1xjagpslea" Type="http://schemas.openxmlformats.org/officeDocument/2006/relationships/hyperlink" Target="https://doi.org/10.1001/jama.296.15.1885" TargetMode="External"/><Relationship Id="rIduoj3sz03hgvfc66_5dnmi" Type="http://schemas.openxmlformats.org/officeDocument/2006/relationships/hyperlink" Target="https://doi.org/10.1002/ejlt.201400025" TargetMode="External"/><Relationship Id="rIdyixvat5zrhnjwsfkmor_p" Type="http://schemas.openxmlformats.org/officeDocument/2006/relationships/hyperlink" Target="https://www.fda.gov/food/consumers/advice-about-eating-fish" TargetMode="External"/><Relationship Id="rIdaxagl8gd5mj4lhmwtjrb7" Type="http://schemas.openxmlformats.org/officeDocument/2006/relationships/hyperlink" Target="https://doi.org/10.3945/an.112.002154" TargetMode="External"/><Relationship Id="rIdmgltsu6martvbsloh2i8q" Type="http://schemas.openxmlformats.org/officeDocument/2006/relationships/hyperlink" Target="https://doi.org/10.1093/ije/dyw319" TargetMode="External"/><Relationship Id="rIdeidn93hdkiumbyqvszv5s" Type="http://schemas.openxmlformats.org/officeDocument/2006/relationships/hyperlink" Target="https://doi.org/10.3945/an.112.003517" TargetMode="External"/><Relationship Id="rIdc9ih5pr6mc77knsxtt8on" Type="http://schemas.openxmlformats.org/officeDocument/2006/relationships/hyperlink" Target="https://doi.org/10.1016/j.jand.2013.12.019" TargetMode="External"/><Relationship Id="rIdeqnqgw4j6az3oytl-m9ls" Type="http://schemas.openxmlformats.org/officeDocument/2006/relationships/hyperlink" Target="https://doi.org/10.1186/2251-6581-12-43" TargetMode="External"/><Relationship Id="rIdctu9fzzjs5zvqfsxvaqs6" Type="http://schemas.openxmlformats.org/officeDocument/2006/relationships/hyperlink" Target="https://www.ncbi.nlm.nih.gov/pmc/articles/PMC4103721/" TargetMode="External"/><Relationship Id="rIdlfgc5ajcpurplswuitekh" Type="http://schemas.openxmlformats.org/officeDocument/2006/relationships/hyperlink" Target="https://doi.org/10.5694/j.1326-5377.2006.tb00548.x" TargetMode="External"/><Relationship Id="rIdwcpugkz2e6-esbhh4no4t" Type="http://schemas.openxmlformats.org/officeDocument/2006/relationships/hyperlink" Target="https://doi.org/10.1186/1475-2891-9-3" TargetMode="External"/><Relationship Id="rId0nhrwzkibcu2kwin5t-_d" Type="http://schemas.openxmlformats.org/officeDocument/2006/relationships/hyperlink" Target="https://doi.org/10.1080/10408398.2011.556759" TargetMode="External"/><Relationship Id="rIdcqshljxduithic-torfia" Type="http://schemas.openxmlformats.org/officeDocument/2006/relationships/hyperlink" Target="https://fdc.nal.usda.gov/" TargetMode="External"/><Relationship Id="rIdlliuabhs9yulhvtomqq_z" Type="http://schemas.openxmlformats.org/officeDocument/2006/relationships/hyperlink" Target="https://www.dietaryguidelines.gov/" TargetMode="External"/><Relationship Id="rIdclbws-afoa2ybjwkkdqjh" Type="http://schemas.openxmlformats.org/officeDocument/2006/relationships/hyperlink" Target="https://www.who.int/publications/i/item/924120916X" TargetMode="External"/><Relationship Id="rIda_9_g_rhxd3_nzz05s37z" Type="http://schemas.openxmlformats.org/officeDocument/2006/relationships/hyperlink" Target="https://www.ers.usda.gov/publications/pub-details/?pubid=42807" TargetMode="External"/><Relationship Id="rIdnjgctrxlkmxjimzabnmwr" Type="http://schemas.openxmlformats.org/officeDocument/2006/relationships/hyperlink" Target="https://www.ers.usda.gov/publications/pub-details/?pubid=46395" TargetMode="External"/><Relationship Id="rIdqe21qtohdgwvph7qwd0f-" Type="http://schemas.openxmlformats.org/officeDocument/2006/relationships/hyperlink" Target="https://www.ams.usda.gov/market-news/retail" TargetMode="External"/><Relationship Id="rIdagmkagac3cpcdzttlukmb" Type="http://schemas.openxmlformats.org/officeDocument/2006/relationships/hyperlink" Target="https://doi.org/10.1016/j.meatsci.2004.06.028" TargetMode="External"/><Relationship Id="rIdhf44bna4ilaalihgbuxqv" Type="http://schemas.openxmlformats.org/officeDocument/2006/relationships/hyperlink" Target="https://doi.org/10.1016/S0309-1740(99)00157-6" TargetMode="External"/><Relationship Id="rIdtzk62gdmi6qi03cy_spkp" Type="http://schemas.openxmlformats.org/officeDocument/2006/relationships/hyperlink" Target="https://doi.org/10.1016/j.ijgfs.2011.11.002" TargetMode="External"/><Relationship Id="rIdlsdj8v6ac7zeyclj76p3h" Type="http://schemas.openxmlformats.org/officeDocument/2006/relationships/hyperlink" Target="https://doi.org/10.1016/j.meatsci.2006.04.014" TargetMode="External"/><Relationship Id="rId8gq4vs9k2upq3u-zbvh5n" Type="http://schemas.openxmlformats.org/officeDocument/2006/relationships/hyperlink" Target="https://doi.org/10.1016/j.meatsci.2013.06.004" TargetMode="External"/><Relationship Id="rId1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Pasture and Parrilla to Plate</dc:title>
  <dc:creator>Research &amp; Documentation</dc:creator>
  <dc:description>An evidence-based synthesis of meat and plant selection, sourcing, and heat-driven preparation, with application to the Northwest Arkansas foodshed.</dc:description>
  <cp:lastModifiedBy>Un-named</cp:lastModifiedBy>
  <cp:revision>1</cp:revision>
  <dcterms:created xsi:type="dcterms:W3CDTF">2026-07-03T06:16:30.728Z</dcterms:created>
  <dcterms:modified xsi:type="dcterms:W3CDTF">2026-07-03T06:16:30.742Z</dcterms:modified>
</cp:coreProperties>
</file>

<file path=docProps/custom.xml><?xml version="1.0" encoding="utf-8"?>
<Properties xmlns="http://schemas.openxmlformats.org/officeDocument/2006/custom-properties" xmlns:vt="http://schemas.openxmlformats.org/officeDocument/2006/docPropsVTypes"/>
</file>