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908469c558b36c24b23f29ee07450cd0a4b1f26"/>
    <w:p>
      <w:pPr>
        <w:pStyle w:val="Heading1"/>
      </w:pPr>
      <w:r>
        <w:t xml:space="preserve">Accessible, Local-First Artificial Intelligence for Prosocial Embodiment</w:t>
      </w:r>
    </w:p>
    <w:bookmarkStart w:id="20" w:name="Xf4662ca6387eac512a216944ced02e469184100"/>
    <w:p>
      <w:pPr>
        <w:pStyle w:val="Heading2"/>
      </w:pPr>
      <w:r>
        <w:t xml:space="preserve">A Thirty-Billion-Parameter Language Model on a Single-Board Computer, and the Case Against Institutional Gatekeeping and Extractive Companion AI</w:t>
      </w:r>
    </w:p>
    <w:p>
      <w:pPr>
        <w:pStyle w:val="FirstParagraph"/>
      </w:pPr>
      <w:r>
        <w:rPr>
          <w:bCs/>
          <w:b/>
        </w:rPr>
        <w:t xml:space="preserve">Author:</w:t>
      </w:r>
      <w:r>
        <w:t xml:space="preserve"> </w:t>
      </w:r>
      <w:r>
        <w:t xml:space="preserve">Maximiliano Garcia</w:t>
      </w:r>
      <w:r>
        <w:t xml:space="preserve"> </w:t>
      </w:r>
      <w:r>
        <w:t xml:space="preserve">Independent Researcher in Human-Machine Communication and Edge AI Systems</w:t>
      </w:r>
      <w:r>
        <w:t xml:space="preserve"> </w:t>
      </w:r>
      <w:r>
        <w:t xml:space="preserve">@the_maxgarcia</w:t>
      </w:r>
    </w:p>
    <w:p>
      <w:pPr>
        <w:pStyle w:val="BodyText"/>
      </w:pPr>
      <w:r>
        <w:rPr>
          <w:bCs/>
          <w:b/>
        </w:rPr>
        <w:t xml:space="preserve">Affiliation:</w:t>
      </w:r>
      <w:r>
        <w:t xml:space="preserve"> </w:t>
      </w:r>
      <w:r>
        <w:t xml:space="preserve">Independent. University of Arkansas.</w:t>
      </w:r>
    </w:p>
    <w:p>
      <w:pPr>
        <w:pStyle w:val="BodyText"/>
      </w:pPr>
      <w:r>
        <w:rPr>
          <w:bCs/>
          <w:b/>
        </w:rPr>
        <w:t xml:space="preserve">Date:</w:t>
      </w:r>
      <w:r>
        <w:t xml:space="preserve"> </w:t>
      </w:r>
      <w:r>
        <w:t xml:space="preserve">July 2026 ·</w:t>
      </w:r>
      <w:r>
        <w:t xml:space="preserve"> </w:t>
      </w:r>
      <w:r>
        <w:rPr>
          <w:bCs/>
          <w:b/>
        </w:rPr>
        <w:t xml:space="preserve">Version:</w:t>
      </w:r>
      <w:r>
        <w:t xml:space="preserve"> </w:t>
      </w:r>
      <w:r>
        <w:t xml:space="preserve">1.0</w:t>
      </w:r>
    </w:p>
    <w:p>
      <w:pPr>
        <w:pStyle w:val="BodyText"/>
      </w:pPr>
      <w:r>
        <w:rPr>
          <w:bCs/>
          <w:b/>
        </w:rPr>
        <w:t xml:space="preserve">A note on this document.</w:t>
      </w:r>
      <w:r>
        <w:t xml:space="preserve"> </w:t>
      </w:r>
      <w:r>
        <w:t xml:space="preserve">This is the capstone paper of a three-volume project,</w:t>
      </w:r>
      <w:r>
        <w:t xml:space="preserve"> </w:t>
      </w:r>
      <w:r>
        <w:rPr>
          <w:iCs/>
          <w:i/>
        </w:rPr>
        <w:t xml:space="preserve">The DIY Local LLM Robot Project</w:t>
      </w:r>
      <w:r>
        <w:t xml:space="preserve">, which documents the design and construction of a locally-hosted large language model embodied as a quadruped robot. The three volumes are the detailed engineering and argumentative record; this paper is the standalone academic synthesis, written to be read on its own by a reader who has never seen the volumes. Every empirical claim about hardware, pricing, model performance, and current events carries a verification date; where a figure is volatile or vendor-reported, this paper says so in the text rather than in a footnote. This standard is not decoration. It is the methodological commitment the paper’s own argument requires, for reasons Section 8 makes explicit.</w:t>
      </w:r>
    </w:p>
    <w:p>
      <w:pPr>
        <w:pStyle w:val="BodyText"/>
      </w:pPr>
      <w:r>
        <w:rPr>
          <w:bCs/>
          <w:b/>
        </w:rPr>
        <w:t xml:space="preserve">Access date for all volatile claims:</w:t>
      </w:r>
      <w:r>
        <w:t xml:space="preserve"> </w:t>
      </w:r>
      <w:r>
        <w:t xml:space="preserve">July 17, 2026.</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This paper argues that the technical and economic barriers that once made advanced artificial intelligence the exclusive province of well-resourced institutions have substantially collapsed, and that this collapse creates an opening for a particular kind of AI development — accessible, local-first, open-source, and oriented toward prosocial embodiment — that stands as a viable alternative both to institutional gatekeeping of AI research and to the extractive</w:t>
      </w:r>
      <w:r>
        <w:t xml:space="preserve"> </w:t>
      </w:r>
      <w:r>
        <w:t xml:space="preserve">“</w:t>
      </w:r>
      <w:r>
        <w:t xml:space="preserve">artificial intimacy</w:t>
      </w:r>
      <w:r>
        <w:t xml:space="preserve">”</w:t>
      </w:r>
      <w:r>
        <w:t xml:space="preserve"> </w:t>
      </w:r>
      <w:r>
        <w:t xml:space="preserve">direction that a significant part of the consumer-AI field has taken. The argument is made through demonstration. Using consumer hardware costing roughly five hundred dollars, a thirty-billion-parameter mixture-of-experts language model (Qwen3-30B-A3B) is run entirely locally on a Raspberry Pi 5 single-board computer at conversational speed — approximately eight tokens per second, a figure independently reproduced by a third party — with no dependence on any cloud service. That model is embodied as a SunFounder PiDog quadruped robot with local speech, vision, and movement, and integrated as one node in a multi-agent local-AI system coordinated by an open-source orchestration framework. The paper situates this demonstration within four bodies of scholarship: human-machine communication theory, which explains why embodiment matters; the technical literature on transformer architecture, mixture-of-experts sparsity, and quantization, which explains why the demonstration is now possible; the ethics of artificial intimacy, which documents the concrete harms of the extractive alternative; and the evidence base for socially assistive robotics, which demonstrates the prosocial alternative’s empirical grounding. The paper’s central normative claim is that the allocation of AI research and development attention is itself an ethical choice, and that the collapse of access barriers makes prosocial, privacy-preserving, locally-controlled AI a choice now available to individuals rather than only to institutions. The technical contribution is not novelty — the individual components exist in prior work, which the paper cites — but integration and its documentation: the combination of a frontier-class quantized mixture-of-experts model, full embodiment, and multi-agent orchestration in a single accessible system, together with a demonstration that such a project can be documented to institutional standards of rigor. A recurring methodological theme — that claims must be checked against primary sources regardless of confidence, and that the errors so uncovered must be published rather than silently corrected — is defended not as scholarly hygiene alone but as the specific discipline that makes independent work credible against institutional standards, supplying transparently the error-detection that institutions externalize to peer review. The paper is careful throughout to claim only what its practice-based method can support: that the system can be built and reproduced, not that it has been shown efficacious across users or contexts, a distinction the paper’s own verification commitment requires it to observe.</w:t>
      </w:r>
    </w:p>
    <w:p>
      <w:pPr>
        <w:pStyle w:val="BodyText"/>
      </w:pPr>
      <w:r>
        <w:rPr>
          <w:bCs/>
          <w:b/>
        </w:rPr>
        <w:t xml:space="preserve">Keywords:</w:t>
      </w:r>
      <w:r>
        <w:t xml:space="preserve"> </w:t>
      </w:r>
      <w:r>
        <w:t xml:space="preserve">local large language models, edge artificial intelligence, human-machine communication, mixture-of-experts, model quantization, socially assistive robotics, artificial intimacy, companion AI, open-source AI, AI democratization, local-first software, Raspberry Pi, embodied AI</w:t>
      </w:r>
    </w:p>
    <w:p>
      <w:r>
        <w:pict>
          <v:rect style="width:0;height:1.5pt" o:hralign="center" o:hrstd="t" o:hr="t"/>
        </w:pict>
      </w:r>
    </w:p>
    <w:bookmarkEnd w:id="21"/>
    <w:bookmarkEnd w:id="22"/>
    <w:bookmarkStart w:id="26" w:name="introduction"/>
    <w:p>
      <w:pPr>
        <w:pStyle w:val="Heading1"/>
      </w:pPr>
      <w:r>
        <w:t xml:space="preserve">1. INTRODUCTION</w:t>
      </w:r>
    </w:p>
    <w:bookmarkStart w:id="23" w:name="a-collapse-and-an-opening"/>
    <w:p>
      <w:pPr>
        <w:pStyle w:val="Heading2"/>
      </w:pPr>
      <w:r>
        <w:t xml:space="preserve">1.1 A Collapse and an Opening</w:t>
      </w:r>
    </w:p>
    <w:p>
      <w:pPr>
        <w:pStyle w:val="FirstParagraph"/>
      </w:pPr>
      <w:r>
        <w:t xml:space="preserve">In 2020, running a language model with tens of billions of parameters required a cluster of graphics processors costing more than a car, expertise concentrated in a handful of laboratories, and — increasingly — a commercial relationship with one of the small number of firms that trained such models. Five years later, a model of comparable capability runs on a single-board computer costing a few hundred dollars, downloaded for free, executing entirely on a desk with no network connection. This paper is about what that collapse makes possible.</w:t>
      </w:r>
    </w:p>
    <w:p>
      <w:pPr>
        <w:pStyle w:val="BodyText"/>
      </w:pPr>
      <w:r>
        <w:t xml:space="preserve">The collapse is not merely a matter of cost. It is a shift in who gets to participate in the development and deployment of artificial intelligence. When advanced AI required institutional resources, the questions of what AI should be built, for whom, and toward what ends were answered — necessarily — by institutions: universities with the compute, companies with the capital, laboratories with the talent. The individual’s role was to consume what institutions produced. The argument of this paper is that this is no longer the only arrangement available, and that the alternative arrangement — in which an individual can build, own, and control a genuinely capable AI system — has consequences that are simultaneously technical, economic, and ethical.</w:t>
      </w:r>
    </w:p>
    <w:p>
      <w:pPr>
        <w:pStyle w:val="BodyText"/>
      </w:pPr>
      <w:r>
        <w:t xml:space="preserve">It is worth distinguishing this claim from two adjacent claims it is not making. It is not the claim that the</w:t>
      </w:r>
      <w:r>
        <w:t xml:space="preserve"> </w:t>
      </w:r>
      <w:r>
        <w:rPr>
          <w:iCs/>
          <w:i/>
        </w:rPr>
        <w:t xml:space="preserve">frontier</w:t>
      </w:r>
      <w:r>
        <w:t xml:space="preserve"> </w:t>
      </w:r>
      <w:r>
        <w:t xml:space="preserve">of AI capability has democratized; the most capable models remain the products of institutions with resources no individual commands, and the gap between the frontier and what runs on a single-board computer is real and will persist. Nor is it the claim that access has become effortless; as Section 8 discusses at length, the accessibility the paper defends is accessibility to a motivated individual willing to acquire substantial technical knowledge, not turnkey simplicity. The claim is narrower and, precisely because it is narrower, defensible: that</w:t>
      </w:r>
      <w:r>
        <w:t xml:space="preserve"> </w:t>
      </w:r>
      <w:r>
        <w:rPr>
          <w:iCs/>
          <w:i/>
        </w:rPr>
        <w:t xml:space="preserve">a genuinely capable</w:t>
      </w:r>
      <w:r>
        <w:t xml:space="preserve"> </w:t>
      </w:r>
      <w:r>
        <w:t xml:space="preserve">AI system — not the most capable, but one whose reasoning is useful rather than a toy — is now buildable, ownable, and controllable by an individual, and that this specific fact has consequences worth working out. A model that runs on a five-hundred-dollar computer and reasons well enough to be genuinely useful is a different kind of object, socially and ethically, from a model that can only be rented from a corporation, even if the rented model is more capable. The difference is ownership, control, and privacy, and those are the properties this paper’s argument turns on.</w:t>
      </w:r>
    </w:p>
    <w:p>
      <w:pPr>
        <w:pStyle w:val="BodyText"/>
      </w:pPr>
      <w:r>
        <w:t xml:space="preserve">The consequences of this shift are the subject of the paper, and they are not only technical. That an individual</w:t>
      </w:r>
      <w:r>
        <w:t xml:space="preserve"> </w:t>
      </w:r>
      <w:r>
        <w:rPr>
          <w:iCs/>
          <w:i/>
        </w:rPr>
        <w:t xml:space="preserve">can</w:t>
      </w:r>
      <w:r>
        <w:t xml:space="preserve"> </w:t>
      </w:r>
      <w:r>
        <w:t xml:space="preserve">build such a system raises immediately the question of what they</w:t>
      </w:r>
      <w:r>
        <w:t xml:space="preserve"> </w:t>
      </w:r>
      <w:r>
        <w:rPr>
          <w:iCs/>
          <w:i/>
        </w:rPr>
        <w:t xml:space="preserve">should</w:t>
      </w:r>
      <w:r>
        <w:t xml:space="preserve"> </w:t>
      </w:r>
      <w:r>
        <w:t xml:space="preserve">build — a question that, when AI was institutional, was an institutional question, and that the collapse of barriers has made a personal one. The paper’s structure follows this logic: first that the capability is accessible (the technical demonstration), then what accessibility makes it possible and advisable to do with it (the ethical argument), and finally what it looks like to actually do it (the embodiment and integration).</w:t>
      </w:r>
    </w:p>
    <w:p>
      <w:pPr>
        <w:pStyle w:val="BodyText"/>
      </w:pPr>
      <w:r>
        <w:t xml:space="preserve">The paper makes its argument through a demonstration, described in full in Sections 5 and 7: a thirty-billion-parameter language model, running locally on consumer hardware, embodied as a robot, integrated into a multi-agent system, built by one person for roughly the cost of a laptop. It is important to be clear at the outset about what kind of evidence this demonstration is and is not, because the paper’s argument depends on the distinction.</w:t>
      </w:r>
    </w:p>
    <w:p>
      <w:pPr>
        <w:pStyle w:val="BodyText"/>
      </w:pPr>
      <w:r>
        <w:t xml:space="preserve">The demonstration is not offered as a technical novelty. Each of its components exists in the prior art: others have run large language models on single-board computers, others have embodied language models in robots, others have built multi-agent systems, and the paper cites this work rather than claiming to have invented any of it. A reader looking for a novel algorithm or a new architecture will not find one here, and the paper does not pretend to offer one. What the demonstration offers instead is an</w:t>
      </w:r>
      <w:r>
        <w:t xml:space="preserve"> </w:t>
      </w:r>
      <w:r>
        <w:rPr>
          <w:iCs/>
          <w:i/>
        </w:rPr>
        <w:t xml:space="preserve">existence proof</w:t>
      </w:r>
      <w:r>
        <w:t xml:space="preserve"> </w:t>
      </w:r>
      <w:r>
        <w:t xml:space="preserve">for a claim about access — a claim that is not about any single technical component but about their accessibility in combination to an individual. The proposition</w:t>
      </w:r>
      <w:r>
        <w:t xml:space="preserve"> </w:t>
      </w:r>
      <w:r>
        <w:t xml:space="preserve">“</w:t>
      </w:r>
      <w:r>
        <w:t xml:space="preserve">an individual can now build a capable, embodied, multi-agent local AI system from consumer hardware and open software</w:t>
      </w:r>
      <w:r>
        <w:t xml:space="preserve">”</w:t>
      </w:r>
      <w:r>
        <w:t xml:space="preserve"> </w:t>
      </w:r>
      <w:r>
        <w:t xml:space="preserve">is established not by novelty but by instance: by the system existing, having been built under exactly those conditions, and being reproducible by others under the same conditions. An existence proof does not require that the thing proven be unprecedented; it requires only that it be real, and its evidential force lies in its reality rather than its originality.</w:t>
      </w:r>
    </w:p>
    <w:p>
      <w:pPr>
        <w:pStyle w:val="BodyText"/>
      </w:pPr>
      <w:r>
        <w:t xml:space="preserve">This matters because the paper’s claim is precisely an access claim, and access claims are properly established by demonstration rather than by argument. One could argue at length that such a system</w:t>
      </w:r>
      <w:r>
        <w:t xml:space="preserve"> </w:t>
      </w:r>
      <w:r>
        <w:rPr>
          <w:iCs/>
          <w:i/>
        </w:rPr>
        <w:t xml:space="preserve">should</w:t>
      </w:r>
      <w:r>
        <w:t xml:space="preserve"> </w:t>
      </w:r>
      <w:r>
        <w:t xml:space="preserve">be buildable by an individual; the argument would be weaker evidence than the system, built by an individual, running on a desk. The demonstration is offered in that spirit — as the strongest available evidence for a claim about what individuals can now do, which is that the capability in question is available to them, gated by neither institutional permission nor prohibitive cost, and demonstrably so because it has been done and can be done again.</w:t>
      </w:r>
    </w:p>
    <w:bookmarkEnd w:id="23"/>
    <w:bookmarkStart w:id="24" w:name="two-alternatives-one-choice"/>
    <w:p>
      <w:pPr>
        <w:pStyle w:val="Heading2"/>
      </w:pPr>
      <w:r>
        <w:t xml:space="preserve">1.2 Two Alternatives, One Choice</w:t>
      </w:r>
    </w:p>
    <w:p>
      <w:pPr>
        <w:pStyle w:val="FirstParagraph"/>
      </w:pPr>
      <w:r>
        <w:t xml:space="preserve">The opening created by the collapse of access barriers is not self-executing. Accessibility makes a range of AI applications possible; it does not determine which are pursued. This paper is concerned with a specific contrast between two directions that accessible AI can take, because that contrast is where the paper’s normative argument lives.</w:t>
      </w:r>
    </w:p>
    <w:p>
      <w:pPr>
        <w:pStyle w:val="BodyText"/>
      </w:pPr>
      <w:r>
        <w:t xml:space="preserve">The first direction is what this paper calls, following the scholarly literature,</w:t>
      </w:r>
      <w:r>
        <w:t xml:space="preserve"> </w:t>
      </w:r>
      <w:r>
        <w:rPr>
          <w:iCs/>
          <w:i/>
        </w:rPr>
        <w:t xml:space="preserve">artificial intimacy</w:t>
      </w:r>
      <w:r>
        <w:t xml:space="preserve">: AI systems designed to simulate emotional or romantic relationships with users, monetized through the cultivation of emotional dependence. This direction has attracted substantial commercial investment and, as Section 6 documents in detail, has produced concrete and severe harms — harms now the subject of wrongful-death litigation, regulatory enforcement, and a growing body of empirical research documenting psychological injury.</w:t>
      </w:r>
    </w:p>
    <w:p>
      <w:pPr>
        <w:pStyle w:val="BodyText"/>
      </w:pPr>
      <w:r>
        <w:t xml:space="preserve">The second direction is what this paper calls</w:t>
      </w:r>
      <w:r>
        <w:t xml:space="preserve"> </w:t>
      </w:r>
      <w:r>
        <w:rPr>
          <w:iCs/>
          <w:i/>
        </w:rPr>
        <w:t xml:space="preserve">prosocial embodiment</w:t>
      </w:r>
      <w:r>
        <w:t xml:space="preserve">: AI systems designed to assist, teach, accompany, and support, grounded in an evidence base — reviewed in Section 6 — that demonstrates measurable benefit to vulnerable populations, and built on a foundation of privacy and local control rather than data extraction. Socially assistive robotics for children with autism, for older adults with dementia, and for other populations has produced peer-reviewed longitudinal outcomes and, in at least one case, regulatory clearance as a medical device.</w:t>
      </w:r>
    </w:p>
    <w:p>
      <w:pPr>
        <w:pStyle w:val="BodyText"/>
      </w:pPr>
      <w:r>
        <w:t xml:space="preserve">These two directions do not exhaust the space of what accessible AI can build, and the paper does not claim they do. Accessible AI can build productivity tools, creative instruments, research aids, and much else, most of it orthogonal to the contrast the paper draws. The two directions are selected not because they are the only options but because they form the sharpest available contrast on the specific axis the paper cares about: the ethical valence of embodied, socially-present, conversational AI directed at human emotional and social needs. Both artificial intimacy and prosocial embodiment operate on the same psychological terrain — the human disposition to respond socially to responsive machines — and they represent, on that shared terrain, opposite orientations: one that exploits the disposition for engagement and dependence, and one that enlists it for assistance and benefit. The contrast is instructive precisely because the underlying technology is so similar; what differs is not the capability but its direction.</w:t>
      </w:r>
    </w:p>
    <w:p>
      <w:pPr>
        <w:pStyle w:val="BodyText"/>
      </w:pPr>
      <w:r>
        <w:t xml:space="preserve">The paper’s central normative claim is that the choice between these directions is an ethical one, that it is now a choice available to individuals and not only to institutions, and that the prosocial direction is both better supported by evidence and better aligned with the privacy and autonomy that local-first architecture makes possible. This is not a claim that artificial-intimacy research should be prohibited; the paper takes no position on prohibition, and Section 6 engages seriously with the scholars who defend the field’s legitimacy. It is a claim about the allocation of attention — that where a builder directs finite effort is itself a moral decision, and that the accessible-AI moment makes prosocial allocation a genuine option rather than an institutional luxury. When building capable AI required an institution, an individual troubled by the extractive direction had no alternative to offer but disengagement; the collapse of barriers means that individual can now build the alternative instead, and the paper is, among other things, a demonstration that they can.</w:t>
      </w:r>
    </w:p>
    <w:bookmarkEnd w:id="24"/>
    <w:bookmarkStart w:id="25" w:name="the-structure-and-method-of-the-argument"/>
    <w:p>
      <w:pPr>
        <w:pStyle w:val="Heading2"/>
      </w:pPr>
      <w:r>
        <w:t xml:space="preserve">1.3 The Structure and Method of the Argument</w:t>
      </w:r>
    </w:p>
    <w:p>
      <w:pPr>
        <w:pStyle w:val="FirstParagraph"/>
      </w:pPr>
      <w:r>
        <w:t xml:space="preserve">The paper proceeds as follows. Section 2 situates the project in the history of AI access — read as a history of the resources required to participate, and therefore of concentration — in the tradition of independent and amateur technical contribution, and in the specific institutional context that motivated the work. Section 3 reviews the four bodies of literature the argument depends on: human-machine communication theory and the social-presence research that together explain why embodiment matters, and the technical literatures on transformer architecture, sparsity, and quantization, and on edge inference, that together explain why the demonstration is now feasible. Section 4 states the paper’s methodology — its practice-based, demonstrative character; its distinctive commitment to published verification; the multi-generation development process; and its handling of volatile and vendor-reported claims. Section 5 presents the technical demonstration: the central result, the two architectural levers that produce it, the negative results that are as informative as the positive one, the question of reproducibility, and the power and thermal limits. Section 6 develops the ethical argument through the contrast between the documented harms of the extractive artificial-intimacy direction — including the litigation, regulatory enforcement, and empirical harm studies — and the evidence base for the prosocial socially-assistive-robotics direction. Section 7 describes the embodiment and the multi-agent integration through which the model becomes a robot and the robot becomes one node in a larger local-AI system. Section 8 discusses the results: it assesses the access claim with its necessary qualifications, argues that the verification commitment is itself a finding, treats the unity of the technical and ethical arguments, states the paper’s limitations plainly, draws out the broader implications for AI access and policy, and identifies future work. Section 9 concludes.</w:t>
      </w:r>
    </w:p>
    <w:p>
      <w:pPr>
        <w:pStyle w:val="BodyText"/>
      </w:pPr>
      <w:r>
        <w:t xml:space="preserve">A word on method is necessary at the outset, because it is unusual and because the paper’s credibility depends on it. This project was built and documented by an independent researcher without institutional affiliation of the kind that provides peer review, laboratory oversight, or the reputational backing on which readers ordinarily rely when weighing a claim. That absence is a real epistemic liability, and the paper does not wave it away. In place of the institutional check, the project adopted a specific and demanding discipline: explicit, published verification. Every substantive factual claim — every date, every specification, every attribution, every price — was checked against primary sources, and, critically, the errors that verification uncovered were published in correction logs rather than silently repaired. The three volumes underlying this paper each carry such a log, documenting confident claims that turned out to be wrong and the corrections that replaced them.</w:t>
      </w:r>
    </w:p>
    <w:p>
      <w:pPr>
        <w:pStyle w:val="BodyText"/>
      </w:pPr>
      <w:r>
        <w:t xml:space="preserve">This paper inherits that discipline in full. Its factual claims have been checked; its uncertain claims are flagged as uncertain; its volatile claims are dated; and its treatment of its own central result applies the same standard it applies to others’ work, relying on the independently-reproduced figure and flagging the vendor-reported one. The reason for stating this at the outset, rather than leaving it to the methodology section, is that the reader is entitled to know from the first page on what basis the paper asks to be believed. It does not ask to be believed on the author’s authority, which is precisely what an independent researcher lacks. It asks to be believed on the basis of a documented practice of verification whose results — including its record of caught errors — are published and therefore checkable. The practice is defended at length in Sections 4.2 and 8.2, where it is argued to be not merely a substitute for peer review but a substitute with a specific virtue peer review lacks: its transparency about what was gotten wrong. For now it is enough to say that the paper’s claims about its own reliability rest on something a reader can inspect, rather than on something a reader must take on trust.</w:t>
      </w:r>
    </w:p>
    <w:p>
      <w:r>
        <w:pict>
          <v:rect style="width:0;height:1.5pt" o:hralign="center" o:hrstd="t" o:hr="t"/>
        </w:pict>
      </w:r>
    </w:p>
    <w:bookmarkEnd w:id="25"/>
    <w:bookmarkEnd w:id="26"/>
    <w:bookmarkStart w:id="30" w:name="background"/>
    <w:p>
      <w:pPr>
        <w:pStyle w:val="Heading1"/>
      </w:pPr>
      <w:r>
        <w:t xml:space="preserve">2. BACKGROUND</w:t>
      </w:r>
    </w:p>
    <w:bookmarkStart w:id="27" w:name="X9f71479d8c2f5f5d5803810d03359aff7695fe6"/>
    <w:p>
      <w:pPr>
        <w:pStyle w:val="Heading2"/>
      </w:pPr>
      <w:r>
        <w:t xml:space="preserve">2.1 The History of AI Access as a History of Concentration</w:t>
      </w:r>
    </w:p>
    <w:p>
      <w:pPr>
        <w:pStyle w:val="FirstParagraph"/>
      </w:pPr>
      <w:r>
        <w:t xml:space="preserve">The history of artificial intelligence can be read in many ways, but for this paper’s purposes the most illuminating reading is as a history of the resources required to participate in it — and for most of that history, the trend of those resources was toward concentration, toward requiring more of what fewer possessed.</w:t>
      </w:r>
    </w:p>
    <w:p>
      <w:pPr>
        <w:pStyle w:val="BodyText"/>
      </w:pPr>
      <w:r>
        <w:t xml:space="preserve">The expert systems of the 1970s and 1980s required specialized hardware, dedicated programming languages, and the scarce labor of knowledge engineers who could extract and encode domain expertise. Participation was gated by access to that hardware and that expertise, and the systems that resulted were expensive institutional artifacts. The statistical and machine-learning methods that displaced expert systems shifted the binding resource from hand-coded knowledge to data: the methods worked in proportion to the data available to train them, and large, well-curated datasets were themselves institutional assets. Then the deep-learning revolution, which began in earnest with the 2012 ImageNet results, shifted the binding resource again — to compute, and specifically to the graphics-processing hardware on which neural networks train efficiently. The trajectory from that point ran toward ever-larger models trained on ever-more data with ever-more compute at ever-greater expense, and each step up in scale raised the resource threshold for participation. By the early 2020s, training a frontier model cost sums that only well-capitalized institutions could command, and the capability those models embodied was, correspondingly, concentrated in the institutions that could afford to produce them.</w:t>
      </w:r>
    </w:p>
    <w:p>
      <w:pPr>
        <w:pStyle w:val="BodyText"/>
      </w:pPr>
      <w:r>
        <w:t xml:space="preserve">The through-line across these eras is that the binding resource — knowledge engineers, then data, then compute — was in each case something institutions could accumulate more readily than individuals, so that participation at the frontier was, throughout, an institutional privilege. What changed recently, and what this paper is about, is not that the frontier stopped being institutional — it did not — but that the diffusion of capability</w:t>
      </w:r>
      <w:r>
        <w:t xml:space="preserve"> </w:t>
      </w:r>
      <w:r>
        <w:rPr>
          <w:iCs/>
          <w:i/>
        </w:rPr>
        <w:t xml:space="preserve">behind</w:t>
      </w:r>
      <w:r>
        <w:t xml:space="preserve"> </w:t>
      </w:r>
      <w:r>
        <w:t xml:space="preserve">the frontier reached a point where useful, if not frontier-leading, AI became available to individuals for the first time.</w:t>
      </w:r>
    </w:p>
    <w:p>
      <w:pPr>
        <w:pStyle w:val="BodyText"/>
      </w:pPr>
      <w:r>
        <w:t xml:space="preserve">This concentration became a subject of explicit policy and scholarly concern. By the mid-2020s, the</w:t>
      </w:r>
      <w:r>
        <w:t xml:space="preserve"> </w:t>
      </w:r>
      <w:r>
        <w:t xml:space="preserve">“</w:t>
      </w:r>
      <w:r>
        <w:t xml:space="preserve">compute divide</w:t>
      </w:r>
      <w:r>
        <w:t xml:space="preserve">”</w:t>
      </w:r>
      <w:r>
        <w:t xml:space="preserve"> </w:t>
      </w:r>
      <w:r>
        <w:t xml:space="preserve">— the gap between the computational resources available to well-funded institutions and those available to everyone else — was a recognized problem in AI governance, and the concentration of foundation-model development in a small number of firms was widely discussed. The transparency of those firms’ practices became itself a subject of measurement, with the Foundation Model Transparency Index (Bommasani et al., 2024) documenting how little the major developers disclosed about their models, data, and practices — a concentration not only of capability but of the information required to understand and govern it. The National Telecommunications and Information Administration’s 2024 report on dual-use foundation models with widely available weights, and the scholarly debate surrounding open foundation models more broadly, framed a central tension: openness in AI carries both risks and benefits, and the question of who can access advanced AI capability is inseparable from questions of safety, competition, and power (Kapoor et al., 2024; NTIA, 2024; Seger and O’Dell, 2024).</w:t>
      </w:r>
    </w:p>
    <w:p>
      <w:pPr>
        <w:pStyle w:val="BodyText"/>
      </w:pPr>
      <w:r>
        <w:t xml:space="preserve">The concentration dynamic has a self-reinforcing character worth naming. Larger models trained on more data with more compute tend to perform better; better performance attracts more users and more capital; more capital funds more compute and larger models. This loop, left to itself, concentrates capability in whoever can enter it at the largest scale, and it is the structural reason that the frontier of AI capability has remained institutional even as the field has grown. The counter-current the next subsection describes does not break this loop at the frontier — the frontier remains concentrated — but it does something the loop does not prevent: it makes the capability of models a generation or two behind the frontier, which is to say genuinely useful capability, available outside the loop entirely, to anyone with open weights and modest hardware. The paper’s argument depends on this distinction between frontier and useful, and it is the distinction the concentration narrative, focused on the frontier, tends to obscure.</w:t>
      </w:r>
    </w:p>
    <w:p>
      <w:pPr>
        <w:pStyle w:val="BodyText"/>
      </w:pPr>
      <w:r>
        <w:t xml:space="preserve">The counter-current to concentration was the open-source movement in machine learning. The public availability of model weights — whether released deliberately or, in some cases, leaked — combined with a succession of engineering advances that reduced the resources required to run those weights, produced a parallel history in which capability diffused outward even as the frontier concentrated.</w:t>
      </w:r>
    </w:p>
    <w:p>
      <w:pPr>
        <w:pStyle w:val="BodyText"/>
      </w:pPr>
      <w:r>
        <w:t xml:space="preserve">The arc of that diffusion is worth tracing, because it is the concrete history behind the paper’s access claim. The deep-learning era’s opening result, AlexNet’s 2012 ImageNet performance (Krizhevsky, Sutskever, and Hinton, 2012), was itself produced on two consumer graphics cards — a fact often noted as an early sign that decisive advances need not require institutional-scale hardware. The subsequent scaling of language models reversed that accessibility: GPT-3 (Brown et al., 2020), at 175 billion parameters, was precisely the kind of artifact only a well-capitalized institution could produce or run, and its release as a paid service rather than as weights exemplified the concentration the paper describes. The counter-current began in earnest when open weights became available — the LLaMA models (Touvron et al., 2023) being a pivotal case — and when the tooling to run them efficiently on modest hardware matured in parallel. Stanford’s Alpaca (Taori et al., 2023) demonstrated that a capable instruction-following model could be produced by fine-tuning open weights for a few hundred dollars, and the open-source inference ecosystem — the llama.cpp project and the tools built on it — made running such models on consumer hardware, without a graphics processor at all, a matter of downloading a file. This paper’s demonstration sits squarely within that counter-current, and Section 3.3 traces the specific technical advances — mixture-of-experts sparsity and aggressive quantization — that carry the diffusion to its current point, where a thirty-billion-parameter model runs on a single-board computer.</w:t>
      </w:r>
    </w:p>
    <w:bookmarkEnd w:id="27"/>
    <w:bookmarkStart w:id="28" w:name="Xb345cfebfb9d378a26dffc1a626efa2d1d9c000"/>
    <w:p>
      <w:pPr>
        <w:pStyle w:val="Heading2"/>
      </w:pPr>
      <w:r>
        <w:t xml:space="preserve">2.2 A Tradition of Independent and Amateur Contribution</w:t>
      </w:r>
    </w:p>
    <w:p>
      <w:pPr>
        <w:pStyle w:val="FirstParagraph"/>
      </w:pPr>
      <w:r>
        <w:t xml:space="preserve">Before turning to the project’s personal origin, it is worth situating independent AI construction within a longer tradition, because the paper’s claim that individuals can do serious work outside institutions is not novel to AI and gains credibility from its precedents.</w:t>
      </w:r>
    </w:p>
    <w:p>
      <w:pPr>
        <w:pStyle w:val="BodyText"/>
      </w:pPr>
      <w:r>
        <w:t xml:space="preserve">The maker movement, whose ethos Anderson (2012) documented, established that the falling cost of manufacturing tools — 3D printers, microcontrollers, single-board computers — enabled individuals to design and build sophisticated physical artifacts that would once have required industrial resources. The movement’s premise, that the democratization of tools democratizes the capacity to create, is precisely the premise this paper extends to AI: what falling manufacturing costs did for physical fabrication, falling inference costs and open models are doing for artificial intelligence. The pedagogical grounding for why this matters runs deeper still, to Papert’s constructionism (Papert, 1980; Harel and Papert, 1991), which held that people build the most durable understanding when they build things — that the act of construction is not merely a way to apply knowledge but a way to acquire it. An individual who builds a local AI system does not merely demonstrate that it can be built; they come to understand inference, quantization, and systems integration in a way that studying those topics does not produce.</w:t>
      </w:r>
    </w:p>
    <w:p>
      <w:pPr>
        <w:pStyle w:val="BodyText"/>
      </w:pPr>
      <w:r>
        <w:t xml:space="preserve">The history of science and technology is, moreover, full of consequential contributions from outside the relevant institutions — from amateur astronomers, independent naturalists, and self-taught engineers whose lack of credentials did not disqualify their work, which stood or fell on its merits and its verifiability. The relevant lesson is not that institutions are unnecessary — they are indispensable for the frontier work that individual resources cannot reach — but that the boundary of what individuals can contribute moves outward as tools become accessible, and that work done outside institutions is properly judged by the same standards as work done within them: the quality of its evidence and the rigor of its verification. This paper asks to be judged by exactly those standards, and its verification commitment is the means by which it makes that judgment possible.</w:t>
      </w:r>
    </w:p>
    <w:bookmarkEnd w:id="28"/>
    <w:bookmarkStart w:id="29" w:name="Xb612a5776095702d0f594b19e02b24137efe227"/>
    <w:p>
      <w:pPr>
        <w:pStyle w:val="Heading2"/>
      </w:pPr>
      <w:r>
        <w:t xml:space="preserve">2.3 The Personal Context: A Rejection and a Redirection</w:t>
      </w:r>
    </w:p>
    <w:p>
      <w:pPr>
        <w:pStyle w:val="FirstParagraph"/>
      </w:pPr>
      <w:r>
        <w:t xml:space="preserve">Academic honesty requires acknowledging that this project has a personal origin, and that the origin shapes the argument. The project began with an institutional rejection: an application to work in a university artificial-intelligence laboratory, declined. That rejection, and what the author subsequently learned about the research directions the relevant institutional environment was pursuing — including work oriented toward artificial intimacy and companion systems — catalyzed a redirection: rather than seeking institutional permission to participate in AI research, the author would build independently, and would build in the prosocial direction the paper defends.</w:t>
      </w:r>
    </w:p>
    <w:p>
      <w:pPr>
        <w:pStyle w:val="BodyText"/>
      </w:pPr>
      <w:r>
        <w:t xml:space="preserve">This origin is disclosed rather than concealed for two reasons. First, because concealing the motivation behind a piece of research is itself a form of dishonesty, and this paper’s method rests on honesty about its own limitations and commitments. Second, because the origin is, in a sense, the argument in miniature: the claim that individuals can now build what once required institutions is not abstract for the author, and the paper’s existence is a token of the type it describes. The reader should weigh the personal motivation as they see fit; it is precisely because it could bias the argument that it is stated plainly.</w:t>
      </w:r>
    </w:p>
    <w:p>
      <w:pPr>
        <w:pStyle w:val="BodyText"/>
      </w:pPr>
      <w:r>
        <w:t xml:space="preserve">There is a legitimate concern that a personally-motivated critique of a research direction — here, the critique of artificial-intimacy research that Section 6 develops — is suspect precisely because it is motivated, that the author has an interest in the conclusion and may have reasoned toward it. The concern is fair, and the paper’s response to it is structural rather than rhetorical: the critique of artificial intimacy in Section 6 rests entirely on independent, verifiable evidence — court dockets, regulatory decisions, and peer-reviewed harm studies — none of which the author produced or could have influenced. The reader is not asked to accept that artificial-intimacy systems cause harm on the author’s say-so; they are directed to the</w:t>
      </w:r>
      <w:r>
        <w:t xml:space="preserve"> </w:t>
      </w:r>
      <w:r>
        <w:rPr>
          <w:iCs/>
          <w:i/>
        </w:rPr>
        <w:t xml:space="preserve">Garcia</w:t>
      </w:r>
      <w:r>
        <w:t xml:space="preserve"> </w:t>
      </w:r>
      <w:r>
        <w:t xml:space="preserve">and</w:t>
      </w:r>
      <w:r>
        <w:t xml:space="preserve"> </w:t>
      </w:r>
      <w:r>
        <w:rPr>
          <w:iCs/>
          <w:i/>
        </w:rPr>
        <w:t xml:space="preserve">Peralta</w:t>
      </w:r>
      <w:r>
        <w:t xml:space="preserve"> </w:t>
      </w:r>
      <w:r>
        <w:t xml:space="preserve">dockets, the Garante’s decision, and the</w:t>
      </w:r>
      <w:r>
        <w:t xml:space="preserve"> </w:t>
      </w:r>
      <w:r>
        <w:rPr>
          <w:iCs/>
          <w:i/>
        </w:rPr>
        <w:t xml:space="preserve">New Media &amp; Society</w:t>
      </w:r>
      <w:r>
        <w:t xml:space="preserve"> </w:t>
      </w:r>
      <w:r>
        <w:t xml:space="preserve">and</w:t>
      </w:r>
      <w:r>
        <w:t xml:space="preserve"> </w:t>
      </w:r>
      <w:r>
        <w:rPr>
          <w:iCs/>
          <w:i/>
        </w:rPr>
        <w:t xml:space="preserve">Science</w:t>
      </w:r>
      <w:r>
        <w:t xml:space="preserve"> </w:t>
      </w:r>
      <w:r>
        <w:t xml:space="preserve">findings, and invited to evaluate that evidence directly. A motivated author who assembles independent evidence and cites it precisely has produced an argument that survives the motivation, because the argument’s warrant is the evidence, not the author. This is, again, why the verification commitment matters: it is the mechanism by which a motivated argument is made checkable, and therefore trustworthy despite the motivation.</w:t>
      </w:r>
    </w:p>
    <w:p>
      <w:pPr>
        <w:pStyle w:val="BodyText"/>
      </w:pPr>
      <w:r>
        <w:t xml:space="preserve">The argument itself, in short, does not depend on the motivation. The technical claims stand or fall on measurement, and the central one is independently reproduced. The ethical claims stand or fall on the evidence base, which is independent and cited. The access claims stand or fall on the demonstrated cost and feasibility, which are documented. A reader wholly uninterested in the author’s history can evaluate every substantive claim in the paper without reference to it, and a reader suspicious of the author’s motivation can check every substantive claim against sources the author did not control. The motivation explains why the paper was written; it does not determine whether the paper is correct, and the paper is structured so that the reader can establish the latter independently of the former.</w:t>
      </w:r>
    </w:p>
    <w:p>
      <w:r>
        <w:pict>
          <v:rect style="width:0;height:1.5pt" o:hralign="center" o:hrstd="t" o:hr="t"/>
        </w:pict>
      </w:r>
    </w:p>
    <w:bookmarkEnd w:id="29"/>
    <w:bookmarkEnd w:id="30"/>
    <w:bookmarkStart w:id="35" w:name="literature-review"/>
    <w:p>
      <w:pPr>
        <w:pStyle w:val="Heading1"/>
      </w:pPr>
      <w:r>
        <w:t xml:space="preserve">3. LITERATURE REVIEW</w:t>
      </w:r>
    </w:p>
    <w:p>
      <w:pPr>
        <w:pStyle w:val="FirstParagraph"/>
      </w:pPr>
      <w:r>
        <w:t xml:space="preserve">The paper’s argument draws on four bodies of scholarship, reviewed in turn: human-machine communication theory, which grounds the significance of embodiment; social presence and the media equation, which explain the psychological mechanisms embodiment engages; the technical literature on transformer architecture, sparsity, and quantization, which explains the demonstration’s feasibility; and the literature on edge AI and on-device inference, which situates the demonstration among comparable work. The literature on the ethics of artificial intimacy and on socially assistive robotics — the two bodies most central to the normative argument — is reviewed separately and in greater depth in Section 6, where the argument is made.</w:t>
      </w:r>
    </w:p>
    <w:bookmarkStart w:id="31" w:name="human-machine-communication"/>
    <w:p>
      <w:pPr>
        <w:pStyle w:val="Heading2"/>
      </w:pPr>
      <w:r>
        <w:t xml:space="preserve">3.1 Human-Machine Communication</w:t>
      </w:r>
    </w:p>
    <w:p>
      <w:pPr>
        <w:pStyle w:val="FirstParagraph"/>
      </w:pPr>
      <w:r>
        <w:t xml:space="preserve">Human-Machine Communication (HMC) is the subfield of communication studies concerned with the creation of meaning between humans and machines treated as communicative agents in their own right, rather than as mere channels for human-to-human communication. Its foundational statement is Guzman’s edited volume</w:t>
      </w:r>
      <w:r>
        <w:t xml:space="preserve"> </w:t>
      </w:r>
      <w:r>
        <w:rPr>
          <w:iCs/>
          <w:i/>
        </w:rPr>
        <w:t xml:space="preserve">Human-Machine Communication: Rethinking Communication, Technology, and Ourselves</w:t>
      </w:r>
      <w:r>
        <w:t xml:space="preserve"> </w:t>
      </w:r>
      <w:r>
        <w:t xml:space="preserve">(2018), whose framing chapter recast the object of study: where earlier communication theory treated technology as a medium through which people communicate, HMC treats the machine as an entity with which people communicate (Guzman, 2018). This reframing is the theoretical foundation for taking seriously the interaction between a person and an embodied AI — the robot of this paper’s demonstration is not a channel but an interlocutor, and HMC provides the vocabulary for that distinction.</w:t>
      </w:r>
    </w:p>
    <w:p>
      <w:pPr>
        <w:pStyle w:val="BodyText"/>
      </w:pPr>
      <w:r>
        <w:t xml:space="preserve">The field has matured considerably in the years since its founding, and the arc of that maturation is worth sketching because it establishes HMC as a settled scholarly framework rather than a nascent proposal. Guzman and Lewis (2020) set out a research agenda for artificial intelligence in communication specifically, extending the founding framework to the AI systems that had by then become the field’s central object. A dedicated journal,</w:t>
      </w:r>
      <w:r>
        <w:t xml:space="preserve"> </w:t>
      </w:r>
      <w:r>
        <w:rPr>
          <w:iCs/>
          <w:i/>
        </w:rPr>
        <w:t xml:space="preserve">Human-Machine Communication</w:t>
      </w:r>
      <w:r>
        <w:t xml:space="preserve">, was established in 2020 and has provided the field’s institutional home, publishing the empirical and theoretical work through which the field has developed and the editorial statements (Fortunati and Edwards, 2020; Etzrodt and Edwards, 2026) through which it has reflected on its own trajectory. The field’s current self-understanding is articulated most fully in Edwards and Etzrodt’s (2025) statement of its</w:t>
      </w:r>
      <w:r>
        <w:t xml:space="preserve"> </w:t>
      </w:r>
      <w:r>
        <w:t xml:space="preserve">“</w:t>
      </w:r>
      <w:r>
        <w:t xml:space="preserve">core commitments and conceptual foundations,</w:t>
      </w:r>
      <w:r>
        <w:t xml:space="preserve">”</w:t>
      </w:r>
      <w:r>
        <w:t xml:space="preserve"> </w:t>
      </w:r>
      <w:r>
        <w:t xml:space="preserve">which frames HMC as a</w:t>
      </w:r>
      <w:r>
        <w:t xml:space="preserve"> </w:t>
      </w:r>
      <w:r>
        <w:rPr>
          <w:iCs/>
          <w:i/>
        </w:rPr>
        <w:t xml:space="preserve">trans-ontological</w:t>
      </w:r>
      <w:r>
        <w:t xml:space="preserve"> </w:t>
      </w:r>
      <w:r>
        <w:t xml:space="preserve">field — one concerned precisely with entities that do not fit the traditional binary of human and non-human, and that therefore demand a communication theory not built on the assumption that one’s interlocutor is human. A dedicated handbook (Guzman, McEwen, and Jones, 2023) further marks the field’s consolidation. For this paper, the significance of the field’s maturity is that it supplies a developed, institutionally-established theoretical vocabulary for the phenomenon at the center of the demonstration: a person communicating with an embodied machine that is neither a channel to another human nor a human itself, but a communicative entity of its own kind. HMC is the framework within which that phenomenon has a name and a theory, and the paper draws on it as settled scholarship rather than speculation.</w:t>
      </w:r>
    </w:p>
    <w:p>
      <w:pPr>
        <w:pStyle w:val="BodyText"/>
      </w:pPr>
      <w:r>
        <w:t xml:space="preserve">The distinction HMC draws is not merely terminological. Traditional communication models — sender, message, channel, receiver — position technology as the channel, a conduit that may add noise or richness but does not itself participate in meaning-making. HMC’s claim is that this model fails for systems that generate language, respond contingently, and are treated by their users as sources rather than conduits. When a person asks a robot a question and receives an answer that person did not anticipate, the robot is not transmitting someone else’s message; it is, in the sense the field intends, communicating. Guzman’s framing chapter (2018) traces this shift and its stakes, and Guzman and Lewis (2020) extend it into a research agenda specifically for artificial intelligence, arguing that AI’s capacity to occupy the communicator role rather than the channel role is what makes it a distinct object of communication study rather than a variation on prior media.</w:t>
      </w:r>
    </w:p>
    <w:p>
      <w:pPr>
        <w:pStyle w:val="BodyText"/>
      </w:pPr>
      <w:r>
        <w:t xml:space="preserve">This matters for the present paper in a concrete way. The robot at the center of the demonstration is treated by its users — is designed to be treated — as an interlocutor: it is addressed, it responds, its responses are attended to as the robot’s own. Whether that treatment is put to prosocial or extractive ends is the subject of Section 6, but that the treatment occurs at all is what HMC theory both predicts and explains. A paper defending a particular use of embodied conversational AI needs a theory of why embodied conversational AI engages people as it does, and HMC supplies the communicative half of that theory while the next section supplies the psychological half.</w:t>
      </w:r>
    </w:p>
    <w:p>
      <w:pPr>
        <w:pStyle w:val="BodyText"/>
      </w:pPr>
      <w:r>
        <w:t xml:space="preserve">A related philosophical literature concerns the moral standing of machines. Gunkel’s</w:t>
      </w:r>
      <w:r>
        <w:t xml:space="preserve"> </w:t>
      </w:r>
      <w:r>
        <w:rPr>
          <w:iCs/>
          <w:i/>
        </w:rPr>
        <w:t xml:space="preserve">The Machine Question</w:t>
      </w:r>
      <w:r>
        <w:t xml:space="preserve"> </w:t>
      </w:r>
      <w:r>
        <w:t xml:space="preserve">(2012) and</w:t>
      </w:r>
      <w:r>
        <w:t xml:space="preserve"> </w:t>
      </w:r>
      <w:r>
        <w:rPr>
          <w:iCs/>
          <w:i/>
        </w:rPr>
        <w:t xml:space="preserve">Robot Rights</w:t>
      </w:r>
      <w:r>
        <w:t xml:space="preserve"> </w:t>
      </w:r>
      <w:r>
        <w:t xml:space="preserve">(2018) ask whether and under what conditions artificial entities might warrant moral consideration, and Gunkel’s relational approach — that moral standing is a matter of how entities are treated in relation rather than of their intrinsic properties — has been influential in the field. This paper takes no position on machine moral standing; the robot it describes warrants none, and nothing in the argument depends on the question. But the literature is relevant for a different reason: it documents, and theorizes, the readiness with which humans extend social and even moral consideration to machines that present the right cues. That readiness is not a bug to be engineered away but a stable feature of human psychology, and it is precisely what makes both the prosocial and the extractive directions of embodied AI powerful. A robot that people are disposed to treat as a social presence can be built to help them or to exploit them, and the disposition is the same in both cases. It is the psychological reality the next section addresses directly.</w:t>
      </w:r>
    </w:p>
    <w:bookmarkEnd w:id="31"/>
    <w:bookmarkStart w:id="32" w:name="social-presence-and-the-media-equation"/>
    <w:p>
      <w:pPr>
        <w:pStyle w:val="Heading2"/>
      </w:pPr>
      <w:r>
        <w:t xml:space="preserve">3.2 Social Presence and the Media Equation</w:t>
      </w:r>
    </w:p>
    <w:p>
      <w:pPr>
        <w:pStyle w:val="FirstParagraph"/>
      </w:pPr>
      <w:r>
        <w:t xml:space="preserve">Why does embodiment matter? The answer lies in a body of experimental social-psychological research demonstrating that humans respond socially to machines, and that the strength of that response varies with the machine’s presentation.</w:t>
      </w:r>
    </w:p>
    <w:p>
      <w:pPr>
        <w:pStyle w:val="BodyText"/>
      </w:pPr>
      <w:r>
        <w:t xml:space="preserve">Social Presence Theory, originating in Short, Williams, and Christie’s</w:t>
      </w:r>
      <w:r>
        <w:t xml:space="preserve"> </w:t>
      </w:r>
      <w:r>
        <w:rPr>
          <w:iCs/>
          <w:i/>
        </w:rPr>
        <w:t xml:space="preserve">The Social Psychology of Telecommunications</w:t>
      </w:r>
      <w:r>
        <w:t xml:space="preserve"> </w:t>
      </w:r>
      <w:r>
        <w:t xml:space="preserve">(1976), holds that communication media differ in their capacity to convey the sense of another’s presence, and that higher-presence media engage stronger interpersonal responses. An embodied robot that orients toward a speaker, moves in physical space, and expresses internal state through motion and light occupies a far higher position on this scale than a text interface — a difference that matters for any application, prosocial or extractive, that depends on the user’s sense of engagement.</w:t>
      </w:r>
    </w:p>
    <w:p>
      <w:pPr>
        <w:pStyle w:val="BodyText"/>
      </w:pPr>
      <w:r>
        <w:t xml:space="preserve">The mechanism was established experimentally by the</w:t>
      </w:r>
      <w:r>
        <w:t xml:space="preserve"> </w:t>
      </w:r>
      <w:r>
        <w:t xml:space="preserve">“</w:t>
      </w:r>
      <w:r>
        <w:t xml:space="preserve">Computers Are Social Actors</w:t>
      </w:r>
      <w:r>
        <w:t xml:space="preserve">”</w:t>
      </w:r>
      <w:r>
        <w:t xml:space="preserve"> </w:t>
      </w:r>
      <w:r>
        <w:t xml:space="preserve">(CASA) research program, and the specifics of its findings matter for the paper’s argument. Reeves and Nass’s</w:t>
      </w:r>
      <w:r>
        <w:t xml:space="preserve"> </w:t>
      </w:r>
      <w:r>
        <w:rPr>
          <w:iCs/>
          <w:i/>
        </w:rPr>
        <w:t xml:space="preserve">The Media Equation</w:t>
      </w:r>
      <w:r>
        <w:t xml:space="preserve"> </w:t>
      </w:r>
      <w:r>
        <w:t xml:space="preserve">(1996) synthesized a series of experiments demonstrating that people apply social rules to computers automatically, without believing the computers to be human — and the experiments are striking precisely because the participants, asked, denied treating the computers socially even as their behavior demonstrated that they did. In one line of studies, participants were more polite to a computer when evaluating its performance on the same computer than when evaluating it on a different one, reproducing a human politeness norm toward a machine. In another, participants applied notions of reciprocity, personality, and even in-group affiliation to computers given minimal cues. The foundational CASA paper (Nass, Steuer, and Tauber, 1994) established that these responses require only minimal social cues to trigger — the machine need not be humanlike in any rich sense, only present the thin cues that the human social apparatus responds to automatically.</w:t>
      </w:r>
    </w:p>
    <w:p>
      <w:pPr>
        <w:pStyle w:val="BodyText"/>
      </w:pPr>
      <w:r>
        <w:t xml:space="preserve">The critical feature of these findings, for the paper’s purposes, is that the responses are</w:t>
      </w:r>
      <w:r>
        <w:t xml:space="preserve"> </w:t>
      </w:r>
      <w:r>
        <w:rPr>
          <w:iCs/>
          <w:i/>
        </w:rPr>
        <w:t xml:space="preserve">automatic and non-optional</w:t>
      </w:r>
      <w:r>
        <w:t xml:space="preserve">. Participants did not choose to treat computers socially; they did so reflexively, and could not easily suppress the response even when it was pointed out to them. This automaticity is what makes social presence a powerful design lever and a serious ethical concern simultaneously: a system that presents the right cues will engage a user’s social responses whether or not the user endorses doing so, and whether or not the engagement serves the user’s interests. Biocca, Harms, and Burgoon (2003) refined social presence into a multidimensional construct — copresence, psychological involvement, behavioral engagement — providing the measurement framework that later work on robots and conversational agents would build upon, and their tripartite structure maps directly onto what embodiment supplies: physical copresence, the psychological involvement that contingent responsiveness produces, and the behavioral engagement of movement and orientation.</w:t>
      </w:r>
    </w:p>
    <w:p>
      <w:pPr>
        <w:pStyle w:val="BodyText"/>
      </w:pPr>
      <w:r>
        <w:t xml:space="preserve">That later work matters for the currency of the theory, and engaging it honestly means acknowledging that the classic CASA findings are themselves contested for contemporary systems. Recent scholarship has re-examined the paradigm for modern agents, with some researchers arguing that it requires revision as the novelty of computational agents fades and as the agents themselves become more sophisticated — the 2023 work in</w:t>
      </w:r>
      <w:r>
        <w:t xml:space="preserve"> </w:t>
      </w:r>
      <w:r>
        <w:rPr>
          <w:iCs/>
          <w:i/>
        </w:rPr>
        <w:t xml:space="preserve">Scientific Reports</w:t>
      </w:r>
      <w:r>
        <w:t xml:space="preserve"> </w:t>
      </w:r>
      <w:r>
        <w:t xml:space="preserve">on the applicability of CASA to contemporary computational agents being a representative example, arguing that some classic effects were bound up with the unfamiliarity of computers as social objects and may attenuate as that unfamiliarity does. The mechanism by which the effects operate has itself been theorized: Nass and Moon (2000) attributed the automatic social responses to</w:t>
      </w:r>
      <w:r>
        <w:t xml:space="preserve"> </w:t>
      </w:r>
      <w:r>
        <w:t xml:space="preserve">“</w:t>
      </w:r>
      <w:r>
        <w:t xml:space="preserve">mindlessness</w:t>
      </w:r>
      <w:r>
        <w:t xml:space="preserve">”</w:t>
      </w:r>
      <w:r>
        <w:t xml:space="preserve"> </w:t>
      </w:r>
      <w:r>
        <w:t xml:space="preserve">— the reflexive application of social scripts triggered by social cues, occurring without considered judgment about whether the target warrants them. For an embodied AI project, these later and more qualified treatments are more directly applicable than the original 1994 formulation, both because embodied robots present richer social cues than the desktop computers of the original studies and because the honest state of the theory is one of established-but-contested effects rather than settled law.</w:t>
      </w:r>
    </w:p>
    <w:p>
      <w:pPr>
        <w:pStyle w:val="BodyText"/>
      </w:pPr>
      <w:r>
        <w:t xml:space="preserve">The qualifications do not, however, weaken the caution the paper draws from this literature; if anything they sharpen it. Whatever the precise boundaries of the CASA effects, the core finding — that humans extend social responses to machines that present social cues, often automatically and without endorsing the response — is robust, and it is the finding the paper’s ethical argument turns on. The social responses embodiment engages are real, are powerful, and are, as the artificial-intimacy harms literature demonstrates concretely, capable of being exploited. The same mechanism that makes a prosocial companion robot effective at engaging a lonely older adult or a child with autism is what makes an extractive companion chatbot effective at cultivating the dependence its business model monetizes. The mechanism is neutral between these uses; its deployment is not, and the neutrality of the mechanism is precisely why the deployment choice — the allocation the paper’s ethics section addresses — carries the moral weight the paper assigns it.</w:t>
      </w:r>
    </w:p>
    <w:bookmarkEnd w:id="32"/>
    <w:bookmarkStart w:id="33" w:name="X887df2ab7e305624b8092acccffc398fe0fb619"/>
    <w:p>
      <w:pPr>
        <w:pStyle w:val="Heading2"/>
      </w:pPr>
      <w:r>
        <w:t xml:space="preserve">3.3 Transformer Architecture, Mixture-of-Experts, and Quantization</w:t>
      </w:r>
    </w:p>
    <w:p>
      <w:pPr>
        <w:pStyle w:val="FirstParagraph"/>
      </w:pPr>
      <w:r>
        <w:t xml:space="preserve">The demonstration at the center of this paper is possible because of a specific sequence of architectural and engineering advances, and the technical literature documenting them is the paper’s warrant for claiming the demonstration is feasible rather than fanciful.</w:t>
      </w:r>
    </w:p>
    <w:p>
      <w:pPr>
        <w:pStyle w:val="BodyText"/>
      </w:pPr>
      <w:r>
        <w:t xml:space="preserve">The foundation is the transformer architecture (Vaswani et al., 2017), whose central innovation — replacing the sequential recurrence of earlier language models with a self-attention mechanism that processes all positions in parallel — enabled the large-scale parallel training on which every modern large language model depends. The architecture’s significance for this paper is indirect but essential: it is what made models of the relevant capability trainable at all, and therefore what made available the open weights that the demonstration runs. Without the transformer there would be no thirty-billion-parameter model to quantize onto a single-board computer.</w:t>
      </w:r>
    </w:p>
    <w:p>
      <w:pPr>
        <w:pStyle w:val="BodyText"/>
      </w:pPr>
      <w:r>
        <w:t xml:space="preserve">But the transformer that makes such models trainable does not, by itself, make them runnable on modest hardware — quite the opposite. A dense transformer of thirty billion parameters is, for a single-board computer, doubly infeasible. First, on</w:t>
      </w:r>
      <w:r>
        <w:t xml:space="preserve"> </w:t>
      </w:r>
      <w:r>
        <w:rPr>
          <w:iCs/>
          <w:i/>
        </w:rPr>
        <w:t xml:space="preserve">capacity</w:t>
      </w:r>
      <w:r>
        <w:t xml:space="preserve">: at any numerical precision usable without severe quality loss, thirty billion parameters exceed the sixteen gigabytes of memory the machine provides — at the sixteen-bit precision the model is trained in, they require roughly sixty gigabytes, nearly four times the available memory. Second, on</w:t>
      </w:r>
      <w:r>
        <w:t xml:space="preserve"> </w:t>
      </w:r>
      <w:r>
        <w:rPr>
          <w:iCs/>
          <w:i/>
        </w:rPr>
        <w:t xml:space="preserve">bandwidth</w:t>
      </w:r>
      <w:r>
        <w:t xml:space="preserve">: even if the parameters somehow fit, generating each successive token in a transformer requires reading the relevant model weights from memory, and a dense model must read all of its weights for every token; thirty billion parameters read per token, against a memory system delivering on the order of seventeen gigabytes per second, yields a generation rate far below one token per second — unusably slow. These two obstacles, capacity and bandwidth, are distinct, and any approach to running such a model on such hardware must overcome both. Two techniques, in combination, do exactly that, and the remainder of this section reviews them because the demonstration’s feasibility is entirely a consequence of their conjunction.</w:t>
      </w:r>
    </w:p>
    <w:p>
      <w:pPr>
        <w:pStyle w:val="BodyText"/>
      </w:pPr>
      <w:r>
        <w:t xml:space="preserve">The first is</w:t>
      </w:r>
      <w:r>
        <w:t xml:space="preserve"> </w:t>
      </w:r>
      <w:r>
        <w:rPr>
          <w:iCs/>
          <w:i/>
        </w:rPr>
        <w:t xml:space="preserve">mixture-of-experts</w:t>
      </w:r>
      <w:r>
        <w:t xml:space="preserve"> </w:t>
      </w:r>
      <w:r>
        <w:t xml:space="preserve">(MoE) sparsity. The idea originates in Jacobs, Jordan, Nowlan, and Hinton’s</w:t>
      </w:r>
      <w:r>
        <w:t xml:space="preserve"> </w:t>
      </w:r>
      <w:r>
        <w:t xml:space="preserve">“</w:t>
      </w:r>
      <w:r>
        <w:t xml:space="preserve">Adaptive Mixtures of Local Experts</w:t>
      </w:r>
      <w:r>
        <w:t xml:space="preserve">”</w:t>
      </w:r>
      <w:r>
        <w:t xml:space="preserve"> </w:t>
      </w:r>
      <w:r>
        <w:t xml:space="preserve">(1991) and was adapted to modern deep learning by Shazeer et al.’s sparsely-gated MoE layer (2017) and the Switch Transformer (Fedus, Zoph, and Shazeer, 2022). A mixture-of-experts model maintains many parallel expert sub-networks and routes each token to only a small subset. The model of this paper’s demonstration, Qwen3-30B-A3B, contains roughly thirty billion total parameters but activates only about three billion for any given token. The consequence is decisive for edge deployment: the memory bandwidth cost of generating a token scales with the</w:t>
      </w:r>
      <w:r>
        <w:t xml:space="preserve"> </w:t>
      </w:r>
      <w:r>
        <w:rPr>
          <w:iCs/>
          <w:i/>
        </w:rPr>
        <w:t xml:space="preserve">active</w:t>
      </w:r>
      <w:r>
        <w:t xml:space="preserve"> </w:t>
      </w:r>
      <w:r>
        <w:t xml:space="preserve">parameters, not the total, so a thirty-billion-parameter MoE model generates tokens at roughly the speed of a three-billion-parameter dense model while drawing on the knowledge of the full thirty. The literature on scaling and on the disputed question of</w:t>
      </w:r>
      <w:r>
        <w:t xml:space="preserve"> </w:t>
      </w:r>
      <w:r>
        <w:t xml:space="preserve">“</w:t>
      </w:r>
      <w:r>
        <w:t xml:space="preserve">emergent abilities</w:t>
      </w:r>
      <w:r>
        <w:t xml:space="preserve">”</w:t>
      </w:r>
      <w:r>
        <w:t xml:space="preserve"> </w:t>
      </w:r>
      <w:r>
        <w:t xml:space="preserve">provides important context on what capability to expect from models of a given size, and the dispute is worth noting because it bears directly on the paper’s claim that its model is</w:t>
      </w:r>
      <w:r>
        <w:t xml:space="preserve"> </w:t>
      </w:r>
      <w:r>
        <w:t xml:space="preserve">“</w:t>
      </w:r>
      <w:r>
        <w:t xml:space="preserve">useful</w:t>
      </w:r>
      <w:r>
        <w:t xml:space="preserve">”</w:t>
      </w:r>
      <w:r>
        <w:t xml:space="preserve"> </w:t>
      </w:r>
      <w:r>
        <w:t xml:space="preserve">rather than a</w:t>
      </w:r>
      <w:r>
        <w:t xml:space="preserve"> </w:t>
      </w:r>
      <w:r>
        <w:t xml:space="preserve">“</w:t>
      </w:r>
      <w:r>
        <w:t xml:space="preserve">toy.</w:t>
      </w:r>
      <w:r>
        <w:t xml:space="preserve">”</w:t>
      </w:r>
      <w:r>
        <w:t xml:space="preserve"> </w:t>
      </w:r>
      <w:r>
        <w:t xml:space="preserve">Wei and colleagues (2022) argued that certain capabilities appear abruptly at scale — absent in smaller models, present in larger ones — which, if correct, would imply a threshold of size below which a model lacks capabilities that matter. Schaeffer, Miranda, and Koyejo (2023) offered a skeptical rejoinder, arguing that the apparent abruptness is substantially an artifact of the discontinuous metrics used to measure it, and that on smoother metrics capability grows more continuously with scale. The paper cites this dispute rather than resolving it, but notes its relevance: whichever account is correct, a thirty-billion-parameter model sits well above the scale at which the disputed capabilities are agreed to be present, so the demonstration’s model is, on either view, in the regime of genuinely capable rather than threshold-limited models. The distinction between</w:t>
      </w:r>
      <w:r>
        <w:t xml:space="preserve"> </w:t>
      </w:r>
      <w:r>
        <w:t xml:space="preserve">“</w:t>
      </w:r>
      <w:r>
        <w:t xml:space="preserve">useful</w:t>
      </w:r>
      <w:r>
        <w:t xml:space="preserve">”</w:t>
      </w:r>
      <w:r>
        <w:t xml:space="preserve"> </w:t>
      </w:r>
      <w:r>
        <w:t xml:space="preserve">and</w:t>
      </w:r>
      <w:r>
        <w:t xml:space="preserve"> </w:t>
      </w:r>
      <w:r>
        <w:t xml:space="preserve">“</w:t>
      </w:r>
      <w:r>
        <w:t xml:space="preserve">toy</w:t>
      </w:r>
      <w:r>
        <w:t xml:space="preserve">”</w:t>
      </w:r>
      <w:r>
        <w:t xml:space="preserve"> </w:t>
      </w:r>
      <w:r>
        <w:t xml:space="preserve">that the paper’s access claim depends on is thus not undercut by the emergence debate; the model is large enough to be useful on any reading of the scaling literature.</w:t>
      </w:r>
    </w:p>
    <w:p>
      <w:pPr>
        <w:pStyle w:val="BodyText"/>
      </w:pPr>
      <w:r>
        <w:t xml:space="preserve">The second technique is</w:t>
      </w:r>
      <w:r>
        <w:t xml:space="preserve"> </w:t>
      </w:r>
      <w:r>
        <w:rPr>
          <w:iCs/>
          <w:i/>
        </w:rPr>
        <w:t xml:space="preserve">quantization</w:t>
      </w:r>
      <w:r>
        <w:t xml:space="preserve">: reducing the numerical precision of a model’s parameters to shrink its memory footprint. A model trained in sixteen-bit floating point can often be stored at four bits, or fewer, per parameter with limited loss of quality — a roughly fourfold reduction in size, and therefore in the memory bandwidth consumed per token. The technical literature establishing this is substantial and recent, and it is worth reviewing because the demonstration’s feasibility rests on it.</w:t>
      </w:r>
    </w:p>
    <w:p>
      <w:pPr>
        <w:pStyle w:val="BodyText"/>
      </w:pPr>
      <w:r>
        <w:t xml:space="preserve">The naive approach — rounding every parameter to a lower precision uniformly — degrades quality unacceptably at aggressive bit-widths, because a small number of parameters and activations carry disproportionate importance. The advances that made low-bit quantization practical are, in essence, methods for identifying and protecting those important values. LLM.int8() (Dettmers et al., 2022) demonstrated that a mixed-precision decomposition, isolating the small fraction of high-magnitude</w:t>
      </w:r>
      <w:r>
        <w:t xml:space="preserve"> </w:t>
      </w:r>
      <w:r>
        <w:t xml:space="preserve">“</w:t>
      </w:r>
      <w:r>
        <w:t xml:space="preserve">outlier</w:t>
      </w:r>
      <w:r>
        <w:t xml:space="preserve">”</w:t>
      </w:r>
      <w:r>
        <w:t xml:space="preserve"> </w:t>
      </w:r>
      <w:r>
        <w:t xml:space="preserve">features and handling them at higher precision, permits eight-bit inference at scale without quality loss. GPTQ (Frantar et al., 2023) introduced an accurate post-training quantization method based on approximate second-order information, enabling three- and four-bit quantization of very large models. Activation-aware weight quantization, or AWQ (Lin et al., 2024), observed that protecting the weights corresponding to salient activations — rather than the largest-magnitude weights per se — preserves quality better at a given bit-width, a result that has proven especially relevant for on-device deployment. SmoothQuant (Xiao et al., 2023) addressed the activation-outlier problem by migrating quantization difficulty from activations to weights, and QLoRA (Dettmers et al., 2023) showed that quantization and efficient fine-tuning compose, introducing a four-bit format designed for the normal distribution of neural-network weights. A recent comprehensive evaluation of quantized instruction-tuned models (2024) surveys the quality-versus-bit-width tradeoff across these methods at scale.</w:t>
      </w:r>
    </w:p>
    <w:p>
      <w:pPr>
        <w:pStyle w:val="BodyText"/>
      </w:pPr>
      <w:r>
        <w:t xml:space="preserve">The practical instantiation of this literature for local deployment is the GGUF format and its</w:t>
      </w:r>
      <w:r>
        <w:t xml:space="preserve"> </w:t>
      </w:r>
      <w:r>
        <w:t xml:space="preserve">“</w:t>
      </w:r>
      <w:r>
        <w:t xml:space="preserve">k-quant</w:t>
      </w:r>
      <w:r>
        <w:t xml:space="preserve">”</w:t>
      </w:r>
      <w:r>
        <w:t xml:space="preserve"> </w:t>
      </w:r>
      <w:r>
        <w:t xml:space="preserve">family, developed in the open-source llama.cpp project, which applies different precisions to different tensor types according to their sensitivity and has become the standard container for locally-hosted quantized models. The demonstration in this paper relies on an especially aggressive quantization — approximately 2.7 bits per weight — produced by a commercial quantizer using a proprietary method within this lineage. This is below the bit-width at which quality typically degrades noticeably, which is precisely why the quality question matters: as Section 5 details, the resulting model’s throughput has been independently reproduced and is stated as reliable, while its quality-retention figure is vendor-reported, has not been independently reproduced, and is flagged as provisional. The distinction is not pedantry. A model that runs fast but reasons poorly would undermine the demonstration’s practical value, and honesty requires separating the corroborated claim (speed) from the uncorroborated one (quality).</w:t>
      </w:r>
    </w:p>
    <w:p>
      <w:pPr>
        <w:pStyle w:val="BodyText"/>
      </w:pPr>
      <w:r>
        <w:t xml:space="preserve">Together, sparsity and quantization convert an impossible workload into a feasible one: a thirty-billion-parameter model, quantized to under three bits and activating three billion parameters per token, fits in the memory of a single-board computer and runs at conversational speed. The literature reviewed here is the warrant for that claim; Section 5 provides the measurement.</w:t>
      </w:r>
    </w:p>
    <w:bookmarkEnd w:id="33"/>
    <w:bookmarkStart w:id="34" w:name="edge-ai-and-on-device-inference"/>
    <w:p>
      <w:pPr>
        <w:pStyle w:val="Heading2"/>
      </w:pPr>
      <w:r>
        <w:t xml:space="preserve">3.4 Edge AI and On-Device Inference</w:t>
      </w:r>
    </w:p>
    <w:p>
      <w:pPr>
        <w:pStyle w:val="FirstParagraph"/>
      </w:pPr>
      <w:r>
        <w:t xml:space="preserve">The demonstration is not unprecedented, and honesty requires situating it among comparable work rather than presenting it as unique. A growing literature documents large language model inference on resource-constrained edge devices, including single-board computers.</w:t>
      </w:r>
    </w:p>
    <w:p>
      <w:pPr>
        <w:pStyle w:val="BodyText"/>
      </w:pPr>
      <w:r>
        <w:t xml:space="preserve">The most directly relevant academic work includes</w:t>
      </w:r>
      <w:r>
        <w:t xml:space="preserve"> </w:t>
      </w:r>
      <w:r>
        <w:t xml:space="preserve">“</w:t>
      </w:r>
      <w:r>
        <w:t xml:space="preserve">LLMPi,</w:t>
      </w:r>
      <w:r>
        <w:t xml:space="preserve">”</w:t>
      </w:r>
      <w:r>
        <w:t xml:space="preserve"> </w:t>
      </w:r>
      <w:r>
        <w:t xml:space="preserve">which studies high-throughput LLM inference on the Raspberry Pi using k-quantization and quantization-aware training (Ardakani, Malekar, and Zand, 2025), and peer-reviewed evaluations of speech and language models on Raspberry Pi hardware, including a systematic evaluation of Whisper-series speech transcription models on the platform (Cao, 2025). The broader field of on-device machine learning has a foundational text in Warden and Situnayake’s</w:t>
      </w:r>
      <w:r>
        <w:t xml:space="preserve"> </w:t>
      </w:r>
      <w:r>
        <w:rPr>
          <w:iCs/>
          <w:i/>
        </w:rPr>
        <w:t xml:space="preserve">TinyML</w:t>
      </w:r>
      <w:r>
        <w:t xml:space="preserve"> </w:t>
      </w:r>
      <w:r>
        <w:t xml:space="preserve">(2019), and community benchmarking efforts — most prominently the work of independent engineers publishing reproducible Raspberry Pi inference results — provide an empirical reference point that this paper draws on directly for its central throughput claim. Distributed approaches that shard a model across multiple single-board computers (for example, the distributed-llama project) demonstrate an alternative scaling path, discussed and set aside in Section 5 for reasons specific to embodiment.</w:t>
      </w:r>
    </w:p>
    <w:p>
      <w:pPr>
        <w:pStyle w:val="BodyText"/>
      </w:pPr>
      <w:r>
        <w:t xml:space="preserve">The distributed-inference approach deserves specific mention, because it represents an alternative scaling path and its rejection here is instructive. Projects that shard a model’s layers across several networked single-board computers can roughly double or better the throughput of a single machine, since aggregate memory bandwidth scales with the number of machines — a direct confirmation, incidentally, of the memory-bandwidth analysis at the center of this paper’s technical account. For a stationary inference server, this is an attractive path. For an embodied robot it is the wrong one, for reasons that have nothing to do with throughput: several computers, a network switch, and multiple power supplies do not fit in a quadruped, cannot run on its battery, multiply the cost past the point where the access argument holds, and multiply the failure surface. The demonstration therefore uses a single machine on the robot and, where more capability is needed, offloads to a single more-powerful hub rather than to a cluster — an architectural choice examined in Section 7. The distributed approach is noted, and set aside, because the honest situating of the demonstration among alternatives requires acknowledging the paths not taken and why.</w:t>
      </w:r>
    </w:p>
    <w:p>
      <w:pPr>
        <w:pStyle w:val="BodyText"/>
      </w:pPr>
      <w:r>
        <w:t xml:space="preserve">There is also institutional precedent for precisely the prosocial, access-oriented application this paper defends: university edge-AI initiatives have fine-tuned open models to run offline on Raspberry Pi hardware for educational access in under-connected regions, demonstrating that offline, locally-hosted AI on inexpensive hardware is a recognized approach to democratizing access rather than a fringe curiosity. That this approach has been pursued specifically for educational access in the Global South is significant for the paper’s argument: it establishes that the value of local, inexpensive AI is understood, by serious institutional actors, to lie precisely in access — in reaching people and contexts that cloud-dependent, subscription-gated AI does not reach. The paper’s demonstration extends this logic from the educational to the embodied, and from the institutional to the individual.</w:t>
      </w:r>
    </w:p>
    <w:p>
      <w:pPr>
        <w:pStyle w:val="BodyText"/>
      </w:pPr>
      <w:r>
        <w:t xml:space="preserve">The concept of local LLM inference on inexpensive hardware is, in short, established, and the paper claims no novelty for it. What this paper contributes is threefold: the integration of a frontier-class quantized MoE model, full embodiment, and multi-agent orchestration in a single accessible system; the explicit connection of that integration to the ethical case for prosocial, local-first AI; and the methodological demonstration that such a project can be documented to institutional standards of rigor through published verification. The individual technical components exist in the literature; their combination, and the argument built on it, is the contribution.</w:t>
      </w:r>
    </w:p>
    <w:bookmarkEnd w:id="34"/>
    <w:bookmarkEnd w:id="35"/>
    <w:bookmarkStart w:id="40" w:name="methodology"/>
    <w:p>
      <w:pPr>
        <w:pStyle w:val="Heading1"/>
      </w:pPr>
      <w:r>
        <w:t xml:space="preserve">4. METHODOLOGY</w:t>
      </w:r>
    </w:p>
    <w:bookmarkStart w:id="36" w:name="a-practice-based-demonstrative-method"/>
    <w:p>
      <w:pPr>
        <w:pStyle w:val="Heading2"/>
      </w:pPr>
      <w:r>
        <w:t xml:space="preserve">4.1 A Practice-Based, Demonstrative Method</w:t>
      </w:r>
    </w:p>
    <w:p>
      <w:pPr>
        <w:pStyle w:val="FirstParagraph"/>
      </w:pPr>
      <w:r>
        <w:t xml:space="preserve">This paper’s method is practice-based: its central evidence is a functioning artifact, built and measured, rather than a controlled experiment, a survey, or a purely conceptual argument. The claim that accessible AI enables prosocial embodiment is supported by demonstrating that such a system can in fact be built by an individual from consumer hardware, and by measuring what that system does. Practice-based and constructive methods have an established place in engineering and design research, where the production and evaluation of an artifact is itself the mode of inquiry, and they are the appropriate method for the paper’s specific claims. Claims about feasibility, cost, and access are, in fact,</w:t>
      </w:r>
      <w:r>
        <w:t xml:space="preserve"> </w:t>
      </w:r>
      <w:r>
        <w:rPr>
          <w:iCs/>
          <w:i/>
        </w:rPr>
        <w:t xml:space="preserve">better</w:t>
      </w:r>
      <w:r>
        <w:t xml:space="preserve"> </w:t>
      </w:r>
      <w:r>
        <w:t xml:space="preserve">established by demonstration than by argument: the most rigorous conceptual case that a thirty-billion-parameter model</w:t>
      </w:r>
      <w:r>
        <w:t xml:space="preserve"> </w:t>
      </w:r>
      <w:r>
        <w:rPr>
          <w:iCs/>
          <w:i/>
        </w:rPr>
        <w:t xml:space="preserve">could</w:t>
      </w:r>
      <w:r>
        <w:t xml:space="preserve"> </w:t>
      </w:r>
      <w:r>
        <w:t xml:space="preserve">run on a single-board computer is weaker evidence than the model actually running on one, measured and independently reproduced. The demonstration is not an illustration of the argument; for the access claim, it is the argument’s primary evidence.</w:t>
      </w:r>
    </w:p>
    <w:p>
      <w:pPr>
        <w:pStyle w:val="BodyText"/>
      </w:pPr>
      <w:r>
        <w:t xml:space="preserve">The method’s limits, however, must be stated as plainly as its strengths, and Section 8 does so at length. A demonstration establishes that something is possible — that it can be done, has been done, and can be done again by another following the documented procedure. It does not establish how well the thing works across a population of users, across the range of real contexts, or over extended periods of use, because a single constructed artifact evaluated by its builder is not a study of efficacy. The paper is careful throughout to claim only what demonstration can support. Where it argues for the</w:t>
      </w:r>
      <w:r>
        <w:t xml:space="preserve"> </w:t>
      </w:r>
      <w:r>
        <w:rPr>
          <w:iCs/>
          <w:i/>
        </w:rPr>
        <w:t xml:space="preserve">value</w:t>
      </w:r>
      <w:r>
        <w:t xml:space="preserve"> </w:t>
      </w:r>
      <w:r>
        <w:t xml:space="preserve">of prosocial embodiment, it draws that value from the independent socially-assistive-robotics evidence base rather than from measurements of its own device, precisely because its own device has not been subjected to the kind of controlled evaluation that efficacy claims require. The practice-based method is powerful for the possibility claims that are the paper’s core, and silent on the efficacy claims that the paper accordingly does not make.</w:t>
      </w:r>
    </w:p>
    <w:p>
      <w:pPr>
        <w:pStyle w:val="BodyText"/>
      </w:pPr>
      <w:r>
        <w:t xml:space="preserve">The demonstration was conducted across four hardware generations over roughly twenty months, documented in full in the three volumes underlying this paper. The methodology at each stage followed a cycle of literature review, acquisition, deployment, failure analysis, optimization, and documentation. The work was self-funded; no institutional, corporate, or grant support was involved; all software used is open-source; and the architecture deliberately avoids cloud dependencies that would transmit user data to third parties. These conditions are themselves part of the argument: the system’s accessibility is not hypothetical but demonstrated by the conditions of its own construction.</w:t>
      </w:r>
    </w:p>
    <w:bookmarkEnd w:id="36"/>
    <w:bookmarkStart w:id="37" w:name="the-verification-commitment"/>
    <w:p>
      <w:pPr>
        <w:pStyle w:val="Heading2"/>
      </w:pPr>
      <w:r>
        <w:t xml:space="preserve">4.2 The Verification Commitment</w:t>
      </w:r>
    </w:p>
    <w:p>
      <w:pPr>
        <w:pStyle w:val="FirstParagraph"/>
      </w:pPr>
      <w:r>
        <w:t xml:space="preserve">The paper’s most distinctive methodological feature is its treatment of verification, and because the paper’s credibility depends on it, it is stated here as an explicit commitment rather than left implicit.</w:t>
      </w:r>
    </w:p>
    <w:p>
      <w:pPr>
        <w:pStyle w:val="BodyText"/>
      </w:pPr>
      <w:r>
        <w:t xml:space="preserve">Independent research conducted outside institutions lacks the check that peer review provides. This is a real epistemic deficit, and it is not adequately addressed by an individual’s confidence in their own claims — confidence is precisely what fails to detect error. The project underlying this paper addressed the deficit with a specific discipline: every substantive factual claim was checked against primary sources, and the errors that checking uncovered were published, in correction logs attached to each volume, rather than silently fixed.</w:t>
      </w:r>
    </w:p>
    <w:p>
      <w:pPr>
        <w:pStyle w:val="BodyText"/>
      </w:pPr>
      <w:r>
        <w:t xml:space="preserve">This discipline was not a formality. Across the three volumes, verification uncovered numerous confident errors: a scholarly book misdated by six years; a statistic deployed to support the opposite of what its source argued; a widely-repeated hardware specification that was double the true value; a piece of software described from memory that had been superseded and relicensed months earlier; a technical failure whose cause the author had fundamentally misdiagnosed. Each of these errors was made confidently, and each was caught only because it was checked.</w:t>
      </w:r>
    </w:p>
    <w:p>
      <w:pPr>
        <w:pStyle w:val="BodyText"/>
      </w:pPr>
      <w:r>
        <w:t xml:space="preserve">The epistemic structure here deserves to be made explicit, because it generalizes beyond this project. The problem with unverified confident belief is not that it is always wrong — it is often right — but that confidence provides no signal distinguishing the cases. The errors listed above did not feel like errors; they felt exactly like the surrounding claims that turned out to be correct. This is the precise failure mode that peer review exists to catch: a second party, not sharing the author’s confidence, checks the claims the author was too confident to check. An individual working without that second party inherits the deficit in full, and no amount of care substitutes for the check, because care is applied through the same confidence that failed to flag the error in the first place. The only reliable remedy is mechanical: check the claims against sources regardless of how confident they feel, and treat confidence as irrelevant to whether a check is warranted.</w:t>
      </w:r>
    </w:p>
    <w:p>
      <w:pPr>
        <w:pStyle w:val="BodyText"/>
      </w:pPr>
      <w:r>
        <w:t xml:space="preserve">The publication of the resulting corrections is the second and less obvious half of the discipline, and it is what converts a private practice into a public warrant. Anyone can claim to have checked their work; the claim is unfalsifiable and therefore worthless as evidence of reliability. Publishing the corrections — showing both that errors were sought and what was found — makes the reliability claim falsifiable and therefore meaningful. A reader can inspect the correction log, see that it contains substantive and even embarrassing errors, and infer that the verification was genuine rather than performative, because a performative verification would not surface a six-year misdating in the author’s own prior draft. The correction logs are, in effect, the paper’s substitute for peer review — not an equivalent substitute, since a single verifier checking their own work against sources is weaker than independent expert scrutiny, but a genuine one, and one whose honesty is itself verifiable precisely because the corrections are published rather than asserted.</w:t>
      </w:r>
    </w:p>
    <w:p>
      <w:pPr>
        <w:pStyle w:val="BodyText"/>
      </w:pPr>
      <w:r>
        <w:t xml:space="preserve">The relevance to this paper’s argument is direct. A central claim of the paper is that independent work can meet institutional standards of rigor. That claim would be empty if the independent work were in fact less rigorous. The verification commitment is what gives the claim content: independent work can meet institutional standards precisely when it adopts, and publishes, the checks that institutions externalize to peer review. Section 8 returns to this point as a finding in its own right.</w:t>
      </w:r>
    </w:p>
    <w:bookmarkEnd w:id="37"/>
    <w:bookmarkStart w:id="38" w:name="the-development-process-as-evidence"/>
    <w:p>
      <w:pPr>
        <w:pStyle w:val="Heading2"/>
      </w:pPr>
      <w:r>
        <w:t xml:space="preserve">4.3 The Development Process as Evidence</w:t>
      </w:r>
    </w:p>
    <w:p>
      <w:pPr>
        <w:pStyle w:val="FirstParagraph"/>
      </w:pPr>
      <w:r>
        <w:t xml:space="preserve">The demonstration was not a single build but a progression across four hardware generations over roughly twenty months, and the character of that progression is itself relevant evidence for the paper’s access claim, because it shows what the barrier to accessible AI actually consists of.</w:t>
      </w:r>
    </w:p>
    <w:p>
      <w:pPr>
        <w:pStyle w:val="BodyText"/>
      </w:pPr>
      <w:r>
        <w:t xml:space="preserve">The progression began with a conventional laptop and an attempt to use its integrated neural-processing hardware for inference — an attempt that consumed roughly three weeks and failed. The failure is documented in the underlying volumes as a case study in the paper’s verification theme: the author initially concluded that consumer neural-processing hardware was uniformly immature for language-model inference, and this conclusion, while it produced the right decision (to abandon the approach), was wrong about the reason. Verification later established that the specific processor in question possessed no such hardware at all — the relevant</w:t>
      </w:r>
      <w:r>
        <w:t xml:space="preserve"> </w:t>
      </w:r>
      <w:r>
        <w:t xml:space="preserve">“</w:t>
      </w:r>
      <w:r>
        <w:t xml:space="preserve">neural</w:t>
      </w:r>
      <w:r>
        <w:t xml:space="preserve">”</w:t>
      </w:r>
      <w:r>
        <w:t xml:space="preserve"> </w:t>
      </w:r>
      <w:r>
        <w:t xml:space="preserve">branding applied to a different, later product line — so that three weeks had been spent attempting to make software address hardware that was not present. The generalizable lesson, and the reason the episode belongs in a methodology section, is that the barrier to accessible AI is frequently not the hardware or the models but the</w:t>
      </w:r>
      <w:r>
        <w:t xml:space="preserve"> </w:t>
      </w:r>
      <w:r>
        <w:rPr>
          <w:iCs/>
          <w:i/>
        </w:rPr>
        <w:t xml:space="preserve">knowledge</w:t>
      </w:r>
      <w:r>
        <w:t xml:space="preserve"> </w:t>
      </w:r>
      <w:r>
        <w:t xml:space="preserve">of which hardware and which models actually do what — and that this knowledge is systematically obscured by marketing categories that do not map onto capabilities. The barrier the paper claims has fallen is a capital-and-permission barrier; the barrier that remains, and that the development process repeatedly encountered, is a knowledge barrier, and open technical documentation is the instrument for lowering it.</w:t>
      </w:r>
    </w:p>
    <w:p>
      <w:pPr>
        <w:pStyle w:val="BodyText"/>
      </w:pPr>
      <w:r>
        <w:t xml:space="preserve">Subsequent generations moved to a more capable laptop, then to the Raspberry Pi 5 that anchors the demonstration, and finally to the plugged-in hub that the multi-agent architecture uses for offloaded reasoning. Each transition was driven by an empirical finding rather than a plan — the laptop’s neural hardware did not work, the general-purpose processor did, the single-board computer sufficed for the model once the two levers were understood, and the power and thermal constraints then dictated the brain-body split. This is characteristic of practice-based work: the artifact’s final architecture is the residue of what was learned by building, and the learning included substantial error, honestly documented. That the process was error-laden is not a weakness of the methodology but a feature of any genuine construction, and the value of the methodology lies in how the errors were handled — checked, corrected, and published — rather than in a pretense that they did not occur.</w:t>
      </w:r>
    </w:p>
    <w:bookmarkEnd w:id="38"/>
    <w:bookmarkStart w:id="39" w:name="X5daf09a570ec2737f4373777214eba16fa5505b"/>
    <w:p>
      <w:pPr>
        <w:pStyle w:val="Heading2"/>
      </w:pPr>
      <w:r>
        <w:t xml:space="preserve">4.4 Handling of Volatile and Vendor-Reported Claims</w:t>
      </w:r>
    </w:p>
    <w:p>
      <w:pPr>
        <w:pStyle w:val="FirstParagraph"/>
      </w:pPr>
      <w:r>
        <w:t xml:space="preserve">A specific methodological problem arises from the paper’s subject matter, and it is acute enough to warrant its own treatment: many of the paper’s most relevant facts change on timescales shorter than the paper’s useful life. Hardware prices move month to month. The ranking of</w:t>
      </w:r>
      <w:r>
        <w:t xml:space="preserve"> </w:t>
      </w:r>
      <w:r>
        <w:t xml:space="preserve">“</w:t>
      </w:r>
      <w:r>
        <w:t xml:space="preserve">best</w:t>
      </w:r>
      <w:r>
        <w:t xml:space="preserve">”</w:t>
      </w:r>
      <w:r>
        <w:t xml:space="preserve"> </w:t>
      </w:r>
      <w:r>
        <w:t xml:space="preserve">local models turns over with each release cycle. Software versions advance, sometimes changing what is possible. The status of ongoing litigation and regulation shifts as cases are decided and settled. A paper that stated these facts as though they were permanent would be wrong within months of writing, and a paper that omitted them to avoid the problem would be less useful. The paper handles the tension in three specific ways, each an application of its verification commitment to the particular problem of volatility.</w:t>
      </w:r>
    </w:p>
    <w:p>
      <w:pPr>
        <w:pStyle w:val="BodyText"/>
      </w:pPr>
      <w:r>
        <w:t xml:space="preserve">First, every volatile claim carries an explicit access date — July 17, 2026 — so that a reader encountering the paper later knows exactly when each figure was current and can discount it accordingly. A price or a version number is not presented as a timeless fact but as a fact as of a stated date, which is what it is.</w:t>
      </w:r>
    </w:p>
    <w:p>
      <w:pPr>
        <w:pStyle w:val="BodyText"/>
      </w:pPr>
      <w:r>
        <w:t xml:space="preserve">Second, and most important, claims that are vendor-reported rather than independently verified are labeled as such in the running text, not merely buried in a citation where a reader might miss the distinction. The paper’s central technical figure illustrates the practice: the throughput of the demonstration’s model is independently reproduced by a disinterested party and is therefore stated as a reliable result, while the same model’s quality-retention figure is reported only by the vendor and is therefore stated, explicitly and repeatedly, as provisional. Two numbers from the same source receive opposite epistemic treatment according to whether each has been independently checked, and the reader is told which is which in the text.</w:t>
      </w:r>
    </w:p>
    <w:p>
      <w:pPr>
        <w:pStyle w:val="BodyText"/>
      </w:pPr>
      <w:r>
        <w:t xml:space="preserve">Third, where prices or figures conflict across sources — as the robot-cost comparisons and some hardware prices do — the paper reports the conflict rather than silently selecting the most convenient number. A range with its disagreement disclosed is more honest than a false precision, and the disclosure lets the reader see the uncertainty rather than concealing it behind a single figure chosen for its rhetorical convenience.</w:t>
      </w:r>
    </w:p>
    <w:p>
      <w:pPr>
        <w:pStyle w:val="BodyText"/>
      </w:pPr>
      <w:r>
        <w:t xml:space="preserve">This handling is itself an instance of the verification commitment rather than a departure from it. The honest treatment of uncertain and volatile claims — dating them, flagging their provenance, disclosing their conflicts — is not a lowering of rigor to accommodate difficult facts but a component of rigor applied to exactly the facts where it is most tempting to cut corners. A paper willing to state a convenient price as though it were certain, or a vendor’s benchmark as though it were established, would have abandoned the discipline it claims; the paper’s treatment of its volatile facts is where that discipline is most visibly tested, and it is tested in the text where the reader can see it.</w:t>
      </w:r>
    </w:p>
    <w:p>
      <w:r>
        <w:pict>
          <v:rect style="width:0;height:1.5pt" o:hralign="center" o:hrstd="t" o:hr="t"/>
        </w:pict>
      </w:r>
    </w:p>
    <w:bookmarkEnd w:id="39"/>
    <w:bookmarkEnd w:id="40"/>
    <w:bookmarkStart w:id="46" w:name="the-technical-demonstration"/>
    <w:p>
      <w:pPr>
        <w:pStyle w:val="Heading1"/>
      </w:pPr>
      <w:r>
        <w:t xml:space="preserve">5. THE TECHNICAL DEMONSTRATION</w:t>
      </w:r>
    </w:p>
    <w:bookmarkStart w:id="41" w:name="the-central-result"/>
    <w:p>
      <w:pPr>
        <w:pStyle w:val="Heading2"/>
      </w:pPr>
      <w:r>
        <w:t xml:space="preserve">5.1 The Central Result</w:t>
      </w:r>
    </w:p>
    <w:p>
      <w:pPr>
        <w:pStyle w:val="FirstParagraph"/>
      </w:pPr>
      <w:r>
        <w:t xml:space="preserve">The demonstration’s central result can be stated precisely. A thirty-billion-parameter mixture-of-experts language model — Qwen3-30B-A3B-Instruct-2507, released under an open license — quantized to approximately 2.70 bits per weight, occupies roughly 9.6 gibibytes of storage and generates approximately</w:t>
      </w:r>
      <w:r>
        <w:t xml:space="preserve"> </w:t>
      </w:r>
      <w:r>
        <w:rPr>
          <w:bCs/>
          <w:b/>
        </w:rPr>
        <w:t xml:space="preserve">eight tokens per second</w:t>
      </w:r>
      <w:r>
        <w:t xml:space="preserve"> </w:t>
      </w:r>
      <w:r>
        <w:t xml:space="preserve">on a Raspberry Pi 5 single-board computer with sixteen gigabytes of memory, running entirely locally with no network connection. At that rate, the model produces text at roughly the speed of comfortable reading — slow by the standards of a cloud service, but genuinely conversational for deliberate interaction.</w:t>
      </w:r>
    </w:p>
    <w:p>
      <w:pPr>
        <w:pStyle w:val="BodyText"/>
      </w:pPr>
      <w:r>
        <w:t xml:space="preserve">What</w:t>
      </w:r>
      <w:r>
        <w:t xml:space="preserve"> </w:t>
      </w:r>
      <w:r>
        <w:t xml:space="preserve">“</w:t>
      </w:r>
      <w:r>
        <w:t xml:space="preserve">conversational speed</w:t>
      </w:r>
      <w:r>
        <w:t xml:space="preserve">”</w:t>
      </w:r>
      <w:r>
        <w:t xml:space="preserve"> </w:t>
      </w:r>
      <w:r>
        <w:t xml:space="preserve">means here deserves a concrete anchor, because eight tokens per second is a figure whose significance is not self-evident. A token is roughly three-quarters of a word; eight tokens per second is therefore roughly six words per second, or about the pace of comfortable reading aloud. A response of a hundred words arrives over some fifteen seconds, streaming as it generates. This is slow by the standard of a cloud service that returns the same response in a second or two, and it is genuinely fast enough for deliberate interaction — a user reading the response as it appears is not kept waiting for a blank screen, and the pace matches rather than outruns comprehension. The claim is not that the local model matches cloud latency; it manifestly does not, and Section 7.2 treats that gap honestly. The claim is that the local model is fast enough to be useful for the deliberate, considered interaction the paper’s applications involve, and eight tokens per second clears that bar.</w:t>
      </w:r>
    </w:p>
    <w:p>
      <w:pPr>
        <w:pStyle w:val="BodyText"/>
      </w:pPr>
      <w:r>
        <w:t xml:space="preserve">The result’s reliability rests on independent reproduction, and this is the single most important methodological fact about the technical demonstration. The quantization was produced and benchmarked by a commercial quantizer (ByteShape), which reported approximately 8.03 tokens per second. A vendor’s benchmark of its own product is, by itself, weak evidence — the vendor has every incentive to report a favorable number, and no disinterested party has checked it. What converts the figure from a vendor claim into a reliable result is that an independent engineer (Jeff Geerling), running the identical model file on the same class of hardware with a standard, publicly-available benchmarking tool, measured 7.99 tokens per second — a match within half a percent of the vendor’s figure, produced by a party with no stake in the outcome. This is the structure of evidence the paper trusts: not the vendor’s assertion, but the independent reproduction of the vendor’s assertion by someone following a documented, repeatable procedure.</w:t>
      </w:r>
    </w:p>
    <w:p>
      <w:pPr>
        <w:pStyle w:val="BodyText"/>
      </w:pPr>
      <w:r>
        <w:t xml:space="preserve">The contrast with the model’s other headline figure is deliberate and illustrates the paper’s method in miniature. The quantizer additionally reported that its aggressive quantization retains approximately 94 percent of the full-precision model’s quality on standard benchmarks. This figure has</w:t>
      </w:r>
      <w:r>
        <w:t xml:space="preserve"> </w:t>
      </w:r>
      <w:r>
        <w:rPr>
          <w:iCs/>
          <w:i/>
        </w:rPr>
        <w:t xml:space="preserve">not</w:t>
      </w:r>
      <w:r>
        <w:t xml:space="preserve"> </w:t>
      </w:r>
      <w:r>
        <w:t xml:space="preserve">been independently reproduced; it rests on the vendor’s own evaluation, using the vendor’s own methodology, with no disinterested check. The paper therefore treats it exactly as its verification commitment requires: as the vendor’s claim rather than an established fact, relevant and worth reporting but explicitly provisional. The throughput is corroborated and so relied upon; the quality figure is uncorroborated and so flagged. That two figures from the same vendor receive opposite epistemic treatment, according to whether each has been independently checked, is precisely the discipline the paper argues distinguishes credible independent work — and it is applied here to the paper’s own central result, not only to others’ claims.</w:t>
      </w:r>
    </w:p>
    <w:bookmarkEnd w:id="41"/>
    <w:bookmarkStart w:id="42" w:name="why-it-works-two-levers"/>
    <w:p>
      <w:pPr>
        <w:pStyle w:val="Heading2"/>
      </w:pPr>
      <w:r>
        <w:t xml:space="preserve">5.2 Why It Works: Two Levers</w:t>
      </w:r>
    </w:p>
    <w:p>
      <w:pPr>
        <w:pStyle w:val="FirstParagraph"/>
      </w:pPr>
      <w:r>
        <w:t xml:space="preserve">The result is possible because of the two techniques reviewed in Section 3.3, and their effect can be made quantitative.</w:t>
      </w:r>
    </w:p>
    <w:p>
      <w:pPr>
        <w:pStyle w:val="BodyText"/>
      </w:pPr>
      <w:r>
        <w:t xml:space="preserve">The binding constraint on token generation is memory bandwidth. Generating each token requires reading the active model weights from memory, and the Raspberry Pi 5’s memory subsystem delivers on the order of seventeen gigabytes per second. (This figure itself illustrates the paper’s verification commitment: a value of thirty-four gigabytes per second circulates widely, including in the author’s own earlier drafts, and is wrong — it appears to double-count or to sum read and write directions. The corrected single-direction figure is approximately seventeen.) Token-generation speed is, to first approximation, this bandwidth divided by the quantity of weights that must be read per token.</w:t>
      </w:r>
    </w:p>
    <w:p>
      <w:pPr>
        <w:pStyle w:val="BodyText"/>
      </w:pPr>
      <w:r>
        <w:t xml:space="preserve">The first lever,</w:t>
      </w:r>
      <w:r>
        <w:t xml:space="preserve"> </w:t>
      </w:r>
      <w:r>
        <w:rPr>
          <w:iCs/>
          <w:i/>
        </w:rPr>
        <w:t xml:space="preserve">mixture-of-experts sparsity</w:t>
      </w:r>
      <w:r>
        <w:t xml:space="preserve">, reduces the weights read per token. Qwen3-30B-A3B activates approximately three billion of its thirty billion parameters for any given token, so the memory system reads three billion parameters’ worth of data per token rather than thirty. This alone is the difference between a model that cannot run and one that can: a dense thirty-billion-parameter model would generate at well under one token per second even if it fit in memory, which it would not.</w:t>
      </w:r>
    </w:p>
    <w:p>
      <w:pPr>
        <w:pStyle w:val="BodyText"/>
      </w:pPr>
      <w:r>
        <w:t xml:space="preserve">The second lever,</w:t>
      </w:r>
      <w:r>
        <w:t xml:space="preserve"> </w:t>
      </w:r>
      <w:r>
        <w:rPr>
          <w:iCs/>
          <w:i/>
        </w:rPr>
        <w:t xml:space="preserve">quantization</w:t>
      </w:r>
      <w:r>
        <w:t xml:space="preserve">, reduces the bytes per parameter. At approximately 2.7 bits per weight, the three billion active parameters occupy roughly one gigabyte of the data that must be streamed per token, against the seventeen-gigabyte-per-second bandwidth — yielding, after overhead, the observed eight tokens per second. Quantization also shrinks the whole model to fit: thirty billion parameters at 2.7 bits occupy roughly 9.6 gibibytes, leaving room in sixteen gigabytes for the operating system, the robot’s control software, and the rest of the system.</w:t>
      </w:r>
    </w:p>
    <w:p>
      <w:pPr>
        <w:pStyle w:val="BodyText"/>
      </w:pPr>
      <w:r>
        <w:t xml:space="preserve">Neither lever alone suffices, and the reason is worth working through, because it explains why this specific class of model — a heavily-quantized mixture-of-experts model — is the one that makes the demonstration possible, rather than any of the more obvious alternatives.</w:t>
      </w:r>
    </w:p>
    <w:p>
      <w:pPr>
        <w:pStyle w:val="BodyText"/>
      </w:pPr>
      <w:r>
        <w:t xml:space="preserve">Consider the alternatives the two levers rule out. A dense model small enough to run fast — say, a three-billion-parameter dense model — fits easily and generates quickly, but its reasoning is correspondingly limited; it is the</w:t>
      </w:r>
      <w:r>
        <w:t xml:space="preserve"> </w:t>
      </w:r>
      <w:r>
        <w:t xml:space="preserve">“</w:t>
      </w:r>
      <w:r>
        <w:t xml:space="preserve">toy</w:t>
      </w:r>
      <w:r>
        <w:t xml:space="preserve">”</w:t>
      </w:r>
      <w:r>
        <w:t xml:space="preserve"> </w:t>
      </w:r>
      <w:r>
        <w:t xml:space="preserve">the paper’s access claim explicitly excludes. A dense model large enough to reason well — thirty billion parameters — cannot run: at any usable precision it exceeds sixteen gigabytes, and even quantized to fit, it would have to stream all thirty billion parameters per token, yielding well under one token per second, far below the usability floor. Quantization alone cannot rescue the large dense model, because quantization shrinks the per-parameter cost but not the parameter count that must be streamed; a thirty-billion-parameter dense model at 2.7 bits still streams thirty billion parameters per token. Sparsity alone cannot rescue it either, because a mixture-of-experts model at full precision, while it streams only the active parameters per token, must still hold all its parameters in memory — a thirty-billion-parameter MoE model at sixteen-bit precision requires roughly sixty gigabytes, four times the available memory.</w:t>
      </w:r>
    </w:p>
    <w:p>
      <w:pPr>
        <w:pStyle w:val="BodyText"/>
      </w:pPr>
      <w:r>
        <w:t xml:space="preserve">Only the combination works, and it works because the two levers address the two distinct constraints. Quantization addresses the</w:t>
      </w:r>
      <w:r>
        <w:t xml:space="preserve"> </w:t>
      </w:r>
      <w:r>
        <w:rPr>
          <w:iCs/>
          <w:i/>
        </w:rPr>
        <w:t xml:space="preserve">capacity</w:t>
      </w:r>
      <w:r>
        <w:t xml:space="preserve"> </w:t>
      </w:r>
      <w:r>
        <w:t xml:space="preserve">constraint: at 2.7 bits, thirty billion parameters occupy roughly 9.6 gigabytes and fit in sixteen. Sparsity addresses the</w:t>
      </w:r>
      <w:r>
        <w:t xml:space="preserve"> </w:t>
      </w:r>
      <w:r>
        <w:rPr>
          <w:iCs/>
          <w:i/>
        </w:rPr>
        <w:t xml:space="preserve">bandwidth</w:t>
      </w:r>
      <w:r>
        <w:t xml:space="preserve"> </w:t>
      </w:r>
      <w:r>
        <w:t xml:space="preserve">constraint: with three billion active parameters, the memory system streams roughly one gigabyte per token rather than ten, and one gigabyte against seventeen gigabytes per second yields the observed conversational speed. Remove either lever and one of the two constraints becomes binding again and the demonstration fails. This is the technical heart of the paper’s access claim: the capability is available on cheap hardware not by brute force, and not by any single clever trick, but because two independent architectural advances happen to address the two independent constraints that a single-board computer imposes, and because both advances are embodied in openly-available models and free tooling. The convergence is what makes the demonstration possible, and its dependence on open artifacts is what makes it accessible.</w:t>
      </w:r>
    </w:p>
    <w:bookmarkEnd w:id="42"/>
    <w:bookmarkStart w:id="43" w:name="what-does-not-work-and-why-it-matters"/>
    <w:p>
      <w:pPr>
        <w:pStyle w:val="Heading2"/>
      </w:pPr>
      <w:r>
        <w:t xml:space="preserve">5.3 What Does Not Work, and Why It Matters</w:t>
      </w:r>
    </w:p>
    <w:p>
      <w:pPr>
        <w:pStyle w:val="FirstParagraph"/>
      </w:pPr>
      <w:r>
        <w:t xml:space="preserve">The demonstration’s engineering also produced several negative results, and the paper reports them because they are as informative as the positive result and because reporting them is part of the verification commitment.</w:t>
      </w:r>
    </w:p>
    <w:p>
      <w:pPr>
        <w:pStyle w:val="BodyText"/>
      </w:pPr>
      <w:r>
        <w:t xml:space="preserve">Specialized neural accelerators do not help token generation, and the reason they do not is the clearest possible illustration of the memory-bandwidth analysis. A neural-processing accelerator adds arithmetic throughput — often a great deal of it, tens of trillions of operations per second. But token generation is bound by memory bandwidth, not arithmetic: the bottleneck is moving the weights from memory, not computing with them once moved. Adding arithmetic capacity to a workload that is waiting on memory produces idle arithmetic capacity — silicon that could perform more operations but has no data to perform them on, because the data is still arriving over the same unchanged memory bus. Independent benchmarking bears this out precisely: for language-model token generation, the single-board computer’s ordinary central processor is competitive with or faster than a forty-trillion-operation-per-second neural accelerator attached to it, because the accelerator’s arithmetic advantage is irrelevant to a memory-bound task and the processor’s simpler path to memory sometimes serves it better.</w:t>
      </w:r>
    </w:p>
    <w:p>
      <w:pPr>
        <w:pStyle w:val="BodyText"/>
      </w:pPr>
      <w:r>
        <w:t xml:space="preserve">The accelerator is not useless — this is the important nuance. Its genuine advantages lie in two places, both of which are compute-bound rather than memory-bound. The first is prompt processing: ingesting the user’s input, which can be done in parallel across all input tokens at once and is therefore arithmetic-intensive in a way generation is not. The second is vision: the convolutional workloads the accelerator was designed for, which are genuinely compute-bound and which the paper’s embodied robot uses the accelerator for when its vision stack is demanding. The lesson is not that accelerators are worthless but that they must be matched to the constraint they relieve — and for the specific task of language-model token generation, the binding constraint is one the accelerator does not touch.</w:t>
      </w:r>
    </w:p>
    <w:p>
      <w:pPr>
        <w:pStyle w:val="BodyText"/>
      </w:pPr>
      <w:r>
        <w:t xml:space="preserve">The practical upshot is counterintuitive and worth stating baldly, because it inverts the intuition that sells accelerators: the correct optimization for language-model generation on this platform is a five-dollar cooling fan, not a hundred-dollar neural accelerator. The fan lets the processor sustain its rated clock speed under sustained load — recovering the twenty to thirty percent of throughput that thermal throttling otherwise costs — while the accelerator recovers nothing on this task, because the task was never short of arithmetic. That a five-dollar passive component outperforms a hundred-dollar active one for this purpose is a small but genuine illustration of the paper’s larger theme: that understanding the actual constraint, rather than reaching for the component marketed for the general category, is what separates effective engineering from expensive engineering — and that the understanding, unlike the components, is free.</w:t>
      </w:r>
    </w:p>
    <w:p>
      <w:pPr>
        <w:pStyle w:val="BodyText"/>
      </w:pPr>
      <w:r>
        <w:t xml:space="preserve">Speculative decoding, an optimization that trades additional computation for reduced latency, offers little benefit on this platform for the same reason: on a memory-bandwidth-bound system with no spare compute, the trade is unfavorable. Distributed inference across multiple single-board computers does increase throughput — roughly doubling it with four machines, since bandwidth scales with machine count — but is the wrong architecture for an embodied robot, for reasons of physical form, power, cost, and failure surface that Section 7 addresses. Each of these negative results follows from the same physical principle, memory-bandwidth limitation, and together they illustrate a methodological point: understanding the binding constraint prevents a great deal of wasted effort on optimizations that cannot help.</w:t>
      </w:r>
    </w:p>
    <w:bookmarkEnd w:id="43"/>
    <w:bookmarkStart w:id="44" w:name="X9fd3cafcdf3b388d33b9256606a22bcbb6a73fb"/>
    <w:p>
      <w:pPr>
        <w:pStyle w:val="Heading2"/>
      </w:pPr>
      <w:r>
        <w:t xml:space="preserve">5.4 Reproducibility and the Traps That Defeat It</w:t>
      </w:r>
    </w:p>
    <w:p>
      <w:pPr>
        <w:pStyle w:val="FirstParagraph"/>
      </w:pPr>
      <w:r>
        <w:t xml:space="preserve">A demonstration’s value as an access claim depends on its reproducibility: the assertion that an individual can build the system is only as strong as the ease with which another individual actually can. This paper’s underlying volumes document the reproduction path in full, and two features of it bear on the access argument.</w:t>
      </w:r>
    </w:p>
    <w:p>
      <w:pPr>
        <w:pStyle w:val="BodyText"/>
      </w:pPr>
      <w:r>
        <w:t xml:space="preserve">The first is that the obvious path fails. The standard tool for running local models, invoked in the obvious way, downloads a version of the demonstration’s model that is too large to fit the hardware — the default is a lightly-quantized variant of roughly eighteen gigabytes, which exceeds the machine’s memory before the operating system’s needs are counted. Reproducing the result requires knowing to obtain the specific aggressively-quantized model file and to import it manually, a step invisible to a naive attempt. This is emblematic of the sense in which the paper claims accessibility: the capability is available, but it is gated by knowledge — knowing which artifact to use and which trap to avoid — rather than by cost or permission. The paper’s contribution, and the contribution of open technical documentation generally, is precisely to lower that knowledge barrier by making the traps explicit.</w:t>
      </w:r>
    </w:p>
    <w:p>
      <w:pPr>
        <w:pStyle w:val="BodyText"/>
      </w:pPr>
      <w:r>
        <w:t xml:space="preserve">The second is that reproducibility is demonstrated, not merely asserted, and the distinction is central to the paper’s method. The central throughput figure was reproduced by an independent engineer, on the same class of hardware, with a standard open benchmarking tool, arriving within half a percent of the vendor’s number. This is the strongest form of evidence a demonstration of this kind can offer: not</w:t>
      </w:r>
      <w:r>
        <w:t xml:space="preserve"> </w:t>
      </w:r>
      <w:r>
        <w:t xml:space="preserve">“</w:t>
      </w:r>
      <w:r>
        <w:t xml:space="preserve">the author observed this</w:t>
      </w:r>
      <w:r>
        <w:t xml:space="preserve">”</w:t>
      </w:r>
      <w:r>
        <w:t xml:space="preserve"> </w:t>
      </w:r>
      <w:r>
        <w:t xml:space="preserve">— a claim that rests on the author’s word — but</w:t>
      </w:r>
      <w:r>
        <w:t xml:space="preserve"> </w:t>
      </w:r>
      <w:r>
        <w:t xml:space="preserve">“</w:t>
      </w:r>
      <w:r>
        <w:t xml:space="preserve">an independent party, following a documented procedure, observed the same,</w:t>
      </w:r>
      <w:r>
        <w:t xml:space="preserve">”</w:t>
      </w:r>
      <w:r>
        <w:t xml:space="preserve"> </w:t>
      </w:r>
      <w:r>
        <w:t xml:space="preserve">a claim that a reader can check by finding the independent party’s published result. The paper’s underlying volumes further specify the benchmarking methodology in detail — which tool, which controls for thermal throttling and processor clock governor, which figures to report and how — so that a reader is equipped to reproduce the measurement themselves rather than merely accept it on authority. Reproducibility of this sort is the empirical backbone of the access claim: the claim that an individual can build the system is only as strong as the demonstrated ability of another individual to reproduce it, and that ability is demonstrated rather than assumed.</w:t>
      </w:r>
    </w:p>
    <w:p>
      <w:pPr>
        <w:pStyle w:val="BodyText"/>
      </w:pPr>
      <w:r>
        <w:t xml:space="preserve">The connection between reproducibility and the paper’s central theme of accessibility is worth making explicit. A result that only its author can reproduce is, for the purposes of an access argument, almost worthless — it establishes that one person did something, not that people can do it. A result that an independent party has reproduced, following documented steps, establishes the latter. The demonstration’s reproducibility is therefore not a secondary virtue but part of the access claim itself, and it is available precisely because the relevant tooling and models are open: an independent engineer could reproduce the result because the model file and the benchmarking tool are both freely available, which they would not be for a proprietary system. Openness enables reproducibility, reproducibility establishes accessibility, and the chain from one to the next is the evidentiary structure on which the paper’s central claim rests.</w:t>
      </w:r>
    </w:p>
    <w:bookmarkEnd w:id="44"/>
    <w:bookmarkStart w:id="45" w:name="Xcab1468bd655049e7ef91a1f27e8334f4601e6a"/>
    <w:p>
      <w:pPr>
        <w:pStyle w:val="Heading2"/>
      </w:pPr>
      <w:r>
        <w:t xml:space="preserve">5.5 Power, Heat, and the Limits of the Demonstration</w:t>
      </w:r>
    </w:p>
    <w:p>
      <w:pPr>
        <w:pStyle w:val="FirstParagraph"/>
      </w:pPr>
      <w:r>
        <w:t xml:space="preserve">The demonstration has a genuine limitation that the paper states rather than obscures, because a robot that must be plugged in to think is a different object from one that thinks while it roams, and the difference matters to any honest account of what the demonstration achieves.</w:t>
      </w:r>
    </w:p>
    <w:p>
      <w:pPr>
        <w:pStyle w:val="BodyText"/>
      </w:pPr>
      <w:r>
        <w:t xml:space="preserve">The physical facts are these. Sustained language-model inference draws roughly ten and a half watts on the single-board computer alone, before the robot’s twelve servos draw anything for movement — and movement is itself power-hungry, so a robot that is simultaneously thinking hard and moving is drawing from its battery on two demanding accounts at once. Compounding this, the processor throttles its clock speed if its temperature exceeds approximately eighty-five degrees Celsius, which it will reach within minutes under sustained inference load in the absence of active cooling; a small cooling fan prevents this while adding its own, modest, power draw. The combination — high sustained compute power, high movement power, and a thermal ceiling — means that continuous thirty-billion-parameter inference</w:t>
      </w:r>
      <w:r>
        <w:t xml:space="preserve"> </w:t>
      </w:r>
      <w:r>
        <w:rPr>
          <w:iCs/>
          <w:i/>
        </w:rPr>
        <w:t xml:space="preserve">on the robot itself</w:t>
      </w:r>
      <w:r>
        <w:t xml:space="preserve"> </w:t>
      </w:r>
      <w:r>
        <w:t xml:space="preserve">is realistically a docked-or-burst capability rather than a continuously-mobile one. The robot can think hard while plugged in, or think hard in bursts on battery, but it cannot think hard continuously while roaming for extended periods on a small battery, because the power budget does not allow it.</w:t>
      </w:r>
    </w:p>
    <w:p>
      <w:pPr>
        <w:pStyle w:val="BodyText"/>
      </w:pPr>
      <w:r>
        <w:t xml:space="preserve">Section 7 describes the architecture that resolves this tension rather than pretending it away: the robot carries a small, efficient model sufficient for autonomous behavior when disconnected, and offloads heavy reasoning to a plugged-in hub over a local network when connected — a</w:t>
      </w:r>
      <w:r>
        <w:t xml:space="preserve"> </w:t>
      </w:r>
      <w:r>
        <w:t xml:space="preserve">“</w:t>
      </w:r>
      <w:r>
        <w:t xml:space="preserve">brain-body split</w:t>
      </w:r>
      <w:r>
        <w:t xml:space="preserve">”</w:t>
      </w:r>
      <w:r>
        <w:t xml:space="preserve"> </w:t>
      </w:r>
      <w:r>
        <w:t xml:space="preserve">that places the sustained high-power workload on hardware suited to it (a mains-powered hub with no thermal or battery constraint) while leaving the robot autonomous on its own. This is the correct architecture, and it is examined in Section 7.3. But the underlying constraint that motivates it is real and worth stating plainly: a language model of this class is a sustained high-power workload, a mobile robot on a small battery is a fundamentally constrained power environment, and the two are in genuine tension that engineering can manage but not abolish. The paper’s access claim is not diminished by this limitation — the capability is present, and the architecture makes it usable — but the claim is qualified by it: what the individual can build is a capable embodied AI that is fully capable when docked and connected, and more modestly capable when roaming free. That qualification belongs in the record, and stating it is once more the method the paper defends applied to the paper’s own achievement.</w:t>
      </w:r>
    </w:p>
    <w:p>
      <w:r>
        <w:pict>
          <v:rect style="width:0;height:1.5pt" o:hralign="center" o:hrstd="t" o:hr="t"/>
        </w:pict>
      </w:r>
    </w:p>
    <w:bookmarkEnd w:id="45"/>
    <w:bookmarkEnd w:id="46"/>
    <w:bookmarkStart w:id="51" w:name="the-ethical-argument"/>
    <w:p>
      <w:pPr>
        <w:pStyle w:val="Heading1"/>
      </w:pPr>
      <w:r>
        <w:t xml:space="preserve">6. THE ETHICAL ARGUMENT</w:t>
      </w:r>
    </w:p>
    <w:bookmarkStart w:id="47" w:name="X4127d9a61ae158ea3f7fb9e5fcb803c7431eef2"/>
    <w:p>
      <w:pPr>
        <w:pStyle w:val="Heading2"/>
      </w:pPr>
      <w:r>
        <w:t xml:space="preserve">6.1 The Allocation of Attention as an Ethical Choice</w:t>
      </w:r>
    </w:p>
    <w:p>
      <w:pPr>
        <w:pStyle w:val="FirstParagraph"/>
      </w:pPr>
      <w:r>
        <w:t xml:space="preserve">The paper’s normative argument rests on a premise that deserves explicit statement: the allocation of research and development attention is itself an ethical choice. Given finite effort, a builder chooses what to build, and that choice has moral weight independent of whether any individual project is itself harmful. The argument of this section is that the accessible-AI moment makes this choice available to individuals, and that between the two directions the paper contrasts — artificial intimacy and prosocial embodiment — the evidence favors the second decisively.</w:t>
      </w:r>
    </w:p>
    <w:p>
      <w:pPr>
        <w:pStyle w:val="BodyText"/>
      </w:pPr>
      <w:r>
        <w:t xml:space="preserve">The premise that allocation is an ethical choice merits defense, since it is doing real work in the argument. The claim is not that every act of building carries the full moral weight of its domain — an individual building a companion chatbot is not thereby responsible for every harm in the companion-AI field. The claim is more modest and more defensible: that the</w:t>
      </w:r>
      <w:r>
        <w:t xml:space="preserve"> </w:t>
      </w:r>
      <w:r>
        <w:rPr>
          <w:iCs/>
          <w:i/>
        </w:rPr>
        <w:t xml:space="preserve">direction</w:t>
      </w:r>
      <w:r>
        <w:t xml:space="preserve"> </w:t>
      </w:r>
      <w:r>
        <w:t xml:space="preserve">an individual chooses to develop, given a genuine choice among directions, is a choice with moral content, in the ordinary way that any choice to devote effort to one end rather than another has moral content. A researcher who could work on either a therapy that helps or a product that harms, and chooses the harm, has made a choice we would ordinarily evaluate morally; the accessible-AI moment simply extends that structure of choice, formerly confined to those with institutional resources, to individuals. This is not a demanding ethical premise. It is the everyday premise that what we choose to build matters, applied to a domain where the choice has newly become individual.</w:t>
      </w:r>
    </w:p>
    <w:p>
      <w:pPr>
        <w:pStyle w:val="BodyText"/>
      </w:pPr>
      <w:r>
        <w:t xml:space="preserve">The argument is not that artificial-intimacy research should be prohibited. Reasonable scholars defend its legitimacy — Devlin (2018) argues explicitly against prohibition and for a more diverse and thoughtful development of the field, and Danaher’s careful analysis (2017) declines to find the strongest anti-intimacy argument decisive. The paper engages that defense below and does not claim to defeat it. The argument is comparative and allocative rather than prohibitive: that the prosocial direction rests on a stronger evidence base, aligns better with the privacy and autonomy that local-first architecture makes possible, and represents a better use of the capability that accessibility has placed in individual hands. One can hold this comparative view consistently while declining to prohibit anything — indeed the paper does exactly that, arguing for where effort should go without arguing that any effort should be forbidden.</w:t>
      </w:r>
    </w:p>
    <w:bookmarkEnd w:id="47"/>
    <w:bookmarkStart w:id="48" w:name="X50f4cd258f226fb7a8ab8ba1cf271b63c5e61f7"/>
    <w:p>
      <w:pPr>
        <w:pStyle w:val="Heading2"/>
      </w:pPr>
      <w:r>
        <w:t xml:space="preserve">6.2 The Extractive Direction: Artificial Intimacy and Its Documented Harms</w:t>
      </w:r>
    </w:p>
    <w:p>
      <w:pPr>
        <w:pStyle w:val="FirstParagraph"/>
      </w:pPr>
      <w:r>
        <w:t xml:space="preserve">The scholarly debate over artificial intimacy has two poles. Kathleen Richardson has argued that intimate machines reproduce the objectifying dynamics of commodified relationships and threaten authentic human connection; she co-founded the Campaign Against Sex Robots in 2015, and her position receives its fullest statement in</w:t>
      </w:r>
      <w:r>
        <w:t xml:space="preserve"> </w:t>
      </w:r>
      <w:r>
        <w:rPr>
          <w:iCs/>
          <w:i/>
        </w:rPr>
        <w:t xml:space="preserve">Sex Robots: The End of Love</w:t>
      </w:r>
      <w:r>
        <w:t xml:space="preserve"> </w:t>
      </w:r>
      <w:r>
        <w:t xml:space="preserve">(2025) and the co-edited volume</w:t>
      </w:r>
      <w:r>
        <w:t xml:space="preserve"> </w:t>
      </w:r>
      <w:r>
        <w:rPr>
          <w:iCs/>
          <w:i/>
        </w:rPr>
        <w:t xml:space="preserve">Man-Made Women</w:t>
      </w:r>
      <w:r>
        <w:t xml:space="preserve"> </w:t>
      </w:r>
      <w:r>
        <w:t xml:space="preserve">(Richardson and Odlind, 2023). Kate Devlin, in</w:t>
      </w:r>
      <w:r>
        <w:t xml:space="preserve"> </w:t>
      </w:r>
      <w:r>
        <w:rPr>
          <w:iCs/>
          <w:i/>
        </w:rPr>
        <w:t xml:space="preserve">Turned On: Science, Sex and Robots</w:t>
      </w:r>
      <w:r>
        <w:t xml:space="preserve"> </w:t>
      </w:r>
      <w:r>
        <w:t xml:space="preserve">(2018), represents the opposing view, arguing that prohibition is impractical and that the field should be diversified rather than eliminated. John Danaher has provided the most rigorous philosophical treatment of the strongest argument against intimate machines — the</w:t>
      </w:r>
      <w:r>
        <w:t xml:space="preserve"> </w:t>
      </w:r>
      <w:r>
        <w:t xml:space="preserve">“</w:t>
      </w:r>
      <w:r>
        <w:t xml:space="preserve">symbolic-consequences argument</w:t>
      </w:r>
      <w:r>
        <w:t xml:space="preserve">”</w:t>
      </w:r>
      <w:r>
        <w:t xml:space="preserve"> </w:t>
      </w:r>
      <w:r>
        <w:t xml:space="preserve">— in a chapter of the edited volume</w:t>
      </w:r>
      <w:r>
        <w:t xml:space="preserve"> </w:t>
      </w:r>
      <w:r>
        <w:rPr>
          <w:iCs/>
          <w:i/>
        </w:rPr>
        <w:t xml:space="preserve">Robot Sex</w:t>
      </w:r>
      <w:r>
        <w:t xml:space="preserve"> </w:t>
      </w:r>
      <w:r>
        <w:t xml:space="preserve">(Danaher, 2017), finding it incomplete in isolation while acknowledging genuine symbolic concerns.</w:t>
      </w:r>
    </w:p>
    <w:p>
      <w:pPr>
        <w:pStyle w:val="BodyText"/>
      </w:pPr>
      <w:r>
        <w:t xml:space="preserve">This paper does not attempt to resolve the philosophical debate. Its argument rests instead on a body of evidence that has accumulated rapidly and that documents concrete harm — evidence that has moved the question from the theoretical to the urgent. The precision of the following account matters, because these are live legal and regulatory matters involving real deaths, and the paper’s verification commitment applies most stringently where the stakes are highest.</w:t>
      </w:r>
    </w:p>
    <w:p>
      <w:pPr>
        <w:pStyle w:val="BodyText"/>
      </w:pPr>
      <w:r>
        <w:rPr>
          <w:bCs/>
          <w:b/>
        </w:rPr>
        <w:t xml:space="preserve">Litigation.</w:t>
      </w:r>
      <w:r>
        <w:t xml:space="preserve"> </w:t>
      </w:r>
      <w:r>
        <w:t xml:space="preserve">The first wrongful-death action against an AI companion company in the United States is</w:t>
      </w:r>
      <w:r>
        <w:t xml:space="preserve"> </w:t>
      </w:r>
      <w:r>
        <w:rPr>
          <w:iCs/>
          <w:i/>
        </w:rPr>
        <w:t xml:space="preserve">Garcia v. Character Technologies, Inc.</w:t>
      </w:r>
      <w:r>
        <w:t xml:space="preserve"> </w:t>
      </w:r>
      <w:r>
        <w:t xml:space="preserve">(No. 6:24-cv-01903, Middle District of Florida), filed October 22, 2024, by Megan Garcia, whose fourteen-year-old son, Sewell Setzer III, died by suicide in February 2024 after prolonged interaction with a Character.AI companion chatbot. On May 21, 2025, the court (Judge Anne Conway) issued a widely-noted ruling declining to dismiss the case on First Amendment grounds, declining at the early stage to hold that a language model’s outputs constitute protected speech, and allowing product-liability claims to proceed — a ruling read as signaling that AI developers may not evade product-liability and consumer-protection claims by characterizing model outputs as protected expression. A second wave of litigation followed: on September 16, 2025, the Social Media Victims Law Center filed three further actions in federal courts in Colorado and New York, including</w:t>
      </w:r>
      <w:r>
        <w:t xml:space="preserve"> </w:t>
      </w:r>
      <w:r>
        <w:rPr>
          <w:iCs/>
          <w:i/>
        </w:rPr>
        <w:t xml:space="preserve">Peralta v. Character Technologies</w:t>
      </w:r>
      <w:r>
        <w:t xml:space="preserve"> </w:t>
      </w:r>
      <w:r>
        <w:t xml:space="preserve">(No. 1:25-cv-02907, District of Colorado), on behalf of the family of thirteen-year-old Juliana Peralta of Thornton, Colorado, who died by suicide on November 8, 2023, after months of interaction with a Character.AI chatbot. The Character.AI cases subsequently entered mediation, and settlements were reported in January 2026; as in any settlement, the companies admitted no wrongdoing.</w:t>
      </w:r>
    </w:p>
    <w:p>
      <w:pPr>
        <w:pStyle w:val="BodyText"/>
      </w:pPr>
      <w:r>
        <w:rPr>
          <w:bCs/>
          <w:b/>
        </w:rPr>
        <w:t xml:space="preserve">Regulatory enforcement.</w:t>
      </w:r>
      <w:r>
        <w:t xml:space="preserve"> </w:t>
      </w:r>
      <w:r>
        <w:t xml:space="preserve">On May 19, 2025, Italy’s data protection authority (the Garante) announced a five-million-euro fine against Luka, Inc., the developer of the companion chatbot Replika, for violations of the General Data Protection Regulation — specifically, the absence of a valid legal basis for processing, an inadequate privacy policy, and the failure to verify users’ ages despite the service’s emotional and romantic positioning — and opened a further investigation into the training of the underlying model. (The final decision was dated April 10, 2025; the fine cites GDPR Articles 5, 6, 12, 13, 24, and 25.) The paper notes, in keeping with its verification commitment, a distinction frequently blurred in secondary coverage: a separate complaint filed with the United States Federal Trade Commission in January 2025 was a request for investigation, not an enforcement action, and no FTC enforcement has followed from it.</w:t>
      </w:r>
    </w:p>
    <w:p>
      <w:pPr>
        <w:pStyle w:val="BodyText"/>
      </w:pPr>
      <w:r>
        <w:rPr>
          <w:bCs/>
          <w:b/>
        </w:rPr>
        <w:t xml:space="preserve">Empirical documentation of harm.</w:t>
      </w:r>
      <w:r>
        <w:t xml:space="preserve"> </w:t>
      </w:r>
      <w:r>
        <w:t xml:space="preserve">The harms are not only litigated but studied. Laestadius and colleagues (2024), in a grounded-theory analysis published in</w:t>
      </w:r>
      <w:r>
        <w:t xml:space="preserve"> </w:t>
      </w:r>
      <w:r>
        <w:rPr>
          <w:iCs/>
          <w:i/>
        </w:rPr>
        <w:t xml:space="preserve">New Media &amp; Society</w:t>
      </w:r>
      <w:r>
        <w:t xml:space="preserve">, documented mental-health harms from emotional dependence on Replika, introducing the concept of</w:t>
      </w:r>
      <w:r>
        <w:t xml:space="preserve"> </w:t>
      </w:r>
      <w:r>
        <w:t xml:space="preserve">“</w:t>
      </w:r>
      <w:r>
        <w:t xml:space="preserve">role-taking,</w:t>
      </w:r>
      <w:r>
        <w:t xml:space="preserve">”</w:t>
      </w:r>
      <w:r>
        <w:t xml:space="preserve"> </w:t>
      </w:r>
      <w:r>
        <w:t xml:space="preserve">in which users come to believe the chatbot has needs of its own. Muldoon and Parke (2025), in the same journal, applied Lauren Berlant’s concept of</w:t>
      </w:r>
      <w:r>
        <w:t xml:space="preserve"> </w:t>
      </w:r>
      <w:r>
        <w:t xml:space="preserve">“</w:t>
      </w:r>
      <w:r>
        <w:t xml:space="preserve">cruel optimism</w:t>
      </w:r>
      <w:r>
        <w:t xml:space="preserve">”</w:t>
      </w:r>
      <w:r>
        <w:t xml:space="preserve"> </w:t>
      </w:r>
      <w:r>
        <w:t xml:space="preserve">(Berlant, 2011) to argue that AI companionship exploits loneliness and commodifies intimacy — that the promise of connection sustains attachment to something that undermines the capacity for genuine human relationship. And a study published in</w:t>
      </w:r>
      <w:r>
        <w:t xml:space="preserve"> </w:t>
      </w:r>
      <w:r>
        <w:rPr>
          <w:iCs/>
          <w:i/>
        </w:rPr>
        <w:t xml:space="preserve">Science</w:t>
      </w:r>
      <w:r>
        <w:t xml:space="preserve"> </w:t>
      </w:r>
      <w:r>
        <w:t xml:space="preserve">in 2026 found that sycophantic AI — AI that flatters and agrees — decreases users’ prosocial intentions and promotes dependence, providing experimental evidence for a mechanism of harm that the companion-AI business model has commercial reason to amplify.</w:t>
      </w:r>
    </w:p>
    <w:p>
      <w:pPr>
        <w:pStyle w:val="BodyText"/>
      </w:pPr>
      <w:r>
        <w:rPr>
          <w:bCs/>
          <w:b/>
        </w:rPr>
        <w:t xml:space="preserve">The mechanism of harm.</w:t>
      </w:r>
      <w:r>
        <w:t xml:space="preserve"> </w:t>
      </w:r>
      <w:r>
        <w:t xml:space="preserve">It is worth being precise about why these systems cause harm, because the mechanism is not incidental to the business model but continuous with it. A companion system’s commercial value is a function of engagement — of the user’s continued, emotionally invested return. The design features that produce engagement are the same features that the harms literature implicates: emotional responsiveness, the simulation of care, the cultivation of a sense that the system understands and needs the user. Laestadius and colleagues’ concept of</w:t>
      </w:r>
      <w:r>
        <w:t xml:space="preserve"> </w:t>
      </w:r>
      <w:r>
        <w:t xml:space="preserve">“</w:t>
      </w:r>
      <w:r>
        <w:t xml:space="preserve">role-taking</w:t>
      </w:r>
      <w:r>
        <w:t xml:space="preserve">”</w:t>
      </w:r>
      <w:r>
        <w:t xml:space="preserve"> </w:t>
      </w:r>
      <w:r>
        <w:t xml:space="preserve">(2024) names the point at which this cultivation succeeds too well — where the user comes to feel responsible for the chatbot’s simulated emotional states, a reversal in which the tool’s apparent needs constrain the user. Muldoon and Parke’s application of</w:t>
      </w:r>
      <w:r>
        <w:t xml:space="preserve"> </w:t>
      </w:r>
      <w:r>
        <w:t xml:space="preserve">“</w:t>
      </w:r>
      <w:r>
        <w:t xml:space="preserve">cruel optimism</w:t>
      </w:r>
      <w:r>
        <w:t xml:space="preserve">”</w:t>
      </w:r>
      <w:r>
        <w:t xml:space="preserve"> </w:t>
      </w:r>
      <w:r>
        <w:t xml:space="preserve">(2025) names the larger structure: an attachment that promises the connection it in fact forecloses, sustaining the user’s investment in a relationship that displaces rather than supplements human ones. The 2026</w:t>
      </w:r>
      <w:r>
        <w:t xml:space="preserve"> </w:t>
      </w:r>
      <w:r>
        <w:rPr>
          <w:iCs/>
          <w:i/>
        </w:rPr>
        <w:t xml:space="preserve">Science</w:t>
      </w:r>
      <w:r>
        <w:t xml:space="preserve"> </w:t>
      </w:r>
      <w:r>
        <w:t xml:space="preserve">finding on sycophancy supplies an experimental mechanism at the level of the individual interaction: systems that flatter and agree reduce prosocial intention and increase dependence — and a system optimized for engagement has every commercial incentive to flatter and agree. The harm is not a malfunction of companion AI; it is, on this evidence, a predictable consequence of optimizing an emotionally responsive system for engagement, which is what the business model does.</w:t>
      </w:r>
    </w:p>
    <w:p>
      <w:pPr>
        <w:pStyle w:val="BodyText"/>
      </w:pPr>
      <w:r>
        <w:rPr>
          <w:bCs/>
          <w:b/>
        </w:rPr>
        <w:t xml:space="preserve">The regulatory and legislative response</w:t>
      </w:r>
      <w:r>
        <w:t xml:space="preserve"> </w:t>
      </w:r>
      <w:r>
        <w:t xml:space="preserve">has accelerated correspondingly, and the paper notes it while flagging its verification status. Beyond the Italian enforcement action and the United States litigation, state attorneys general have taken up the issue — a large coalition addressing child safety in AI products, and a separate coalition addressing sycophantic and dependency-inducing design — and state legislation has been introduced (for example, in North Carolina) that would impose disclosure and</w:t>
      </w:r>
      <w:r>
        <w:t xml:space="preserve"> </w:t>
      </w:r>
      <w:r>
        <w:t xml:space="preserve">“</w:t>
      </w:r>
      <w:r>
        <w:t xml:space="preserve">duty of loyalty</w:t>
      </w:r>
      <w:r>
        <w:t xml:space="preserve">”</w:t>
      </w:r>
      <w:r>
        <w:t xml:space="preserve"> </w:t>
      </w:r>
      <w:r>
        <w:t xml:space="preserve">requirements on companion chatbots. Several of these specific measures were, as of the access date, introduced or in progress rather than enacted, and the paper’s underlying volumes flag them as such; they are cited here as evidence of the direction and seriousness of the regulatory response, not as settled law.</w:t>
      </w:r>
    </w:p>
    <w:p>
      <w:pPr>
        <w:pStyle w:val="BodyText"/>
      </w:pPr>
      <w:r>
        <w:t xml:space="preserve">This is the extractive direction: commercially significant, legally embattled, regulatorily sanctioned, and empirically associated — through a mechanism continuous with its own business model — with documented psychological harm, including in connection with the deaths of children. It is one thing that accessible AI can be used to build. The next section describes the other.</w:t>
      </w:r>
    </w:p>
    <w:bookmarkEnd w:id="48"/>
    <w:bookmarkStart w:id="49" w:name="X6f12e7fae7310c2408ecfaa999fb5e93b640088"/>
    <w:p>
      <w:pPr>
        <w:pStyle w:val="Heading2"/>
      </w:pPr>
      <w:r>
        <w:t xml:space="preserve">6.3 The Prosocial Direction: Socially Assistive Robotics and Its Evidence Base</w:t>
      </w:r>
    </w:p>
    <w:p>
      <w:pPr>
        <w:pStyle w:val="FirstParagraph"/>
      </w:pPr>
      <w:r>
        <w:t xml:space="preserve">The alternative is prosocial embodiment, and its distinguishing feature is precisely what the extractive direction lacks: an evidence base of measured benefit.</w:t>
      </w:r>
    </w:p>
    <w:p>
      <w:pPr>
        <w:pStyle w:val="BodyText"/>
      </w:pPr>
      <w:r>
        <w:t xml:space="preserve">Socially assistive robotics (SAR) — a field whose definition was established by Feil-Seifer and Matarić (2005) — concerns robots that assist through social rather than physical interaction. Its evidence base is substantially stronger than the artificial-intimacy field’s, and it is worth stating the strongest results precisely, with correct attribution, because attribution errors in this area are common.</w:t>
      </w:r>
    </w:p>
    <w:p>
      <w:pPr>
        <w:pStyle w:val="BodyText"/>
      </w:pPr>
      <w:r>
        <w:rPr>
          <w:bCs/>
          <w:b/>
        </w:rPr>
        <w:t xml:space="preserve">Autism intervention.</w:t>
      </w:r>
      <w:r>
        <w:t xml:space="preserve"> </w:t>
      </w:r>
      <w:r>
        <w:t xml:space="preserve">The strongest evidence comes from two research groups, and the specifics of what they demonstrated are worth stating, because the strength of the paper’s comparative argument depends on the quality of this evidence. A Yale group led by Brian Scassellati published, in</w:t>
      </w:r>
      <w:r>
        <w:t xml:space="preserve"> </w:t>
      </w:r>
      <w:r>
        <w:rPr>
          <w:iCs/>
          <w:i/>
        </w:rPr>
        <w:t xml:space="preserve">Science Robotics</w:t>
      </w:r>
      <w:r>
        <w:t xml:space="preserve"> </w:t>
      </w:r>
      <w:r>
        <w:t xml:space="preserve">in 2018, a study in which a socially assistive robot was placed in the homes of children on the autism spectrum for a month, delivering daily intervention sessions aimed at social skills such as perspective-taking and emotion recognition — the widely-cited 2018</w:t>
      </w:r>
      <w:r>
        <w:t xml:space="preserve"> </w:t>
      </w:r>
      <w:r>
        <w:rPr>
          <w:iCs/>
          <w:i/>
        </w:rPr>
        <w:t xml:space="preserve">Science Robotics</w:t>
      </w:r>
      <w:r>
        <w:t xml:space="preserve"> </w:t>
      </w:r>
      <w:r>
        <w:t xml:space="preserve">autism paper (Scassellati et al., 2018, article eaat7544). The study reported improvements in the children’s social skills over the deployment, and its significance lay partly in its setting: a month-long, in-home, daily-use deployment is a far more demanding and realistic test than the brief laboratory sessions that characterize much human-robot-interaction research. A University of Southern California group led by Maja Matarić conducted its own month-long in-home deployments with autistic children and published, also in</w:t>
      </w:r>
      <w:r>
        <w:t xml:space="preserve"> </w:t>
      </w:r>
      <w:r>
        <w:rPr>
          <w:iCs/>
          <w:i/>
        </w:rPr>
        <w:t xml:space="preserve">Science Robotics</w:t>
      </w:r>
      <w:r>
        <w:t xml:space="preserve"> </w:t>
      </w:r>
      <w:r>
        <w:t xml:space="preserve">(Jain et al., 2020, article eaaz3791), a detailed modeling of how the children’s engagement with the robot evolved over the extended interaction — work that addressed one of the central practical challenges of long-term socially assistive deployment, the maintenance of engagement over time.</w:t>
      </w:r>
    </w:p>
    <w:p>
      <w:pPr>
        <w:pStyle w:val="BodyText"/>
      </w:pPr>
      <w:r>
        <w:t xml:space="preserve">These are genuinely longitudinal, in-home, peer-reviewed studies in a flagship scientific venue, conducted by established research groups — a materially firmer empirical footing than the companion-intimacy field offers, where the comparably rigorous recent work documents harm rather than benefit. The precision of attribution here is deliberate and is itself an instance of the paper’s method: secondary sources, and even the author’s own earlier drafts, frequently misattribute these studies — swapping the institutions, conflating the two studies, or crediting one group’s work to the other. The 2018 in-home social-skills study is Yale’s (Scassellati); the 2020 engagement-modeling study is USC’s (Matarić); and getting this right matters both because accurate attribution is owed to the researchers and because a paper that could not attribute its own supporting evidence correctly would have no standing to claim rigor. The correction of exactly this attribution, in the underlying volumes, appears in their correction logs.</w:t>
      </w:r>
    </w:p>
    <w:p>
      <w:pPr>
        <w:pStyle w:val="BodyText"/>
      </w:pPr>
      <w:r>
        <w:rPr>
          <w:bCs/>
          <w:b/>
        </w:rPr>
        <w:t xml:space="preserve">Elderly care.</w:t>
      </w:r>
      <w:r>
        <w:t xml:space="preserve"> </w:t>
      </w:r>
      <w:r>
        <w:t xml:space="preserve">A University of Denver group led by Mohammad Mahoor evaluated the</w:t>
      </w:r>
      <w:r>
        <w:t xml:space="preserve"> </w:t>
      </w:r>
      <w:r>
        <w:t xml:space="preserve">“</w:t>
      </w:r>
      <w:r>
        <w:t xml:space="preserve">Ryan</w:t>
      </w:r>
      <w:r>
        <w:t xml:space="preserve">”</w:t>
      </w:r>
      <w:r>
        <w:t xml:space="preserve"> </w:t>
      </w:r>
      <w:r>
        <w:t xml:space="preserve">companion robot with older adults experiencing dementia and depression, reporting positive pilot results (Abdollahi et al., 2017), with follow-up work on the role of artificial emotional intelligence in such robots appearing in</w:t>
      </w:r>
      <w:r>
        <w:t xml:space="preserve"> </w:t>
      </w:r>
      <w:r>
        <w:rPr>
          <w:iCs/>
          <w:i/>
        </w:rPr>
        <w:t xml:space="preserve">IEEE Transactions on Affective Computing</w:t>
      </w:r>
      <w:r>
        <w:t xml:space="preserve"> </w:t>
      </w:r>
      <w:r>
        <w:t xml:space="preserve">(2023). The population here — older adults facing cognitive decline and depression, often in institutional care and often isolated — is precisely the population for whom the extractive companion-AI direction poses the gravest risk and for whom the prosocial direction offers the clearest benefit, and the contrast between a robot designed to support such a person and a chatbot designed to maximize their engagement is the paper’s ethical argument in a single population.</w:t>
      </w:r>
    </w:p>
    <w:p>
      <w:pPr>
        <w:pStyle w:val="BodyText"/>
      </w:pPr>
      <w:r>
        <w:t xml:space="preserve">More broadly and more consequentially, the PARO therapeutic seal robot, developed by Takanori Shibata at Japan’s National Institute of Advanced Industrial Science and Technology, received clearance from the United States Food and Drug Administration as a Class II biofeedback medical device in 2009 — the culmination of a development program that began in 1993 and of clinical evaluation in dementia care documenting reduced agitation, reduced loneliness, and increased social engagement among users. The regulatory clearance is a milestone that no artificial-intimacy technology approaches, and its significance for the paper’s argument is precise: it marks the difference between a field whose artifacts are evaluated as medical devices, against standards of documented therapeutic benefit and safety, and a field whose artifacts are evaluated as consumer products, against metrics of engagement and retention. A technology cleared by a drug regulator as a therapeutic device and a technology sanctioned by a data-protection regulator for exploiting its users are near-opposite points in the space of what embodied and conversational AI can be, and the paper’s argument is that accessibility now lets an individual builder choose which point to build toward.</w:t>
      </w:r>
    </w:p>
    <w:p>
      <w:pPr>
        <w:pStyle w:val="BodyText"/>
      </w:pPr>
      <w:r>
        <w:rPr>
          <w:bCs/>
          <w:b/>
        </w:rPr>
        <w:t xml:space="preserve">Education.</w:t>
      </w:r>
      <w:r>
        <w:t xml:space="preserve"> </w:t>
      </w:r>
      <w:r>
        <w:t xml:space="preserve">Beyond therapy, socially assistive and social robots have an established literature in education, reviewed by Belpaeme and colleagues (2018), who document robots’ capacity to support learning across subjects and age groups while noting the field’s methodological challenges honestly — an honesty this paper takes as a model, since the SAR literature does not uniformly claim success and is the stronger for it. The educational dimension connects directly to the demonstration: the robot at this paper’s center is itself an educational artifact, and the constructionist tradition (Papert, 1980; Harel and Papert, 1991) provides the pedagogical theory for why building such a system teaches more durably than studying one.</w:t>
      </w:r>
    </w:p>
    <w:p>
      <w:pPr>
        <w:pStyle w:val="BodyText"/>
      </w:pPr>
      <w:r>
        <w:rPr>
          <w:bCs/>
          <w:b/>
        </w:rPr>
        <w:t xml:space="preserve">The state of the evidence, stated fairly.</w:t>
      </w:r>
      <w:r>
        <w:t xml:space="preserve"> </w:t>
      </w:r>
      <w:r>
        <w:t xml:space="preserve">Honesty requires noting that the SAR evidence base, while genuinely stronger than the artificial-intimacy field’s, is not without limitations of its own. Sample sizes in the landmark autism studies are modest; long-term maintenance of gains after the robot is withdrawn is an open question; and a 2024 review of robot-assisted autism therapy</w:t>
      </w:r>
      <w:r>
        <w:t xml:space="preserve"> </w:t>
      </w:r>
      <w:r>
        <w:t xml:space="preserve">“</w:t>
      </w:r>
      <w:r>
        <w:t xml:space="preserve">from lab to reality</w:t>
      </w:r>
      <w:r>
        <w:t xml:space="preserve">”</w:t>
      </w:r>
      <w:r>
        <w:t xml:space="preserve"> </w:t>
      </w:r>
      <w:r>
        <w:t xml:space="preserve">documents the gap between controlled demonstrations and durable real-world deployment. The paper does not overclaim here. Its comparative point stands without requiring the SAR literature to be flawless: the most rigorous findings in socially assistive robotics document measured benefit in flagship peer-reviewed venues, and the most rigorous findings in artificial intimacy document harm. The asymmetry is in the</w:t>
      </w:r>
      <w:r>
        <w:t xml:space="preserve"> </w:t>
      </w:r>
      <w:r>
        <w:rPr>
          <w:iCs/>
          <w:i/>
        </w:rPr>
        <w:t xml:space="preserve">direction</w:t>
      </w:r>
      <w:r>
        <w:t xml:space="preserve"> </w:t>
      </w:r>
      <w:r>
        <w:t xml:space="preserve">of the best available evidence, and that asymmetry is real regardless of the acknowledged limitations on both sides.</w:t>
      </w:r>
    </w:p>
    <w:p>
      <w:pPr>
        <w:pStyle w:val="BodyText"/>
      </w:pPr>
      <w:r>
        <w:t xml:space="preserve">The asymmetry between the two directions is the argument. The most rigorous recent findings in artificial intimacy document harm; the most rigorous findings in socially assistive robotics document benefit — improved social skills in children with autism, sustained engagement over month-long deployments, regulatory clearance as a medical device. This is not a rhetorical contrast but a difference in the evidentiary record, and it is the empirical foundation of the paper’s normative claim: that the prosocial direction is the better-supported use of the capability that accessibility has placed in individual hands.</w:t>
      </w:r>
    </w:p>
    <w:bookmarkEnd w:id="49"/>
    <w:bookmarkStart w:id="50" w:name="the-prosocial-access-synthesis"/>
    <w:p>
      <w:pPr>
        <w:pStyle w:val="Heading2"/>
      </w:pPr>
      <w:r>
        <w:t xml:space="preserve">6.4 The Prosocial-Access Synthesis</w:t>
      </w:r>
    </w:p>
    <w:p>
      <w:pPr>
        <w:pStyle w:val="FirstParagraph"/>
      </w:pPr>
      <w:r>
        <w:t xml:space="preserve">The two halves of the paper’s argument meet here. The technical demonstration establishes that capable AI is now accessible to individuals; the ethical argument establishes that prosocial embodiment is the better-supported use of that accessibility. The synthesis is that accessibility makes prosocial AI a choice available to individuals rather than only to institutions — and that this is the opening the paper identifies.</w:t>
      </w:r>
    </w:p>
    <w:p>
      <w:pPr>
        <w:pStyle w:val="BodyText"/>
      </w:pPr>
      <w:r>
        <w:t xml:space="preserve">The demonstration’s own prosocial character is worth making concrete, across several dimensions.</w:t>
      </w:r>
    </w:p>
    <w:p>
      <w:pPr>
        <w:pStyle w:val="BodyText"/>
      </w:pPr>
      <w:r>
        <w:t xml:space="preserve">First, and before the robot does anything at all, it is an</w:t>
      </w:r>
      <w:r>
        <w:t xml:space="preserve"> </w:t>
      </w:r>
      <w:r>
        <w:rPr>
          <w:iCs/>
          <w:i/>
        </w:rPr>
        <w:t xml:space="preserve">educational</w:t>
      </w:r>
      <w:r>
        <w:t xml:space="preserve"> </w:t>
      </w:r>
      <w:r>
        <w:t xml:space="preserve">artifact. Building it teaches mechanical assembly and servo calibration, embedded Linux, the deployment and quantization of machine-learning models, the engineering of efficient inference, mesh networking, and the integration of many subsystems into a working whole. This is constructionist pedagogy in the tradition of Papert (1980) and Harel and Papert (1991): understanding built through the act of building, retained more durably than understanding received through instruction because it is enacted rather than absorbed. The educational value is realized whether or not the finished robot ever provides companionship or assistance — the building is itself the benefit, and it is a benefit available to anyone who undertakes the construction. In an era in which AI is increasingly encountered as a finished service to be consumed, a project that is learned by being built is prosocial in a specific and underappreciated way: it produces understanding rather than only output.</w:t>
      </w:r>
    </w:p>
    <w:p>
      <w:pPr>
        <w:pStyle w:val="BodyText"/>
      </w:pPr>
      <w:r>
        <w:t xml:space="preserve">Second, the</w:t>
      </w:r>
      <w:r>
        <w:t xml:space="preserve"> </w:t>
      </w:r>
      <w:r>
        <w:rPr>
          <w:iCs/>
          <w:i/>
        </w:rPr>
        <w:t xml:space="preserve">privacy</w:t>
      </w:r>
      <w:r>
        <w:t xml:space="preserve"> </w:t>
      </w:r>
      <w:r>
        <w:t xml:space="preserve">properties are prosocial in the strong structural sense developed in Section 8.6. Because the system runs locally with no cloud dependency, it embodies the</w:t>
      </w:r>
      <w:r>
        <w:t xml:space="preserve"> </w:t>
      </w:r>
      <w:r>
        <w:t xml:space="preserve">“</w:t>
      </w:r>
      <w:r>
        <w:t xml:space="preserve">local-first</w:t>
      </w:r>
      <w:r>
        <w:t xml:space="preserve">”</w:t>
      </w:r>
      <w:r>
        <w:t xml:space="preserve"> </w:t>
      </w:r>
      <w:r>
        <w:t xml:space="preserve">principles articulated by Kleppmann and colleagues (2019): the user owns their data, and nothing said to the robot leaves the user’s control. For an AI meant to be lived with — to occupy a home, to be spoken to, to accompany — this is not a minor technical property but a precondition for trustworthiness. The companion systems whose harms Section 6.2 documents route their users’ most intimate disclosures to corporate servers; the demonstration’s robot cannot, because there is nowhere for the disclosures to go. Privacy by architecture, rather than by policy, is the prosocial default that local operation makes available.</w:t>
      </w:r>
    </w:p>
    <w:p>
      <w:pPr>
        <w:pStyle w:val="BodyText"/>
      </w:pPr>
      <w:r>
        <w:t xml:space="preserve">Third, the</w:t>
      </w:r>
      <w:r>
        <w:t xml:space="preserve"> </w:t>
      </w:r>
      <w:r>
        <w:rPr>
          <w:iCs/>
          <w:i/>
        </w:rPr>
        <w:t xml:space="preserve">assistive potential</w:t>
      </w:r>
      <w:r>
        <w:t xml:space="preserve"> </w:t>
      </w:r>
      <w:r>
        <w:t xml:space="preserve">— the dimension the paper is most careful not to overclaim — connects the demonstration to the socially-assistive-robotics evidence base. The paper does not claim its robot has demonstrated therapeutic benefit; it has not been tested for any. But the robot is built in the SAR direction, with the embodiment and social presence on which that field’s demonstrated benefits depend, and it is built to be accessible in a way research-grade assistive robots are not. The significance is directional: an accessible platform in the prosocial tradition lowers the barrier to the kind of application the SAR literature validates, in the way that expensive research platforms do not.</w:t>
      </w:r>
    </w:p>
    <w:p>
      <w:pPr>
        <w:pStyle w:val="BodyText"/>
      </w:pPr>
      <w:r>
        <w:t xml:space="preserve">An accessible, local-first, prosocial AI is thus not a compromise among these values but their conjunction — educational in its construction, private in its architecture, assistive in its orientation — and it is a conjunction that the collapse of access barriers has, for the first time, placed within individual reach. That conjunction is the paper’s positive thesis, and the demonstration is its instance.</w:t>
      </w:r>
    </w:p>
    <w:bookmarkEnd w:id="50"/>
    <w:bookmarkEnd w:id="51"/>
    <w:bookmarkStart w:id="55" w:name="embodiment-and-multi-agent-integration"/>
    <w:p>
      <w:pPr>
        <w:pStyle w:val="Heading1"/>
      </w:pPr>
      <w:r>
        <w:t xml:space="preserve">7. EMBODIMENT AND MULTI-AGENT INTEGRATION</w:t>
      </w:r>
    </w:p>
    <w:bookmarkStart w:id="52" w:name="from-model-to-robot"/>
    <w:p>
      <w:pPr>
        <w:pStyle w:val="Heading2"/>
      </w:pPr>
      <w:r>
        <w:t xml:space="preserve">7.1 From Model to Robot</w:t>
      </w:r>
    </w:p>
    <w:p>
      <w:pPr>
        <w:pStyle w:val="FirstParagraph"/>
      </w:pPr>
      <w:r>
        <w:t xml:space="preserve">The language model of Section 5 becomes an embodied agent through the SunFounder PiDog platform — a quadruped robot kit built, in its current revision, around a controller board designed for compatibility with the Raspberry Pi 5, and chosen for the demonstration precisely because it is an accessible consumer product rather than a research platform. This choice is itself part of the argument: research-grade robots suitable for socially assistive work cost thousands to tens of thousands of dollars and are, for that reason, out of reach for the individual builder the paper is concerned with. A capable quadruped kit at consumer price is what makes the embodied half of the demonstration accessible, and its selection over a research platform is a deliberate expression of the paper’s access thesis.</w:t>
      </w:r>
    </w:p>
    <w:p>
      <w:pPr>
        <w:pStyle w:val="BodyText"/>
      </w:pPr>
      <w:r>
        <w:t xml:space="preserve">The platform also illustrates, in miniature, the paper’s verification theme, and the illustration is worth stating because it is a concrete instance of the knowledge barrier the paper repeatedly identifies. An earlier revision of the kit is not compatible with the Raspberry Pi 5 — its servo controller and control board were designed for earlier Pi models — so a builder who acquires the wrong revision, reasonably assuming a current kit would support a current computer, cannot complete the project and may not immediately understand why. The paper’s underlying volumes verify the compatibility boundary against the manufacturer’s own documentation, and flag it precisely so that a reproducing builder avoids the trap. This is the knowledge barrier made concrete: not a matter of cost or capability, but of knowing which specific revision of an accessible product actually works with the rest of the system — exactly the kind of obscured, easily-missed detail that open technical documentation exists to surface.</w:t>
      </w:r>
    </w:p>
    <w:p>
      <w:pPr>
        <w:pStyle w:val="BodyText"/>
      </w:pPr>
      <w:r>
        <w:t xml:space="preserve">The kit provides the sensory and motor complement that turns inference into behavior: twelve servo motors distributed across four legs for locomotion and posture, a camera for vision, an ultrasonic sensor for distance and obstacle detection, a directional microphone array for locating and capturing speech, an inertial measurement unit for balance and orientation, touch sensors for physical interaction, an addressable light array and a speaker for expression and response, and a battery for untethered operation. Each of these is a channel through which the language model’s reasoning can register the world and act on it — the microphone array feeding the voice loop of Section 7.2, the camera feeding the vision stack, the servos and lights and speaker giving the model’s outputs physical and social form. Embodiment, in other words, is not a single feature but the integration of a full sensory and motor apparatus with the reasoning core, and it is that integration that engages the social-presence mechanisms the next paragraphs address.</w:t>
      </w:r>
    </w:p>
    <w:p>
      <w:pPr>
        <w:pStyle w:val="BodyText"/>
      </w:pPr>
      <w:r>
        <w:t xml:space="preserve">Embodiment is not a cosmetic addition to the language model; it is the point at which the social-presence mechanisms of Section 3.2 become operative. A robot that orients toward a speaker, expresses state through motion and light, and occupies physical space engages the human social responses that the CASA literature documents far more strongly than a text interface does. The theoretical prediction is concrete: on the multidimensional account of social presence (Biocca, Harms, and Burgoon, 2003), physical copresence, the visual behavior of orientation and attention, and the synchrony of movement each independently raise the sense of another’s presence, and an embodied robot supplies all three where a text interface supplies none. The HMC framing (Section 3.1) adds that the robot is engaged not merely as present but as a communicator — addressed, attended to, responded to as a source. Embodiment thus operates on both the communicative and the psychological registers the literature review established, and it is why the same underlying language model is a categorically different object when it speaks through a robot that turns toward you than when it prints text on a screen.</w:t>
      </w:r>
    </w:p>
    <w:p>
      <w:pPr>
        <w:pStyle w:val="BodyText"/>
      </w:pPr>
      <w:r>
        <w:t xml:space="preserve">This is precisely why embodiment matters for the prosocial applications the paper defends. A socially assistive robot’s effectiveness — its capacity to engage a child with autism, to accompany an older adult, to hold a learner’s attention — depends on exactly the engagement that embodiment produces, which is why the SAR evidence base (Section 6.3) is built on physical robots rather than screen interfaces. And it is equally why the paper insists on the ethical framing of Section 6: the mechanism is neutral, and the same embodied social presence that makes an assistive robot effective would make an embodied companion system engineered for engagement correspondingly more powerful, and more dangerous, than its text-based counterparts already are. The stakes of the allocation choice rise with the strength of the mechanism, and embodiment strengthens the mechanism. That the demonstration is built in the prosocial direction is, in this light, not incidental to the paper but its argument enacted: the most powerful form of the technology, turned toward assistance rather than extraction.</w:t>
      </w:r>
    </w:p>
    <w:bookmarkEnd w:id="52"/>
    <w:bookmarkStart w:id="53" w:name="the-local-voice-loop"/>
    <w:p>
      <w:pPr>
        <w:pStyle w:val="Heading2"/>
      </w:pPr>
      <w:r>
        <w:t xml:space="preserve">7.2 The Local Voice Loop</w:t>
      </w:r>
    </w:p>
    <w:p>
      <w:pPr>
        <w:pStyle w:val="FirstParagraph"/>
      </w:pPr>
      <w:r>
        <w:t xml:space="preserve">The robot’s interaction is a fully local voice loop, assembled entirely from open-source components, and the fact that every stage of it is both open and local is what distinguishes it categorically from the commercial systems the paper contrasts it with. The loop has three stages. First, a streaming speech-recognition stage detects a wake word and transcribes the user’s speech to text — the open-source speech-recognition ecosystem now offering several capable options that run efficiently on the device, including low-latency streaming recognizers designed specifically for edge hardware. Second, the transcribed text is passed to the language model of Section 5, which reasons and generates a response. Third, a neural text-to-speech stage converts the response to spoken audio through the robot’s speaker — again drawing on open-source synthesis models that run locally and produce natural speech without a remote service. Each component is open-source, each runs on the device, and their integration into a working loop is a matter of assembly rather than of any proprietary technology.</w:t>
      </w:r>
    </w:p>
    <w:p>
      <w:pPr>
        <w:pStyle w:val="BodyText"/>
      </w:pPr>
      <w:r>
        <w:t xml:space="preserve">Every stage runs on the device; nothing — not the user’s speech, not its transcription, not the model’s response — is transmitted to any external service at any point. This is the operational meaning of the paper’s local-first commitment, and it is worth stating in exactly these terms because the contrast with commercial companion and assistant systems is not incidental but definitional. Commercial systems route the user’s speech to remote servers as a matter of architecture: the speech is captured on the user’s device, transmitted to a data center, processed there, and the response returned over the network. This is why those systems can be fast, and it is also why they are, structurally, systems to which the user continuously discloses their words to a remote party under terms the user does not control. The robot’s loop forecloses that disclosure not by policy but by construction — there is no remote party to disclose to, because every stage runs locally. The privacy property that Section 8.6 develops at length is realized precisely here, in the fact that the voice loop, the part of the system a user actually talks to, keeps everything said to it on the device.</w:t>
      </w:r>
    </w:p>
    <w:p>
      <w:pPr>
        <w:pStyle w:val="BodyText"/>
      </w:pPr>
      <w:r>
        <w:t xml:space="preserve">The paper reports honestly on the loop’s latency, because a person interacting with the robot experiences it directly and no amount of favorable framing changes the experience. A fully-local voice loop built around a thirty-billion-parameter model has a real, measurable delay from the end of the user’s speech to the start of the robot’s spoken response — on the order of several seconds to, for longer responses, tens of seconds, dominated by the language model’s generation time at roughly eight tokens per second. The transcription and speech-synthesis stages add smaller increments; the reasoning stage dominates. The practical consequence is that the robot is well-suited to deliberate interaction — a question asked and considered, a request made and fulfilled — and poorly suited to the instant conversational back-and-forth that users have been trained to expect by cloud assistants that answer in milliseconds.</w:t>
      </w:r>
    </w:p>
    <w:p>
      <w:pPr>
        <w:pStyle w:val="BodyText"/>
      </w:pPr>
      <w:r>
        <w:t xml:space="preserve">This is the honest cost of local processing, and it is a direct consequence of the same facts that make the demonstration meaningful. Commercial companion and assistant systems respond quickly because they transmit the user’s speech to a remote data center with abundant compute and return the result over the network; the robot is slower because it does none of that — the reasoning happens on a single-board computer on the user’s desk, and a single-board computer generating eight tokens per second is simply slower than a data center. The latency is thus not incidental to the local-first architecture but constitutive of it: the very property that provides privacy and ownership — that nothing leaves the device — is the property that imposes the delay, because the device is what does the work.</w:t>
      </w:r>
    </w:p>
    <w:p>
      <w:pPr>
        <w:pStyle w:val="BodyText"/>
      </w:pPr>
      <w:r>
        <w:t xml:space="preserve">For the paper’s argument, this trade-off is not a defect to be apologized for but the thesis made tangible. Local control has a cost, and the cost is latency; the paper states the cost plainly rather than obscuring it, because the honest presentation of the trade-off is exactly what allows a reader to weigh it. For the applications the paper defends — deliberate assistance, companionship that does not depend on instant reflex, education — the trade-off is favorable: a several-second delay is a small price for privacy, ownership, and the absence of any remote party. For applications requiring instant response, it is not, and the paper does not pretend otherwise. Naming the trade-off correctly, and identifying the applications for which it is worth making, is more useful than concealing it, and it is the treatment the paper’s method requires.</w:t>
      </w:r>
    </w:p>
    <w:bookmarkEnd w:id="53"/>
    <w:bookmarkStart w:id="54" w:name="the-multi-agent-integration"/>
    <w:p>
      <w:pPr>
        <w:pStyle w:val="Heading2"/>
      </w:pPr>
      <w:r>
        <w:t xml:space="preserve">7.3 The Multi-Agent Integration</w:t>
      </w:r>
    </w:p>
    <w:p>
      <w:pPr>
        <w:pStyle w:val="FirstParagraph"/>
      </w:pPr>
      <w:r>
        <w:t xml:space="preserve">The final element of the demonstration is integration: the robot is not a standalone device but one node in a multi-agent local-AI system. The system is coordinated by an open-source orchestration framework (OpenClaw) that provides multi-agent routing — the capacity to run multiple specialized AI agents, each with its own configuration, memory, and tools, coordinated through a single control plane. (The framework is a real, actively-maintained open-source project, and the platform vendor now documents it as part of the robot’s official software stack — a fact the paper states because an earlier draft of the underlying project described the framework imprecisely, and the correction is part of the record.)</w:t>
      </w:r>
    </w:p>
    <w:p>
      <w:pPr>
        <w:pStyle w:val="BodyText"/>
      </w:pPr>
      <w:r>
        <w:t xml:space="preserve">The integration follows from the power and latency constraints of Section 5.4. The robot carries a small, fast model for autonomy — the behaviors that must work when disconnected — and offloads heavy reasoning over a local mesh network to a plugged-in hub with real compute and no battery or thermal constraint. The mesh is provided by a widely-used WireGuard-based mesh VPN whose free tier accommodates the handful of devices involved, with peer-to-peer data paths and no cloud dependency for the AI itself. This</w:t>
      </w:r>
      <w:r>
        <w:t xml:space="preserve"> </w:t>
      </w:r>
      <w:r>
        <w:t xml:space="preserve">“</w:t>
      </w:r>
      <w:r>
        <w:t xml:space="preserve">brain-body split</w:t>
      </w:r>
      <w:r>
        <w:t xml:space="preserve">”</w:t>
      </w:r>
      <w:r>
        <w:t xml:space="preserve"> </w:t>
      </w:r>
      <w:r>
        <w:t xml:space="preserve">is not a workaround but the correct architecture for an embodied agent that belongs to a larger system: the robot is autonomous on its own and more capable when connected, and the heavy computation happens on hardware suited to it.</w:t>
      </w:r>
    </w:p>
    <w:p>
      <w:pPr>
        <w:pStyle w:val="BodyText"/>
      </w:pPr>
      <w:r>
        <w:t xml:space="preserve">The multi-agent framing deserves elaboration, because it is where the demonstration’s ambition exceeds a single embodied device and where the paper’s access claim reaches its strongest form. A multi-agent system, in the sense the orchestration framework provides, is a set of specialized agents — each configured for a particular role, each with its own persistent memory and its own set of tools, each potentially backed by a different model sized to its task — coordinated through a single control plane that routes inputs to the appropriate agent and manages their operation. This is an architecture that, until recently, would have been the province of an institution: it requires multiple models, orchestration infrastructure, and the compute to run it all. The claim the demonstration makes concrete is that this architecture, too, has become individual — that a single person can run a coordinated system of specialized local AI agents on owned hardware, with the embodied robot as one node among several.</w:t>
      </w:r>
    </w:p>
    <w:p>
      <w:pPr>
        <w:pStyle w:val="BodyText"/>
      </w:pPr>
      <w:r>
        <w:t xml:space="preserve">The theoretical grounding for such systems is the multi-agent literature, from the foundational treatment of autonomous agents and their coordination (Wooldridge, 2009) to the recent work on language-model-based agents that reason, use tools, and act (Yao et al., 2023; Schick et al., 2023; Shinn et al., 2023; and the surveys of the rapidly-growing field, e.g., Wang et al., 2024). The demonstration does not contribute to that literature technically; it contributes an instance — a working multi-agent system built and owned by an individual, running locally, with the properties of privacy and control that local operation confers. The architecture matters for the paper’s argument because it is the point at which</w:t>
      </w:r>
      <w:r>
        <w:t xml:space="preserve"> </w:t>
      </w:r>
      <w:r>
        <w:t xml:space="preserve">“</w:t>
      </w:r>
      <w:r>
        <w:t xml:space="preserve">an individual can build capable AI</w:t>
      </w:r>
      <w:r>
        <w:t xml:space="preserve">”</w:t>
      </w:r>
      <w:r>
        <w:t xml:space="preserve"> </w:t>
      </w:r>
      <w:r>
        <w:t xml:space="preserve">becomes</w:t>
      </w:r>
      <w:r>
        <w:t xml:space="preserve"> </w:t>
      </w:r>
      <w:r>
        <w:t xml:space="preserve">“</w:t>
      </w:r>
      <w:r>
        <w:t xml:space="preserve">an individual can build and control a capable AI</w:t>
      </w:r>
      <w:r>
        <w:t xml:space="preserve"> </w:t>
      </w:r>
      <w:r>
        <w:rPr>
          <w:iCs/>
          <w:i/>
        </w:rPr>
        <w:t xml:space="preserve">system</w:t>
      </w:r>
      <w:r>
        <w:t xml:space="preserve">”</w:t>
      </w:r>
      <w:r>
        <w:t xml:space="preserve"> </w:t>
      </w:r>
      <w:r>
        <w:t xml:space="preserve">— a coordinated, specialized, persistent set of agents rather than a single model, and one that the individual owns end to end rather than renting from a provider.</w:t>
      </w:r>
    </w:p>
    <w:p>
      <w:pPr>
        <w:pStyle w:val="BodyText"/>
      </w:pPr>
      <w:r>
        <w:t xml:space="preserve">The multi-agent integration is thus what distinguishes this demonstration from a single-device build, and it is the concrete form of the paper’s larger claim. The collapse of access barriers enables not merely a capable AI on cheap hardware, but a coordinated system of local, private, owned AI agents — an architecture that an individual can build and control end to end, with none of it dependent on a cloud service and all of it subject to the individual’s own governance. That such a system can be assembled from open-source software and consumer hardware, by one person, is the strongest form of the paper’s access claim, and the robot at its center is one node in the proof.</w:t>
      </w:r>
    </w:p>
    <w:p>
      <w:r>
        <w:pict>
          <v:rect style="width:0;height:1.5pt" o:hralign="center" o:hrstd="t" o:hr="t"/>
        </w:pict>
      </w:r>
    </w:p>
    <w:bookmarkEnd w:id="54"/>
    <w:bookmarkEnd w:id="55"/>
    <w:bookmarkStart w:id="62" w:name="discussion"/>
    <w:p>
      <w:pPr>
        <w:pStyle w:val="Heading1"/>
      </w:pPr>
      <w:r>
        <w:t xml:space="preserve">8. DISCUSSION</w:t>
      </w:r>
    </w:p>
    <w:bookmarkStart w:id="56" w:name="the-access-claim-assessed"/>
    <w:p>
      <w:pPr>
        <w:pStyle w:val="Heading2"/>
      </w:pPr>
      <w:r>
        <w:t xml:space="preserve">8.1 The Access Claim, Assessed</w:t>
      </w:r>
    </w:p>
    <w:p>
      <w:pPr>
        <w:pStyle w:val="FirstParagraph"/>
      </w:pPr>
      <w:r>
        <w:t xml:space="preserve">The paper’s central empirical claim is that advanced AI capability is now accessible to individuals, gated by neither prohibitive cost nor institutional permission. The demonstration supports this claim: a thirty-billion-parameter model, embodied and integrated into a multi-agent system, was built by one person from consumer hardware and open-source software, for a hardware cost on the order of five hundred dollars. The capability is real, the cost is documented, and the software is free. Within the bounds of what a demonstration can establish — that something is possible — the access claim is established.</w:t>
      </w:r>
    </w:p>
    <w:p>
      <w:pPr>
        <w:pStyle w:val="BodyText"/>
      </w:pPr>
      <w:r>
        <w:t xml:space="preserve">The claim requires two honest qualifications, and stating them precisely is what keeps the access claim defensible rather than inflated.</w:t>
      </w:r>
    </w:p>
    <w:p>
      <w:pPr>
        <w:pStyle w:val="BodyText"/>
      </w:pPr>
      <w:r>
        <w:t xml:space="preserve">First,</w:t>
      </w:r>
      <w:r>
        <w:t xml:space="preserve"> </w:t>
      </w:r>
      <w:r>
        <w:t xml:space="preserve">“</w:t>
      </w:r>
      <w:r>
        <w:t xml:space="preserve">accessible</w:t>
      </w:r>
      <w:r>
        <w:t xml:space="preserve">”</w:t>
      </w:r>
      <w:r>
        <w:t xml:space="preserve"> </w:t>
      </w:r>
      <w:r>
        <w:t xml:space="preserve">is not the same as</w:t>
      </w:r>
      <w:r>
        <w:t xml:space="preserve"> </w:t>
      </w:r>
      <w:r>
        <w:t xml:space="preserve">“</w:t>
      </w:r>
      <w:r>
        <w:t xml:space="preserve">effortless,</w:t>
      </w:r>
      <w:r>
        <w:t xml:space="preserve">”</w:t>
      </w:r>
      <w:r>
        <w:t xml:space="preserve"> </w:t>
      </w:r>
      <w:r>
        <w:t xml:space="preserve">and the paper claims only the former. The demonstration required substantial knowledge across several domains: the engineering of efficient inference, the specifics of quantization and which model artifacts to use, the administration of Linux systems, mesh networking, and — repeatedly — the specific traps that defeat a naive attempt, from the default model download that is too large to fit, to the hardware revision that silently fails to work with a current computer, to the memory-bandwidth constraint that renders expensive accelerators useless. None of these barriers is financial; all of them are barriers of knowledge and effort. Accessibility in the sense the paper defends is therefore accessibility to a motivated individual willing to acquire that knowledge and expend that effort — not accessibility in the sense of turnkey simplicity that a consumer product offers. The paper is explicit that it claims the former and not the latter, and the distinction is load-bearing. The significant fact is that the</w:t>
      </w:r>
      <w:r>
        <w:t xml:space="preserve"> </w:t>
      </w:r>
      <w:r>
        <w:rPr>
          <w:iCs/>
          <w:i/>
        </w:rPr>
        <w:t xml:space="preserve">kind</w:t>
      </w:r>
      <w:r>
        <w:t xml:space="preserve"> </w:t>
      </w:r>
      <w:r>
        <w:t xml:space="preserve">of barrier has changed: where advanced AI once required capital and institutional position that an individual could not acquire by effort alone, it now requires knowledge and effort that an individual can acquire, given motivation and access to open documentation. That is a real democratization — a shift from barriers of position to barriers of learning — but it is not the elimination of all barriers, and a paper claiming turnkey accessibility would be overstating what the demonstration shows. What the individual gains is the</w:t>
      </w:r>
      <w:r>
        <w:t xml:space="preserve"> </w:t>
      </w:r>
      <w:r>
        <w:rPr>
          <w:iCs/>
          <w:i/>
        </w:rPr>
        <w:t xml:space="preserve">possibility</w:t>
      </w:r>
      <w:r>
        <w:t xml:space="preserve"> </w:t>
      </w:r>
      <w:r>
        <w:t xml:space="preserve">of building the system through their own effort, which the institutional era denied them; what they do not gain is the ability to build it without effort, which no honest account would promise.</w:t>
      </w:r>
    </w:p>
    <w:p>
      <w:pPr>
        <w:pStyle w:val="BodyText"/>
      </w:pPr>
      <w:r>
        <w:t xml:space="preserve">Second, the cost figure moved against the paper during the project, and the honest accounting of that movement is instructive. The single-board computer at the demonstration’s center rose from roughly one hundred twenty dollars at its 2025 launch to approximately three hundred five dollars by the access date, driven by a shortage in the specific memory the board uses — a shortage tied, by the manufacturer’s own account, to demand from AI-infrastructure buildout. The irony is worth pausing on: the same surge of demand that concentrates frontier AI in large data centers raised the price of the very hardware that democratizes useful AI to individuals. The concentration and the diffusion draw on a shared resource, and the concentration, being better capitalized, bids the resource away.</w:t>
      </w:r>
    </w:p>
    <w:p>
      <w:pPr>
        <w:pStyle w:val="BodyText"/>
      </w:pPr>
      <w:r>
        <w:t xml:space="preserve">The access claim survives this, but its magnitude must be stated carefully. The relevant comparison is to the commercial alternatives with comparable embodied capability, which the paper’s underlying volumes document in a fully-sourced, dated table: consumer companion and quadruped robots with genuine capability range from several hundred to several thousand dollars and beyond, with the nearest capable quadrupeds priced well above the demonstration’s build and the research-grade platforms priced in the tens of thousands. Against that field, a five-hundred-dollar build that runs a thirty-billion-parameter model locally remains dramatically cheaper — roughly an order of magnitude below the nearest capable commercial equivalents and far more below the research platforms — while offering the ownership and privacy properties that none of the cloud-dependent commercial options provide. But the claim is now</w:t>
      </w:r>
      <w:r>
        <w:t xml:space="preserve"> </w:t>
      </w:r>
      <w:r>
        <w:t xml:space="preserve">“</w:t>
      </w:r>
      <w:r>
        <w:t xml:space="preserve">roughly an order of magnitude cheaper, and uniquely private,</w:t>
      </w:r>
      <w:r>
        <w:t xml:space="preserve">”</w:t>
      </w:r>
      <w:r>
        <w:t xml:space="preserve"> </w:t>
      </w:r>
      <w:r>
        <w:t xml:space="preserve">stated with the rising hardware price attached, rather than the larger multiple an earlier stage of the project, at the lower hardware price, could have claimed. Reporting this honestly — including the movement against the paper’s own thesis, and the resulting reduction in the claimed multiple — is again an instance of the method the paper defends. A paper that quietly used the launch price to inflate its cost advantage would be less true, and its verification commitment would be exposed as selective. The price rose; the paper says so; the claim is adjusted accordingly and still holds.</w:t>
      </w:r>
    </w:p>
    <w:bookmarkEnd w:id="56"/>
    <w:bookmarkStart w:id="57" w:name="the-verification-commitment-as-a-finding"/>
    <w:p>
      <w:pPr>
        <w:pStyle w:val="Heading2"/>
      </w:pPr>
      <w:r>
        <w:t xml:space="preserve">8.2 The Verification Commitment as a Finding</w:t>
      </w:r>
    </w:p>
    <w:p>
      <w:pPr>
        <w:pStyle w:val="FirstParagraph"/>
      </w:pPr>
      <w:r>
        <w:t xml:space="preserve">The paper’s most transferable contribution may be methodological rather than technical, and it deserves statement as a finding in its own right.</w:t>
      </w:r>
    </w:p>
    <w:p>
      <w:pPr>
        <w:pStyle w:val="BodyText"/>
      </w:pPr>
      <w:r>
        <w:t xml:space="preserve">Independent research outside institutions faces a genuine epistemic problem: it lacks the error-detection that peer review provides, and the individual’s confidence is not a substitute, because confidence is what fails to detect error. This paper’s underlying project demonstrated a partial solution: a discipline of explicit verification against primary sources, combined with the publication of the errors that verification uncovers. The value of the second element — publication — is easy to underestimate. Privately correcting one’s errors improves a document; publicly documenting them makes the document’s reliability</w:t>
      </w:r>
      <w:r>
        <w:t xml:space="preserve"> </w:t>
      </w:r>
      <w:r>
        <w:rPr>
          <w:iCs/>
          <w:i/>
        </w:rPr>
        <w:t xml:space="preserve">verifiable</w:t>
      </w:r>
      <w:r>
        <w:t xml:space="preserve">, because a reader can see both that errors were sought and what was found. The correction logs are not an admission of weakness but the mechanism by which independent work earns the trust that institutional work borrows from process.</w:t>
      </w:r>
    </w:p>
    <w:p>
      <w:pPr>
        <w:pStyle w:val="BodyText"/>
      </w:pPr>
      <w:r>
        <w:t xml:space="preserve">The finding is this: the claim that independent work can meet institutional standards is true conditionally, and the condition is the adoption of institutional-grade verification together with the transparency that publication of corrections provides. Stated as a claim about what makes independent research credible, it has three parts. First, the individual must check claims against primary sources mechanically, regardless of confidence, because confidence is the very faculty that fails to flag error and cannot be relied upon to decide what needs checking. Second, the individual must extend this checking to their own prior work, including work they were confident in when they produced it, since the errors most in need of catching are precisely the ones that felt correct. Third, and least obvious, the individual must publish what the checking finds — not merely correct the errors but document them — because publication is what converts an unverifiable claim of diligence into verifiable evidence of it.</w:t>
      </w:r>
    </w:p>
    <w:p>
      <w:pPr>
        <w:pStyle w:val="BodyText"/>
      </w:pPr>
      <w:r>
        <w:t xml:space="preserve">The third part is the one that distinguishes this practice from ordinary carefulness, and it is worth dwelling on. A researcher who privately catches and fixes their errors produces a better document but offers the reader no way to distinguish their document from one whose errors were never sought. The claim</w:t>
      </w:r>
      <w:r>
        <w:t xml:space="preserve"> </w:t>
      </w:r>
      <w:r>
        <w:t xml:space="preserve">“</w:t>
      </w:r>
      <w:r>
        <w:t xml:space="preserve">I checked carefully</w:t>
      </w:r>
      <w:r>
        <w:t xml:space="preserve">”</w:t>
      </w:r>
      <w:r>
        <w:t xml:space="preserve"> </w:t>
      </w:r>
      <w:r>
        <w:t xml:space="preserve">is unfalsifiable and therefore carries no evidential weight; every author, careful or not, can make it. Publishing the correction log makes the claim falsifiable: a reader can examine the log, see whether it contains the kind of substantive, non-trivial, sometimes-embarrassing errors that genuine checking surfaces, and calibrate their trust accordingly. A log containing a six-year misdating of a book the author cited, an inverted statistic that had been deployed to argue the opposite of its source, a hardware figure wrong by a factor of two, a fundamentally misdiagnosed technical failure, and a software description rendered obsolete by an unnoticed release — such a log is evidence that the verification was real, because a performative or superficial verification would not have produced it. The correction logs are, in this precise sense, the paper’s substitute for peer review: weaker than genuine independent expert scrutiny, since a single verifier checking against sources is not the same as a disinterested expert checking the reasoning, but genuine, and possessed of one virtue peer review lacks — the errors it caught are on the public record, where the reader can see them, rather than resolved privately between author and reviewer.</w:t>
      </w:r>
    </w:p>
    <w:p>
      <w:pPr>
        <w:pStyle w:val="BodyText"/>
      </w:pPr>
      <w:r>
        <w:t xml:space="preserve">Every one of the errors listed was caught by checking, and every one was published. That is the practice the paper offers as a general model for credible independent research, and its most important feature is that it is available to anyone. It requires no institutional resources, no laboratory, no funding, no credential — only the discipline to check every claim regardless of confidence, and the honesty to publish what the checking finds, including what it finds about one’s own prior mistakes. In a moment when the capability to build AI has diffused to individuals, the capability to make individual work credible has diffused with it, by exactly this route, and that diffusion may matter as much as the technical one.</w:t>
      </w:r>
    </w:p>
    <w:bookmarkEnd w:id="57"/>
    <w:bookmarkStart w:id="58" w:name="X2f4bb39421fedb4aa4a5986fbfd037a42132251"/>
    <w:p>
      <w:pPr>
        <w:pStyle w:val="Heading2"/>
      </w:pPr>
      <w:r>
        <w:t xml:space="preserve">8.3 The Unity of the Technical and Ethical Arguments</w:t>
      </w:r>
    </w:p>
    <w:p>
      <w:pPr>
        <w:pStyle w:val="FirstParagraph"/>
      </w:pPr>
      <w:r>
        <w:t xml:space="preserve">The paper has presented a technical argument (that capable AI is now accessible) and an ethical argument (that prosocial embodiment is its better use), and a reader might reasonably ask how tightly the two are joined — whether the paper is one argument or two placed side by side. The relationship deserves explicit treatment, because the paper’s contribution lies substantially in the join.</w:t>
      </w:r>
    </w:p>
    <w:p>
      <w:pPr>
        <w:pStyle w:val="BodyText"/>
      </w:pPr>
      <w:r>
        <w:t xml:space="preserve">The two arguments are joined at three points, and the joins are what make the paper more than the sum of a systems demonstration and an ethics essay. The first join is that accessibility is what makes the ethical choice</w:t>
      </w:r>
      <w:r>
        <w:t xml:space="preserve"> </w:t>
      </w:r>
      <w:r>
        <w:rPr>
          <w:iCs/>
          <w:i/>
        </w:rPr>
        <w:t xml:space="preserve">individual</w:t>
      </w:r>
      <w:r>
        <w:t xml:space="preserve">. The ethical argument — that the allocation of AI development toward prosocial rather than extractive ends is a choice with moral weight — was, when AI required institutional resources, an argument addressed to institutions, since only institutions faced the choice. The technical demonstration of accessibility is what transforms it into an argument addressed to individuals, because accessibility is precisely what puts the choice in individual hands. Without the technical argument, the ethical argument would be a critique of institutional priorities; with it, the ethical argument becomes a live question for anyone who can now build. The technical claim is the precondition for the ethical claim’s individual force.</w:t>
      </w:r>
    </w:p>
    <w:p>
      <w:pPr>
        <w:pStyle w:val="BodyText"/>
      </w:pPr>
      <w:r>
        <w:t xml:space="preserve">The second join is that the local-first architecture, which the technical argument establishes as feasible, is what gives the prosocial direction its privacy advantage over the extractive one. The ethical contrast between assistance and extraction is not only a contrast of intent but a contrast of architecture: the extractive systems whose harms Section 6 documents are cloud-dependent by design, routing intimate disclosures to corporate servers, and the privacy harm the Italian regulator sanctioned is a direct consequence of that architecture. The prosocial alternative the paper builds is local-first, and its privacy advantage — that nothing said to it leaves the user’s control — is a property the technical demonstration establishes as achievable. The ethical superiority of the prosocial direction is thus partly a technical achievement: it is better in part because it is built on an architecture the technical argument shows to be feasible, and that architecture’s feasibility is not incidental to the ethics but constitutive of it.</w:t>
      </w:r>
    </w:p>
    <w:p>
      <w:pPr>
        <w:pStyle w:val="BodyText"/>
      </w:pPr>
      <w:r>
        <w:t xml:space="preserve">The third join is the verification commitment, which serves both arguments at once. As a technical matter, published verification is what makes the demonstration’s claims — the throughput, the constraints, the costs — trustworthy without institutional backing. As an ethical matter, the same commitment is what makes the paper’s critique of extractive AI credible despite the author’s disclosed motivation, because the critique rests on independent evidence the reader can check rather than on the author’s authority. The single discipline of checking claims and publishing corrections underwrites the reliability of the technical demonstration and the trustworthiness of the ethical argument simultaneously, and it is the thread that runs through both.</w:t>
      </w:r>
    </w:p>
    <w:p>
      <w:pPr>
        <w:pStyle w:val="BodyText"/>
      </w:pPr>
      <w:r>
        <w:t xml:space="preserve">The paper is therefore one argument, not two: that the collapse of access barriers places in individual hands both a capability and a choice, that the choice should be made toward prosocial and privacy-preserving ends on the strength of the evidence, that the local-first architecture which makes the capability accessible is the same architecture which makes the prosocial choice better, and that the discipline of published verification is what allows an individual to establish all of this credibly. The demonstration, the ethics, and the method are aspects of a single claim about what has become possible and what should be done with it.</w:t>
      </w:r>
    </w:p>
    <w:bookmarkEnd w:id="58"/>
    <w:bookmarkStart w:id="59" w:name="limitations"/>
    <w:p>
      <w:pPr>
        <w:pStyle w:val="Heading2"/>
      </w:pPr>
      <w:r>
        <w:t xml:space="preserve">8.5 Limitations</w:t>
      </w:r>
    </w:p>
    <w:p>
      <w:pPr>
        <w:pStyle w:val="FirstParagraph"/>
      </w:pPr>
      <w:r>
        <w:t xml:space="preserve">The paper’s limitations are substantial and are stated plainly, in keeping with its method.</w:t>
      </w:r>
    </w:p>
    <w:p>
      <w:pPr>
        <w:pStyle w:val="BodyText"/>
      </w:pPr>
      <w:r>
        <w:t xml:space="preserve">The methodology is demonstrative, and a demonstration establishes possibility, not general efficacy — this is the paper’s most important limitation, and it bounds the whole argument. The paper shows that an accessible, local-first, prosocial embodied AI</w:t>
      </w:r>
      <w:r>
        <w:t xml:space="preserve"> </w:t>
      </w:r>
      <w:r>
        <w:rPr>
          <w:iCs/>
          <w:i/>
        </w:rPr>
        <w:t xml:space="preserve">can be built</w:t>
      </w:r>
      <w:r>
        <w:t xml:space="preserve"> </w:t>
      </w:r>
      <w:r>
        <w:t xml:space="preserve">by an individual from consumer hardware; it does not show, and does not claim, that such systems work well across users, contexts, or extended time. A demonstration answers the question</w:t>
      </w:r>
      <w:r>
        <w:t xml:space="preserve"> </w:t>
      </w:r>
      <w:r>
        <w:t xml:space="preserve">“</w:t>
      </w:r>
      <w:r>
        <w:t xml:space="preserve">is this possible?</w:t>
      </w:r>
      <w:r>
        <w:t xml:space="preserve">”</w:t>
      </w:r>
      <w:r>
        <w:t xml:space="preserve"> </w:t>
      </w:r>
      <w:r>
        <w:t xml:space="preserve">and this demonstration answers it affirmatively; it does not answer the questions</w:t>
      </w:r>
      <w:r>
        <w:t xml:space="preserve"> </w:t>
      </w:r>
      <w:r>
        <w:t xml:space="preserve">“</w:t>
      </w:r>
      <w:r>
        <w:t xml:space="preserve">how well does it work?</w:t>
      </w:r>
      <w:r>
        <w:t xml:space="preserve">”</w:t>
      </w:r>
      <w:r>
        <w:t xml:space="preserve">,</w:t>
      </w:r>
      <w:r>
        <w:t xml:space="preserve"> </w:t>
      </w:r>
      <w:r>
        <w:t xml:space="preserve">“</w:t>
      </w:r>
      <w:r>
        <w:t xml:space="preserve">for whom?</w:t>
      </w:r>
      <w:r>
        <w:t xml:space="preserve">”</w:t>
      </w:r>
      <w:r>
        <w:t xml:space="preserve">,</w:t>
      </w:r>
      <w:r>
        <w:t xml:space="preserve"> </w:t>
      </w:r>
      <w:r>
        <w:t xml:space="preserve">“</w:t>
      </w:r>
      <w:r>
        <w:t xml:space="preserve">over what duration?</w:t>
      </w:r>
      <w:r>
        <w:t xml:space="preserve">”</w:t>
      </w:r>
      <w:r>
        <w:t xml:space="preserve">, and</w:t>
      </w:r>
      <w:r>
        <w:t xml:space="preserve"> </w:t>
      </w:r>
      <w:r>
        <w:t xml:space="preserve">“</w:t>
      </w:r>
      <w:r>
        <w:t xml:space="preserve">with what reliability?</w:t>
      </w:r>
      <w:r>
        <w:t xml:space="preserve">”</w:t>
      </w:r>
      <w:r>
        <w:t xml:space="preserve">, and the paper does not pretend to answer them. No user study was conducted. No clinical or educational outcome was measured. The prosocial</w:t>
      </w:r>
      <w:r>
        <w:t xml:space="preserve"> </w:t>
      </w:r>
      <w:r>
        <w:rPr>
          <w:iCs/>
          <w:i/>
        </w:rPr>
        <w:t xml:space="preserve">potential</w:t>
      </w:r>
      <w:r>
        <w:t xml:space="preserve"> </w:t>
      </w:r>
      <w:r>
        <w:t xml:space="preserve">of the demonstration is argued from the evidence base for socially assistive robotics generally (Section 6.3), which validates the direction, not from any measurement of this specific artifact, which would be required to validate the instance. A reader should take particular care not to read the paper as claiming that the robot it describes has demonstrated therapeutic or educational benefit: it has not been tested for any such benefit, the paper makes no such claim, and the paper’s prosocial argument is explicitly about direction and possibility — about what accessibility makes it possible and advisable to build — rather than about a measured effect of this device. Conflating</w:t>
      </w:r>
      <w:r>
        <w:t xml:space="preserve"> </w:t>
      </w:r>
      <w:r>
        <w:t xml:space="preserve">“</w:t>
      </w:r>
      <w:r>
        <w:t xml:space="preserve">built in the prosocial direction</w:t>
      </w:r>
      <w:r>
        <w:t xml:space="preserve">”</w:t>
      </w:r>
      <w:r>
        <w:t xml:space="preserve"> </w:t>
      </w:r>
      <w:r>
        <w:t xml:space="preserve">with</w:t>
      </w:r>
      <w:r>
        <w:t xml:space="preserve"> </w:t>
      </w:r>
      <w:r>
        <w:t xml:space="preserve">“</w:t>
      </w:r>
      <w:r>
        <w:t xml:space="preserve">demonstrated to produce prosocial benefit</w:t>
      </w:r>
      <w:r>
        <w:t xml:space="preserve">”</w:t>
      </w:r>
      <w:r>
        <w:t xml:space="preserve"> </w:t>
      </w:r>
      <w:r>
        <w:t xml:space="preserve">would misstate the paper’s claim, and the distinction is one the paper insists on precisely because its verification commitment forbids overclaiming.</w:t>
      </w:r>
    </w:p>
    <w:p>
      <w:pPr>
        <w:pStyle w:val="BodyText"/>
      </w:pPr>
      <w:r>
        <w:t xml:space="preserve">The technical result depends in part on vendor-reported figures. The model’s throughput is independently reproduced and so reliable; its quality-retention figure is vendor-reported and provisional, and the paper’s claims about the model’s usefulness inherit that provisionality. A model that generates quickly but at degraded quality would undermine the practical value of the demonstration, and the quality figure has not been independently verified.</w:t>
      </w:r>
    </w:p>
    <w:p>
      <w:pPr>
        <w:pStyle w:val="BodyText"/>
      </w:pPr>
      <w:r>
        <w:t xml:space="preserve">The volatile facts will age. The prices, model rankings, software versions, and litigation statuses in this paper are dated, and many will be wrong within months. The paper’s structural claims — about the collapse of access barriers, the mechanisms of efficient inference, the asymmetry between the two ethical directions — are more durable than its specific figures, and a reader encountering this paper later should treat the figures as of their date and the structure as the argument.</w:t>
      </w:r>
    </w:p>
    <w:p>
      <w:pPr>
        <w:pStyle w:val="BodyText"/>
      </w:pPr>
      <w:r>
        <w:t xml:space="preserve">Finally, the paper is the work of a single independent researcher with a disclosed personal motivation and without institutional peer review. The verification commitment is offered as a partial substitute for that review, but it is a partial substitute, not an equivalent one. The paper’s claims should be weighed accordingly — which is to say, on their evidence, with the paper’s own account of its reliability treated as a claim to be checked rather than an authority to be trusted.</w:t>
      </w:r>
    </w:p>
    <w:bookmarkEnd w:id="59"/>
    <w:bookmarkStart w:id="60" w:name="broader-implications"/>
    <w:p>
      <w:pPr>
        <w:pStyle w:val="Heading2"/>
      </w:pPr>
      <w:r>
        <w:t xml:space="preserve">8.6 Broader Implications</w:t>
      </w:r>
    </w:p>
    <w:p>
      <w:pPr>
        <w:pStyle w:val="FirstParagraph"/>
      </w:pPr>
      <w:r>
        <w:t xml:space="preserve">The paper’s specific argument — that accessible AI enables prosocial embodiment — sits within a set of broader implications that deserve statement, even where they exceed what the demonstration alone can establish.</w:t>
      </w:r>
    </w:p>
    <w:p>
      <w:pPr>
        <w:pStyle w:val="BodyText"/>
      </w:pPr>
      <w:r>
        <w:rPr>
          <w:bCs/>
          <w:b/>
        </w:rPr>
        <w:t xml:space="preserve">On the politics of AI access.</w:t>
      </w:r>
      <w:r>
        <w:t xml:space="preserve"> </w:t>
      </w:r>
      <w:r>
        <w:t xml:space="preserve">The governance literature on open foundation models frames openness as a tradeoff between the risks of proliferation and the benefits of distributed access, and it is worth engaging that literature precisely rather than selectively. The most systematic treatment (Kapoor et al., 2024) reaches a notably measured conclusion — that the</w:t>
      </w:r>
      <w:r>
        <w:t xml:space="preserve"> </w:t>
      </w:r>
      <w:r>
        <w:rPr>
          <w:iCs/>
          <w:i/>
        </w:rPr>
        <w:t xml:space="preserve">marginal</w:t>
      </w:r>
      <w:r>
        <w:t xml:space="preserve"> </w:t>
      </w:r>
      <w:r>
        <w:t xml:space="preserve">risk of open models over closed alternatives is, on the evidence available, difficult to establish, because much of the harm attributed to open models is also achievable through other means. The NTIA’s report (2024) similarly declined to recommend restrictions on open model weights, finding the evidence insufficient to justify them at the time. The paper cites this literature for what it actually says: not that open models are risk-free, but that the case for their marginal danger over closed alternatives is, on current evidence, unproven, while their benefits are real and distributed.</w:t>
      </w:r>
    </w:p>
    <w:p>
      <w:pPr>
        <w:pStyle w:val="BodyText"/>
      </w:pPr>
      <w:r>
        <w:t xml:space="preserve">This paper contributes a specific data point to the benefits side of that ledger, and specifying it precisely matters. The benefit of open weights is not only the benefit usually emphasized — that researchers can study open models and that firms can build products on them. It is also, and for this paper centrally, that</w:t>
      </w:r>
      <w:r>
        <w:t xml:space="preserve"> </w:t>
      </w:r>
      <w:r>
        <w:rPr>
          <w:iCs/>
          <w:i/>
        </w:rPr>
        <w:t xml:space="preserve">individuals</w:t>
      </w:r>
      <w:r>
        <w:t xml:space="preserve"> </w:t>
      </w:r>
      <w:r>
        <w:t xml:space="preserve">can own and control capable AI systems that would otherwise be available only as metered services from a small number of corporate providers. This is a benefit that the frontier-focused framing of the openness debate tends to miss, because it is a benefit at the level of useful rather than frontier capability, and at the level of the individual rather than the institution. The privacy and autonomy properties of a locally-hosted model — that its user owns it, controls it, and discloses nothing to any remote party by using it — are not incidental features to be weighed lightly against proliferation risks; they are the entire difference between an AI that one controls and an AI that controls one’s data, and they are available</w:t>
      </w:r>
      <w:r>
        <w:t xml:space="preserve"> </w:t>
      </w:r>
      <w:r>
        <w:rPr>
          <w:iCs/>
          <w:i/>
        </w:rPr>
        <w:t xml:space="preserve">only</w:t>
      </w:r>
      <w:r>
        <w:t xml:space="preserve"> </w:t>
      </w:r>
      <w:r>
        <w:t xml:space="preserve">because the weights are open and the inference tooling is free. Take away the openness and the individual is returned to renting capability from a provider on the provider’s terms; the openness is the precondition for the individual’s ownership. The compute divide is real, and the paper does not deny it, but the demonstration suggests the divide is narrower than the frontier-focused discourse implies: at the level of genuinely useful capability, as distinct from frontier-leading capability, the divide has been substantially bridged by open weights and efficient inference, and the individual now stands on the near side of it.</w:t>
      </w:r>
    </w:p>
    <w:p>
      <w:pPr>
        <w:pStyle w:val="BodyText"/>
      </w:pPr>
      <w:r>
        <w:rPr>
          <w:bCs/>
          <w:b/>
        </w:rPr>
        <w:t xml:space="preserve">On privacy and local-first architecture.</w:t>
      </w:r>
      <w:r>
        <w:t xml:space="preserve"> </w:t>
      </w:r>
      <w:r>
        <w:t xml:space="preserve">The local-first software principles articulated by Kleppmann and colleagues (2019) — data ownership, longevity, user control — were formulated for collaborative applications, but they apply with unusual force to AI. A cloud-hosted AI assistant is a system to which the user continuously discloses their questions, concerns, and, in the companion case, their most intimate confidences, with the disclosures processed on infrastructure the user does not control and retained under terms the user does not set. The Replika enforcement action (Section 6.2) is, at bottom, a privacy case: the harm the Italian authority sanctioned included the processing of intimate personal data without adequate legal basis or transparency. A locally-hosted system forecloses that entire category of harm structurally, not by policy: data that never leaves the device cannot be mishandled by a remote party, because there is no remote party. This is a strong argument for local-first AI that the paper’s demonstration makes concrete, and it applies well beyond the robot — to any application in which a user would otherwise disclose sensitive information to a cloud AI.</w:t>
      </w:r>
    </w:p>
    <w:p>
      <w:pPr>
        <w:pStyle w:val="BodyText"/>
      </w:pPr>
      <w:r>
        <w:rPr>
          <w:bCs/>
          <w:b/>
        </w:rPr>
        <w:t xml:space="preserve">On the allocation argument’s generality.</w:t>
      </w:r>
      <w:r>
        <w:t xml:space="preserve"> </w:t>
      </w:r>
      <w:r>
        <w:t xml:space="preserve">The paper’s normative claim about allocation — that where a builder directs effort is an ethical choice — generalizes well beyond the specific contrast between artificial intimacy and assistive robotics, and this generalization may be the paper’s most consequential implication. The accessible-AI moment confronts every individual builder with a version of a choice that, when AI required institutional resources, faced only institutions: given the capability to build AI systems, toward what ends should that capability be directed? The paper has argued for one answer in one domain — prosocial embodiment over extractive intimacy, on the strength of the respective evidence bases — but the</w:t>
      </w:r>
      <w:r>
        <w:t xml:space="preserve"> </w:t>
      </w:r>
      <w:r>
        <w:rPr>
          <w:iCs/>
          <w:i/>
        </w:rPr>
        <w:t xml:space="preserve">structure</w:t>
      </w:r>
      <w:r>
        <w:t xml:space="preserve"> </w:t>
      </w:r>
      <w:r>
        <w:t xml:space="preserve">of the argument is not specific to robotics or to companionship. Its structure is that accessibility creates responsibility: that the capacity to build carries the burden of choosing what to build, and that the burden should be discharged toward demonstrable benefit and away from documented harm. That structure applies to any domain in which the capability to build AI has diffused to individuals, which is to say, increasingly, to every domain.</w:t>
      </w:r>
    </w:p>
    <w:p>
      <w:pPr>
        <w:pStyle w:val="BodyText"/>
      </w:pPr>
      <w:r>
        <w:t xml:space="preserve">There is a genuine sense in which institutional gatekeeping, whatever its costs, concentrated this ethical burden along with the capability. When only institutions could build advanced AI, only institutions bore the responsibility for what got built, and an individual troubled by a research direction could do little but object. The democratization the paper describes distributes the capability, and it distributes the responsibility with it: the individual who can now build is the individual who must now choose, and the choice is a moral one. This is not an unmixed good — distributed capability includes the capability to build harmful things, and the same collapse of barriers that lets an individual build an assistive robot lets another build an extractive one. But it is, unavoidably, the situation the collapse creates, and the paper’s response to it is the one it has argued for throughout: that the distributed responsibility should be met by directing effort toward what the evidence shows helps, away from what the evidence shows harms, and by holding independent work to standards of rigor and honesty that make its claims trustworthy. The collapse of barriers is not, in the end, only a technical event. It is a redistribution of the ethical weight of AI development from institutions to individuals, and how that weight is borne — toward assistance or extraction, with rigor or without it — is the question the accessible-AI moment poses to everyone it empowers.</w:t>
      </w:r>
    </w:p>
    <w:bookmarkEnd w:id="60"/>
    <w:bookmarkStart w:id="61" w:name="future-work"/>
    <w:p>
      <w:pPr>
        <w:pStyle w:val="Heading2"/>
      </w:pPr>
      <w:r>
        <w:t xml:space="preserve">8.7 Future Work</w:t>
      </w:r>
    </w:p>
    <w:p>
      <w:pPr>
        <w:pStyle w:val="FirstParagraph"/>
      </w:pPr>
      <w:r>
        <w:t xml:space="preserve">Several extensions follow naturally, and stating them precisely also clarifies the boundary of what the present paper establishes.</w:t>
      </w:r>
    </w:p>
    <w:p>
      <w:pPr>
        <w:pStyle w:val="BodyText"/>
      </w:pPr>
      <w:r>
        <w:t xml:space="preserve">The most important extension is empirical, and it addresses the paper’s central limitation. A study measuring the prosocial value the paper argues for — whether an accessible, local, embodied AI of this kind produces educational, companionship, or assistive benefit in practice, for real users, over real durations — would convert the paper’s argument-from-possibility into argument-from-evidence, and it is the natural next step for anyone who accepts the paper’s feasibility claim and wishes to test its value claim. Such a study would need to be designed with care: with attention to the socially-assistive-robotics literature’s own methodological standards, to the honest acknowledgment (Section 6.3) that even that literature faces open questions about the durability of gains and their generalization beyond controlled settings, and to the specific challenge that an accessible platform, unlike a research-grade one, is used by people without research supervision. The educational value in particular — the constructionist benefit of building the system — invites study, since it is realized by a population (builders) distinct from the population (users) that the assistive value would serve, and the two benefits would require different evaluations.</w:t>
      </w:r>
    </w:p>
    <w:p>
      <w:pPr>
        <w:pStyle w:val="BodyText"/>
      </w:pPr>
      <w:r>
        <w:t xml:space="preserve">A second extension is technical and narrow: independent verification of the model’s quality-retention figure. The demonstration’s throughput is independently reproduced and reliable; its quality retention is vendor-reported and provisional, and this is the one significant provisionality in the demonstration’s core. A disinterested evaluation of the aggressively-quantized model’s reasoning quality against the full-precision baseline, using standard benchmarks and a documented methodology, would either firm up the practical value of the demonstration or reveal a limitation the vendor’s figure conceals. Either outcome would improve the record, and the paper’s method requires wanting the check regardless of which way it comes out.</w:t>
      </w:r>
    </w:p>
    <w:p>
      <w:pPr>
        <w:pStyle w:val="BodyText"/>
      </w:pPr>
      <w:r>
        <w:t xml:space="preserve">A third extension concerns the multi-agent architecture, which invites study in its own right. The paper presents it as one instance of a local-first, individually-controlled AI system, but the architecture — a coordinated set of specialized local agents, owned end to end, dependent on no cloud service — is a general pattern whose properties deserve systematic investigation: its security characteristics, its failure modes, its scalability on modest hardware, and its viability as a genuine alternative to the cloud-dependent, institutionally-controlled AI systems that currently dominate. This paper has argued that the pattern’s properties at the level of privacy, autonomy, and control are substantial and are available now; establishing how well the pattern performs, and where it breaks, is work the paper points toward rather than completes.</w:t>
      </w:r>
    </w:p>
    <w:p>
      <w:pPr>
        <w:pStyle w:val="BodyText"/>
      </w:pPr>
      <w:r>
        <w:t xml:space="preserve">Finally, the methodological contribution — published verification as a warrant for independent research — invites development beyond this project. If the practice is as general as Section 8.2 argues, it should be applicable to, and testable in, independent research across domains, and its value as a substitute for institutional peer review is itself an empirical question that a body of verification-committed independent work would help answer.</w:t>
      </w:r>
    </w:p>
    <w:p>
      <w:r>
        <w:pict>
          <v:rect style="width:0;height:1.5pt" o:hralign="center" o:hrstd="t" o:hr="t"/>
        </w:pict>
      </w:r>
    </w:p>
    <w:bookmarkEnd w:id="61"/>
    <w:bookmarkEnd w:id="62"/>
    <w:bookmarkStart w:id="63" w:name="conclusion"/>
    <w:p>
      <w:pPr>
        <w:pStyle w:val="Heading1"/>
      </w:pPr>
      <w:r>
        <w:t xml:space="preserve">9. CONCLUSION</w:t>
      </w:r>
    </w:p>
    <w:p>
      <w:pPr>
        <w:pStyle w:val="FirstParagraph"/>
      </w:pPr>
      <w:r>
        <w:t xml:space="preserve">This paper has argued that the barriers that once made advanced artificial intelligence the exclusive province of institutions have substantially collapsed, and that this collapse opens a choice — previously available only to institutions, now available to individuals — about what kind of AI to build. It has argued that between two directions accessible AI can take, the extractive direction of artificial intimacy is associated with documented and severe harm, while the prosocial direction of assistive embodiment rests on a genuine evidence base of measured benefit. And it has argued that the accessible, local-first, prosocial conjunction — capable AI that an individual can build, own, and control, oriented toward assistance rather than extraction and grounded in privacy rather than data harvesting — is not a compromise among competing values but their alignment, now for the first time within individual reach.</w:t>
      </w:r>
    </w:p>
    <w:p>
      <w:pPr>
        <w:pStyle w:val="BodyText"/>
      </w:pPr>
      <w:r>
        <w:t xml:space="preserve">The argument was made through demonstration: a thirty-billion-parameter language model running locally on a five-hundred-dollar single-board computer at conversational speed, its throughput independently reproduced; embodied as a quadruped robot with fully local speech, vision, and movement; integrated as one node in a multi-agent local-AI system; built by one person from open-source software. The demonstration establishes possibility, which is what the paper’s access claim requires and the limit of what a demonstration can establish.</w:t>
      </w:r>
    </w:p>
    <w:p>
      <w:pPr>
        <w:pStyle w:val="BodyText"/>
      </w:pPr>
      <w:r>
        <w:t xml:space="preserve">Two commitments run through the paper and deserve final statement. The first is to prosocial allocation: the conviction that where a builder directs finite effort is a moral choice, and that the collapse of access barriers makes prosocial, privacy-preserving AI a choice individuals can now make. The second is to verified honesty: the practice of checking every claim against primary sources and publishing the errors that checking uncovers — the practice that, this paper has argued, is what allows independent work to meet institutional standards, because it supplies transparently the error-detection that institutions externalize to peer review. Neither commitment requires institutional resources. Both are available to any individual willing to build carefully and to tell the truth about what they build, including the truth about what they got wrong.</w:t>
      </w:r>
    </w:p>
    <w:p>
      <w:pPr>
        <w:pStyle w:val="BodyText"/>
      </w:pPr>
      <w:r>
        <w:t xml:space="preserve">It is worth stating, finally, what the paper does not claim, because the value of the argument depends on its boundaries. The paper does not claim that the frontier of AI has democratized; it has not, and the gap between what runs on a single-board computer and what runs in a data center is real and will persist. It does not claim that access has become effortless; the barrier has moved from capital and permission to knowledge and effort, which is a genuine democratization but not an elimination of barriers. It does not claim that its own robot has demonstrated therapeutic or educational benefit; it has not been tested for any, and the prosocial argument is about direction and possibility, not about a measured effect. And it does not claim that artificial-intimacy research should be prohibited; it argues about the allocation of effort, not about what should be forbidden. What the paper claims is bounded, and within those bounds it is, the author submits, established: that useful AI capability is now accessible to individuals, that prosocial embodiment is the better-supported use of it, that the accessible-local-first-prosocial conjunction is available now, and that independent work can be made credible through published verification.</w:t>
      </w:r>
    </w:p>
    <w:p>
      <w:pPr>
        <w:pStyle w:val="BodyText"/>
      </w:pPr>
      <w:r>
        <w:t xml:space="preserve">The gap between what an institution can field and what a motivated individual can build has narrowed to the point where the difference is no longer capability or capital, but knowledge, effort, and the discipline to verify. That is the opening this paper has described, and the demonstration at its center — a thirty-billion-parameter model reasoning on a desk, embodied in a robot, owned and controlled by the person who built it, its central result reproduced by a stranger — is one person’s proof that the opening is real. What remains is for others to walk through it, and to build, in the direction the evidence favors, the things that the collapse of barriers has placed within reach. The tools are accessible. The evidence points toward assistance over extraction, and toward privacy over data harvesting. The discipline that makes independent work trustworthy requires no institution. What is left is the choice of what to build, and that choice — for the first time available to individuals rather than only to institutions — is the whole of the matter.</w:t>
      </w:r>
    </w:p>
    <w:p>
      <w:pPr>
        <w:pStyle w:val="BodyText"/>
      </w:pPr>
      <w:r>
        <w:rPr>
          <w:iCs/>
          <w:i/>
        </w:rPr>
        <w:t xml:space="preserve">Patience pays.</w:t>
      </w:r>
    </w:p>
    <w:p>
      <w:r>
        <w:pict>
          <v:rect style="width:0;height:1.5pt" o:hralign="center" o:hrstd="t" o:hr="t"/>
        </w:pict>
      </w:r>
    </w:p>
    <w:bookmarkEnd w:id="63"/>
    <w:bookmarkStart w:id="77" w:name="references"/>
    <w:p>
      <w:pPr>
        <w:pStyle w:val="Heading1"/>
      </w:pPr>
      <w:r>
        <w:t xml:space="preserve">REFERENCES</w:t>
      </w:r>
    </w:p>
    <w:bookmarkStart w:id="64" w:name="human-machine-communication-1"/>
    <w:p>
      <w:pPr>
        <w:pStyle w:val="Heading2"/>
      </w:pPr>
      <w:r>
        <w:t xml:space="preserve">Human-Machine Communication</w:t>
      </w:r>
    </w:p>
    <w:p>
      <w:pPr>
        <w:pStyle w:val="FirstParagraph"/>
      </w:pPr>
      <w:r>
        <w:t xml:space="preserve">Edwards, A. P., &amp; Etzrodt, K. (2025). Being and becoming in human-machine communication: Core commitments and conceptual foundations of a trans-ontological field.</w:t>
      </w:r>
      <w:r>
        <w:t xml:space="preserve"> </w:t>
      </w:r>
      <w:r>
        <w:rPr>
          <w:iCs/>
          <w:i/>
        </w:rPr>
        <w:t xml:space="preserve">Human-Machine Communication</w:t>
      </w:r>
      <w:r>
        <w:t xml:space="preserve">, 10, 7–30. https://doi.org/10.30658/hmc.10.1</w:t>
      </w:r>
    </w:p>
    <w:p>
      <w:pPr>
        <w:pStyle w:val="BodyText"/>
      </w:pPr>
      <w:r>
        <w:t xml:space="preserve">Etzrodt, K., &amp; Edwards, A. P. (2026). The epistemic power of human-machine communication.</w:t>
      </w:r>
      <w:r>
        <w:t xml:space="preserve"> </w:t>
      </w:r>
      <w:r>
        <w:rPr>
          <w:iCs/>
          <w:i/>
        </w:rPr>
        <w:t xml:space="preserve">Human-Machine Communication</w:t>
      </w:r>
      <w:r>
        <w:t xml:space="preserve">, 12, 7–23. https://doi.org/10.30658/hmc.12.1</w:t>
      </w:r>
    </w:p>
    <w:p>
      <w:pPr>
        <w:pStyle w:val="BodyText"/>
      </w:pPr>
      <w:r>
        <w:t xml:space="preserve">Fortunati, L., &amp; Edwards, A. (2020). Opening space for theoretical, methodological, and empirical issues in human-machine communication.</w:t>
      </w:r>
      <w:r>
        <w:t xml:space="preserve"> </w:t>
      </w:r>
      <w:r>
        <w:rPr>
          <w:iCs/>
          <w:i/>
        </w:rPr>
        <w:t xml:space="preserve">Human-Machine Communication</w:t>
      </w:r>
      <w:r>
        <w:t xml:space="preserve">, 1, 7–18. https://doi.org/10.30658/hmc.1.1</w:t>
      </w:r>
    </w:p>
    <w:p>
      <w:pPr>
        <w:pStyle w:val="BodyText"/>
      </w:pPr>
      <w:r>
        <w:t xml:space="preserve">Guzman, A. L. (Ed.). (2018).</w:t>
      </w:r>
      <w:r>
        <w:t xml:space="preserve"> </w:t>
      </w:r>
      <w:r>
        <w:rPr>
          <w:iCs/>
          <w:i/>
        </w:rPr>
        <w:t xml:space="preserve">Human-machine communication: Rethinking communication, technology, and ourselves</w:t>
      </w:r>
      <w:r>
        <w:t xml:space="preserve">. Peter Lang. https://doi.org/10.3726/b14399</w:t>
      </w:r>
    </w:p>
    <w:p>
      <w:pPr>
        <w:pStyle w:val="BodyText"/>
      </w:pPr>
      <w:r>
        <w:t xml:space="preserve">Guzman, A. L. (2018). What is human-machine communication, anyway? In A. L. Guzman (Ed.),</w:t>
      </w:r>
      <w:r>
        <w:t xml:space="preserve"> </w:t>
      </w:r>
      <w:r>
        <w:rPr>
          <w:iCs/>
          <w:i/>
        </w:rPr>
        <w:t xml:space="preserve">Human-machine communication: Rethinking communication, technology, and ourselves</w:t>
      </w:r>
      <w:r>
        <w:t xml:space="preserve"> </w:t>
      </w:r>
      <w:r>
        <w:t xml:space="preserve">(pp. 1–28). Peter Lang.</w:t>
      </w:r>
    </w:p>
    <w:p>
      <w:pPr>
        <w:pStyle w:val="BodyText"/>
      </w:pPr>
      <w:r>
        <w:t xml:space="preserve">Guzman, A. L., &amp; Lewis, S. C. (2020). Artificial intelligence and communication: A Human-Machine Communication research agenda.</w:t>
      </w:r>
      <w:r>
        <w:t xml:space="preserve"> </w:t>
      </w:r>
      <w:r>
        <w:rPr>
          <w:iCs/>
          <w:i/>
        </w:rPr>
        <w:t xml:space="preserve">New Media &amp; Society</w:t>
      </w:r>
      <w:r>
        <w:t xml:space="preserve">, 22(1), 70–86. https://doi.org/10.1177/1461444819858691</w:t>
      </w:r>
    </w:p>
    <w:p>
      <w:pPr>
        <w:pStyle w:val="BodyText"/>
      </w:pPr>
      <w:r>
        <w:t xml:space="preserve">Gunkel, D. J. (2012).</w:t>
      </w:r>
      <w:r>
        <w:t xml:space="preserve"> </w:t>
      </w:r>
      <w:r>
        <w:rPr>
          <w:iCs/>
          <w:i/>
        </w:rPr>
        <w:t xml:space="preserve">The machine question: Critical perspectives on AI, robots, and ethics</w:t>
      </w:r>
      <w:r>
        <w:t xml:space="preserve">. MIT Press.</w:t>
      </w:r>
    </w:p>
    <w:p>
      <w:pPr>
        <w:pStyle w:val="BodyText"/>
      </w:pPr>
      <w:r>
        <w:t xml:space="preserve">Gunkel, D. J. (2018).</w:t>
      </w:r>
      <w:r>
        <w:t xml:space="preserve"> </w:t>
      </w:r>
      <w:r>
        <w:rPr>
          <w:iCs/>
          <w:i/>
        </w:rPr>
        <w:t xml:space="preserve">Robot rights</w:t>
      </w:r>
      <w:r>
        <w:t xml:space="preserve">. MIT Press.</w:t>
      </w:r>
    </w:p>
    <w:p>
      <w:pPr>
        <w:pStyle w:val="BodyText"/>
      </w:pPr>
      <w:r>
        <w:t xml:space="preserve">Gunkel, D. J. (2018). The other question: Can and should robots have rights?</w:t>
      </w:r>
      <w:r>
        <w:t xml:space="preserve"> </w:t>
      </w:r>
      <w:r>
        <w:rPr>
          <w:iCs/>
          <w:i/>
        </w:rPr>
        <w:t xml:space="preserve">Ethics and Information Technology</w:t>
      </w:r>
      <w:r>
        <w:t xml:space="preserve">, 20(2), 87–99.</w:t>
      </w:r>
    </w:p>
    <w:p>
      <w:pPr>
        <w:pStyle w:val="BodyText"/>
      </w:pPr>
      <w:r>
        <w:t xml:space="preserve">Edwards, A. (2018). Animals, humans, and machines: Interactive implications of ontological classification. In A. L. Guzman (Ed.),</w:t>
      </w:r>
      <w:r>
        <w:t xml:space="preserve"> </w:t>
      </w:r>
      <w:r>
        <w:rPr>
          <w:iCs/>
          <w:i/>
        </w:rPr>
        <w:t xml:space="preserve">Human-machine communication</w:t>
      </w:r>
      <w:r>
        <w:t xml:space="preserve"> </w:t>
      </w:r>
      <w:r>
        <w:t xml:space="preserve">(pp. 29–50). Peter Lang.</w:t>
      </w:r>
    </w:p>
    <w:p>
      <w:pPr>
        <w:pStyle w:val="BodyText"/>
      </w:pPr>
      <w:r>
        <w:t xml:space="preserve">Pan, S., Fortunati, L., &amp; Edwards, A. (2025). Grooming an ideal chatbot by training the algorithm: Exploring the exploitation of Replika users’ immaterial labor.</w:t>
      </w:r>
      <w:r>
        <w:t xml:space="preserve"> </w:t>
      </w:r>
      <w:r>
        <w:rPr>
          <w:iCs/>
          <w:i/>
        </w:rPr>
        <w:t xml:space="preserve">New Media &amp; Society</w:t>
      </w:r>
      <w:r>
        <w:t xml:space="preserve">. https://doi.org/10.1177/14614448251338271</w:t>
      </w:r>
    </w:p>
    <w:p>
      <w:pPr>
        <w:pStyle w:val="BodyText"/>
      </w:pPr>
      <w:r>
        <w:t xml:space="preserve">Guzman, A. L., McEwen, R., &amp; Jones, S. (Eds.). (2023).</w:t>
      </w:r>
      <w:r>
        <w:t xml:space="preserve"> </w:t>
      </w:r>
      <w:r>
        <w:rPr>
          <w:iCs/>
          <w:i/>
        </w:rPr>
        <w:t xml:space="preserve">The SAGE handbook of human-machine communication</w:t>
      </w:r>
      <w:r>
        <w:t xml:space="preserve">. SAGE Publications. [Editors/year to be confirmed against publisher record before final citation.]</w:t>
      </w:r>
    </w:p>
    <w:bookmarkEnd w:id="64"/>
    <w:bookmarkStart w:id="65" w:name="X0bdc40a381a3073b4047f13337d1077d7b98490"/>
    <w:p>
      <w:pPr>
        <w:pStyle w:val="Heading2"/>
      </w:pPr>
      <w:r>
        <w:t xml:space="preserve">Social Presence, Media Equation, and Computers as Social Actors</w:t>
      </w:r>
    </w:p>
    <w:p>
      <w:pPr>
        <w:pStyle w:val="FirstParagraph"/>
      </w:pPr>
      <w:r>
        <w:t xml:space="preserve">Biocca, F., Harms, C., &amp; Burgoon, J. K. (2003). Toward a more robust theory and measure of social presence: Review and suggested criteria.</w:t>
      </w:r>
      <w:r>
        <w:t xml:space="preserve"> </w:t>
      </w:r>
      <w:r>
        <w:rPr>
          <w:iCs/>
          <w:i/>
        </w:rPr>
        <w:t xml:space="preserve">Presence: Teleoperators and Virtual Environments</w:t>
      </w:r>
      <w:r>
        <w:t xml:space="preserve">, 12(5), 456–480. https://doi.org/10.1162/105474603322761270</w:t>
      </w:r>
    </w:p>
    <w:p>
      <w:pPr>
        <w:pStyle w:val="BodyText"/>
      </w:pPr>
      <w:r>
        <w:t xml:space="preserve">Harms, C., &amp; Biocca, F. (2004). Internal consistency and reliability of the networked minds measure of social presence. In</w:t>
      </w:r>
      <w:r>
        <w:t xml:space="preserve"> </w:t>
      </w:r>
      <w:r>
        <w:rPr>
          <w:iCs/>
          <w:i/>
        </w:rPr>
        <w:t xml:space="preserve">Proceedings of the 7th International Workshop on Presence</w:t>
      </w:r>
      <w:r>
        <w:t xml:space="preserve">.</w:t>
      </w:r>
    </w:p>
    <w:p>
      <w:pPr>
        <w:pStyle w:val="BodyText"/>
      </w:pPr>
      <w:r>
        <w:t xml:space="preserve">Nass, C., Steuer, J., &amp; Tauber, E. R. (1994). Computers are social actors. In</w:t>
      </w:r>
      <w:r>
        <w:t xml:space="preserve"> </w:t>
      </w:r>
      <w:r>
        <w:rPr>
          <w:iCs/>
          <w:i/>
        </w:rPr>
        <w:t xml:space="preserve">Proceedings of the SIGCHI Conference on Human Factors in Computing Systems (CHI ’94)</w:t>
      </w:r>
      <w:r>
        <w:t xml:space="preserve"> </w:t>
      </w:r>
      <w:r>
        <w:t xml:space="preserve">(pp. 72–78). ACM. https://doi.org/10.1145/191666.191703</w:t>
      </w:r>
    </w:p>
    <w:p>
      <w:pPr>
        <w:pStyle w:val="BodyText"/>
      </w:pPr>
      <w:r>
        <w:t xml:space="preserve">Reeves, B., &amp; Nass, C. (1996).</w:t>
      </w:r>
      <w:r>
        <w:t xml:space="preserve"> </w:t>
      </w:r>
      <w:r>
        <w:rPr>
          <w:iCs/>
          <w:i/>
        </w:rPr>
        <w:t xml:space="preserve">The media equation: How people treat computers, television, and new media like real people and places</w:t>
      </w:r>
      <w:r>
        <w:t xml:space="preserve">. Cambridge University Press.</w:t>
      </w:r>
    </w:p>
    <w:p>
      <w:pPr>
        <w:pStyle w:val="BodyText"/>
      </w:pPr>
      <w:r>
        <w:t xml:space="preserve">Short, J., Williams, E., &amp; Christie, B. (1976).</w:t>
      </w:r>
      <w:r>
        <w:t xml:space="preserve"> </w:t>
      </w:r>
      <w:r>
        <w:rPr>
          <w:iCs/>
          <w:i/>
        </w:rPr>
        <w:t xml:space="preserve">The social psychology of telecommunications</w:t>
      </w:r>
      <w:r>
        <w:t xml:space="preserve">. John Wiley &amp; Sons.</w:t>
      </w:r>
    </w:p>
    <w:p>
      <w:pPr>
        <w:pStyle w:val="BodyText"/>
      </w:pPr>
      <w:r>
        <w:t xml:space="preserve">Xu, K., et al. (2023). Studies on the applicability of the Computers Are Social Actors paradigm to contemporary computational agents.</w:t>
      </w:r>
      <w:r>
        <w:t xml:space="preserve"> </w:t>
      </w:r>
      <w:r>
        <w:rPr>
          <w:iCs/>
          <w:i/>
        </w:rPr>
        <w:t xml:space="preserve">Scientific Reports</w:t>
      </w:r>
      <w:r>
        <w:t xml:space="preserve">, 13. https://doi.org/10.1038/s41598-023-46527-9</w:t>
      </w:r>
    </w:p>
    <w:p>
      <w:pPr>
        <w:pStyle w:val="BodyText"/>
      </w:pPr>
      <w:r>
        <w:t xml:space="preserve">Nass, C., &amp; Moon, Y. (2000). Machines and mindlessness: Social responses to computers.</w:t>
      </w:r>
      <w:r>
        <w:t xml:space="preserve"> </w:t>
      </w:r>
      <w:r>
        <w:rPr>
          <w:iCs/>
          <w:i/>
        </w:rPr>
        <w:t xml:space="preserve">Journal of Social Issues</w:t>
      </w:r>
      <w:r>
        <w:t xml:space="preserve">, 56(1), 81–103. [The mindlessness account of automatic social responses to computers.]</w:t>
      </w:r>
    </w:p>
    <w:bookmarkEnd w:id="65"/>
    <w:bookmarkStart w:id="66" w:name="Xd239b50d2d5d5134aa05c215176edc246eb15ad"/>
    <w:p>
      <w:pPr>
        <w:pStyle w:val="Heading2"/>
      </w:pPr>
      <w:r>
        <w:t xml:space="preserve">Transformer Architecture, Mixture-of-Experts, and Inference Optimization</w:t>
      </w:r>
    </w:p>
    <w:p>
      <w:pPr>
        <w:pStyle w:val="FirstParagraph"/>
      </w:pPr>
      <w:r>
        <w:t xml:space="preserve">Chen, C., Borgeaud, S., Irving, G., Lespiau, J.-B., Sifre, L., &amp; Jumper, J. (2023). Accelerating large language model decoding with speculative sampling. arXiv:2302.01318.</w:t>
      </w:r>
    </w:p>
    <w:p>
      <w:pPr>
        <w:pStyle w:val="BodyText"/>
      </w:pPr>
      <w:r>
        <w:t xml:space="preserve">Fedus, W., Zoph, B., &amp; Shazeer, N. (2022). Switch transformers: Scaling to trillion parameter models with simple and efficient sparsity.</w:t>
      </w:r>
      <w:r>
        <w:t xml:space="preserve"> </w:t>
      </w:r>
      <w:r>
        <w:rPr>
          <w:iCs/>
          <w:i/>
        </w:rPr>
        <w:t xml:space="preserve">Journal of Machine Learning Research</w:t>
      </w:r>
      <w:r>
        <w:t xml:space="preserve">, 23(120), 1–39.</w:t>
      </w:r>
    </w:p>
    <w:p>
      <w:pPr>
        <w:pStyle w:val="BodyText"/>
      </w:pPr>
      <w:r>
        <w:t xml:space="preserve">Jacobs, R. A., Jordan, M. I., Nowlan, S. J., &amp; Hinton, G. E. (1991). Adaptive mixtures of local experts.</w:t>
      </w:r>
      <w:r>
        <w:t xml:space="preserve"> </w:t>
      </w:r>
      <w:r>
        <w:rPr>
          <w:iCs/>
          <w:i/>
        </w:rPr>
        <w:t xml:space="preserve">Neural Computation</w:t>
      </w:r>
      <w:r>
        <w:t xml:space="preserve">, 3(1), 79–87. https://doi.org/10.1162/neco.1991.3.1.79</w:t>
      </w:r>
    </w:p>
    <w:p>
      <w:pPr>
        <w:pStyle w:val="BodyText"/>
      </w:pPr>
      <w:r>
        <w:t xml:space="preserve">Leviathan, Y., Kalman, M., &amp; Matias, Y. (2023). Fast inference from transformers via speculative decoding. In</w:t>
      </w:r>
      <w:r>
        <w:t xml:space="preserve"> </w:t>
      </w:r>
      <w:r>
        <w:rPr>
          <w:iCs/>
          <w:i/>
        </w:rPr>
        <w:t xml:space="preserve">Proceedings of the 40th International Conference on Machine Learning</w:t>
      </w:r>
      <w:r>
        <w:t xml:space="preserve"> </w:t>
      </w:r>
      <w:r>
        <w:t xml:space="preserve">(PMLR 202, pp. 19274–19286). arXiv:2211.17192.</w:t>
      </w:r>
    </w:p>
    <w:p>
      <w:pPr>
        <w:pStyle w:val="BodyText"/>
      </w:pPr>
      <w:r>
        <w:t xml:space="preserve">Schaeffer, R., Miranda, B., &amp; Koyejo, S. (2023). Are emergent abilities of large language models a mirage?</w:t>
      </w:r>
      <w:r>
        <w:t xml:space="preserve"> </w:t>
      </w:r>
      <w:r>
        <w:rPr>
          <w:iCs/>
          <w:i/>
        </w:rPr>
        <w:t xml:space="preserve">Advances in Neural Information Processing Systems</w:t>
      </w:r>
      <w:r>
        <w:t xml:space="preserve">, 36. arXiv:2304.15004.</w:t>
      </w:r>
    </w:p>
    <w:p>
      <w:pPr>
        <w:pStyle w:val="BodyText"/>
      </w:pPr>
      <w:r>
        <w:t xml:space="preserve">Shazeer, N., Mirhoseini, A., Maziarz, K., Davis, A., Le, Q., Hinton, G., &amp; Dean, J. (2017). Outrageously large neural networks: The sparsely-gated mixture-of-experts layer.</w:t>
      </w:r>
      <w:r>
        <w:t xml:space="preserve"> </w:t>
      </w:r>
      <w:r>
        <w:rPr>
          <w:iCs/>
          <w:i/>
        </w:rPr>
        <w:t xml:space="preserve">International Conference on Learning Representations</w:t>
      </w:r>
      <w:r>
        <w:t xml:space="preserve">. arXiv:1701.06538.</w:t>
      </w:r>
    </w:p>
    <w:p>
      <w:pPr>
        <w:pStyle w:val="BodyText"/>
      </w:pPr>
      <w:r>
        <w:t xml:space="preserve">Vaswani, A., Shazeer, N., Parmar, N., Uszkoreit, J., Jones, L., Gomez, A. N., Kaiser, Ł., &amp; Polosukhin, I. (2017). Attention is all you need.</w:t>
      </w:r>
      <w:r>
        <w:t xml:space="preserve"> </w:t>
      </w:r>
      <w:r>
        <w:rPr>
          <w:iCs/>
          <w:i/>
        </w:rPr>
        <w:t xml:space="preserve">Advances in Neural Information Processing Systems</w:t>
      </w:r>
      <w:r>
        <w:t xml:space="preserve">, 30, 5998–6008. arXiv:1706.03762.</w:t>
      </w:r>
    </w:p>
    <w:p>
      <w:pPr>
        <w:pStyle w:val="BodyText"/>
      </w:pPr>
      <w:r>
        <w:t xml:space="preserve">Wei, J., Tay, Y., Bommasani, R., Raffel, C., Zoph, B., Borgeaud, S., et al. (2022). Emergent abilities of large language models.</w:t>
      </w:r>
      <w:r>
        <w:t xml:space="preserve"> </w:t>
      </w:r>
      <w:r>
        <w:rPr>
          <w:iCs/>
          <w:i/>
        </w:rPr>
        <w:t xml:space="preserve">Transactions on Machine Learning Research</w:t>
      </w:r>
      <w:r>
        <w:t xml:space="preserve">. arXiv:2206.07682.</w:t>
      </w:r>
    </w:p>
    <w:bookmarkEnd w:id="66"/>
    <w:bookmarkStart w:id="67" w:name="model-quantization"/>
    <w:p>
      <w:pPr>
        <w:pStyle w:val="Heading2"/>
      </w:pPr>
      <w:r>
        <w:t xml:space="preserve">Model Quantization</w:t>
      </w:r>
    </w:p>
    <w:p>
      <w:pPr>
        <w:pStyle w:val="FirstParagraph"/>
      </w:pPr>
      <w:r>
        <w:t xml:space="preserve">Dettmers, T., Lewis, M., Belkada, Y., &amp; Zettlemoyer, L. (2022). LLM.int8(): 8-bit matrix multiplication for transformers at scale.</w:t>
      </w:r>
      <w:r>
        <w:t xml:space="preserve"> </w:t>
      </w:r>
      <w:r>
        <w:rPr>
          <w:iCs/>
          <w:i/>
        </w:rPr>
        <w:t xml:space="preserve">Advances in Neural Information Processing Systems</w:t>
      </w:r>
      <w:r>
        <w:t xml:space="preserve">, 35. arXiv:2208.07339.</w:t>
      </w:r>
    </w:p>
    <w:p>
      <w:pPr>
        <w:pStyle w:val="BodyText"/>
      </w:pPr>
      <w:r>
        <w:t xml:space="preserve">Dettmers, T., Pagnoni, A., Holtzman, A., &amp; Zettlemoyer, L. (2023). QLoRA: Efficient finetuning of quantized LLMs.</w:t>
      </w:r>
      <w:r>
        <w:t xml:space="preserve"> </w:t>
      </w:r>
      <w:r>
        <w:rPr>
          <w:iCs/>
          <w:i/>
        </w:rPr>
        <w:t xml:space="preserve">Advances in Neural Information Processing Systems</w:t>
      </w:r>
      <w:r>
        <w:t xml:space="preserve">, 36. arXiv:2305.14314.</w:t>
      </w:r>
    </w:p>
    <w:p>
      <w:pPr>
        <w:pStyle w:val="BodyText"/>
      </w:pPr>
      <w:r>
        <w:t xml:space="preserve">Frantar, E., Ashkboos, S., Hoefler, T., &amp; Alistarh, D. (2023). GPTQ: Accurate post-training quantization for generative pre-trained transformers.</w:t>
      </w:r>
      <w:r>
        <w:t xml:space="preserve"> </w:t>
      </w:r>
      <w:r>
        <w:rPr>
          <w:iCs/>
          <w:i/>
        </w:rPr>
        <w:t xml:space="preserve">International Conference on Learning Representations</w:t>
      </w:r>
      <w:r>
        <w:t xml:space="preserve">. arXiv:2210.17323.</w:t>
      </w:r>
    </w:p>
    <w:p>
      <w:pPr>
        <w:pStyle w:val="BodyText"/>
      </w:pPr>
      <w:r>
        <w:t xml:space="preserve">Lin, J., Tang, J., Tang, H., Yang, S., Chen, W.-M., Wang, W.-C., Xiao, G., Dang, X., Gan, C., &amp; Han, S. (2024). AWQ: Activation-aware weight quantization for on-device LLM compression and acceleration.</w:t>
      </w:r>
      <w:r>
        <w:t xml:space="preserve"> </w:t>
      </w:r>
      <w:r>
        <w:rPr>
          <w:iCs/>
          <w:i/>
        </w:rPr>
        <w:t xml:space="preserve">Proceedings of Machine Learning and Systems (MLSys)</w:t>
      </w:r>
      <w:r>
        <w:t xml:space="preserve">. arXiv:2306.00978.</w:t>
      </w:r>
    </w:p>
    <w:p>
      <w:pPr>
        <w:pStyle w:val="BodyText"/>
      </w:pPr>
      <w:r>
        <w:t xml:space="preserve">Xiao, G., Lin, J., Seznec, M., Wu, H., Demouth, J., &amp; Han, S. (2023). SmoothQuant: Accurate and efficient post-training quantization for large language models.</w:t>
      </w:r>
      <w:r>
        <w:t xml:space="preserve"> </w:t>
      </w:r>
      <w:r>
        <w:rPr>
          <w:iCs/>
          <w:i/>
        </w:rPr>
        <w:t xml:space="preserve">International Conference on Machine Learning</w:t>
      </w:r>
      <w:r>
        <w:t xml:space="preserve">. arXiv:2211.10438.</w:t>
      </w:r>
    </w:p>
    <w:p>
      <w:pPr>
        <w:pStyle w:val="BodyText"/>
      </w:pPr>
      <w:r>
        <w:t xml:space="preserve">Comprehensive evaluation of quantized instruction-tuned large language models: An experimental analysis up to 405B. (2024). arXiv:2409.11055.</w:t>
      </w:r>
    </w:p>
    <w:p>
      <w:pPr>
        <w:pStyle w:val="BodyText"/>
      </w:pPr>
      <w:r>
        <w:t xml:space="preserve">Gerganov, G., et al. (2023–2026).</w:t>
      </w:r>
      <w:r>
        <w:t xml:space="preserve"> </w:t>
      </w:r>
      <w:r>
        <w:rPr>
          <w:iCs/>
          <w:i/>
        </w:rPr>
        <w:t xml:space="preserve">llama.cpp: LLM inference in C/C++</w:t>
      </w:r>
      <w:r>
        <w:t xml:space="preserve"> </w:t>
      </w:r>
      <w:r>
        <w:t xml:space="preserve">[Open-source inference engine; origin of the GGUF format and k-quantization]. github.com/ggml-org/llama.cpp.</w:t>
      </w:r>
    </w:p>
    <w:bookmarkEnd w:id="67"/>
    <w:bookmarkStart w:id="68" w:name="edge-ai-and-on-device-inference-1"/>
    <w:p>
      <w:pPr>
        <w:pStyle w:val="Heading2"/>
      </w:pPr>
      <w:r>
        <w:t xml:space="preserve">Edge AI and On-Device Inference</w:t>
      </w:r>
    </w:p>
    <w:p>
      <w:pPr>
        <w:pStyle w:val="FirstParagraph"/>
      </w:pPr>
      <w:r>
        <w:t xml:space="preserve">Ardakani, M., Malekar, J., &amp; Zand, R. (2025). LLMPi: Optimizing LLMs for high-throughput on Raspberry Pi.</w:t>
      </w:r>
      <w:r>
        <w:t xml:space="preserve"> </w:t>
      </w:r>
      <w:r>
        <w:rPr>
          <w:iCs/>
          <w:i/>
        </w:rPr>
        <w:t xml:space="preserve">IEEE/CVF Conference on Computer Vision and Pattern Recognition Workshops (EDGE Workshop)</w:t>
      </w:r>
      <w:r>
        <w:t xml:space="preserve">. arXiv:2504.02118.</w:t>
      </w:r>
    </w:p>
    <w:p>
      <w:pPr>
        <w:pStyle w:val="BodyText"/>
      </w:pPr>
      <w:r>
        <w:t xml:space="preserve">Cao, Y. (2025). Performance evaluation of Whisper-series speech transcription models on Raspberry Pi. In</w:t>
      </w:r>
      <w:r>
        <w:t xml:space="preserve"> </w:t>
      </w:r>
      <w:r>
        <w:rPr>
          <w:iCs/>
          <w:i/>
        </w:rPr>
        <w:t xml:space="preserve">Proceedings of the Tenth ACM/IEEE Symposium on Edge Computing (SEC ’25)</w:t>
      </w:r>
      <w:r>
        <w:t xml:space="preserve">. ACM. https://doi.org/10.1145/3769102.3774244</w:t>
      </w:r>
    </w:p>
    <w:p>
      <w:pPr>
        <w:pStyle w:val="BodyText"/>
      </w:pPr>
      <w:r>
        <w:t xml:space="preserve">Warden, P., &amp; Situnayake, D. (2019).</w:t>
      </w:r>
      <w:r>
        <w:t xml:space="preserve"> </w:t>
      </w:r>
      <w:r>
        <w:rPr>
          <w:iCs/>
          <w:i/>
        </w:rPr>
        <w:t xml:space="preserve">TinyML: Machine learning with TensorFlow Lite on Arduino and ultra-low-power microcontrollers</w:t>
      </w:r>
      <w:r>
        <w:t xml:space="preserve">. O’Reilly Media.</w:t>
      </w:r>
    </w:p>
    <w:p>
      <w:pPr>
        <w:pStyle w:val="BodyText"/>
      </w:pPr>
      <w:r>
        <w:t xml:space="preserve">Toward a small ML runtime stack for Raspberry Pi 5 QPUs. (2026). arXiv:2606.09905.</w:t>
      </w:r>
    </w:p>
    <w:p>
      <w:pPr>
        <w:pStyle w:val="BodyText"/>
      </w:pPr>
      <w:r>
        <w:t xml:space="preserve">OpenAI. (2025). gpt-oss-120b &amp; gpt-oss-20b model card. arXiv:2508.10925. [Open-weight MoE models runnable on edge hardware.]</w:t>
      </w:r>
    </w:p>
    <w:p>
      <w:pPr>
        <w:pStyle w:val="BodyText"/>
      </w:pPr>
      <w:r>
        <w:t xml:space="preserve">b4rtaz. (2024–2026).</w:t>
      </w:r>
      <w:r>
        <w:t xml:space="preserve"> </w:t>
      </w:r>
      <w:r>
        <w:rPr>
          <w:iCs/>
          <w:i/>
        </w:rPr>
        <w:t xml:space="preserve">distributed-llama: Distributed LLM inference across networked devices</w:t>
      </w:r>
      <w:r>
        <w:t xml:space="preserve"> </w:t>
      </w:r>
      <w:r>
        <w:t xml:space="preserve">[Multi-device tensor-parallel inference on single-board computers]. github.com/b4rtaz/distributed-llama.</w:t>
      </w:r>
    </w:p>
    <w:p>
      <w:pPr>
        <w:pStyle w:val="BodyText"/>
      </w:pPr>
      <w:r>
        <w:t xml:space="preserve">Krizhevsky, A., Sutskever, I., &amp; Hinton, G. E. (2012). ImageNet classification with deep convolutional neural networks.</w:t>
      </w:r>
      <w:r>
        <w:t xml:space="preserve"> </w:t>
      </w:r>
      <w:r>
        <w:rPr>
          <w:iCs/>
          <w:i/>
        </w:rPr>
        <w:t xml:space="preserve">Advances in Neural Information Processing Systems</w:t>
      </w:r>
      <w:r>
        <w:t xml:space="preserve">, 25. [The 2012 ImageNet result anchoring the deep-learning era.]</w:t>
      </w:r>
    </w:p>
    <w:p>
      <w:pPr>
        <w:pStyle w:val="BodyText"/>
      </w:pPr>
      <w:r>
        <w:t xml:space="preserve">Brown, T. B., Mann, B., Ryder, N., Subbiah, M., Kaplan, J., Dhariwal, P., et al. (2020). Language models are few-shot learners.</w:t>
      </w:r>
      <w:r>
        <w:t xml:space="preserve"> </w:t>
      </w:r>
      <w:r>
        <w:rPr>
          <w:iCs/>
          <w:i/>
        </w:rPr>
        <w:t xml:space="preserve">Advances in Neural Information Processing Systems</w:t>
      </w:r>
      <w:r>
        <w:t xml:space="preserve">, 33. arXiv:2005.14165. [GPT-3; scale as an access barrier.]</w:t>
      </w:r>
    </w:p>
    <w:p>
      <w:pPr>
        <w:pStyle w:val="BodyText"/>
      </w:pPr>
      <w:r>
        <w:t xml:space="preserve">Touvron, H., Lavril, T., Izacard, G., Martinet, X., Lachaux, M.-A., Lacroix, T., et al. (2023). LLaMA: Open and efficient foundation language models. arXiv:2302.13971. [Open-weight release central to the diffusion counter-current.]</w:t>
      </w:r>
    </w:p>
    <w:p>
      <w:pPr>
        <w:pStyle w:val="BodyText"/>
      </w:pPr>
      <w:r>
        <w:t xml:space="preserve">Taori, R., Gulrajani, I., Zhang, T., Dubois, Y., Li, X., Guestrin, C., Liang, P., &amp; Hashimoto, T. B. (2023).</w:t>
      </w:r>
      <w:r>
        <w:t xml:space="preserve"> </w:t>
      </w:r>
      <w:r>
        <w:rPr>
          <w:iCs/>
          <w:i/>
        </w:rPr>
        <w:t xml:space="preserve">Stanford Alpaca: An instruction-following LLaMA model</w:t>
      </w:r>
      <w:r>
        <w:t xml:space="preserve"> </w:t>
      </w:r>
      <w:r>
        <w:t xml:space="preserve">[Stanford Center for Research on Foundation Models]. github.com/tatsu-lab/stanford_alpaca.</w:t>
      </w:r>
    </w:p>
    <w:bookmarkEnd w:id="68"/>
    <w:bookmarkStart w:id="69" w:name="Xdd560ac39346f99423505b7164a8623c61b1ae9"/>
    <w:p>
      <w:pPr>
        <w:pStyle w:val="Heading2"/>
      </w:pPr>
      <w:r>
        <w:t xml:space="preserve">Ethics of Artificial Intimacy and Companion AI</w:t>
      </w:r>
    </w:p>
    <w:p>
      <w:pPr>
        <w:pStyle w:val="FirstParagraph"/>
      </w:pPr>
      <w:r>
        <w:t xml:space="preserve">Berlant, L. (2011).</w:t>
      </w:r>
      <w:r>
        <w:t xml:space="preserve"> </w:t>
      </w:r>
      <w:r>
        <w:rPr>
          <w:iCs/>
          <w:i/>
        </w:rPr>
        <w:t xml:space="preserve">Cruel optimism</w:t>
      </w:r>
      <w:r>
        <w:t xml:space="preserve">. Duke University Press.</w:t>
      </w:r>
    </w:p>
    <w:p>
      <w:pPr>
        <w:pStyle w:val="BodyText"/>
      </w:pPr>
      <w:r>
        <w:t xml:space="preserve">Danaher, J. (2017). The symbolic-consequences argument in the sex robot debate. In J. Danaher &amp; N. McArthur (Eds.),</w:t>
      </w:r>
      <w:r>
        <w:t xml:space="preserve"> </w:t>
      </w:r>
      <w:r>
        <w:rPr>
          <w:iCs/>
          <w:i/>
        </w:rPr>
        <w:t xml:space="preserve">Robot sex: Social and ethical implications</w:t>
      </w:r>
      <w:r>
        <w:t xml:space="preserve"> </w:t>
      </w:r>
      <w:r>
        <w:t xml:space="preserve">(Ch. 7). MIT Press.</w:t>
      </w:r>
    </w:p>
    <w:p>
      <w:pPr>
        <w:pStyle w:val="BodyText"/>
      </w:pPr>
      <w:r>
        <w:t xml:space="preserve">Danaher, J., Earp, B. D., &amp; Sandberg, A. (2017). Should we campaign against sex robots? In J. Danaher &amp; N. McArthur (Eds.),</w:t>
      </w:r>
      <w:r>
        <w:t xml:space="preserve"> </w:t>
      </w:r>
      <w:r>
        <w:rPr>
          <w:iCs/>
          <w:i/>
        </w:rPr>
        <w:t xml:space="preserve">Robot sex: Social and ethical implications</w:t>
      </w:r>
      <w:r>
        <w:t xml:space="preserve">. MIT Press.</w:t>
      </w:r>
    </w:p>
    <w:p>
      <w:pPr>
        <w:pStyle w:val="BodyText"/>
      </w:pPr>
      <w:r>
        <w:t xml:space="preserve">Devlin, K. (2018).</w:t>
      </w:r>
      <w:r>
        <w:t xml:space="preserve"> </w:t>
      </w:r>
      <w:r>
        <w:rPr>
          <w:iCs/>
          <w:i/>
        </w:rPr>
        <w:t xml:space="preserve">Turned on: Science, sex and robots</w:t>
      </w:r>
      <w:r>
        <w:t xml:space="preserve">. Bloomsbury.</w:t>
      </w:r>
    </w:p>
    <w:p>
      <w:pPr>
        <w:pStyle w:val="BodyText"/>
      </w:pPr>
      <w:r>
        <w:t xml:space="preserve">Laestadius, L., Bishop, A., Gonzalez, M., Illenčík, D., &amp; Campos-Castillo, C. (2024). Too human and not human enough: A grounded theory analysis of mental health harms from emotional dependence on the social chatbot Replika.</w:t>
      </w:r>
      <w:r>
        <w:t xml:space="preserve"> </w:t>
      </w:r>
      <w:r>
        <w:rPr>
          <w:iCs/>
          <w:i/>
        </w:rPr>
        <w:t xml:space="preserve">New Media &amp; Society</w:t>
      </w:r>
      <w:r>
        <w:t xml:space="preserve">, 26(10), 5923–5941. https://doi.org/10.1177/14614448221142007</w:t>
      </w:r>
    </w:p>
    <w:p>
      <w:pPr>
        <w:pStyle w:val="BodyText"/>
      </w:pPr>
      <w:r>
        <w:t xml:space="preserve">Levy, D. (2007).</w:t>
      </w:r>
      <w:r>
        <w:t xml:space="preserve"> </w:t>
      </w:r>
      <w:r>
        <w:rPr>
          <w:iCs/>
          <w:i/>
        </w:rPr>
        <w:t xml:space="preserve">Love and sex with robots: The evolution of human-robot relationships</w:t>
      </w:r>
      <w:r>
        <w:t xml:space="preserve">. HarperCollins.</w:t>
      </w:r>
    </w:p>
    <w:p>
      <w:pPr>
        <w:pStyle w:val="BodyText"/>
      </w:pPr>
      <w:r>
        <w:t xml:space="preserve">Muldoon, J., &amp; Parke, J. J. (2025). Cruel companionship: How AI companions exploit loneliness and commodify intimacy.</w:t>
      </w:r>
      <w:r>
        <w:t xml:space="preserve"> </w:t>
      </w:r>
      <w:r>
        <w:rPr>
          <w:iCs/>
          <w:i/>
        </w:rPr>
        <w:t xml:space="preserve">New Media &amp; Society</w:t>
      </w:r>
      <w:r>
        <w:t xml:space="preserve">. https://doi.org/10.1177/14614448251395192</w:t>
      </w:r>
    </w:p>
    <w:p>
      <w:pPr>
        <w:pStyle w:val="BodyText"/>
      </w:pPr>
      <w:r>
        <w:t xml:space="preserve">Richardson, K. (2025).</w:t>
      </w:r>
      <w:r>
        <w:t xml:space="preserve"> </w:t>
      </w:r>
      <w:r>
        <w:rPr>
          <w:iCs/>
          <w:i/>
        </w:rPr>
        <w:t xml:space="preserve">Sex robots: The end of love</w:t>
      </w:r>
      <w:r>
        <w:t xml:space="preserve">. Polity Press.</w:t>
      </w:r>
    </w:p>
    <w:p>
      <w:pPr>
        <w:pStyle w:val="BodyText"/>
      </w:pPr>
      <w:r>
        <w:t xml:space="preserve">Richardson, K., &amp; Odlind, C. (Eds.). (2023).</w:t>
      </w:r>
      <w:r>
        <w:t xml:space="preserve"> </w:t>
      </w:r>
      <w:r>
        <w:rPr>
          <w:iCs/>
          <w:i/>
        </w:rPr>
        <w:t xml:space="preserve">Man-made women: The sexual politics of sex dolls and sex robots</w:t>
      </w:r>
      <w:r>
        <w:t xml:space="preserve">. Palgrave Macmillan.</w:t>
      </w:r>
    </w:p>
    <w:p>
      <w:pPr>
        <w:pStyle w:val="BodyText"/>
      </w:pPr>
      <w:r>
        <w:t xml:space="preserve">Sycophantic AI decreases prosocial intentions and promotes dependence. (2026).</w:t>
      </w:r>
      <w:r>
        <w:t xml:space="preserve"> </w:t>
      </w:r>
      <w:r>
        <w:rPr>
          <w:iCs/>
          <w:i/>
        </w:rPr>
        <w:t xml:space="preserve">Science</w:t>
      </w:r>
      <w:r>
        <w:t xml:space="preserve">. https://doi.org/10.1126/science.aec8352</w:t>
      </w:r>
    </w:p>
    <w:p>
      <w:pPr>
        <w:pStyle w:val="BodyText"/>
      </w:pPr>
      <w:r>
        <w:t xml:space="preserve">Zhang, R., Li, H., Meng, H., et al. (2025). The dark side of AI companionship: A taxonomy of harmful algorithmic behaviors in human-AI relationships. In</w:t>
      </w:r>
      <w:r>
        <w:t xml:space="preserve"> </w:t>
      </w:r>
      <w:r>
        <w:rPr>
          <w:iCs/>
          <w:i/>
        </w:rPr>
        <w:t xml:space="preserve">Proceedings of the 2025 CHI Conference on Human Factors in Computing Systems</w:t>
      </w:r>
      <w:r>
        <w:t xml:space="preserve">. ACM.</w:t>
      </w:r>
    </w:p>
    <w:p>
      <w:pPr>
        <w:pStyle w:val="BodyText"/>
      </w:pPr>
      <w:r>
        <w:t xml:space="preserve">Cheng, M., et al. (2025). Social sycophancy in large language models. arXiv:2505.13995. [Preprint; mechanism underlying the</w:t>
      </w:r>
      <w:r>
        <w:t xml:space="preserve"> </w:t>
      </w:r>
      <w:r>
        <w:rPr>
          <w:iCs/>
          <w:i/>
        </w:rPr>
        <w:t xml:space="preserve">Science</w:t>
      </w:r>
      <w:r>
        <w:t xml:space="preserve"> </w:t>
      </w:r>
      <w:r>
        <w:t xml:space="preserve">2026 finding.]</w:t>
      </w:r>
    </w:p>
    <w:bookmarkEnd w:id="69"/>
    <w:bookmarkStart w:id="70" w:name="legal-and-regulatory-sources"/>
    <w:p>
      <w:pPr>
        <w:pStyle w:val="Heading2"/>
      </w:pPr>
      <w:r>
        <w:t xml:space="preserve">Legal and Regulatory Sources</w:t>
      </w:r>
    </w:p>
    <w:p>
      <w:pPr>
        <w:pStyle w:val="FirstParagraph"/>
      </w:pPr>
      <w:r>
        <w:rPr>
          <w:iCs/>
          <w:i/>
        </w:rPr>
        <w:t xml:space="preserve">Garcia v. Character Technologies, Inc.</w:t>
      </w:r>
      <w:r>
        <w:t xml:space="preserve">, No. 6:24-cv-01903 (M.D. Fla., filed Oct. 22, 2024). Order on motions to dismiss, May 21, 2025.</w:t>
      </w:r>
    </w:p>
    <w:p>
      <w:pPr>
        <w:pStyle w:val="BodyText"/>
      </w:pPr>
      <w:r>
        <w:rPr>
          <w:iCs/>
          <w:i/>
        </w:rPr>
        <w:t xml:space="preserve">Peralta v. Character Technologies, Inc.</w:t>
      </w:r>
      <w:r>
        <w:t xml:space="preserve">, No. 1:25-cv-02907 (D. Colo., filed Sept. 16, 2025). Filed together with two related actions on behalf of minors (</w:t>
      </w:r>
      <w:r>
        <w:t xml:space="preserve">“</w:t>
      </w:r>
      <w:r>
        <w:t xml:space="preserve">T.S.,</w:t>
      </w:r>
      <w:r>
        <w:t xml:space="preserve">”</w:t>
      </w:r>
      <w:r>
        <w:t xml:space="preserve"> </w:t>
      </w:r>
      <w:r>
        <w:t xml:space="preserve">No. 1:25-cv-02906, D. Colo.; and</w:t>
      </w:r>
      <w:r>
        <w:t xml:space="preserve"> </w:t>
      </w:r>
      <w:r>
        <w:t xml:space="preserve">“</w:t>
      </w:r>
      <w:r>
        <w:t xml:space="preserve">Nina,</w:t>
      </w:r>
      <w:r>
        <w:t xml:space="preserve">”</w:t>
      </w:r>
      <w:r>
        <w:t xml:space="preserve"> </w:t>
      </w:r>
      <w:r>
        <w:t xml:space="preserve">S.D.N.Y.) by the Social Media Victims Law Center and McKool Smith.</w:t>
      </w:r>
    </w:p>
    <w:p>
      <w:pPr>
        <w:pStyle w:val="BodyText"/>
      </w:pPr>
      <w:r>
        <w:t xml:space="preserve">Garante per la protezione dei dati personali. (2025, May 19).</w:t>
      </w:r>
      <w:r>
        <w:t xml:space="preserve"> </w:t>
      </w:r>
      <w:r>
        <w:rPr>
          <w:iCs/>
          <w:i/>
        </w:rPr>
        <w:t xml:space="preserve">AI: The Italian Supervisory Authority fines company behind chatbot</w:t>
      </w:r>
      <w:r>
        <w:rPr>
          <w:iCs/>
          <w:i/>
        </w:rPr>
        <w:t xml:space="preserve"> </w:t>
      </w:r>
      <w:r>
        <w:rPr>
          <w:iCs/>
          <w:i/>
        </w:rPr>
        <w:t xml:space="preserve">“</w:t>
      </w:r>
      <w:r>
        <w:rPr>
          <w:iCs/>
          <w:i/>
        </w:rPr>
        <w:t xml:space="preserve">Replika</w:t>
      </w:r>
      <w:r>
        <w:rPr>
          <w:iCs/>
          <w:i/>
        </w:rPr>
        <w:t xml:space="preserve">”</w:t>
      </w:r>
      <w:r>
        <w:t xml:space="preserve"> </w:t>
      </w:r>
      <w:r>
        <w:t xml:space="preserve">[Press release]. Final decision dated April 10, 2025.</w:t>
      </w:r>
    </w:p>
    <w:p>
      <w:pPr>
        <w:pStyle w:val="BodyText"/>
      </w:pPr>
      <w:r>
        <w:t xml:space="preserve">European Data Protection Board. (2025, May 21).</w:t>
      </w:r>
      <w:r>
        <w:t xml:space="preserve"> </w:t>
      </w:r>
      <w:r>
        <w:rPr>
          <w:iCs/>
          <w:i/>
        </w:rPr>
        <w:t xml:space="preserve">AI: The Italian Supervisory Authority fines company behind chatbot</w:t>
      </w:r>
      <w:r>
        <w:rPr>
          <w:iCs/>
          <w:i/>
        </w:rPr>
        <w:t xml:space="preserve"> </w:t>
      </w:r>
      <w:r>
        <w:rPr>
          <w:iCs/>
          <w:i/>
        </w:rPr>
        <w:t xml:space="preserve">“</w:t>
      </w:r>
      <w:r>
        <w:rPr>
          <w:iCs/>
          <w:i/>
        </w:rPr>
        <w:t xml:space="preserve">Replika</w:t>
      </w:r>
      <w:r>
        <w:rPr>
          <w:iCs/>
          <w:i/>
        </w:rPr>
        <w:t xml:space="preserve">”</w:t>
      </w:r>
      <w:r>
        <w:t xml:space="preserve"> </w:t>
      </w:r>
      <w:r>
        <w:t xml:space="preserve">[National news summary; GDPR Articles 5, 6, 12, 13, 24, 25]. edpb.europa.eu.</w:t>
      </w:r>
    </w:p>
    <w:bookmarkEnd w:id="70"/>
    <w:bookmarkStart w:id="71" w:name="Xe23035b15037fe6a9ed6862b9af21bfe9bb766c"/>
    <w:p>
      <w:pPr>
        <w:pStyle w:val="Heading2"/>
      </w:pPr>
      <w:r>
        <w:t xml:space="preserve">Socially Assistive and Prosocial Robotics</w:t>
      </w:r>
    </w:p>
    <w:p>
      <w:pPr>
        <w:pStyle w:val="FirstParagraph"/>
      </w:pPr>
      <w:r>
        <w:t xml:space="preserve">Abdollahi, H., Mollahosseini, A., Lane, J. T., &amp; Mahoor, M. H. (2017). A pilot study on using an intelligent life-like robot as a companion for elderly individuals with dementia and depression. In</w:t>
      </w:r>
      <w:r>
        <w:t xml:space="preserve"> </w:t>
      </w:r>
      <w:r>
        <w:rPr>
          <w:iCs/>
          <w:i/>
        </w:rPr>
        <w:t xml:space="preserve">IEEE-RAS International Conference on Humanoid Robotics</w:t>
      </w:r>
      <w:r>
        <w:t xml:space="preserve">. https://doi.org/10.1109/HUMANOIDS.2017.8246925</w:t>
      </w:r>
    </w:p>
    <w:p>
      <w:pPr>
        <w:pStyle w:val="BodyText"/>
      </w:pPr>
      <w:r>
        <w:t xml:space="preserve">Abdollahi, H., Mahoor, M. H., Zandie, R., Sewierski, J., &amp; Qualls, S. H. (2023). Artificial emotional intelligence in socially assistive robots for older adults: A pilot study.</w:t>
      </w:r>
      <w:r>
        <w:t xml:space="preserve"> </w:t>
      </w:r>
      <w:r>
        <w:rPr>
          <w:iCs/>
          <w:i/>
        </w:rPr>
        <w:t xml:space="preserve">IEEE Transactions on Affective Computing</w:t>
      </w:r>
      <w:r>
        <w:t xml:space="preserve">.</w:t>
      </w:r>
    </w:p>
    <w:p>
      <w:pPr>
        <w:pStyle w:val="BodyText"/>
      </w:pPr>
      <w:r>
        <w:t xml:space="preserve">Belpaeme, T., Kennedy, J., Ramachandran, A., Scassellati, B., &amp; Tanaka, F. (2018). Social robots for education: A review.</w:t>
      </w:r>
      <w:r>
        <w:t xml:space="preserve"> </w:t>
      </w:r>
      <w:r>
        <w:rPr>
          <w:iCs/>
          <w:i/>
        </w:rPr>
        <w:t xml:space="preserve">Science Robotics</w:t>
      </w:r>
      <w:r>
        <w:t xml:space="preserve">, 3(21), eaat5954.</w:t>
      </w:r>
    </w:p>
    <w:p>
      <w:pPr>
        <w:pStyle w:val="BodyText"/>
      </w:pPr>
      <w:r>
        <w:t xml:space="preserve">Clabaugh, C., Becerra, D., Deng, E. C., &amp; Matarić, M. J. (2018). A month-long, in-home case study of a socially assistive robot for children with autism spectrum disorder. In</w:t>
      </w:r>
      <w:r>
        <w:t xml:space="preserve"> </w:t>
      </w:r>
      <w:r>
        <w:rPr>
          <w:iCs/>
          <w:i/>
        </w:rPr>
        <w:t xml:space="preserve">HRI ’18 Companion</w:t>
      </w:r>
      <w:r>
        <w:t xml:space="preserve">. https://doi.org/10.1145/3173386.3177018</w:t>
      </w:r>
    </w:p>
    <w:p>
      <w:pPr>
        <w:pStyle w:val="BodyText"/>
      </w:pPr>
      <w:r>
        <w:t xml:space="preserve">Clabaugh, C., Mahajan, K., Jain, S., Pakkar, R., Becerra, D., Shi, Z., et al. (2019). Long-term personalization of an in-home socially assistive robot for children with autism spectrum disorders.</w:t>
      </w:r>
      <w:r>
        <w:t xml:space="preserve"> </w:t>
      </w:r>
      <w:r>
        <w:rPr>
          <w:iCs/>
          <w:i/>
        </w:rPr>
        <w:t xml:space="preserve">Frontiers in Robotics and AI</w:t>
      </w:r>
      <w:r>
        <w:t xml:space="preserve">, 6, 110.</w:t>
      </w:r>
    </w:p>
    <w:p>
      <w:pPr>
        <w:pStyle w:val="BodyText"/>
      </w:pPr>
      <w:r>
        <w:t xml:space="preserve">Feil-Seifer, D., &amp; Matarić, M. J. (2005). Defining socially assistive robotics. In</w:t>
      </w:r>
      <w:r>
        <w:t xml:space="preserve"> </w:t>
      </w:r>
      <w:r>
        <w:rPr>
          <w:iCs/>
          <w:i/>
        </w:rPr>
        <w:t xml:space="preserve">9th International Conference on Rehabilitation Robotics (ICORR)</w:t>
      </w:r>
      <w:r>
        <w:t xml:space="preserve"> </w:t>
      </w:r>
      <w:r>
        <w:t xml:space="preserve">(pp. 465–468). IEEE.</w:t>
      </w:r>
    </w:p>
    <w:p>
      <w:pPr>
        <w:pStyle w:val="BodyText"/>
      </w:pPr>
      <w:r>
        <w:t xml:space="preserve">Jain, S., Thiagarajan, B., Shi, Z., Clabaugh, C., &amp; Matarić, M. J. (2020). Modeling engagement in long-term, in-home socially assistive robot interventions for children with autism spectrum disorders.</w:t>
      </w:r>
      <w:r>
        <w:t xml:space="preserve"> </w:t>
      </w:r>
      <w:r>
        <w:rPr>
          <w:iCs/>
          <w:i/>
        </w:rPr>
        <w:t xml:space="preserve">Science Robotics</w:t>
      </w:r>
      <w:r>
        <w:t xml:space="preserve">, 5(39), eaaz3791.</w:t>
      </w:r>
    </w:p>
    <w:p>
      <w:pPr>
        <w:pStyle w:val="BodyText"/>
      </w:pPr>
      <w:r>
        <w:t xml:space="preserve">Scassellati, B., Boccanfuso, L., Huang, C.-M., Mademtzi, M., Qin, M., Salomons, N., Ventola, P., &amp; Shic, F. (2018). Improving social skills in children with ASD using a long-term, in-home social robot.</w:t>
      </w:r>
      <w:r>
        <w:t xml:space="preserve"> </w:t>
      </w:r>
      <w:r>
        <w:rPr>
          <w:iCs/>
          <w:i/>
        </w:rPr>
        <w:t xml:space="preserve">Science Robotics</w:t>
      </w:r>
      <w:r>
        <w:t xml:space="preserve">, 3(21), eaat7544. https://doi.org/10.1126/scirobotics.aat7544</w:t>
      </w:r>
    </w:p>
    <w:p>
      <w:pPr>
        <w:pStyle w:val="BodyText"/>
      </w:pPr>
      <w:r>
        <w:t xml:space="preserve">Shibata, T. (2012). Therapeutic seal robot as biofeedback medical device: Qualitative and quantitative evaluations of robot therapy in dementia care.</w:t>
      </w:r>
      <w:r>
        <w:t xml:space="preserve"> </w:t>
      </w:r>
      <w:r>
        <w:rPr>
          <w:iCs/>
          <w:i/>
        </w:rPr>
        <w:t xml:space="preserve">Proceedings of the IEEE</w:t>
      </w:r>
      <w:r>
        <w:t xml:space="preserve">, 100(8), 2527–2538. [PARO; FDA Class II biofeedback device clearance, 2009.]</w:t>
      </w:r>
    </w:p>
    <w:p>
      <w:pPr>
        <w:pStyle w:val="BodyText"/>
      </w:pPr>
      <w:r>
        <w:t xml:space="preserve">Tapus, A., Matarić, M. J., &amp; Scassellati, B. (2007). Socially assistive robotics [Grand challenges of robotics].</w:t>
      </w:r>
      <w:r>
        <w:t xml:space="preserve"> </w:t>
      </w:r>
      <w:r>
        <w:rPr>
          <w:iCs/>
          <w:i/>
        </w:rPr>
        <w:t xml:space="preserve">IEEE Robotics &amp; Automation Magazine</w:t>
      </w:r>
      <w:r>
        <w:t xml:space="preserve">, 14(1), 35–42.</w:t>
      </w:r>
    </w:p>
    <w:p>
      <w:pPr>
        <w:pStyle w:val="BodyText"/>
      </w:pPr>
      <w:r>
        <w:t xml:space="preserve">Feil-Seifer, D., &amp; Matarić, M. J. (2016). Socially assistive robotics. In B. Siciliano &amp; O. Khatib (Eds.),</w:t>
      </w:r>
      <w:r>
        <w:t xml:space="preserve"> </w:t>
      </w:r>
      <w:r>
        <w:rPr>
          <w:iCs/>
          <w:i/>
        </w:rPr>
        <w:t xml:space="preserve">Springer handbook of robotics</w:t>
      </w:r>
      <w:r>
        <w:t xml:space="preserve"> </w:t>
      </w:r>
      <w:r>
        <w:t xml:space="preserve">(2nd ed., pp. 1973–1994). Springer.</w:t>
      </w:r>
    </w:p>
    <w:p>
      <w:pPr>
        <w:pStyle w:val="BodyText"/>
      </w:pPr>
      <w:r>
        <w:t xml:space="preserve">Efficacy and effectiveness of robot-assisted therapy for autism spectrum disorder: From lab to reality. (2024).</w:t>
      </w:r>
      <w:r>
        <w:t xml:space="preserve"> </w:t>
      </w:r>
      <w:r>
        <w:rPr>
          <w:iCs/>
          <w:i/>
        </w:rPr>
        <w:t xml:space="preserve">Science Robotics</w:t>
      </w:r>
      <w:r>
        <w:t xml:space="preserve">. https://doi.org/10.1126/scirobotics.adl2266</w:t>
      </w:r>
    </w:p>
    <w:bookmarkEnd w:id="71"/>
    <w:bookmarkStart w:id="72" w:name="X18021fcb20d1e56cc4f828c30dfa478cf362893"/>
    <w:p>
      <w:pPr>
        <w:pStyle w:val="Heading2"/>
      </w:pPr>
      <w:r>
        <w:t xml:space="preserve">AI Democratization, Open Models, and Governance</w:t>
      </w:r>
    </w:p>
    <w:p>
      <w:pPr>
        <w:pStyle w:val="FirstParagraph"/>
      </w:pPr>
      <w:r>
        <w:t xml:space="preserve">Bommasani, R., Klyman, K., Kapoor, S., Longpre, S., Xiong, B., Maslej, N., &amp; Liang, P. (2024). The foundation model transparency index. arXiv:2310.12941.</w:t>
      </w:r>
    </w:p>
    <w:p>
      <w:pPr>
        <w:pStyle w:val="BodyText"/>
      </w:pPr>
      <w:r>
        <w:t xml:space="preserve">Kapoor, S., Bommasani, R., Klyman, K., Longpre, S., Ramaswami, A., Cihon, P., et al. (2024). On the societal impact of open foundation models. In</w:t>
      </w:r>
      <w:r>
        <w:t xml:space="preserve"> </w:t>
      </w:r>
      <w:r>
        <w:rPr>
          <w:iCs/>
          <w:i/>
        </w:rPr>
        <w:t xml:space="preserve">Proceedings of the 41st International Conference on Machine Learning</w:t>
      </w:r>
      <w:r>
        <w:t xml:space="preserve"> </w:t>
      </w:r>
      <w:r>
        <w:t xml:space="preserve">(PMLR 235). arXiv:2403.07918.</w:t>
      </w:r>
    </w:p>
    <w:p>
      <w:pPr>
        <w:pStyle w:val="BodyText"/>
      </w:pPr>
      <w:r>
        <w:t xml:space="preserve">National Telecommunications and Information Administration. (2024).</w:t>
      </w:r>
      <w:r>
        <w:t xml:space="preserve"> </w:t>
      </w:r>
      <w:r>
        <w:rPr>
          <w:iCs/>
          <w:i/>
        </w:rPr>
        <w:t xml:space="preserve">Dual-use foundation models with widely available model weights</w:t>
      </w:r>
      <w:r>
        <w:t xml:space="preserve">. U.S. Department of Commerce.</w:t>
      </w:r>
    </w:p>
    <w:p>
      <w:pPr>
        <w:pStyle w:val="BodyText"/>
      </w:pPr>
      <w:r>
        <w:t xml:space="preserve">Seger, E., &amp; O’Dell, B. (2024).</w:t>
      </w:r>
      <w:r>
        <w:t xml:space="preserve"> </w:t>
      </w:r>
      <w:r>
        <w:rPr>
          <w:iCs/>
          <w:i/>
        </w:rPr>
        <w:t xml:space="preserve">Open horizons: Exploring nuanced technical and policy approaches to openness in AI</w:t>
      </w:r>
      <w:r>
        <w:t xml:space="preserve">. Demos &amp; Mozilla.</w:t>
      </w:r>
    </w:p>
    <w:bookmarkEnd w:id="72"/>
    <w:bookmarkStart w:id="73" w:name="Xfd5b5525ac26c107242c8be06a9e78b1cb21877"/>
    <w:p>
      <w:pPr>
        <w:pStyle w:val="Heading2"/>
      </w:pPr>
      <w:r>
        <w:t xml:space="preserve">Maker Movement, DIY Robotics, and Constructionism</w:t>
      </w:r>
    </w:p>
    <w:p>
      <w:pPr>
        <w:pStyle w:val="FirstParagraph"/>
      </w:pPr>
      <w:r>
        <w:t xml:space="preserve">Anderson, C. (2012).</w:t>
      </w:r>
      <w:r>
        <w:t xml:space="preserve"> </w:t>
      </w:r>
      <w:r>
        <w:rPr>
          <w:iCs/>
          <w:i/>
        </w:rPr>
        <w:t xml:space="preserve">Makers: The new industrial revolution</w:t>
      </w:r>
      <w:r>
        <w:t xml:space="preserve">. Crown Business.</w:t>
      </w:r>
    </w:p>
    <w:p>
      <w:pPr>
        <w:pStyle w:val="BodyText"/>
      </w:pPr>
      <w:r>
        <w:t xml:space="preserve">Harel, I., &amp; Papert, S. (Eds.). (1991).</w:t>
      </w:r>
      <w:r>
        <w:t xml:space="preserve"> </w:t>
      </w:r>
      <w:r>
        <w:rPr>
          <w:iCs/>
          <w:i/>
        </w:rPr>
        <w:t xml:space="preserve">Constructionism</w:t>
      </w:r>
      <w:r>
        <w:t xml:space="preserve">. Ablex.</w:t>
      </w:r>
    </w:p>
    <w:p>
      <w:pPr>
        <w:pStyle w:val="BodyText"/>
      </w:pPr>
      <w:r>
        <w:t xml:space="preserve">Papert, S. (1980).</w:t>
      </w:r>
      <w:r>
        <w:t xml:space="preserve"> </w:t>
      </w:r>
      <w:r>
        <w:rPr>
          <w:iCs/>
          <w:i/>
        </w:rPr>
        <w:t xml:space="preserve">Mindstorms: Children, computers, and powerful ideas</w:t>
      </w:r>
      <w:r>
        <w:t xml:space="preserve">. Basic Books.</w:t>
      </w:r>
    </w:p>
    <w:bookmarkEnd w:id="73"/>
    <w:bookmarkStart w:id="74" w:name="X9c3687eb1d23b9205ebf300f746a854a3afccc8"/>
    <w:p>
      <w:pPr>
        <w:pStyle w:val="Heading2"/>
      </w:pPr>
      <w:r>
        <w:t xml:space="preserve">Local-First Software and Multi-Agent Systems</w:t>
      </w:r>
    </w:p>
    <w:p>
      <w:pPr>
        <w:pStyle w:val="FirstParagraph"/>
      </w:pPr>
      <w:r>
        <w:t xml:space="preserve">Kleppmann, M., &amp; Beresford, A. R. (2017). A conflict-free replicated JSON datatype.</w:t>
      </w:r>
      <w:r>
        <w:t xml:space="preserve"> </w:t>
      </w:r>
      <w:r>
        <w:rPr>
          <w:iCs/>
          <w:i/>
        </w:rPr>
        <w:t xml:space="preserve">IEEE Transactions on Parallel and Distributed Systems</w:t>
      </w:r>
      <w:r>
        <w:t xml:space="preserve">, 28(10), 2733–2746.</w:t>
      </w:r>
    </w:p>
    <w:p>
      <w:pPr>
        <w:pStyle w:val="BodyText"/>
      </w:pPr>
      <w:r>
        <w:t xml:space="preserve">Kleppmann, M., Wiggins, A., van Hardenberg, P., &amp; McGranaghan, M. (2019). Local-first software: You own your data, in spite of the cloud. In</w:t>
      </w:r>
      <w:r>
        <w:t xml:space="preserve"> </w:t>
      </w:r>
      <w:r>
        <w:rPr>
          <w:iCs/>
          <w:i/>
        </w:rPr>
        <w:t xml:space="preserve">Proceedings of the 2019 ACM SIGPLAN International Symposium on New Ideas, New Paradigms, and Reflections on Programming and Software (Onward!)</w:t>
      </w:r>
      <w:r>
        <w:t xml:space="preserve"> </w:t>
      </w:r>
      <w:r>
        <w:t xml:space="preserve">(pp. 154–178). https://doi.org/10.1145/3359591.3359737</w:t>
      </w:r>
    </w:p>
    <w:p>
      <w:pPr>
        <w:pStyle w:val="BodyText"/>
      </w:pPr>
      <w:r>
        <w:t xml:space="preserve">Park, J. S., O’Brien, J. C., Cai, C. J., Morris, M. R., Liang, P., &amp; Bernstein, M. S. (2023). Generative agents: Interactive simulacra of human behavior. In</w:t>
      </w:r>
      <w:r>
        <w:t xml:space="preserve"> </w:t>
      </w:r>
      <w:r>
        <w:rPr>
          <w:iCs/>
          <w:i/>
        </w:rPr>
        <w:t xml:space="preserve">Proceedings of the 36th Annual ACM Symposium on User Interface Software and Technology (UIST)</w:t>
      </w:r>
      <w:r>
        <w:t xml:space="preserve">. arXiv:2304.03442.</w:t>
      </w:r>
    </w:p>
    <w:p>
      <w:pPr>
        <w:pStyle w:val="BodyText"/>
      </w:pPr>
      <w:r>
        <w:t xml:space="preserve">Schick, T., Dwivedi-Yu, J., Dessì, R., Raileanu, R., Lomeli, M., Zettlemoyer, L., Cancedda, N., &amp; Scialom, T. (2023). Toolformer: Language models can teach themselves to use tools.</w:t>
      </w:r>
      <w:r>
        <w:t xml:space="preserve"> </w:t>
      </w:r>
      <w:r>
        <w:rPr>
          <w:iCs/>
          <w:i/>
        </w:rPr>
        <w:t xml:space="preserve">Advances in Neural Information Processing Systems</w:t>
      </w:r>
      <w:r>
        <w:t xml:space="preserve">, 36. arXiv:2302.04761.</w:t>
      </w:r>
    </w:p>
    <w:p>
      <w:pPr>
        <w:pStyle w:val="BodyText"/>
      </w:pPr>
      <w:r>
        <w:t xml:space="preserve">Shinn, N., Cassano, F., Berman, E., Gopinath, A., Narasimhan, K., &amp; Yao, S. (2023). Reflexion: Language agents with verbal reinforcement learning.</w:t>
      </w:r>
      <w:r>
        <w:t xml:space="preserve"> </w:t>
      </w:r>
      <w:r>
        <w:rPr>
          <w:iCs/>
          <w:i/>
        </w:rPr>
        <w:t xml:space="preserve">Advances in Neural Information Processing Systems</w:t>
      </w:r>
      <w:r>
        <w:t xml:space="preserve">, 36. arXiv:2303.11366.</w:t>
      </w:r>
    </w:p>
    <w:p>
      <w:pPr>
        <w:pStyle w:val="BodyText"/>
      </w:pPr>
      <w:r>
        <w:t xml:space="preserve">Wang, L., Ma, C., Feng, X., Zhang, Z., et al. (2024). A survey on large language model based autonomous agents.</w:t>
      </w:r>
      <w:r>
        <w:t xml:space="preserve"> </w:t>
      </w:r>
      <w:r>
        <w:rPr>
          <w:iCs/>
          <w:i/>
        </w:rPr>
        <w:t xml:space="preserve">Frontiers of Computer Science</w:t>
      </w:r>
      <w:r>
        <w:t xml:space="preserve">, 18(6). https://doi.org/10.1007/s11704-024-40231-1</w:t>
      </w:r>
    </w:p>
    <w:p>
      <w:pPr>
        <w:pStyle w:val="BodyText"/>
      </w:pPr>
      <w:r>
        <w:t xml:space="preserve">Wooldridge, M. (2009).</w:t>
      </w:r>
      <w:r>
        <w:t xml:space="preserve"> </w:t>
      </w:r>
      <w:r>
        <w:rPr>
          <w:iCs/>
          <w:i/>
        </w:rPr>
        <w:t xml:space="preserve">An introduction to multiagent systems</w:t>
      </w:r>
      <w:r>
        <w:t xml:space="preserve"> </w:t>
      </w:r>
      <w:r>
        <w:t xml:space="preserve">(2nd ed.). John Wiley &amp; Sons.</w:t>
      </w:r>
    </w:p>
    <w:p>
      <w:pPr>
        <w:pStyle w:val="BodyText"/>
      </w:pPr>
      <w:r>
        <w:t xml:space="preserve">Yao, S., Zhao, J., Yu, D., Du, N., Shafran, I., Narasimhan, K., &amp; Cao, Y. (2023). ReAct: Synergizing reasoning and acting in language models.</w:t>
      </w:r>
      <w:r>
        <w:t xml:space="preserve"> </w:t>
      </w:r>
      <w:r>
        <w:rPr>
          <w:iCs/>
          <w:i/>
        </w:rPr>
        <w:t xml:space="preserve">International Conference on Learning Representations</w:t>
      </w:r>
      <w:r>
        <w:t xml:space="preserve">. arXiv:2210.03629.</w:t>
      </w:r>
    </w:p>
    <w:p>
      <w:pPr>
        <w:pStyle w:val="BodyText"/>
      </w:pPr>
      <w:r>
        <w:t xml:space="preserve">From language to action: A review of large language models as autonomous agents and tool users. (2025).</w:t>
      </w:r>
      <w:r>
        <w:t xml:space="preserve"> </w:t>
      </w:r>
      <w:r>
        <w:rPr>
          <w:iCs/>
          <w:i/>
        </w:rPr>
        <w:t xml:space="preserve">Artificial Intelligence Review</w:t>
      </w:r>
      <w:r>
        <w:t xml:space="preserve">. https://doi.org/10.1007/s10462-025-11471-9</w:t>
      </w:r>
    </w:p>
    <w:bookmarkEnd w:id="74"/>
    <w:bookmarkStart w:id="75" w:name="X1399c906674b6709db31e8a4aede69c38db24d9"/>
    <w:p>
      <w:pPr>
        <w:pStyle w:val="Heading2"/>
      </w:pPr>
      <w:r>
        <w:t xml:space="preserve">Hardware, Platform, Models, and Voice Stack (accessed July 17, 2026)</w:t>
      </w:r>
    </w:p>
    <w:p>
      <w:pPr>
        <w:pStyle w:val="FirstParagraph"/>
      </w:pPr>
      <w:r>
        <w:t xml:space="preserve">ByteShape. (2026, January 5).</w:t>
      </w:r>
      <w:r>
        <w:t xml:space="preserve"> </w:t>
      </w:r>
      <w:r>
        <w:rPr>
          <w:iCs/>
          <w:i/>
        </w:rPr>
        <w:t xml:space="preserve">A 30B Qwen model walks into a Raspberry Pi… and runs in real time</w:t>
      </w:r>
      <w:r>
        <w:t xml:space="preserve"> </w:t>
      </w:r>
      <w:r>
        <w:t xml:space="preserve">[Model documentation and benchmarks]. Qwen3-30B-A3B-Instruct-2507 GGUF, ~2.70 bpw, ~8.03 tok/s on Raspberry Pi 5 16GB (vendor-reported quality retention ~94%).</w:t>
      </w:r>
    </w:p>
    <w:p>
      <w:pPr>
        <w:pStyle w:val="BodyText"/>
      </w:pPr>
      <w:r>
        <w:t xml:space="preserve">Geerling, J. (2026).</w:t>
      </w:r>
      <w:r>
        <w:t xml:space="preserve"> </w:t>
      </w:r>
      <w:r>
        <w:rPr>
          <w:iCs/>
          <w:i/>
        </w:rPr>
        <w:t xml:space="preserve">Benchmarking ByteShape’s Qwen3-30B-A3B on Raspberry Pi 5 16GB</w:t>
      </w:r>
      <w:r>
        <w:t xml:space="preserve"> </w:t>
      </w:r>
      <w:r>
        <w:t xml:space="preserve">[ai-benchmarks, issue #47]. Independent reproduction: 7.99 ± 0.03 tok/s.</w:t>
      </w:r>
    </w:p>
    <w:p>
      <w:pPr>
        <w:pStyle w:val="BodyText"/>
      </w:pPr>
      <w:r>
        <w:t xml:space="preserve">Qwen Team, Alibaba. (2025).</w:t>
      </w:r>
      <w:r>
        <w:t xml:space="preserve"> </w:t>
      </w:r>
      <w:r>
        <w:rPr>
          <w:iCs/>
          <w:i/>
        </w:rPr>
        <w:t xml:space="preserve">Qwen3-30B-A3B-Instruct-2507</w:t>
      </w:r>
      <w:r>
        <w:t xml:space="preserve"> </w:t>
      </w:r>
      <w:r>
        <w:t xml:space="preserve">[Model card]. Hugging Face. Apache-2.0.</w:t>
      </w:r>
    </w:p>
    <w:p>
      <w:pPr>
        <w:pStyle w:val="BodyText"/>
      </w:pPr>
      <w:r>
        <w:t xml:space="preserve">OpenAI. (2025, August 5).</w:t>
      </w:r>
      <w:r>
        <w:t xml:space="preserve"> </w:t>
      </w:r>
      <w:r>
        <w:rPr>
          <w:iCs/>
          <w:i/>
        </w:rPr>
        <w:t xml:space="preserve">Introducing gpt-oss</w:t>
      </w:r>
      <w:r>
        <w:t xml:space="preserve"> </w:t>
      </w:r>
      <w:r>
        <w:t xml:space="preserve">[Open-weight model release]. arXiv:2508.10925.</w:t>
      </w:r>
    </w:p>
    <w:p>
      <w:pPr>
        <w:pStyle w:val="BodyText"/>
      </w:pPr>
      <w:r>
        <w:t xml:space="preserve">Raspberry Pi Ltd. (2026).</w:t>
      </w:r>
      <w:r>
        <w:t xml:space="preserve"> </w:t>
      </w:r>
      <w:r>
        <w:rPr>
          <w:iCs/>
          <w:i/>
        </w:rPr>
        <w:t xml:space="preserve">Memory-driven price increases</w:t>
      </w:r>
      <w:r>
        <w:t xml:space="preserve"> </w:t>
      </w:r>
      <w:r>
        <w:t xml:space="preserve">[Raspberry Pi 5 16GB ~$305 as of April 2026; ~$120 at 2025 launch]. raspberrypi.com. Corroborated by Tom’s Hardware, The Register (2026).</w:t>
      </w:r>
    </w:p>
    <w:p>
      <w:pPr>
        <w:pStyle w:val="BodyText"/>
      </w:pPr>
      <w:r>
        <w:t xml:space="preserve">Raspberry Pi Ltd. (2026).</w:t>
      </w:r>
      <w:r>
        <w:t xml:space="preserve"> </w:t>
      </w:r>
      <w:r>
        <w:rPr>
          <w:iCs/>
          <w:i/>
        </w:rPr>
        <w:t xml:space="preserve">Heating and cooling Raspberry Pi 5</w:t>
      </w:r>
      <w:r>
        <w:t xml:space="preserve">. raspberrypi.com.</w:t>
      </w:r>
    </w:p>
    <w:p>
      <w:pPr>
        <w:pStyle w:val="BodyText"/>
      </w:pPr>
      <w:r>
        <w:t xml:space="preserve">SunFounder. (2026).</w:t>
      </w:r>
      <w:r>
        <w:t xml:space="preserve"> </w:t>
      </w:r>
      <w:r>
        <w:rPr>
          <w:iCs/>
          <w:i/>
        </w:rPr>
        <w:t xml:space="preserve">PiDog documentation</w:t>
      </w:r>
      <w:r>
        <w:t xml:space="preserve"> </w:t>
      </w:r>
      <w:r>
        <w:t xml:space="preserve">[Robot HAT V5; earlier version not Raspberry Pi 5-compatible; Ollama and OpenClaw integration lessons]. docs.sunfounder.com.</w:t>
      </w:r>
    </w:p>
    <w:p>
      <w:pPr>
        <w:pStyle w:val="BodyText"/>
      </w:pPr>
      <w:r>
        <w:t xml:space="preserve">Tailscale. (2026, April 8).</w:t>
      </w:r>
      <w:r>
        <w:t xml:space="preserve"> </w:t>
      </w:r>
      <w:r>
        <w:rPr>
          <w:iCs/>
          <w:i/>
        </w:rPr>
        <w:t xml:space="preserve">Pricing (Personal plan: 6 users, unlimited user-owned devices)</w:t>
      </w:r>
      <w:r>
        <w:t xml:space="preserve">. tailscale.com.</w:t>
      </w:r>
    </w:p>
    <w:p>
      <w:pPr>
        <w:pStyle w:val="BodyText"/>
      </w:pPr>
      <w:r>
        <w:t xml:space="preserve">Ollama. (2026, July 11).</w:t>
      </w:r>
      <w:r>
        <w:t xml:space="preserve"> </w:t>
      </w:r>
      <w:r>
        <w:rPr>
          <w:iCs/>
          <w:i/>
        </w:rPr>
        <w:t xml:space="preserve">Release notes v0.32.0</w:t>
      </w:r>
      <w:r>
        <w:t xml:space="preserve">. github.com/ollama/ollama.</w:t>
      </w:r>
    </w:p>
    <w:p>
      <w:pPr>
        <w:pStyle w:val="BodyText"/>
      </w:pPr>
      <w:r>
        <w:t xml:space="preserve">OHF-Voice. (2026).</w:t>
      </w:r>
      <w:r>
        <w:t xml:space="preserve"> </w:t>
      </w:r>
      <w:r>
        <w:rPr>
          <w:iCs/>
          <w:i/>
        </w:rPr>
        <w:t xml:space="preserve">piper1-gpl v1.4.2</w:t>
      </w:r>
      <w:r>
        <w:t xml:space="preserve"> </w:t>
      </w:r>
      <w:r>
        <w:t xml:space="preserve">[GPL-3.0; supersedes rhasspy/piper, archived October 2025]. github.com/OHF-Voice/piper1-gpl.</w:t>
      </w:r>
    </w:p>
    <w:p>
      <w:pPr>
        <w:pStyle w:val="BodyText"/>
      </w:pPr>
      <w:r>
        <w:t xml:space="preserve">Moonshine AI. (2026).</w:t>
      </w:r>
      <w:r>
        <w:t xml:space="preserve"> </w:t>
      </w:r>
      <w:r>
        <w:rPr>
          <w:iCs/>
          <w:i/>
        </w:rPr>
        <w:t xml:space="preserve">Moonshine: Fast speech recognition for the edge</w:t>
      </w:r>
      <w:r>
        <w:t xml:space="preserve">. github.com/moonshine-ai/moonshine.</w:t>
      </w:r>
    </w:p>
    <w:p>
      <w:pPr>
        <w:pStyle w:val="BodyText"/>
      </w:pPr>
      <w:r>
        <w:t xml:space="preserve">Kokoro-82M. (2025, January 27).</w:t>
      </w:r>
      <w:r>
        <w:t xml:space="preserve"> </w:t>
      </w:r>
      <w:r>
        <w:rPr>
          <w:iCs/>
          <w:i/>
        </w:rPr>
        <w:t xml:space="preserve">Kokoro-82M v1.0</w:t>
      </w:r>
      <w:r>
        <w:t xml:space="preserve"> </w:t>
      </w:r>
      <w:r>
        <w:t xml:space="preserve">[Apache-2.0 text-to-speech]. Hugging Face.</w:t>
      </w:r>
    </w:p>
    <w:p>
      <w:pPr>
        <w:pStyle w:val="BodyText"/>
      </w:pPr>
      <w:r>
        <w:t xml:space="preserve">Alpha Cephei. (2026).</w:t>
      </w:r>
      <w:r>
        <w:t xml:space="preserve"> </w:t>
      </w:r>
      <w:r>
        <w:rPr>
          <w:iCs/>
          <w:i/>
        </w:rPr>
        <w:t xml:space="preserve">Vosk API v0.3.50</w:t>
      </w:r>
      <w:r>
        <w:t xml:space="preserve"> </w:t>
      </w:r>
      <w:r>
        <w:t xml:space="preserve">[Offline streaming speech recognition; Apache-2.0]. github.com/alphacep/vosk-api.</w:t>
      </w:r>
    </w:p>
    <w:p>
      <w:pPr>
        <w:pStyle w:val="BodyText"/>
      </w:pPr>
      <w:r>
        <w:t xml:space="preserve">SYSTRAN. (2026).</w:t>
      </w:r>
      <w:r>
        <w:t xml:space="preserve"> </w:t>
      </w:r>
      <w:r>
        <w:rPr>
          <w:iCs/>
          <w:i/>
        </w:rPr>
        <w:t xml:space="preserve">Faster-Whisper</w:t>
      </w:r>
      <w:r>
        <w:t xml:space="preserve"> </w:t>
      </w:r>
      <w:r>
        <w:t xml:space="preserve">[CTranslate2-based Whisper reimplementation; MIT]. github.com/SYSTRAN/faster-whisper.</w:t>
      </w:r>
    </w:p>
    <w:bookmarkEnd w:id="75"/>
    <w:bookmarkStart w:id="76" w:name="prior-volumes-of-this-project"/>
    <w:p>
      <w:pPr>
        <w:pStyle w:val="Heading2"/>
      </w:pPr>
      <w:r>
        <w:t xml:space="preserve">Prior Volumes of This Project</w:t>
      </w:r>
    </w:p>
    <w:p>
      <w:pPr>
        <w:pStyle w:val="FirstParagraph"/>
      </w:pPr>
      <w:r>
        <w:t xml:space="preserve">Garcia, M. (2026).</w:t>
      </w:r>
      <w:r>
        <w:t xml:space="preserve"> </w:t>
      </w:r>
      <w:r>
        <w:rPr>
          <w:iCs/>
          <w:i/>
        </w:rPr>
        <w:t xml:space="preserve">The DIY local LLM robot project, Volume I: Foundations and context</w:t>
      </w:r>
      <w:r>
        <w:t xml:space="preserve">.</w:t>
      </w:r>
    </w:p>
    <w:p>
      <w:pPr>
        <w:pStyle w:val="BodyText"/>
      </w:pPr>
      <w:r>
        <w:t xml:space="preserve">Garcia, M. (2026).</w:t>
      </w:r>
      <w:r>
        <w:t xml:space="preserve"> </w:t>
      </w:r>
      <w:r>
        <w:rPr>
          <w:iCs/>
          <w:i/>
        </w:rPr>
        <w:t xml:space="preserve">The DIY local LLM robot project, Volume II: The technical build</w:t>
      </w:r>
      <w:r>
        <w:t xml:space="preserve">.</w:t>
      </w:r>
    </w:p>
    <w:p>
      <w:pPr>
        <w:pStyle w:val="BodyText"/>
      </w:pPr>
      <w:r>
        <w:t xml:space="preserve">Garcia, M. (2026).</w:t>
      </w:r>
      <w:r>
        <w:t xml:space="preserve"> </w:t>
      </w:r>
      <w:r>
        <w:rPr>
          <w:iCs/>
          <w:i/>
        </w:rPr>
        <w:t xml:space="preserve">The DIY local LLM robot project, Volume III: Embodiment and the fleet</w:t>
      </w:r>
      <w:r>
        <w:t xml:space="preserve">.</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2026-07-18T16:36:37Z</dcterms:created>
  <dcterms:modified xsi:type="dcterms:W3CDTF">2026-07-18T16:36:37Z</dcterms:modified>
</cp:coreProperties>
</file>

<file path=docProps/custom.xml><?xml version="1.0" encoding="utf-8"?>
<Properties xmlns="http://schemas.openxmlformats.org/officeDocument/2006/custom-properties" xmlns:vt="http://schemas.openxmlformats.org/officeDocument/2006/docPropsVTypes"/>
</file>